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D06C9" w14:textId="47997D88" w:rsidR="00306AF1" w:rsidRPr="00C4219A" w:rsidRDefault="00C4219A" w:rsidP="00C4219A">
      <w:pPr>
        <w:pStyle w:val="TitleBlack"/>
      </w:pPr>
      <w:bookmarkStart w:id="0" w:name="_GoBack"/>
      <w:bookmarkEnd w:id="0"/>
      <w:r>
        <w:t>Guidelines for Assessing the Impact of Climate Change on Water Availability in Victoria</w:t>
      </w:r>
    </w:p>
    <w:p w14:paraId="44865BBC" w14:textId="717A1249" w:rsidR="00E44CBB" w:rsidRDefault="00E44CBB" w:rsidP="00C4219A">
      <w:pPr>
        <w:pStyle w:val="Heading3"/>
        <w:rPr>
          <w:b/>
          <w:bCs/>
          <w:color w:val="000000" w:themeColor="text1"/>
        </w:rPr>
      </w:pPr>
    </w:p>
    <w:p w14:paraId="731C764C" w14:textId="05832A4C" w:rsidR="00E44CBB" w:rsidRDefault="00E44CBB" w:rsidP="00E44CBB">
      <w:r>
        <w:t xml:space="preserve">This version of the guidelines </w:t>
      </w:r>
      <w:r w:rsidR="007A4AF6">
        <w:t>has</w:t>
      </w:r>
      <w:r>
        <w:t xml:space="preserve"> been created using best possible accessibility practices. Given the size and scope of th</w:t>
      </w:r>
      <w:r w:rsidR="00793858">
        <w:t>e guidelines</w:t>
      </w:r>
      <w:r>
        <w:t xml:space="preserve">, </w:t>
      </w:r>
      <w:r w:rsidR="00793858">
        <w:t xml:space="preserve">if you would like assistance on how to best navigate this document </w:t>
      </w:r>
      <w:r w:rsidR="00D768A8">
        <w:t xml:space="preserve">and its findings, </w:t>
      </w:r>
      <w:r>
        <w:t xml:space="preserve">we recommend you contact the Hydrology and Climate Science team of the Water and Catchments Group of the Victorian Government Department of Environment, Land and Planning. Their contact is </w:t>
      </w:r>
      <w:hyperlink r:id="rId12" w:history="1">
        <w:r w:rsidRPr="007A3A2A">
          <w:rPr>
            <w:rStyle w:val="Hyperlink"/>
          </w:rPr>
          <w:t>HCS.Team@delwp.vic.gov.au</w:t>
        </w:r>
      </w:hyperlink>
      <w:r>
        <w:t>.</w:t>
      </w:r>
    </w:p>
    <w:p w14:paraId="4E88144C" w14:textId="77777777" w:rsidR="00E44CBB" w:rsidRPr="00E44CBB" w:rsidRDefault="00E44CBB" w:rsidP="00E44CBB"/>
    <w:p w14:paraId="7689FF71" w14:textId="4052D371" w:rsidR="00C4219A" w:rsidRPr="000510E2" w:rsidRDefault="00C4219A" w:rsidP="00C4219A">
      <w:pPr>
        <w:pStyle w:val="Heading3"/>
        <w:rPr>
          <w:b/>
          <w:bCs/>
          <w:color w:val="000000" w:themeColor="text1"/>
          <w:sz w:val="16"/>
          <w:szCs w:val="16"/>
        </w:rPr>
      </w:pPr>
      <w:r w:rsidRPr="000510E2">
        <w:rPr>
          <w:b/>
          <w:bCs/>
          <w:color w:val="000000" w:themeColor="text1"/>
          <w:sz w:val="16"/>
          <w:szCs w:val="16"/>
        </w:rPr>
        <w:t>Acknowledgements</w:t>
      </w:r>
    </w:p>
    <w:p w14:paraId="27199B9F" w14:textId="77777777" w:rsidR="00C4219A" w:rsidRPr="000510E2" w:rsidRDefault="00C4219A" w:rsidP="00C4219A">
      <w:pPr>
        <w:rPr>
          <w:sz w:val="16"/>
          <w:szCs w:val="16"/>
        </w:rPr>
      </w:pPr>
      <w:r w:rsidRPr="000510E2">
        <w:rPr>
          <w:sz w:val="16"/>
          <w:szCs w:val="16"/>
        </w:rPr>
        <w:t>DELWP acknowledges the contribution to these guidelines from a range of researchers and water industry participants, including:</w:t>
      </w:r>
    </w:p>
    <w:p w14:paraId="1C73E91F" w14:textId="77777777" w:rsidR="00C4219A" w:rsidRPr="000510E2" w:rsidRDefault="00C4219A" w:rsidP="00C4219A">
      <w:pPr>
        <w:pStyle w:val="ListParagraph"/>
        <w:numPr>
          <w:ilvl w:val="0"/>
          <w:numId w:val="1"/>
        </w:numPr>
        <w:rPr>
          <w:sz w:val="16"/>
          <w:szCs w:val="16"/>
        </w:rPr>
      </w:pPr>
      <w:r w:rsidRPr="000510E2">
        <w:rPr>
          <w:sz w:val="16"/>
          <w:szCs w:val="16"/>
        </w:rPr>
        <w:t>Water Corporation representatives who provided technical perspectives and water sector expertise through participation in the workshops that informed the development of the draft guidelines, and other water sector experts who provided input into the development of the guidelines, including staff from the Department of Environment, Land, Water and Planning;</w:t>
      </w:r>
    </w:p>
    <w:p w14:paraId="25C3133E" w14:textId="77777777" w:rsidR="00C4219A" w:rsidRPr="000510E2" w:rsidRDefault="00C4219A" w:rsidP="00C4219A">
      <w:pPr>
        <w:pStyle w:val="ListParagraph"/>
        <w:numPr>
          <w:ilvl w:val="0"/>
          <w:numId w:val="1"/>
        </w:numPr>
        <w:rPr>
          <w:sz w:val="16"/>
          <w:szCs w:val="16"/>
        </w:rPr>
      </w:pPr>
      <w:r w:rsidRPr="000510E2">
        <w:rPr>
          <w:sz w:val="16"/>
          <w:szCs w:val="16"/>
        </w:rPr>
        <w:t>Climate and hydrology researchers from CSIRO, the Bureau of Meteorology, and the University of Melbourne who contributed a range of background material for the guidelines and provided review comments on the draft guidelines;</w:t>
      </w:r>
    </w:p>
    <w:p w14:paraId="47C60837" w14:textId="77777777" w:rsidR="00C4219A" w:rsidRPr="000510E2" w:rsidRDefault="00C4219A" w:rsidP="00C4219A">
      <w:pPr>
        <w:pStyle w:val="ListParagraph"/>
        <w:numPr>
          <w:ilvl w:val="0"/>
          <w:numId w:val="1"/>
        </w:numPr>
        <w:rPr>
          <w:sz w:val="16"/>
          <w:szCs w:val="16"/>
        </w:rPr>
      </w:pPr>
      <w:r w:rsidRPr="000510E2">
        <w:rPr>
          <w:sz w:val="16"/>
          <w:szCs w:val="16"/>
        </w:rPr>
        <w:t>Brad Neal from Brad’s Water Balance, who provided extensive input to the workshops and development of the draft guidelines; and</w:t>
      </w:r>
    </w:p>
    <w:p w14:paraId="133605E4" w14:textId="77777777" w:rsidR="00C4219A" w:rsidRPr="000510E2" w:rsidRDefault="00C4219A" w:rsidP="00C4219A">
      <w:pPr>
        <w:pStyle w:val="ListParagraph"/>
        <w:numPr>
          <w:ilvl w:val="0"/>
          <w:numId w:val="1"/>
        </w:numPr>
        <w:rPr>
          <w:sz w:val="16"/>
          <w:szCs w:val="16"/>
        </w:rPr>
      </w:pPr>
      <w:r w:rsidRPr="000510E2">
        <w:rPr>
          <w:sz w:val="16"/>
          <w:szCs w:val="16"/>
        </w:rPr>
        <w:t>Consultants from Hydrology and Risk Consulting (HARC) who provided supplementary technical input.</w:t>
      </w:r>
    </w:p>
    <w:p w14:paraId="1A8CC27D" w14:textId="77777777" w:rsidR="00C4219A" w:rsidRPr="000510E2" w:rsidRDefault="00C4219A" w:rsidP="00C4219A">
      <w:pPr>
        <w:rPr>
          <w:sz w:val="16"/>
          <w:szCs w:val="16"/>
        </w:rPr>
      </w:pPr>
      <w:r w:rsidRPr="000510E2">
        <w:rPr>
          <w:sz w:val="16"/>
          <w:szCs w:val="16"/>
        </w:rPr>
        <w:t>Any questions on these guidelines should be directed to the Hydrology and Climate Science team, Water Resource Assessment Branch, Water Resource Division, Water &amp; Catchments Group, Victorian Department of Environment, Land, Water and Planning. Email the Hydrology and Climate Science team at HCS.team@delwp.vic.gov.au</w:t>
      </w:r>
    </w:p>
    <w:p w14:paraId="250DF3E7" w14:textId="77777777" w:rsidR="00C4219A" w:rsidRDefault="00C4219A" w:rsidP="00C4219A"/>
    <w:p w14:paraId="2ED76D3D" w14:textId="77777777" w:rsidR="000510E2" w:rsidRPr="00C4219A" w:rsidRDefault="000510E2" w:rsidP="000510E2">
      <w:pPr>
        <w:pStyle w:val="Heading2"/>
        <w:rPr>
          <w:color w:val="000000" w:themeColor="text1"/>
          <w:sz w:val="16"/>
          <w:szCs w:val="16"/>
        </w:rPr>
      </w:pPr>
      <w:r w:rsidRPr="00C4219A">
        <w:rPr>
          <w:color w:val="000000" w:themeColor="text1"/>
          <w:sz w:val="16"/>
          <w:szCs w:val="16"/>
        </w:rPr>
        <w:t>Acknowledgment</w:t>
      </w:r>
    </w:p>
    <w:p w14:paraId="1986992D" w14:textId="77777777" w:rsidR="000510E2" w:rsidRPr="00C4219A" w:rsidRDefault="000510E2" w:rsidP="000510E2">
      <w:pPr>
        <w:rPr>
          <w:sz w:val="16"/>
          <w:szCs w:val="16"/>
        </w:rPr>
      </w:pPr>
      <w:r w:rsidRPr="00C4219A">
        <w:rPr>
          <w:sz w:val="16"/>
          <w:szCs w:val="16"/>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BAF08EC" w14:textId="77777777" w:rsidR="000510E2" w:rsidRPr="00C4219A" w:rsidRDefault="000510E2" w:rsidP="000510E2">
      <w:pPr>
        <w:rPr>
          <w:sz w:val="16"/>
          <w:szCs w:val="16"/>
        </w:rPr>
      </w:pPr>
      <w:r w:rsidRPr="00C4219A">
        <w:rPr>
          <w:sz w:val="16"/>
          <w:szCs w:val="16"/>
        </w:rPr>
        <w:t>We are committed to genuinely partner, and meaningfully engage, with Victoria's Traditional Owners and Aboriginal communities to support the protection of Country, the maintenance of spiritual and cultural practices and their broader aspirations in the 2</w:t>
      </w:r>
      <w:r w:rsidRPr="000A4318">
        <w:rPr>
          <w:sz w:val="16"/>
          <w:szCs w:val="16"/>
        </w:rPr>
        <w:t>1st</w:t>
      </w:r>
      <w:r w:rsidRPr="00C4219A">
        <w:rPr>
          <w:sz w:val="16"/>
          <w:szCs w:val="16"/>
        </w:rPr>
        <w:t xml:space="preserve"> century and beyond.</w:t>
      </w:r>
    </w:p>
    <w:p w14:paraId="64F61AB3" w14:textId="77777777" w:rsidR="000510E2" w:rsidRPr="00C4219A" w:rsidRDefault="000510E2" w:rsidP="000510E2">
      <w:pPr>
        <w:rPr>
          <w:sz w:val="16"/>
          <w:szCs w:val="16"/>
        </w:rPr>
      </w:pPr>
      <w:r w:rsidRPr="00C4219A">
        <w:rPr>
          <w:sz w:val="16"/>
          <w:szCs w:val="16"/>
        </w:rPr>
        <w:t>The State of Victoria Department of Environment, Land, Water and Planning 2020</w:t>
      </w:r>
    </w:p>
    <w:p w14:paraId="506B447B" w14:textId="77777777" w:rsidR="000510E2" w:rsidRPr="00C4219A" w:rsidRDefault="000510E2" w:rsidP="000510E2">
      <w:pPr>
        <w:rPr>
          <w:sz w:val="16"/>
          <w:szCs w:val="16"/>
        </w:rPr>
      </w:pPr>
      <w:r w:rsidRPr="00C4219A">
        <w:rPr>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3E2EFB66" w14:textId="77777777" w:rsidR="000510E2" w:rsidRPr="00C4219A" w:rsidRDefault="000510E2" w:rsidP="000510E2">
      <w:pPr>
        <w:rPr>
          <w:sz w:val="16"/>
          <w:szCs w:val="16"/>
        </w:rPr>
      </w:pPr>
      <w:r w:rsidRPr="00C4219A">
        <w:rPr>
          <w:b/>
          <w:bCs/>
          <w:sz w:val="16"/>
          <w:szCs w:val="16"/>
        </w:rPr>
        <w:t xml:space="preserve">ISBN </w:t>
      </w:r>
      <w:r w:rsidRPr="00C4219A">
        <w:rPr>
          <w:sz w:val="16"/>
          <w:szCs w:val="16"/>
        </w:rPr>
        <w:t xml:space="preserve">978-1-76105-298-9 </w:t>
      </w:r>
      <w:r w:rsidRPr="00C4219A">
        <w:rPr>
          <w:b/>
          <w:bCs/>
          <w:sz w:val="16"/>
          <w:szCs w:val="16"/>
        </w:rPr>
        <w:t>(pdf/online/MS word)</w:t>
      </w:r>
    </w:p>
    <w:p w14:paraId="2B6F544B" w14:textId="77777777" w:rsidR="000510E2" w:rsidRPr="00C4219A" w:rsidRDefault="000510E2" w:rsidP="000510E2">
      <w:pPr>
        <w:rPr>
          <w:sz w:val="16"/>
          <w:szCs w:val="16"/>
        </w:rPr>
      </w:pPr>
      <w:r w:rsidRPr="00C4219A">
        <w:rPr>
          <w:sz w:val="16"/>
          <w:szCs w:val="16"/>
        </w:rPr>
        <w:t>Disclaimer</w:t>
      </w:r>
    </w:p>
    <w:p w14:paraId="69018BB9" w14:textId="77777777" w:rsidR="000510E2" w:rsidRPr="00C4219A" w:rsidRDefault="000510E2" w:rsidP="000510E2">
      <w:pPr>
        <w:rPr>
          <w:sz w:val="16"/>
          <w:szCs w:val="16"/>
        </w:rPr>
      </w:pPr>
      <w:r w:rsidRPr="00C4219A">
        <w:rPr>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B5A272C" w14:textId="77777777" w:rsidR="000510E2" w:rsidRPr="00C4219A" w:rsidRDefault="000510E2" w:rsidP="000510E2">
      <w:pPr>
        <w:rPr>
          <w:sz w:val="16"/>
          <w:szCs w:val="16"/>
        </w:rPr>
      </w:pPr>
      <w:r w:rsidRPr="00C4219A">
        <w:rPr>
          <w:sz w:val="16"/>
          <w:szCs w:val="16"/>
        </w:rPr>
        <w:t>Accessibility</w:t>
      </w:r>
    </w:p>
    <w:p w14:paraId="4C9DC390" w14:textId="77777777" w:rsidR="000510E2" w:rsidRPr="00C4219A" w:rsidRDefault="000510E2" w:rsidP="000510E2">
      <w:pPr>
        <w:rPr>
          <w:sz w:val="16"/>
          <w:szCs w:val="16"/>
        </w:rPr>
      </w:pPr>
      <w:r w:rsidRPr="00C4219A">
        <w:rPr>
          <w:sz w:val="16"/>
          <w:szCs w:val="16"/>
        </w:rPr>
        <w:t xml:space="preserve">If you would like to receive this publication in an alternative format, please telephone the DELWP Customer Service Centre on 136186, email customer.service@delwp.vic.gov.au or HCS.Team@delwp.vic.gov.au, or via the National Relay Service on 133 677 www.relayservice.com.au. This document is also available on the internet at </w:t>
      </w:r>
      <w:hyperlink r:id="rId13" w:history="1">
        <w:r w:rsidRPr="00C4219A">
          <w:rPr>
            <w:rStyle w:val="Hyperlink"/>
            <w:sz w:val="16"/>
            <w:szCs w:val="16"/>
          </w:rPr>
          <w:t>www.delwp.vic.gov.au</w:t>
        </w:r>
      </w:hyperlink>
      <w:r w:rsidRPr="00C4219A">
        <w:rPr>
          <w:sz w:val="16"/>
          <w:szCs w:val="16"/>
        </w:rPr>
        <w:t>.</w:t>
      </w:r>
    </w:p>
    <w:p w14:paraId="2352AB21" w14:textId="655FFF71" w:rsidR="00C4219A" w:rsidRDefault="00C4219A"/>
    <w:p w14:paraId="0059DFEC" w14:textId="77777777" w:rsidR="00C4219A" w:rsidRPr="00E44CBB" w:rsidRDefault="00C4219A" w:rsidP="00C4219A">
      <w:pPr>
        <w:pStyle w:val="Heading1"/>
        <w:rPr>
          <w:color w:val="000000" w:themeColor="text1"/>
        </w:rPr>
      </w:pPr>
      <w:r w:rsidRPr="00E44CBB">
        <w:rPr>
          <w:color w:val="000000" w:themeColor="text1"/>
        </w:rPr>
        <w:lastRenderedPageBreak/>
        <w:t>Summary</w:t>
      </w:r>
    </w:p>
    <w:p w14:paraId="12F007ED" w14:textId="77777777" w:rsidR="00C4219A" w:rsidRDefault="00C4219A" w:rsidP="00C4219A">
      <w:pPr>
        <w:pStyle w:val="BodyText"/>
      </w:pPr>
      <w:r>
        <w:t>Victoria’s climate is changing, and this poses many challenges for the water sector as well as Victorian businesses, industries and communities that rely on water.</w:t>
      </w:r>
    </w:p>
    <w:p w14:paraId="1D6CC281" w14:textId="77777777" w:rsidR="00C4219A" w:rsidRDefault="00C4219A" w:rsidP="00C4219A">
      <w:pPr>
        <w:pStyle w:val="BodyText"/>
      </w:pPr>
      <w:r>
        <w:t xml:space="preserve">Our water resources are largely climate dependent, so planning for climate change is extremely important for Victorian water resource management. Multiple lines of evidence indicate that Victoria will be hotter and drier in the future and this has clear implications for Victoria's water security. Climate change also impacts how we assess and understand our water resource availability right now and in the future. </w:t>
      </w:r>
      <w:r w:rsidRPr="00FA6515">
        <w:t>With a changing climate, we need to prepare for climate conditions that lie beyond conditions experienced in the past.</w:t>
      </w:r>
    </w:p>
    <w:p w14:paraId="706E8192" w14:textId="77777777" w:rsidR="00C4219A" w:rsidRDefault="00C4219A" w:rsidP="00C4219A">
      <w:pPr>
        <w:pStyle w:val="BodyText"/>
      </w:pPr>
      <w:r>
        <w:t>Although the body of scientific knowledge on climate change continues to mature, future climate projections reflect modelling uncertainty and uncertainty around future greenhouse gas emissions. It is therefore important that a range of possible climate scenarios are considered when planning for the sustainability of Victoria’s water future.</w:t>
      </w:r>
    </w:p>
    <w:p w14:paraId="5A6D9E9F" w14:textId="77777777" w:rsidR="00C4219A" w:rsidRDefault="00C4219A" w:rsidP="00C4219A">
      <w:pPr>
        <w:pStyle w:val="BodyText"/>
        <w:rPr>
          <w:lang w:eastAsia="en-AU"/>
        </w:rPr>
      </w:pPr>
      <w:r>
        <w:rPr>
          <w:lang w:eastAsia="en-AU"/>
        </w:rPr>
        <w:t xml:space="preserve">These guidelines present a consistent approach for applying </w:t>
      </w:r>
      <w:r w:rsidRPr="009B76D4">
        <w:rPr>
          <w:lang w:eastAsia="en-AU"/>
        </w:rPr>
        <w:t xml:space="preserve">climate </w:t>
      </w:r>
      <w:r>
        <w:rPr>
          <w:lang w:eastAsia="en-AU"/>
        </w:rPr>
        <w:t xml:space="preserve">change </w:t>
      </w:r>
      <w:r w:rsidRPr="009B76D4">
        <w:rPr>
          <w:lang w:eastAsia="en-AU"/>
        </w:rPr>
        <w:t xml:space="preserve">scenarios for </w:t>
      </w:r>
      <w:r w:rsidRPr="00F35BDE">
        <w:t>temperature</w:t>
      </w:r>
      <w:r w:rsidRPr="009B76D4">
        <w:rPr>
          <w:lang w:eastAsia="en-AU"/>
        </w:rPr>
        <w:t xml:space="preserve">, potential evapotranspiration, rainfall, runoff and groundwater recharge to be used across Victoria for assessing the impact of climate change on water </w:t>
      </w:r>
      <w:r>
        <w:rPr>
          <w:lang w:eastAsia="en-AU"/>
        </w:rPr>
        <w:t>availability. These guidelines also include information on changes to climate variability associated with climate change.</w:t>
      </w:r>
    </w:p>
    <w:p w14:paraId="3A6B18D9" w14:textId="77777777" w:rsidR="00C4219A" w:rsidRDefault="00C4219A" w:rsidP="00C4219A">
      <w:pPr>
        <w:pStyle w:val="BodyText"/>
        <w:rPr>
          <w:lang w:eastAsia="en-AU"/>
        </w:rPr>
      </w:pPr>
      <w:r>
        <w:rPr>
          <w:lang w:eastAsia="en-AU"/>
        </w:rPr>
        <w:t>These guidelines were developed by the Victorian Department of Environment, Water, Land and Planning (DELWP) and build on the 2016 edition of the guidelines. Feedback on the 2016 edition of the guidelines was sought from organisations that used them, including Victorian Water Corporations. The guidelines have also been updated in response to new and updated legislation and water policy, and new research findings, including those from the Victorian Water and Climate Initiative.</w:t>
      </w:r>
    </w:p>
    <w:p w14:paraId="39A50391" w14:textId="77777777" w:rsidR="00C4219A" w:rsidRDefault="00C4219A" w:rsidP="00C4219A">
      <w:pPr>
        <w:pStyle w:val="BodyText"/>
        <w:rPr>
          <w:szCs w:val="22"/>
        </w:rPr>
      </w:pPr>
      <w:r w:rsidRPr="00071CC7">
        <w:rPr>
          <w:szCs w:val="22"/>
        </w:rPr>
        <w:t>The</w:t>
      </w:r>
      <w:r>
        <w:rPr>
          <w:szCs w:val="22"/>
        </w:rPr>
        <w:t xml:space="preserve"> guidelines</w:t>
      </w:r>
      <w:r w:rsidRPr="00071CC7">
        <w:rPr>
          <w:szCs w:val="22"/>
        </w:rPr>
        <w:t xml:space="preserve"> support </w:t>
      </w:r>
      <w:r>
        <w:rPr>
          <w:szCs w:val="22"/>
        </w:rPr>
        <w:t>W</w:t>
      </w:r>
      <w:r w:rsidRPr="00071CC7">
        <w:rPr>
          <w:szCs w:val="22"/>
        </w:rPr>
        <w:t xml:space="preserve">ater </w:t>
      </w:r>
      <w:r>
        <w:rPr>
          <w:szCs w:val="22"/>
        </w:rPr>
        <w:t>C</w:t>
      </w:r>
      <w:r w:rsidRPr="00071CC7">
        <w:rPr>
          <w:szCs w:val="22"/>
        </w:rPr>
        <w:t xml:space="preserve">orporations to discharge their responsibilities under Clause 6-A of the Statement of </w:t>
      </w:r>
      <w:r>
        <w:rPr>
          <w:szCs w:val="22"/>
        </w:rPr>
        <w:t>O</w:t>
      </w:r>
      <w:r w:rsidRPr="00071CC7">
        <w:rPr>
          <w:szCs w:val="22"/>
        </w:rPr>
        <w:t>bligations</w:t>
      </w:r>
      <w:r>
        <w:rPr>
          <w:szCs w:val="22"/>
        </w:rPr>
        <w:t xml:space="preserve"> (General)</w:t>
      </w:r>
      <w:r w:rsidRPr="00071CC7">
        <w:rPr>
          <w:szCs w:val="22"/>
        </w:rPr>
        <w:t xml:space="preserve"> issued by the Minister for Environment, Climate Change and Water in December 2015, that </w:t>
      </w:r>
      <w:r>
        <w:rPr>
          <w:szCs w:val="22"/>
        </w:rPr>
        <w:t>requires W</w:t>
      </w:r>
      <w:r w:rsidRPr="00071CC7">
        <w:rPr>
          <w:szCs w:val="22"/>
        </w:rPr>
        <w:t xml:space="preserve">ater </w:t>
      </w:r>
      <w:r>
        <w:rPr>
          <w:szCs w:val="22"/>
        </w:rPr>
        <w:t>C</w:t>
      </w:r>
      <w:r w:rsidRPr="00071CC7">
        <w:rPr>
          <w:szCs w:val="22"/>
        </w:rPr>
        <w:t>orporations</w:t>
      </w:r>
      <w:r>
        <w:rPr>
          <w:szCs w:val="22"/>
        </w:rPr>
        <w:t xml:space="preserve"> to</w:t>
      </w:r>
      <w:r w:rsidRPr="00071CC7">
        <w:rPr>
          <w:szCs w:val="22"/>
        </w:rPr>
        <w:t xml:space="preserve"> ‘comply with </w:t>
      </w:r>
      <w:r>
        <w:rPr>
          <w:szCs w:val="22"/>
        </w:rPr>
        <w:t>any</w:t>
      </w:r>
      <w:r w:rsidRPr="00071CC7">
        <w:rPr>
          <w:szCs w:val="22"/>
        </w:rPr>
        <w:t xml:space="preserve"> guidelines for forecasting the impact of climate change on water supplies</w:t>
      </w:r>
      <w:r>
        <w:rPr>
          <w:szCs w:val="22"/>
        </w:rPr>
        <w:t>’</w:t>
      </w:r>
      <w:r w:rsidRPr="00071CC7">
        <w:rPr>
          <w:szCs w:val="22"/>
        </w:rPr>
        <w:t xml:space="preserve"> issued by </w:t>
      </w:r>
      <w:r>
        <w:rPr>
          <w:szCs w:val="22"/>
        </w:rPr>
        <w:t>DELWP</w:t>
      </w:r>
      <w:r w:rsidRPr="00071CC7">
        <w:rPr>
          <w:szCs w:val="22"/>
        </w:rPr>
        <w:t>.</w:t>
      </w:r>
    </w:p>
    <w:p w14:paraId="0A869723" w14:textId="77777777" w:rsidR="00C4219A" w:rsidRDefault="00C4219A" w:rsidP="00C4219A">
      <w:pPr>
        <w:pStyle w:val="BodyText"/>
        <w:rPr>
          <w:szCs w:val="22"/>
        </w:rPr>
      </w:pPr>
      <w:r>
        <w:rPr>
          <w:szCs w:val="22"/>
        </w:rPr>
        <w:t>In addition to urban and rural water impact assessments, the guidelines can be used to assess future water availability for integrated water cycled management, environmental water assessments and other purposes.</w:t>
      </w:r>
    </w:p>
    <w:p w14:paraId="6860DBCD" w14:textId="77777777" w:rsidR="00C4219A" w:rsidRDefault="00C4219A" w:rsidP="00C4219A">
      <w:pPr>
        <w:pStyle w:val="BodyText"/>
        <w:rPr>
          <w:lang w:eastAsia="en-AU"/>
        </w:rPr>
      </w:pPr>
      <w:r>
        <w:rPr>
          <w:lang w:eastAsia="en-AU"/>
        </w:rPr>
        <w:t>The key benefits of these guidelines include:</w:t>
      </w:r>
    </w:p>
    <w:p w14:paraId="66DD2941" w14:textId="77777777" w:rsidR="00C4219A" w:rsidRPr="00C878E8" w:rsidRDefault="00C4219A" w:rsidP="00C4219A">
      <w:pPr>
        <w:pStyle w:val="BodyText"/>
        <w:numPr>
          <w:ilvl w:val="5"/>
          <w:numId w:val="3"/>
        </w:numPr>
        <w:ind w:left="709"/>
        <w:rPr>
          <w:lang w:eastAsia="en-AU"/>
        </w:rPr>
      </w:pPr>
      <w:r>
        <w:rPr>
          <w:b/>
          <w:lang w:eastAsia="en-AU"/>
        </w:rPr>
        <w:t>P</w:t>
      </w:r>
      <w:r w:rsidRPr="00C878E8">
        <w:rPr>
          <w:b/>
          <w:lang w:eastAsia="en-AU"/>
        </w:rPr>
        <w:t>rovid</w:t>
      </w:r>
      <w:r>
        <w:rPr>
          <w:b/>
          <w:lang w:eastAsia="en-AU"/>
        </w:rPr>
        <w:t>ing</w:t>
      </w:r>
      <w:r w:rsidRPr="00C878E8">
        <w:rPr>
          <w:b/>
          <w:lang w:eastAsia="en-AU"/>
        </w:rPr>
        <w:t xml:space="preserve"> tailored guidance on how to apply the </w:t>
      </w:r>
      <w:r>
        <w:rPr>
          <w:b/>
          <w:bCs/>
          <w:lang w:eastAsia="en-AU"/>
        </w:rPr>
        <w:t xml:space="preserve">climate </w:t>
      </w:r>
      <w:r w:rsidRPr="00C878E8">
        <w:rPr>
          <w:b/>
          <w:lang w:eastAsia="en-AU"/>
        </w:rPr>
        <w:t>science</w:t>
      </w:r>
      <w:r>
        <w:rPr>
          <w:lang w:eastAsia="en-AU"/>
        </w:rPr>
        <w:t xml:space="preserve"> for</w:t>
      </w:r>
      <w:r w:rsidRPr="00D9089C">
        <w:rPr>
          <w:lang w:eastAsia="en-AU"/>
        </w:rPr>
        <w:t xml:space="preserve"> water resource planning applications. Applying the science </w:t>
      </w:r>
      <w:r>
        <w:rPr>
          <w:lang w:eastAsia="en-AU"/>
        </w:rPr>
        <w:t>can be</w:t>
      </w:r>
      <w:r w:rsidRPr="00D9089C">
        <w:rPr>
          <w:lang w:eastAsia="en-AU"/>
        </w:rPr>
        <w:t xml:space="preserve"> complex, and the guidelines describe how to do this in </w:t>
      </w:r>
      <w:r>
        <w:rPr>
          <w:lang w:eastAsia="en-AU"/>
        </w:rPr>
        <w:t>a manner consistent</w:t>
      </w:r>
      <w:r w:rsidRPr="00D9089C">
        <w:rPr>
          <w:lang w:eastAsia="en-AU"/>
        </w:rPr>
        <w:t xml:space="preserve"> with </w:t>
      </w:r>
      <w:r>
        <w:rPr>
          <w:lang w:eastAsia="en-AU"/>
        </w:rPr>
        <w:t>current research findings.</w:t>
      </w:r>
    </w:p>
    <w:p w14:paraId="4D847E06" w14:textId="77777777" w:rsidR="00C4219A" w:rsidRDefault="00C4219A" w:rsidP="00C4219A">
      <w:pPr>
        <w:pStyle w:val="BodyText"/>
        <w:numPr>
          <w:ilvl w:val="5"/>
          <w:numId w:val="3"/>
        </w:numPr>
        <w:ind w:left="709"/>
        <w:rPr>
          <w:lang w:eastAsia="en-AU"/>
        </w:rPr>
      </w:pPr>
      <w:r>
        <w:rPr>
          <w:b/>
          <w:bCs/>
          <w:lang w:eastAsia="en-AU"/>
        </w:rPr>
        <w:t>P</w:t>
      </w:r>
      <w:r w:rsidRPr="006554E6">
        <w:rPr>
          <w:b/>
          <w:bCs/>
          <w:lang w:eastAsia="en-AU"/>
        </w:rPr>
        <w:t>romot</w:t>
      </w:r>
      <w:r>
        <w:rPr>
          <w:b/>
          <w:bCs/>
          <w:lang w:eastAsia="en-AU"/>
        </w:rPr>
        <w:t>ing</w:t>
      </w:r>
      <w:r w:rsidRPr="006554E6">
        <w:rPr>
          <w:b/>
          <w:bCs/>
          <w:lang w:eastAsia="en-AU"/>
        </w:rPr>
        <w:t xml:space="preserve"> a consistency in approach to climate change impact assessment for water supplies</w:t>
      </w:r>
      <w:r>
        <w:rPr>
          <w:b/>
          <w:bCs/>
          <w:lang w:eastAsia="en-AU"/>
        </w:rPr>
        <w:t xml:space="preserve">. </w:t>
      </w:r>
      <w:r w:rsidRPr="005A137F">
        <w:rPr>
          <w:lang w:eastAsia="en-AU"/>
        </w:rPr>
        <w:t xml:space="preserve">This </w:t>
      </w:r>
      <w:r>
        <w:rPr>
          <w:lang w:eastAsia="en-AU"/>
        </w:rPr>
        <w:t>enables comparisons of current and future water availability and use for shared water resources across Victoria.</w:t>
      </w:r>
    </w:p>
    <w:p w14:paraId="6EE39D18" w14:textId="77777777" w:rsidR="00C4219A" w:rsidRDefault="00C4219A" w:rsidP="00C4219A">
      <w:pPr>
        <w:pStyle w:val="BodyText"/>
        <w:numPr>
          <w:ilvl w:val="5"/>
          <w:numId w:val="3"/>
        </w:numPr>
        <w:ind w:left="709"/>
        <w:rPr>
          <w:lang w:eastAsia="en-AU"/>
        </w:rPr>
      </w:pPr>
      <w:r>
        <w:rPr>
          <w:b/>
          <w:bCs/>
        </w:rPr>
        <w:t>E</w:t>
      </w:r>
      <w:r w:rsidRPr="006554E6">
        <w:rPr>
          <w:b/>
          <w:bCs/>
        </w:rPr>
        <w:t>nabl</w:t>
      </w:r>
      <w:r>
        <w:rPr>
          <w:b/>
          <w:bCs/>
        </w:rPr>
        <w:t>ing</w:t>
      </w:r>
      <w:r w:rsidRPr="006554E6">
        <w:rPr>
          <w:b/>
          <w:bCs/>
        </w:rPr>
        <w:t xml:space="preserve"> more efficient climate change impact assessment</w:t>
      </w:r>
      <w:r>
        <w:rPr>
          <w:b/>
          <w:bCs/>
        </w:rPr>
        <w:t>s</w:t>
      </w:r>
      <w:r>
        <w:t xml:space="preserve"> by pre-generating a standard set of climate change information, thereby removing the burden for individual Water Corporations or other users to generate their own climate change projections in an area of complex science.</w:t>
      </w:r>
    </w:p>
    <w:p w14:paraId="2D0E97A8" w14:textId="51158FD0" w:rsidR="00C4219A" w:rsidRPr="00C4219A" w:rsidRDefault="00C4219A" w:rsidP="00C4219A">
      <w:pPr>
        <w:pStyle w:val="Heading2"/>
        <w:rPr>
          <w:b/>
          <w:bCs/>
          <w:color w:val="000000" w:themeColor="text1"/>
        </w:rPr>
      </w:pPr>
      <w:r w:rsidRPr="00C4219A">
        <w:rPr>
          <w:b/>
          <w:bCs/>
          <w:color w:val="000000" w:themeColor="text1"/>
        </w:rPr>
        <w:t>Key features:</w:t>
      </w:r>
    </w:p>
    <w:p w14:paraId="23DCDE47" w14:textId="77777777" w:rsidR="00C4219A" w:rsidRDefault="00C4219A" w:rsidP="00C4219A">
      <w:pPr>
        <w:pStyle w:val="BodyText"/>
        <w:rPr>
          <w:lang w:eastAsia="en-AU"/>
        </w:rPr>
      </w:pPr>
      <w:r>
        <w:rPr>
          <w:lang w:eastAsia="en-AU"/>
        </w:rPr>
        <w:t>Key features of the guidelines include:</w:t>
      </w:r>
    </w:p>
    <w:p w14:paraId="6B47FFE4" w14:textId="77777777" w:rsidR="00C4219A" w:rsidRDefault="00C4219A" w:rsidP="00C4219A">
      <w:pPr>
        <w:pStyle w:val="BodyText"/>
        <w:numPr>
          <w:ilvl w:val="0"/>
          <w:numId w:val="4"/>
        </w:numPr>
        <w:rPr>
          <w:lang w:eastAsia="en-AU"/>
        </w:rPr>
      </w:pPr>
      <w:r>
        <w:rPr>
          <w:lang w:eastAsia="en-AU"/>
        </w:rPr>
        <w:t>Clarification of the role of these guidelines relative to other climate change and water supply planning guidance issued by DELWP.</w:t>
      </w:r>
    </w:p>
    <w:p w14:paraId="4430AD36" w14:textId="77777777" w:rsidR="00C4219A" w:rsidRPr="009C16C4" w:rsidRDefault="00C4219A" w:rsidP="00C4219A">
      <w:pPr>
        <w:pStyle w:val="BodyText"/>
        <w:numPr>
          <w:ilvl w:val="0"/>
          <w:numId w:val="4"/>
        </w:numPr>
        <w:rPr>
          <w:lang w:eastAsia="en-AU"/>
        </w:rPr>
      </w:pPr>
      <w:r w:rsidRPr="009C16C4">
        <w:rPr>
          <w:lang w:eastAsia="en-AU"/>
        </w:rPr>
        <w:t>A how-to guide for us</w:t>
      </w:r>
      <w:r>
        <w:rPr>
          <w:lang w:eastAsia="en-AU"/>
        </w:rPr>
        <w:t>ing</w:t>
      </w:r>
      <w:r w:rsidRPr="009C16C4">
        <w:rPr>
          <w:lang w:eastAsia="en-AU"/>
        </w:rPr>
        <w:t xml:space="preserve"> these guidelines for various applications</w:t>
      </w:r>
      <w:r>
        <w:rPr>
          <w:lang w:eastAsia="en-AU"/>
        </w:rPr>
        <w:t>.</w:t>
      </w:r>
    </w:p>
    <w:p w14:paraId="1A71D34D" w14:textId="77777777" w:rsidR="00C4219A" w:rsidRPr="009C16C4" w:rsidRDefault="00C4219A" w:rsidP="00C4219A">
      <w:pPr>
        <w:pStyle w:val="BodyText"/>
        <w:numPr>
          <w:ilvl w:val="0"/>
          <w:numId w:val="4"/>
        </w:numPr>
        <w:rPr>
          <w:lang w:eastAsia="en-AU"/>
        </w:rPr>
      </w:pPr>
      <w:r w:rsidRPr="009C16C4">
        <w:rPr>
          <w:lang w:eastAsia="en-AU"/>
        </w:rPr>
        <w:t>An overview of observed climate change to date</w:t>
      </w:r>
      <w:r>
        <w:rPr>
          <w:lang w:eastAsia="en-AU"/>
        </w:rPr>
        <w:t>.</w:t>
      </w:r>
    </w:p>
    <w:p w14:paraId="1BC3ECEB" w14:textId="77777777" w:rsidR="00C4219A" w:rsidRDefault="00C4219A" w:rsidP="00C4219A">
      <w:pPr>
        <w:pStyle w:val="BodyText"/>
        <w:numPr>
          <w:ilvl w:val="0"/>
          <w:numId w:val="4"/>
        </w:numPr>
        <w:rPr>
          <w:lang w:eastAsia="en-AU"/>
        </w:rPr>
      </w:pPr>
      <w:r>
        <w:rPr>
          <w:lang w:eastAsia="en-AU"/>
        </w:rPr>
        <w:t>An overview of the methods used by the Commonwealth Scientific and Industrial Research Organisation (CSIRO) to generate climate change projections for the guidelines and their associated uncertainties and limitations.</w:t>
      </w:r>
    </w:p>
    <w:p w14:paraId="4664B2D6" w14:textId="77777777" w:rsidR="00C4219A" w:rsidRDefault="00C4219A" w:rsidP="00C4219A">
      <w:pPr>
        <w:pStyle w:val="BodyText"/>
        <w:numPr>
          <w:ilvl w:val="0"/>
          <w:numId w:val="4"/>
        </w:numPr>
        <w:rPr>
          <w:lang w:eastAsia="en-AU"/>
        </w:rPr>
      </w:pPr>
      <w:r w:rsidRPr="009C16C4">
        <w:rPr>
          <w:lang w:eastAsia="en-AU"/>
        </w:rPr>
        <w:t>Information and methods for undertaking climate change impact assessment</w:t>
      </w:r>
      <w:r>
        <w:rPr>
          <w:lang w:eastAsia="en-AU"/>
        </w:rPr>
        <w:t xml:space="preserve"> for water availability and supply.</w:t>
      </w:r>
    </w:p>
    <w:p w14:paraId="202D8FD0" w14:textId="2D544149" w:rsidR="00C4219A" w:rsidRDefault="00C4219A" w:rsidP="00C4219A">
      <w:pPr>
        <w:pStyle w:val="BodyText"/>
        <w:numPr>
          <w:ilvl w:val="0"/>
          <w:numId w:val="4"/>
        </w:numPr>
        <w:rPr>
          <w:lang w:eastAsia="en-AU"/>
        </w:rPr>
      </w:pPr>
      <w:r>
        <w:rPr>
          <w:lang w:eastAsia="en-AU"/>
        </w:rPr>
        <w:t>Guidance on when to consider additional assessment techniques and/or planning approaches to manage near-term planning risks.</w:t>
      </w:r>
    </w:p>
    <w:p w14:paraId="0EF2F0C3" w14:textId="77777777" w:rsidR="00C4219A" w:rsidRPr="00C4219A" w:rsidRDefault="00C4219A" w:rsidP="00C4219A">
      <w:pPr>
        <w:pStyle w:val="Heading2"/>
        <w:rPr>
          <w:b/>
          <w:bCs/>
        </w:rPr>
      </w:pPr>
      <w:r w:rsidRPr="00C4219A">
        <w:rPr>
          <w:b/>
          <w:bCs/>
          <w:color w:val="000000" w:themeColor="text1"/>
        </w:rPr>
        <w:lastRenderedPageBreak/>
        <w:t>Recommended approaches</w:t>
      </w:r>
    </w:p>
    <w:p w14:paraId="190B2649" w14:textId="77777777" w:rsidR="00C4219A" w:rsidRDefault="00C4219A" w:rsidP="00C4219A">
      <w:pPr>
        <w:pStyle w:val="BodyText"/>
        <w:rPr>
          <w:lang w:eastAsia="en-AU"/>
        </w:rPr>
      </w:pPr>
      <w:r>
        <w:rPr>
          <w:lang w:eastAsia="en-AU"/>
        </w:rPr>
        <w:t>The guidelines present recommended approaches to climate change impact assessment based on scenario planning within the context of Victoria’s adaptive management framework for water supply planning. These recommended approaches include:</w:t>
      </w:r>
    </w:p>
    <w:p w14:paraId="5BC86FE5" w14:textId="77777777" w:rsidR="00C4219A" w:rsidRDefault="00C4219A" w:rsidP="00C4219A">
      <w:pPr>
        <w:pStyle w:val="BodyText"/>
        <w:rPr>
          <w:lang w:eastAsia="en-AU"/>
        </w:rPr>
      </w:pPr>
      <w:r w:rsidRPr="00F90F38">
        <w:rPr>
          <w:b/>
          <w:bCs/>
          <w:lang w:eastAsia="en-AU"/>
        </w:rPr>
        <w:t xml:space="preserve">1. Establishment of a post-1975 </w:t>
      </w:r>
      <w:r>
        <w:rPr>
          <w:b/>
          <w:bCs/>
          <w:lang w:eastAsia="en-AU"/>
        </w:rPr>
        <w:t xml:space="preserve">historic </w:t>
      </w:r>
      <w:r w:rsidRPr="00F90F38">
        <w:rPr>
          <w:b/>
          <w:bCs/>
          <w:lang w:eastAsia="en-AU"/>
        </w:rPr>
        <w:t xml:space="preserve">climate </w:t>
      </w:r>
      <w:r>
        <w:rPr>
          <w:b/>
          <w:bCs/>
          <w:lang w:eastAsia="en-AU"/>
        </w:rPr>
        <w:t xml:space="preserve">reference </w:t>
      </w:r>
      <w:r w:rsidRPr="00CD2282">
        <w:rPr>
          <w:b/>
          <w:bCs/>
          <w:lang w:eastAsia="en-AU"/>
        </w:rPr>
        <w:t>period and a</w:t>
      </w:r>
      <w:r w:rsidRPr="00F90F38">
        <w:rPr>
          <w:b/>
          <w:bCs/>
          <w:lang w:eastAsia="en-AU"/>
        </w:rPr>
        <w:t xml:space="preserve"> post-1997 </w:t>
      </w:r>
      <w:r>
        <w:rPr>
          <w:b/>
          <w:bCs/>
          <w:lang w:eastAsia="en-AU"/>
        </w:rPr>
        <w:t xml:space="preserve">historic </w:t>
      </w:r>
      <w:r w:rsidRPr="00F90F38">
        <w:rPr>
          <w:b/>
          <w:bCs/>
          <w:lang w:eastAsia="en-AU"/>
        </w:rPr>
        <w:t xml:space="preserve">climate </w:t>
      </w:r>
      <w:r>
        <w:rPr>
          <w:b/>
          <w:bCs/>
          <w:lang w:eastAsia="en-AU"/>
        </w:rPr>
        <w:t>reference period</w:t>
      </w:r>
      <w:r>
        <w:rPr>
          <w:lang w:eastAsia="en-AU"/>
        </w:rPr>
        <w:t xml:space="preserve"> from which to generate a range of projected climate change scenarios (referenced from the post-1975 period) and a step climate change scenario (referenced from the post-1997 period). These historic climate reference periods can be used (if desired) to communicate streamflow characteristics and supply system performance under historic climate conditions.</w:t>
      </w:r>
    </w:p>
    <w:p w14:paraId="337998EE" w14:textId="77777777" w:rsidR="00C4219A" w:rsidRDefault="00C4219A" w:rsidP="00C4219A">
      <w:pPr>
        <w:pStyle w:val="BodyText"/>
        <w:rPr>
          <w:lang w:eastAsia="en-AU"/>
        </w:rPr>
      </w:pPr>
      <w:r>
        <w:rPr>
          <w:b/>
          <w:bCs/>
          <w:lang w:eastAsia="en-AU"/>
        </w:rPr>
        <w:t>2</w:t>
      </w:r>
      <w:r w:rsidRPr="00F90F38">
        <w:rPr>
          <w:b/>
          <w:bCs/>
          <w:lang w:eastAsia="en-AU"/>
        </w:rPr>
        <w:t xml:space="preserve">. Extension of those </w:t>
      </w:r>
      <w:r>
        <w:rPr>
          <w:b/>
          <w:bCs/>
          <w:lang w:eastAsia="en-AU"/>
        </w:rPr>
        <w:t xml:space="preserve">historic </w:t>
      </w:r>
      <w:r w:rsidRPr="00F90F38">
        <w:rPr>
          <w:b/>
          <w:bCs/>
          <w:lang w:eastAsia="en-AU"/>
        </w:rPr>
        <w:t xml:space="preserve">climate </w:t>
      </w:r>
      <w:r>
        <w:rPr>
          <w:b/>
          <w:bCs/>
          <w:lang w:eastAsia="en-AU"/>
        </w:rPr>
        <w:t xml:space="preserve">reference periods </w:t>
      </w:r>
      <w:r w:rsidRPr="00F90F38">
        <w:rPr>
          <w:b/>
          <w:bCs/>
          <w:lang w:eastAsia="en-AU"/>
        </w:rPr>
        <w:t>to incorporate a broader range of natural climate variability</w:t>
      </w:r>
      <w:r>
        <w:rPr>
          <w:lang w:eastAsia="en-AU"/>
        </w:rPr>
        <w:t xml:space="preserve"> using either scaling techniques or stochastic data generation.</w:t>
      </w:r>
    </w:p>
    <w:p w14:paraId="5AECBC26" w14:textId="77777777" w:rsidR="00C4219A" w:rsidRDefault="00C4219A" w:rsidP="00C4219A">
      <w:pPr>
        <w:pStyle w:val="BodyText"/>
        <w:rPr>
          <w:lang w:eastAsia="en-AU"/>
        </w:rPr>
      </w:pPr>
      <w:r>
        <w:rPr>
          <w:b/>
          <w:bCs/>
          <w:lang w:eastAsia="en-AU"/>
        </w:rPr>
        <w:t>3</w:t>
      </w:r>
      <w:r w:rsidRPr="00957B48">
        <w:rPr>
          <w:b/>
          <w:bCs/>
          <w:lang w:eastAsia="en-AU"/>
        </w:rPr>
        <w:t xml:space="preserve">. </w:t>
      </w:r>
      <w:r w:rsidRPr="00C74617">
        <w:rPr>
          <w:b/>
          <w:bCs/>
          <w:lang w:eastAsia="en-AU"/>
        </w:rPr>
        <w:t xml:space="preserve">The use </w:t>
      </w:r>
      <w:r>
        <w:rPr>
          <w:b/>
          <w:bCs/>
          <w:lang w:eastAsia="en-AU"/>
        </w:rPr>
        <w:t>of low, medium and high climate change scenarios</w:t>
      </w:r>
      <w:r w:rsidRPr="00D63CD8">
        <w:rPr>
          <w:b/>
          <w:bCs/>
          <w:lang w:eastAsia="en-AU"/>
        </w:rPr>
        <w:t xml:space="preserve"> </w:t>
      </w:r>
      <w:r>
        <w:rPr>
          <w:b/>
          <w:bCs/>
          <w:lang w:eastAsia="en-AU"/>
        </w:rPr>
        <w:t>(in addition to the post-1997 step climate change scenario — see below) to represent current and projected future climate and streamflow.</w:t>
      </w:r>
      <w:r w:rsidRPr="00C74617">
        <w:rPr>
          <w:lang w:eastAsia="en-AU"/>
        </w:rPr>
        <w:t xml:space="preserve"> </w:t>
      </w:r>
      <w:r w:rsidRPr="009533A0">
        <w:t xml:space="preserve">These scenarios are derived using average annual climate change projections, applied to the post-1975 historic climate </w:t>
      </w:r>
      <w:r>
        <w:t>reference period</w:t>
      </w:r>
      <w:r w:rsidRPr="009533A0">
        <w:t xml:space="preserve">, </w:t>
      </w:r>
      <w:r w:rsidRPr="00D2491D">
        <w:rPr>
          <w:lang w:eastAsia="en-AU"/>
        </w:rPr>
        <w:t>for te</w:t>
      </w:r>
      <w:r w:rsidRPr="00957B48">
        <w:rPr>
          <w:lang w:eastAsia="en-AU"/>
        </w:rPr>
        <w:t>mperature, potential evapotranspiration, rainfall and runoff</w:t>
      </w:r>
      <w:r>
        <w:rPr>
          <w:lang w:eastAsia="en-AU"/>
        </w:rPr>
        <w:t>. These are applied</w:t>
      </w:r>
      <w:r w:rsidRPr="00957B48">
        <w:rPr>
          <w:lang w:eastAsia="en-AU"/>
        </w:rPr>
        <w:t xml:space="preserve"> by river basin</w:t>
      </w:r>
      <w:r>
        <w:rPr>
          <w:lang w:eastAsia="en-AU"/>
        </w:rPr>
        <w:t xml:space="preserve"> for the years 2040 and 2065, under a high Representative Concentration Pathway (RCP8.5). The RCP8.5 scenario incorporates high rates of greenhouse gas emissions and is suitably precautionary for water supply planning applications. It considers global climate modelling uncertainty and uncertainty around future greenhouse gas emissions and concentrations</w:t>
      </w:r>
      <w:r w:rsidRPr="00957B48">
        <w:rPr>
          <w:lang w:eastAsia="en-AU"/>
        </w:rPr>
        <w:t>.</w:t>
      </w:r>
      <w:r>
        <w:rPr>
          <w:lang w:eastAsia="en-AU"/>
        </w:rPr>
        <w:t xml:space="preserve"> These scenarios (low, medium and high) represent the 10</w:t>
      </w:r>
      <w:r w:rsidRPr="003178A9">
        <w:rPr>
          <w:lang w:eastAsia="en-AU"/>
        </w:rPr>
        <w:t>th</w:t>
      </w:r>
      <w:r>
        <w:rPr>
          <w:lang w:eastAsia="en-AU"/>
        </w:rPr>
        <w:t>, 50</w:t>
      </w:r>
      <w:r w:rsidRPr="003178A9">
        <w:rPr>
          <w:lang w:eastAsia="en-AU"/>
        </w:rPr>
        <w:t>th</w:t>
      </w:r>
      <w:r>
        <w:rPr>
          <w:lang w:eastAsia="en-AU"/>
        </w:rPr>
        <w:t xml:space="preserve"> and </w:t>
      </w:r>
      <w:r w:rsidRPr="005E0E0D">
        <w:rPr>
          <w:lang w:eastAsia="en-AU"/>
        </w:rPr>
        <w:t>90th</w:t>
      </w:r>
      <w:r>
        <w:rPr>
          <w:lang w:eastAsia="en-AU"/>
        </w:rPr>
        <w:t xml:space="preserve"> percentile outcome from the 42 available global climate models (GCMs).</w:t>
      </w:r>
    </w:p>
    <w:p w14:paraId="46FAE7E7" w14:textId="77777777" w:rsidR="00C4219A" w:rsidRDefault="00C4219A" w:rsidP="00C4219A">
      <w:pPr>
        <w:pStyle w:val="BodyText"/>
        <w:rPr>
          <w:lang w:eastAsia="en-AU"/>
        </w:rPr>
      </w:pPr>
      <w:r>
        <w:rPr>
          <w:b/>
          <w:bCs/>
          <w:lang w:eastAsia="en-AU"/>
        </w:rPr>
        <w:t>4</w:t>
      </w:r>
      <w:r w:rsidRPr="00F90F38">
        <w:rPr>
          <w:b/>
          <w:bCs/>
          <w:lang w:eastAsia="en-AU"/>
        </w:rPr>
        <w:t xml:space="preserve">. Linear interpolation </w:t>
      </w:r>
      <w:r>
        <w:rPr>
          <w:b/>
          <w:bCs/>
          <w:lang w:eastAsia="en-AU"/>
        </w:rPr>
        <w:t xml:space="preserve">of the low, medium and high climate change projections </w:t>
      </w:r>
      <w:r w:rsidRPr="00F90F38">
        <w:rPr>
          <w:b/>
          <w:bCs/>
          <w:lang w:eastAsia="en-AU"/>
        </w:rPr>
        <w:t>between global climate model time slices</w:t>
      </w:r>
      <w:r>
        <w:rPr>
          <w:lang w:eastAsia="en-AU"/>
        </w:rPr>
        <w:t xml:space="preserve"> in 1995, 2040 and 2065, and linear extrapolation of global climate model projections up to 2075 to support applications over a 50-year planning horizon.</w:t>
      </w:r>
    </w:p>
    <w:p w14:paraId="229F6A8D" w14:textId="77777777" w:rsidR="00C4219A" w:rsidRDefault="00C4219A" w:rsidP="00C4219A">
      <w:pPr>
        <w:pStyle w:val="BodyText"/>
        <w:rPr>
          <w:lang w:eastAsia="en-AU"/>
        </w:rPr>
      </w:pPr>
      <w:r>
        <w:rPr>
          <w:b/>
          <w:bCs/>
          <w:lang w:eastAsia="en-AU"/>
        </w:rPr>
        <w:t>5</w:t>
      </w:r>
      <w:r w:rsidRPr="00C74617">
        <w:rPr>
          <w:b/>
          <w:bCs/>
          <w:lang w:eastAsia="en-AU"/>
        </w:rPr>
        <w:t xml:space="preserve">. The use </w:t>
      </w:r>
      <w:r>
        <w:rPr>
          <w:b/>
          <w:bCs/>
          <w:lang w:eastAsia="en-AU"/>
        </w:rPr>
        <w:t xml:space="preserve">of the </w:t>
      </w:r>
      <w:r w:rsidRPr="00A62838">
        <w:rPr>
          <w:b/>
          <w:bCs/>
          <w:lang w:eastAsia="en-AU"/>
        </w:rPr>
        <w:t>post-1997 step climate change scenario</w:t>
      </w:r>
      <w:r w:rsidRPr="00D63CD8">
        <w:rPr>
          <w:b/>
          <w:bCs/>
          <w:lang w:eastAsia="en-AU"/>
        </w:rPr>
        <w:t xml:space="preserve"> </w:t>
      </w:r>
      <w:r>
        <w:rPr>
          <w:b/>
          <w:bCs/>
          <w:lang w:eastAsia="en-AU"/>
        </w:rPr>
        <w:t>(in addition to low, medium and high climate change scenarios — see above) to represent current and future climate and streamflow.</w:t>
      </w:r>
      <w:r w:rsidRPr="00C74617">
        <w:rPr>
          <w:lang w:eastAsia="en-AU"/>
        </w:rPr>
        <w:t xml:space="preserve"> This scenario is derived by </w:t>
      </w:r>
      <w:r>
        <w:rPr>
          <w:lang w:eastAsia="en-AU"/>
        </w:rPr>
        <w:t>projecting</w:t>
      </w:r>
      <w:r w:rsidRPr="00C74617">
        <w:rPr>
          <w:lang w:eastAsia="en-AU"/>
        </w:rPr>
        <w:t xml:space="preserve"> the post-1997 historic climate </w:t>
      </w:r>
      <w:r>
        <w:rPr>
          <w:lang w:eastAsia="en-AU"/>
        </w:rPr>
        <w:t>reference period</w:t>
      </w:r>
      <w:r w:rsidRPr="00C74617">
        <w:rPr>
          <w:lang w:eastAsia="en-AU"/>
        </w:rPr>
        <w:t xml:space="preserve"> and is </w:t>
      </w:r>
      <w:r>
        <w:rPr>
          <w:lang w:eastAsia="en-AU"/>
        </w:rPr>
        <w:t xml:space="preserve">independent of global climate modelling. This scenario assumes that the </w:t>
      </w:r>
      <w:r w:rsidRPr="00761E41">
        <w:rPr>
          <w:lang w:eastAsia="en-AU"/>
        </w:rPr>
        <w:t xml:space="preserve">dry conditions experienced since 1997 </w:t>
      </w:r>
      <w:r>
        <w:rPr>
          <w:lang w:eastAsia="en-AU"/>
        </w:rPr>
        <w:t>represent</w:t>
      </w:r>
      <w:r w:rsidRPr="00761E41">
        <w:rPr>
          <w:lang w:eastAsia="en-AU"/>
        </w:rPr>
        <w:t xml:space="preserve"> a permanent </w:t>
      </w:r>
      <w:r>
        <w:rPr>
          <w:lang w:eastAsia="en-AU"/>
        </w:rPr>
        <w:t>step-</w:t>
      </w:r>
      <w:r w:rsidRPr="00761E41">
        <w:rPr>
          <w:lang w:eastAsia="en-AU"/>
        </w:rPr>
        <w:t>change in climate</w:t>
      </w:r>
      <w:r>
        <w:rPr>
          <w:lang w:eastAsia="en-AU"/>
        </w:rPr>
        <w:t xml:space="preserve"> from that experienced prior to 1997.</w:t>
      </w:r>
    </w:p>
    <w:p w14:paraId="58C770B3" w14:textId="77777777" w:rsidR="00C4219A" w:rsidRDefault="00C4219A" w:rsidP="00C4219A">
      <w:pPr>
        <w:pStyle w:val="BodyText"/>
        <w:rPr>
          <w:lang w:eastAsia="en-AU"/>
        </w:rPr>
      </w:pPr>
      <w:r>
        <w:rPr>
          <w:b/>
          <w:bCs/>
          <w:lang w:eastAsia="en-AU"/>
        </w:rPr>
        <w:t>6</w:t>
      </w:r>
      <w:r w:rsidRPr="00607670">
        <w:rPr>
          <w:b/>
          <w:bCs/>
          <w:lang w:eastAsia="en-AU"/>
        </w:rPr>
        <w:t>. Adjustments to peak daily and sub-daily rainfall and runoff</w:t>
      </w:r>
      <w:r>
        <w:rPr>
          <w:lang w:eastAsia="en-AU"/>
        </w:rPr>
        <w:t xml:space="preserve"> (if applicable for the given application) to reflect projected increases in rainfall intensity under global warming, in conjunction with changes to average annual rainfall and runoff.</w:t>
      </w:r>
    </w:p>
    <w:p w14:paraId="763B55D2" w14:textId="77777777" w:rsidR="00C4219A" w:rsidRDefault="00C4219A" w:rsidP="00C4219A">
      <w:pPr>
        <w:pStyle w:val="BodyText"/>
        <w:rPr>
          <w:b/>
          <w:bCs/>
          <w:lang w:eastAsia="en-AU"/>
        </w:rPr>
      </w:pPr>
      <w:r>
        <w:rPr>
          <w:b/>
          <w:bCs/>
          <w:lang w:eastAsia="en-AU"/>
        </w:rPr>
        <w:t>7</w:t>
      </w:r>
      <w:r w:rsidRPr="0028577E">
        <w:rPr>
          <w:b/>
          <w:bCs/>
          <w:lang w:eastAsia="en-AU"/>
        </w:rPr>
        <w:t xml:space="preserve">. Application of </w:t>
      </w:r>
      <w:r>
        <w:rPr>
          <w:b/>
          <w:bCs/>
          <w:lang w:eastAsia="en-AU"/>
        </w:rPr>
        <w:t xml:space="preserve">climate change scenarios </w:t>
      </w:r>
      <w:r w:rsidRPr="0028577E">
        <w:rPr>
          <w:b/>
          <w:bCs/>
          <w:lang w:eastAsia="en-AU"/>
        </w:rPr>
        <w:t>to estimate</w:t>
      </w:r>
      <w:r>
        <w:rPr>
          <w:b/>
          <w:bCs/>
          <w:lang w:eastAsia="en-AU"/>
        </w:rPr>
        <w:t>:</w:t>
      </w:r>
    </w:p>
    <w:p w14:paraId="5D584E7A" w14:textId="77777777" w:rsidR="00C4219A" w:rsidRDefault="00C4219A" w:rsidP="00C4219A">
      <w:pPr>
        <w:pStyle w:val="BodyText"/>
        <w:ind w:left="567"/>
        <w:rPr>
          <w:lang w:eastAsia="en-AU"/>
        </w:rPr>
      </w:pPr>
      <w:r>
        <w:rPr>
          <w:b/>
          <w:bCs/>
          <w:lang w:eastAsia="en-AU"/>
        </w:rPr>
        <w:t xml:space="preserve">a) changes in </w:t>
      </w:r>
      <w:r w:rsidRPr="0028577E">
        <w:rPr>
          <w:b/>
          <w:bCs/>
          <w:lang w:eastAsia="en-AU"/>
        </w:rPr>
        <w:t>demand</w:t>
      </w:r>
      <w:r>
        <w:rPr>
          <w:lang w:eastAsia="en-AU"/>
        </w:rPr>
        <w:t xml:space="preserve"> under climate change, using climate dependent demand models. </w:t>
      </w:r>
      <w:r w:rsidRPr="003F6D1B">
        <w:rPr>
          <w:lang w:eastAsia="en-AU"/>
        </w:rPr>
        <w:t xml:space="preserve">The use of </w:t>
      </w:r>
      <w:r>
        <w:rPr>
          <w:lang w:eastAsia="en-AU"/>
        </w:rPr>
        <w:t xml:space="preserve">the </w:t>
      </w:r>
      <w:r w:rsidRPr="003F6D1B">
        <w:rPr>
          <w:lang w:eastAsia="en-AU"/>
        </w:rPr>
        <w:t>medium climate change projection only is recommended</w:t>
      </w:r>
      <w:r>
        <w:rPr>
          <w:lang w:eastAsia="en-AU"/>
        </w:rPr>
        <w:t xml:space="preserve"> in the case of urban water demands. This is because of</w:t>
      </w:r>
      <w:r w:rsidRPr="003F6D1B">
        <w:rPr>
          <w:lang w:eastAsia="en-AU"/>
        </w:rPr>
        <w:t xml:space="preserve"> the lower sensitivity of </w:t>
      </w:r>
      <w:r>
        <w:rPr>
          <w:lang w:eastAsia="en-AU"/>
        </w:rPr>
        <w:t xml:space="preserve">urban water </w:t>
      </w:r>
      <w:r w:rsidRPr="003F6D1B">
        <w:rPr>
          <w:lang w:eastAsia="en-AU"/>
        </w:rPr>
        <w:t xml:space="preserve">demand to climate change </w:t>
      </w:r>
      <w:r>
        <w:rPr>
          <w:lang w:eastAsia="en-AU"/>
        </w:rPr>
        <w:t xml:space="preserve">impacts </w:t>
      </w:r>
      <w:r w:rsidRPr="003F6D1B">
        <w:rPr>
          <w:lang w:eastAsia="en-AU"/>
        </w:rPr>
        <w:t>relative</w:t>
      </w:r>
      <w:r>
        <w:rPr>
          <w:lang w:eastAsia="en-AU"/>
        </w:rPr>
        <w:t xml:space="preserve"> to</w:t>
      </w:r>
      <w:r w:rsidRPr="003F6D1B">
        <w:rPr>
          <w:lang w:eastAsia="en-AU"/>
        </w:rPr>
        <w:t xml:space="preserve"> p</w:t>
      </w:r>
      <w:r>
        <w:rPr>
          <w:lang w:eastAsia="en-AU"/>
        </w:rPr>
        <w:t>rojected</w:t>
      </w:r>
      <w:r w:rsidRPr="003F6D1B">
        <w:rPr>
          <w:lang w:eastAsia="en-AU"/>
        </w:rPr>
        <w:t xml:space="preserve"> changes </w:t>
      </w:r>
      <w:r>
        <w:rPr>
          <w:lang w:eastAsia="en-AU"/>
        </w:rPr>
        <w:t>to</w:t>
      </w:r>
      <w:r w:rsidRPr="003F6D1B">
        <w:rPr>
          <w:lang w:eastAsia="en-AU"/>
        </w:rPr>
        <w:t xml:space="preserve"> long</w:t>
      </w:r>
      <w:r>
        <w:rPr>
          <w:lang w:eastAsia="en-AU"/>
        </w:rPr>
        <w:t xml:space="preserve"> </w:t>
      </w:r>
      <w:r w:rsidRPr="003F6D1B">
        <w:rPr>
          <w:lang w:eastAsia="en-AU"/>
        </w:rPr>
        <w:t>term water availability</w:t>
      </w:r>
      <w:r>
        <w:rPr>
          <w:lang w:eastAsia="en-AU"/>
        </w:rPr>
        <w:t xml:space="preserve">, and other potential demand sensitivities such as </w:t>
      </w:r>
      <w:r w:rsidRPr="003F6D1B">
        <w:rPr>
          <w:lang w:eastAsia="en-AU"/>
        </w:rPr>
        <w:t>population and water-use behaviours</w:t>
      </w:r>
      <w:r>
        <w:rPr>
          <w:lang w:eastAsia="en-AU"/>
        </w:rPr>
        <w:t>.</w:t>
      </w:r>
    </w:p>
    <w:p w14:paraId="1FC77B75" w14:textId="77777777" w:rsidR="00C4219A" w:rsidRDefault="00C4219A" w:rsidP="00C4219A">
      <w:pPr>
        <w:pStyle w:val="BodyText"/>
        <w:ind w:left="567"/>
        <w:rPr>
          <w:lang w:eastAsia="en-AU"/>
        </w:rPr>
      </w:pPr>
      <w:r>
        <w:rPr>
          <w:b/>
          <w:bCs/>
          <w:lang w:eastAsia="en-AU"/>
        </w:rPr>
        <w:t xml:space="preserve">b) changes in groundwater recharge </w:t>
      </w:r>
      <w:r w:rsidRPr="0028577E">
        <w:rPr>
          <w:lang w:eastAsia="en-AU"/>
        </w:rPr>
        <w:t xml:space="preserve">under climate change, using a </w:t>
      </w:r>
      <w:r>
        <w:rPr>
          <w:lang w:eastAsia="en-AU"/>
        </w:rPr>
        <w:t>risk-based approach that considers aquifer type and depth.</w:t>
      </w:r>
    </w:p>
    <w:p w14:paraId="42D808E0" w14:textId="77777777" w:rsidR="00C4219A" w:rsidRDefault="00C4219A" w:rsidP="00C4219A">
      <w:pPr>
        <w:pStyle w:val="BodyText"/>
        <w:ind w:left="567"/>
        <w:rPr>
          <w:lang w:eastAsia="en-AU"/>
        </w:rPr>
      </w:pPr>
      <w:r>
        <w:rPr>
          <w:b/>
          <w:bCs/>
          <w:lang w:eastAsia="en-AU"/>
        </w:rPr>
        <w:t>c) additional changes in runoff due to changes in snow cover</w:t>
      </w:r>
      <w:r w:rsidRPr="007128D4">
        <w:rPr>
          <w:lang w:eastAsia="en-AU"/>
        </w:rPr>
        <w:t>, for water supply catchments in alpine areas.</w:t>
      </w:r>
    </w:p>
    <w:p w14:paraId="74D95D40" w14:textId="77777777" w:rsidR="00C4219A" w:rsidRPr="00C0573C" w:rsidRDefault="00C4219A" w:rsidP="00C4219A">
      <w:pPr>
        <w:pStyle w:val="BodyText"/>
        <w:ind w:left="567"/>
        <w:rPr>
          <w:lang w:eastAsia="en-AU"/>
        </w:rPr>
      </w:pPr>
      <w:r>
        <w:rPr>
          <w:b/>
          <w:bCs/>
          <w:lang w:eastAsia="en-AU"/>
        </w:rPr>
        <w:t>d) changes in water supply availability</w:t>
      </w:r>
      <w:r w:rsidRPr="00C0573C">
        <w:rPr>
          <w:lang w:eastAsia="en-AU"/>
        </w:rPr>
        <w:t xml:space="preserve">, such as changes in supply system yield, reliability, </w:t>
      </w:r>
      <w:r>
        <w:rPr>
          <w:lang w:eastAsia="en-AU"/>
        </w:rPr>
        <w:t>or other metrics relevant to water supply systems and river systems.</w:t>
      </w:r>
    </w:p>
    <w:p w14:paraId="51DB6552" w14:textId="77777777" w:rsidR="00C4219A" w:rsidRDefault="00C4219A" w:rsidP="00C4219A">
      <w:pPr>
        <w:pStyle w:val="BodyText"/>
        <w:rPr>
          <w:lang w:eastAsia="en-AU"/>
        </w:rPr>
      </w:pPr>
      <w:r>
        <w:rPr>
          <w:b/>
          <w:bCs/>
          <w:lang w:eastAsia="en-AU"/>
        </w:rPr>
        <w:t>8</w:t>
      </w:r>
      <w:r w:rsidRPr="00A00DB5">
        <w:rPr>
          <w:b/>
          <w:bCs/>
          <w:lang w:eastAsia="en-AU"/>
        </w:rPr>
        <w:t xml:space="preserve">. </w:t>
      </w:r>
      <w:r>
        <w:rPr>
          <w:b/>
          <w:bCs/>
          <w:lang w:eastAsia="en-AU"/>
        </w:rPr>
        <w:t>Identification</w:t>
      </w:r>
      <w:r w:rsidRPr="00A00DB5">
        <w:rPr>
          <w:b/>
          <w:bCs/>
          <w:lang w:eastAsia="en-AU"/>
        </w:rPr>
        <w:t xml:space="preserve"> of near-term risks </w:t>
      </w:r>
      <w:r w:rsidRPr="00A00DB5">
        <w:rPr>
          <w:lang w:eastAsia="en-AU"/>
        </w:rPr>
        <w:t>where a water supply planning decision must be made now about actions to occur over the next ten years, and the planning decisions are both vulnerable to the climate change impact assessment assumptions and could be regretted</w:t>
      </w:r>
      <w:r>
        <w:rPr>
          <w:lang w:eastAsia="en-AU"/>
        </w:rPr>
        <w:t xml:space="preserve"> if those assumptions were subsequently found to be incorrect. In the case that a risk is identified, there are</w:t>
      </w:r>
      <w:r w:rsidRPr="00EF3148">
        <w:rPr>
          <w:lang w:eastAsia="en-AU"/>
        </w:rPr>
        <w:t xml:space="preserve"> additional methods and information available to assess the vulnerability of water resource planning decisions to the guideline assumptio</w:t>
      </w:r>
      <w:r>
        <w:rPr>
          <w:lang w:eastAsia="en-AU"/>
        </w:rPr>
        <w:t>ns</w:t>
      </w:r>
      <w:r w:rsidRPr="00EF3148">
        <w:rPr>
          <w:lang w:eastAsia="en-AU"/>
        </w:rPr>
        <w:t>.</w:t>
      </w:r>
    </w:p>
    <w:p w14:paraId="68CAEB67" w14:textId="77777777" w:rsidR="00C4219A" w:rsidRDefault="00C4219A" w:rsidP="00C4219A">
      <w:pPr>
        <w:pStyle w:val="BodyText"/>
      </w:pPr>
      <w:r>
        <w:rPr>
          <w:b/>
          <w:bCs/>
          <w:lang w:eastAsia="en-AU"/>
        </w:rPr>
        <w:t>9</w:t>
      </w:r>
      <w:r w:rsidRPr="00C51911">
        <w:rPr>
          <w:b/>
          <w:bCs/>
        </w:rPr>
        <w:t>. Optional application of additional information and techniques</w:t>
      </w:r>
      <w:r>
        <w:t xml:space="preserve"> that can be utilised to further assess the sensitivity of planning outcomes to the assumptions in the guidelines. These include:</w:t>
      </w:r>
    </w:p>
    <w:p w14:paraId="4BB5CED8" w14:textId="77777777" w:rsidR="00C4219A" w:rsidRDefault="00C4219A" w:rsidP="00C4219A">
      <w:pPr>
        <w:pStyle w:val="BodyText"/>
        <w:ind w:left="567"/>
        <w:rPr>
          <w:b/>
          <w:bCs/>
          <w:lang w:eastAsia="en-AU"/>
        </w:rPr>
      </w:pPr>
      <w:r>
        <w:rPr>
          <w:b/>
          <w:bCs/>
          <w:lang w:eastAsia="en-AU"/>
        </w:rPr>
        <w:t xml:space="preserve">a) </w:t>
      </w:r>
      <w:r w:rsidRPr="0009618D">
        <w:rPr>
          <w:b/>
          <w:bCs/>
          <w:lang w:eastAsia="en-AU"/>
        </w:rPr>
        <w:t>The option to also utilise a more moderate RCP scenario (RCP4.5</w:t>
      </w:r>
      <w:r w:rsidRPr="005F6FC8">
        <w:rPr>
          <w:b/>
          <w:bCs/>
          <w:lang w:eastAsia="en-AU"/>
        </w:rPr>
        <w:t>)</w:t>
      </w:r>
      <w:r w:rsidRPr="00987692">
        <w:rPr>
          <w:lang w:eastAsia="en-AU"/>
        </w:rPr>
        <w:t xml:space="preserve"> that reflects lower rates of greenhouse gas emissions that could occur under greenhouse gas mitigation measures pledged by the world’s governments. Up to the year 2040, projected rainfall changes for most river basins in Victoria are not materially </w:t>
      </w:r>
      <w:r w:rsidRPr="00987692">
        <w:rPr>
          <w:lang w:eastAsia="en-AU"/>
        </w:rPr>
        <w:lastRenderedPageBreak/>
        <w:t>different for RCP4.5 and RCP8.5. In the latter half of the 2</w:t>
      </w:r>
      <w:r w:rsidRPr="000A4318">
        <w:rPr>
          <w:lang w:eastAsia="en-AU"/>
        </w:rPr>
        <w:t>1st</w:t>
      </w:r>
      <w:r w:rsidRPr="00987692">
        <w:rPr>
          <w:lang w:eastAsia="en-AU"/>
        </w:rPr>
        <w:t xml:space="preserve"> century, the range of projected rainfall changes in Victoria </w:t>
      </w:r>
      <w:r>
        <w:rPr>
          <w:lang w:eastAsia="en-AU"/>
        </w:rPr>
        <w:t>under</w:t>
      </w:r>
      <w:r w:rsidRPr="00987692">
        <w:rPr>
          <w:lang w:eastAsia="en-AU"/>
        </w:rPr>
        <w:t xml:space="preserve"> the RCP4.5 scenario falls within the bounds of that for the RCP8.5 scenario.</w:t>
      </w:r>
    </w:p>
    <w:p w14:paraId="18CD1B0C" w14:textId="77777777" w:rsidR="00C4219A" w:rsidRPr="001D71F4" w:rsidRDefault="00C4219A" w:rsidP="00C4219A">
      <w:pPr>
        <w:pStyle w:val="BodyText"/>
        <w:ind w:left="567"/>
        <w:rPr>
          <w:lang w:eastAsia="en-AU"/>
        </w:rPr>
      </w:pPr>
      <w:r>
        <w:rPr>
          <w:b/>
          <w:bCs/>
          <w:lang w:eastAsia="en-AU"/>
        </w:rPr>
        <w:t>b</w:t>
      </w:r>
      <w:r w:rsidRPr="001D71F4">
        <w:rPr>
          <w:b/>
          <w:bCs/>
          <w:lang w:eastAsia="en-AU"/>
        </w:rPr>
        <w:t xml:space="preserve">) </w:t>
      </w:r>
      <w:r>
        <w:rPr>
          <w:b/>
          <w:bCs/>
          <w:lang w:eastAsia="en-AU"/>
        </w:rPr>
        <w:t>Additional climate change projections</w:t>
      </w:r>
      <w:r w:rsidRPr="001D71F4">
        <w:rPr>
          <w:lang w:eastAsia="en-AU"/>
        </w:rPr>
        <w:t xml:space="preserve">, such as </w:t>
      </w:r>
      <w:r>
        <w:rPr>
          <w:lang w:eastAsia="en-AU"/>
        </w:rPr>
        <w:t>the downscaled projections</w:t>
      </w:r>
      <w:r w:rsidRPr="001D71F4">
        <w:rPr>
          <w:lang w:eastAsia="en-AU"/>
        </w:rPr>
        <w:t xml:space="preserve"> available from </w:t>
      </w:r>
      <w:r>
        <w:rPr>
          <w:lang w:eastAsia="en-AU"/>
        </w:rPr>
        <w:t xml:space="preserve">a subset of six GCMs in </w:t>
      </w:r>
      <w:r w:rsidRPr="001D71F4">
        <w:rPr>
          <w:lang w:eastAsia="en-AU"/>
        </w:rPr>
        <w:t>the Victorian Climate Projections 2019 (</w:t>
      </w:r>
      <w:r>
        <w:rPr>
          <w:lang w:eastAsia="en-AU"/>
        </w:rPr>
        <w:t>VCP19</w:t>
      </w:r>
      <w:r w:rsidRPr="001D71F4">
        <w:rPr>
          <w:lang w:eastAsia="en-AU"/>
        </w:rPr>
        <w:t>)</w:t>
      </w:r>
      <w:r>
        <w:rPr>
          <w:lang w:eastAsia="en-AU"/>
        </w:rPr>
        <w:t>. This includes specific advice on whether the VCP19 projections are wetter, drier or about the same for any given river basin in the year 2065.</w:t>
      </w:r>
    </w:p>
    <w:p w14:paraId="0F936864" w14:textId="77777777" w:rsidR="00C4219A" w:rsidRDefault="00C4219A" w:rsidP="00C4219A">
      <w:pPr>
        <w:pStyle w:val="BodyText"/>
        <w:ind w:left="567"/>
        <w:rPr>
          <w:lang w:eastAsia="en-AU"/>
        </w:rPr>
      </w:pPr>
      <w:r>
        <w:rPr>
          <w:b/>
          <w:bCs/>
          <w:lang w:eastAsia="en-AU"/>
        </w:rPr>
        <w:t>c) Additional climate change impact assessment techniques</w:t>
      </w:r>
      <w:r w:rsidRPr="001D71F4">
        <w:rPr>
          <w:lang w:eastAsia="en-AU"/>
        </w:rPr>
        <w:t xml:space="preserve">, including </w:t>
      </w:r>
      <w:r>
        <w:rPr>
          <w:lang w:eastAsia="en-AU"/>
        </w:rPr>
        <w:t xml:space="preserve">but not limited to </w:t>
      </w:r>
      <w:r w:rsidRPr="001D71F4">
        <w:rPr>
          <w:lang w:eastAsia="en-AU"/>
        </w:rPr>
        <w:t>sensitivity testing and/or stress testing</w:t>
      </w:r>
      <w:r>
        <w:rPr>
          <w:lang w:eastAsia="en-AU"/>
        </w:rPr>
        <w:t>. This includes specific advice on how to undertake sensitivity testing to seasonal shifts in rainfall in each river basin</w:t>
      </w:r>
      <w:r w:rsidRPr="00B5502D">
        <w:rPr>
          <w:lang w:eastAsia="en-AU"/>
        </w:rPr>
        <w:t>.</w:t>
      </w:r>
    </w:p>
    <w:p w14:paraId="25186D51" w14:textId="77777777" w:rsidR="00C4219A" w:rsidRPr="00C4219A" w:rsidRDefault="00C4219A" w:rsidP="00C4219A">
      <w:pPr>
        <w:pStyle w:val="Heading2"/>
        <w:rPr>
          <w:b/>
          <w:bCs/>
          <w:color w:val="000000" w:themeColor="text1"/>
        </w:rPr>
      </w:pPr>
      <w:r w:rsidRPr="00C4219A">
        <w:rPr>
          <w:b/>
          <w:bCs/>
          <w:color w:val="000000" w:themeColor="text1"/>
        </w:rPr>
        <w:t>Future updates</w:t>
      </w:r>
    </w:p>
    <w:p w14:paraId="35267D9D" w14:textId="41A04B78" w:rsidR="00C4219A" w:rsidRDefault="00C4219A" w:rsidP="00C4219A">
      <w:pPr>
        <w:pStyle w:val="BodyText"/>
        <w:rPr>
          <w:lang w:eastAsia="en-AU"/>
        </w:rPr>
      </w:pPr>
      <w:r>
        <w:rPr>
          <w:lang w:eastAsia="en-AU"/>
        </w:rPr>
        <w:t xml:space="preserve">These guidelines will be updated from time to time to refine the guidance and incorporate new research as it becomes available. The next major update of these guidelines will likely occur </w:t>
      </w:r>
      <w:r w:rsidDel="004A7F72">
        <w:rPr>
          <w:lang w:eastAsia="en-AU"/>
        </w:rPr>
        <w:t xml:space="preserve">after </w:t>
      </w:r>
      <w:r w:rsidRPr="00E516F9">
        <w:rPr>
          <w:lang w:eastAsia="en-AU"/>
        </w:rPr>
        <w:t xml:space="preserve">the </w:t>
      </w:r>
      <w:r w:rsidRPr="00BC087E">
        <w:rPr>
          <w:lang w:eastAsia="en-AU"/>
        </w:rPr>
        <w:t>Intergovernmental Panel on Climate Change</w:t>
      </w:r>
      <w:r>
        <w:rPr>
          <w:lang w:eastAsia="en-AU"/>
        </w:rPr>
        <w:t xml:space="preserve"> </w:t>
      </w:r>
      <w:r w:rsidRPr="00E516F9">
        <w:rPr>
          <w:lang w:eastAsia="en-AU"/>
        </w:rPr>
        <w:t>publishes its assessment of the next update of global climate modelling (CMIP6)</w:t>
      </w:r>
      <w:r>
        <w:rPr>
          <w:lang w:eastAsia="en-AU"/>
        </w:rPr>
        <w:t xml:space="preserve"> in 2022.</w:t>
      </w:r>
    </w:p>
    <w:p w14:paraId="3D7C15B5" w14:textId="5C5995CC" w:rsidR="00C4219A" w:rsidRDefault="00C4219A">
      <w:pPr>
        <w:rPr>
          <w:rFonts w:eastAsia="Times New Roman" w:cs="Times New Roman"/>
          <w:color w:val="000000" w:themeColor="text1"/>
          <w:sz w:val="20"/>
          <w:szCs w:val="20"/>
          <w:lang w:eastAsia="en-AU"/>
        </w:rPr>
      </w:pPr>
      <w:r>
        <w:rPr>
          <w:lang w:eastAsia="en-AU"/>
        </w:rPr>
        <w:br w:type="page"/>
      </w:r>
    </w:p>
    <w:p w14:paraId="4428AF19" w14:textId="77777777" w:rsidR="007B29DD" w:rsidRPr="007B29DD" w:rsidRDefault="007B29DD" w:rsidP="007B29DD">
      <w:pPr>
        <w:pStyle w:val="Heading1"/>
        <w:rPr>
          <w:color w:val="000000" w:themeColor="text1"/>
        </w:rPr>
      </w:pPr>
      <w:r w:rsidRPr="007B29DD">
        <w:rPr>
          <w:color w:val="000000" w:themeColor="text1"/>
        </w:rPr>
        <w:lastRenderedPageBreak/>
        <w:t>Contents</w:t>
      </w:r>
      <w:bookmarkStart w:id="1" w:name="_TOCMarker"/>
      <w:bookmarkEnd w:id="1"/>
    </w:p>
    <w:p w14:paraId="67D22D1E" w14:textId="65F0FF1E" w:rsidR="007B29DD" w:rsidRDefault="007B29DD" w:rsidP="007B29DD">
      <w:pPr>
        <w:pStyle w:val="TOC1"/>
        <w:rPr>
          <w:rFonts w:eastAsiaTheme="minorEastAsia"/>
          <w:b/>
        </w:rPr>
      </w:pPr>
      <w:r>
        <w:rPr>
          <w:color w:val="4472C4" w:themeColor="accent1"/>
        </w:rPr>
        <w:fldChar w:fldCharType="begin"/>
      </w:r>
      <w:r>
        <w:instrText xml:space="preserve"> TOC \o "1-3" \h \z \t "Heading 8,8,Section Heading,5" </w:instrText>
      </w:r>
      <w:r>
        <w:rPr>
          <w:color w:val="4472C4" w:themeColor="accent1"/>
        </w:rPr>
        <w:fldChar w:fldCharType="separate"/>
      </w:r>
      <w:hyperlink w:anchor="_Toc57377105" w:history="1">
        <w:r w:rsidRPr="00842BEA">
          <w:rPr>
            <w:rStyle w:val="Hyperlink"/>
          </w:rPr>
          <w:t>1. Introduction</w:t>
        </w:r>
        <w:r>
          <w:rPr>
            <w:webHidden/>
          </w:rPr>
          <w:tab/>
        </w:r>
        <w:r w:rsidR="00D67FBF">
          <w:rPr>
            <w:webHidden/>
          </w:rPr>
          <w:t>9</w:t>
        </w:r>
      </w:hyperlink>
    </w:p>
    <w:p w14:paraId="0519CC57" w14:textId="3F2BC35A" w:rsidR="007B29DD" w:rsidRDefault="006C5210" w:rsidP="00811ED7">
      <w:pPr>
        <w:pStyle w:val="TOC2"/>
        <w:ind w:left="0"/>
        <w:rPr>
          <w:rFonts w:eastAsiaTheme="minorEastAsia"/>
          <w:b/>
        </w:rPr>
      </w:pPr>
      <w:hyperlink w:anchor="_Toc57377106" w:history="1">
        <w:r w:rsidR="007B29DD" w:rsidRPr="00842BEA">
          <w:rPr>
            <w:rStyle w:val="Hyperlink"/>
          </w:rPr>
          <w:t>1.1 Scope and purpose of the guidelines</w:t>
        </w:r>
        <w:r w:rsidR="007B29DD">
          <w:rPr>
            <w:webHidden/>
          </w:rPr>
          <w:tab/>
        </w:r>
        <w:r w:rsidR="00D67FBF">
          <w:rPr>
            <w:webHidden/>
          </w:rPr>
          <w:t>9</w:t>
        </w:r>
      </w:hyperlink>
    </w:p>
    <w:p w14:paraId="49C0E36C" w14:textId="42900985" w:rsidR="007B29DD" w:rsidRDefault="006C5210" w:rsidP="00811ED7">
      <w:pPr>
        <w:pStyle w:val="TOC3"/>
        <w:ind w:left="0"/>
        <w:rPr>
          <w:b/>
        </w:rPr>
      </w:pPr>
      <w:hyperlink w:anchor="_Toc57377107" w:history="1">
        <w:r w:rsidR="007B29DD" w:rsidRPr="00842BEA">
          <w:rPr>
            <w:rStyle w:val="Hyperlink"/>
          </w:rPr>
          <w:t>1.1.1 Scope and purpose</w:t>
        </w:r>
        <w:r w:rsidR="007B29DD">
          <w:rPr>
            <w:webHidden/>
          </w:rPr>
          <w:tab/>
        </w:r>
        <w:r w:rsidR="00D67FBF">
          <w:rPr>
            <w:webHidden/>
          </w:rPr>
          <w:t>9</w:t>
        </w:r>
      </w:hyperlink>
    </w:p>
    <w:p w14:paraId="07E17A75" w14:textId="21F7C545" w:rsidR="007B29DD" w:rsidRDefault="006C5210" w:rsidP="00811ED7">
      <w:pPr>
        <w:pStyle w:val="TOC3"/>
        <w:ind w:left="0"/>
        <w:rPr>
          <w:b/>
        </w:rPr>
      </w:pPr>
      <w:hyperlink w:anchor="_Toc57377108" w:history="1">
        <w:r w:rsidR="007B29DD" w:rsidRPr="00842BEA">
          <w:rPr>
            <w:rStyle w:val="Hyperlink"/>
          </w:rPr>
          <w:t>1.1.2 Role of the guidelines within Victoria’s water planning framework</w:t>
        </w:r>
        <w:r w:rsidR="007B29DD">
          <w:rPr>
            <w:webHidden/>
          </w:rPr>
          <w:tab/>
        </w:r>
        <w:r w:rsidR="00D67FBF">
          <w:rPr>
            <w:webHidden/>
          </w:rPr>
          <w:t>9</w:t>
        </w:r>
      </w:hyperlink>
    </w:p>
    <w:p w14:paraId="70239445" w14:textId="746E911A" w:rsidR="007B29DD" w:rsidRDefault="006C5210" w:rsidP="00811ED7">
      <w:pPr>
        <w:pStyle w:val="TOC3"/>
        <w:ind w:left="0"/>
        <w:rPr>
          <w:b/>
        </w:rPr>
      </w:pPr>
      <w:hyperlink w:anchor="_Toc57377109" w:history="1">
        <w:r w:rsidR="007B29DD" w:rsidRPr="00842BEA">
          <w:rPr>
            <w:rStyle w:val="Hyperlink"/>
          </w:rPr>
          <w:t>1.1.3 Planning approaches supported by the guidelines</w:t>
        </w:r>
        <w:r w:rsidR="007B29DD">
          <w:rPr>
            <w:webHidden/>
          </w:rPr>
          <w:tab/>
        </w:r>
        <w:r w:rsidR="007B29DD">
          <w:rPr>
            <w:webHidden/>
          </w:rPr>
          <w:fldChar w:fldCharType="begin"/>
        </w:r>
        <w:r w:rsidR="007B29DD">
          <w:rPr>
            <w:webHidden/>
          </w:rPr>
          <w:instrText xml:space="preserve"> PAGEREF _Toc57377109 \h </w:instrText>
        </w:r>
        <w:r w:rsidR="007B29DD">
          <w:rPr>
            <w:webHidden/>
          </w:rPr>
        </w:r>
        <w:r w:rsidR="007B29DD">
          <w:rPr>
            <w:webHidden/>
          </w:rPr>
          <w:fldChar w:fldCharType="separate"/>
        </w:r>
        <w:r w:rsidR="007B29DD">
          <w:rPr>
            <w:webHidden/>
          </w:rPr>
          <w:t>1</w:t>
        </w:r>
        <w:r w:rsidR="00D969BD">
          <w:rPr>
            <w:webHidden/>
          </w:rPr>
          <w:t>0</w:t>
        </w:r>
        <w:r w:rsidR="007B29DD">
          <w:rPr>
            <w:webHidden/>
          </w:rPr>
          <w:fldChar w:fldCharType="end"/>
        </w:r>
      </w:hyperlink>
    </w:p>
    <w:p w14:paraId="1FFC1CFF" w14:textId="1F0DA74E" w:rsidR="007B29DD" w:rsidRDefault="006C5210" w:rsidP="00811ED7">
      <w:pPr>
        <w:pStyle w:val="TOC2"/>
        <w:ind w:left="0"/>
        <w:rPr>
          <w:rFonts w:eastAsiaTheme="minorEastAsia"/>
          <w:b/>
        </w:rPr>
      </w:pPr>
      <w:hyperlink w:anchor="_Toc57377110" w:history="1">
        <w:r w:rsidR="007B29DD" w:rsidRPr="00842BEA">
          <w:rPr>
            <w:rStyle w:val="Hyperlink"/>
          </w:rPr>
          <w:t>1.2 The process for updating the guidelines</w:t>
        </w:r>
        <w:r w:rsidR="007B29DD">
          <w:rPr>
            <w:webHidden/>
          </w:rPr>
          <w:tab/>
        </w:r>
        <w:r w:rsidR="007B29DD">
          <w:rPr>
            <w:webHidden/>
          </w:rPr>
          <w:fldChar w:fldCharType="begin"/>
        </w:r>
        <w:r w:rsidR="007B29DD">
          <w:rPr>
            <w:webHidden/>
          </w:rPr>
          <w:instrText xml:space="preserve"> PAGEREF _Toc57377110 \h </w:instrText>
        </w:r>
        <w:r w:rsidR="007B29DD">
          <w:rPr>
            <w:webHidden/>
          </w:rPr>
        </w:r>
        <w:r w:rsidR="007B29DD">
          <w:rPr>
            <w:webHidden/>
          </w:rPr>
          <w:fldChar w:fldCharType="separate"/>
        </w:r>
        <w:r w:rsidR="007B29DD">
          <w:rPr>
            <w:webHidden/>
          </w:rPr>
          <w:t>1</w:t>
        </w:r>
        <w:r w:rsidR="00080A14">
          <w:rPr>
            <w:webHidden/>
          </w:rPr>
          <w:t>1</w:t>
        </w:r>
        <w:r w:rsidR="007B29DD">
          <w:rPr>
            <w:webHidden/>
          </w:rPr>
          <w:fldChar w:fldCharType="end"/>
        </w:r>
      </w:hyperlink>
    </w:p>
    <w:p w14:paraId="25F114EA" w14:textId="01D544B2" w:rsidR="007B29DD" w:rsidRDefault="006C5210" w:rsidP="00811ED7">
      <w:pPr>
        <w:pStyle w:val="TOC2"/>
        <w:ind w:left="0"/>
        <w:rPr>
          <w:rFonts w:eastAsiaTheme="minorEastAsia"/>
          <w:b/>
        </w:rPr>
      </w:pPr>
      <w:hyperlink w:anchor="_Toc57377111" w:history="1">
        <w:r w:rsidR="007B29DD" w:rsidRPr="00842BEA">
          <w:rPr>
            <w:rStyle w:val="Hyperlink"/>
          </w:rPr>
          <w:t>1.3 What has changed since the last update?</w:t>
        </w:r>
        <w:r w:rsidR="007B29DD">
          <w:rPr>
            <w:webHidden/>
          </w:rPr>
          <w:tab/>
        </w:r>
        <w:r w:rsidR="007B29DD">
          <w:rPr>
            <w:webHidden/>
          </w:rPr>
          <w:fldChar w:fldCharType="begin"/>
        </w:r>
        <w:r w:rsidR="007B29DD">
          <w:rPr>
            <w:webHidden/>
          </w:rPr>
          <w:instrText xml:space="preserve"> PAGEREF _Toc57377111 \h </w:instrText>
        </w:r>
        <w:r w:rsidR="007B29DD">
          <w:rPr>
            <w:webHidden/>
          </w:rPr>
        </w:r>
        <w:r w:rsidR="007B29DD">
          <w:rPr>
            <w:webHidden/>
          </w:rPr>
          <w:fldChar w:fldCharType="separate"/>
        </w:r>
        <w:r w:rsidR="007B29DD">
          <w:rPr>
            <w:webHidden/>
          </w:rPr>
          <w:t>1</w:t>
        </w:r>
        <w:r w:rsidR="00EA6F4C">
          <w:rPr>
            <w:webHidden/>
          </w:rPr>
          <w:t>1</w:t>
        </w:r>
        <w:r w:rsidR="007B29DD">
          <w:rPr>
            <w:webHidden/>
          </w:rPr>
          <w:fldChar w:fldCharType="end"/>
        </w:r>
      </w:hyperlink>
    </w:p>
    <w:p w14:paraId="2CBC2A47" w14:textId="48076590" w:rsidR="007B29DD" w:rsidRDefault="006C5210" w:rsidP="00811ED7">
      <w:pPr>
        <w:pStyle w:val="TOC3"/>
        <w:ind w:left="0"/>
        <w:rPr>
          <w:b/>
        </w:rPr>
      </w:pPr>
      <w:hyperlink w:anchor="_Toc57377112" w:history="1">
        <w:r w:rsidR="007B29DD" w:rsidRPr="00842BEA">
          <w:rPr>
            <w:rStyle w:val="Hyperlink"/>
          </w:rPr>
          <w:t>1.3.1 New science, new policies and lessons learnt from applying the guidelines</w:t>
        </w:r>
        <w:r w:rsidR="007B29DD">
          <w:rPr>
            <w:webHidden/>
          </w:rPr>
          <w:tab/>
        </w:r>
        <w:r w:rsidR="007B29DD">
          <w:rPr>
            <w:webHidden/>
          </w:rPr>
          <w:fldChar w:fldCharType="begin"/>
        </w:r>
        <w:r w:rsidR="007B29DD">
          <w:rPr>
            <w:webHidden/>
          </w:rPr>
          <w:instrText xml:space="preserve"> PAGEREF _Toc57377112 \h </w:instrText>
        </w:r>
        <w:r w:rsidR="007B29DD">
          <w:rPr>
            <w:webHidden/>
          </w:rPr>
        </w:r>
        <w:r w:rsidR="007B29DD">
          <w:rPr>
            <w:webHidden/>
          </w:rPr>
          <w:fldChar w:fldCharType="separate"/>
        </w:r>
        <w:r w:rsidR="007B29DD">
          <w:rPr>
            <w:webHidden/>
          </w:rPr>
          <w:t>1</w:t>
        </w:r>
        <w:r w:rsidR="0015767F">
          <w:rPr>
            <w:webHidden/>
          </w:rPr>
          <w:t>1</w:t>
        </w:r>
        <w:r w:rsidR="007B29DD">
          <w:rPr>
            <w:webHidden/>
          </w:rPr>
          <w:fldChar w:fldCharType="end"/>
        </w:r>
      </w:hyperlink>
    </w:p>
    <w:p w14:paraId="49AEB464" w14:textId="6A486261" w:rsidR="007B29DD" w:rsidRDefault="006C5210" w:rsidP="00811ED7">
      <w:pPr>
        <w:pStyle w:val="TOC3"/>
        <w:ind w:left="0"/>
        <w:rPr>
          <w:b/>
        </w:rPr>
      </w:pPr>
      <w:hyperlink w:anchor="_Toc57377113" w:history="1">
        <w:r w:rsidR="007B29DD" w:rsidRPr="00842BEA">
          <w:rPr>
            <w:rStyle w:val="Hyperlink"/>
          </w:rPr>
          <w:t>1.3.2 DELWP response</w:t>
        </w:r>
        <w:r w:rsidR="007B29DD">
          <w:rPr>
            <w:webHidden/>
          </w:rPr>
          <w:tab/>
        </w:r>
        <w:r w:rsidR="007B29DD">
          <w:rPr>
            <w:webHidden/>
          </w:rPr>
          <w:fldChar w:fldCharType="begin"/>
        </w:r>
        <w:r w:rsidR="007B29DD">
          <w:rPr>
            <w:webHidden/>
          </w:rPr>
          <w:instrText xml:space="preserve"> PAGEREF _Toc57377113 \h </w:instrText>
        </w:r>
        <w:r w:rsidR="007B29DD">
          <w:rPr>
            <w:webHidden/>
          </w:rPr>
        </w:r>
        <w:r w:rsidR="007B29DD">
          <w:rPr>
            <w:webHidden/>
          </w:rPr>
          <w:fldChar w:fldCharType="separate"/>
        </w:r>
        <w:r w:rsidR="007B29DD">
          <w:rPr>
            <w:webHidden/>
          </w:rPr>
          <w:t>1</w:t>
        </w:r>
        <w:r w:rsidR="00DD75B9">
          <w:rPr>
            <w:webHidden/>
          </w:rPr>
          <w:t>2</w:t>
        </w:r>
        <w:r w:rsidR="007B29DD">
          <w:rPr>
            <w:webHidden/>
          </w:rPr>
          <w:fldChar w:fldCharType="end"/>
        </w:r>
      </w:hyperlink>
    </w:p>
    <w:p w14:paraId="4E4B4EEC" w14:textId="0A9B03A0" w:rsidR="007B29DD" w:rsidRDefault="006C5210" w:rsidP="00811ED7">
      <w:pPr>
        <w:pStyle w:val="TOC2"/>
        <w:ind w:left="0"/>
        <w:rPr>
          <w:rFonts w:eastAsiaTheme="minorEastAsia"/>
          <w:b/>
        </w:rPr>
      </w:pPr>
      <w:hyperlink w:anchor="_Toc57377114" w:history="1">
        <w:r w:rsidR="007B29DD" w:rsidRPr="00842BEA">
          <w:rPr>
            <w:rStyle w:val="Hyperlink"/>
          </w:rPr>
          <w:t>1.4 What has not changed since the last update?</w:t>
        </w:r>
        <w:r w:rsidR="007B29DD">
          <w:rPr>
            <w:webHidden/>
          </w:rPr>
          <w:tab/>
        </w:r>
        <w:r w:rsidR="007B29DD">
          <w:rPr>
            <w:webHidden/>
          </w:rPr>
          <w:fldChar w:fldCharType="begin"/>
        </w:r>
        <w:r w:rsidR="007B29DD">
          <w:rPr>
            <w:webHidden/>
          </w:rPr>
          <w:instrText xml:space="preserve"> PAGEREF _Toc57377114 \h </w:instrText>
        </w:r>
        <w:r w:rsidR="007B29DD">
          <w:rPr>
            <w:webHidden/>
          </w:rPr>
        </w:r>
        <w:r w:rsidR="007B29DD">
          <w:rPr>
            <w:webHidden/>
          </w:rPr>
          <w:fldChar w:fldCharType="separate"/>
        </w:r>
        <w:r w:rsidR="007B29DD">
          <w:rPr>
            <w:webHidden/>
          </w:rPr>
          <w:t>1</w:t>
        </w:r>
        <w:r w:rsidR="00DD75B9">
          <w:rPr>
            <w:webHidden/>
          </w:rPr>
          <w:t>3</w:t>
        </w:r>
        <w:r w:rsidR="007B29DD">
          <w:rPr>
            <w:webHidden/>
          </w:rPr>
          <w:fldChar w:fldCharType="end"/>
        </w:r>
      </w:hyperlink>
    </w:p>
    <w:p w14:paraId="3A1F9178" w14:textId="6EBDA6FA" w:rsidR="007B29DD" w:rsidRDefault="006C5210" w:rsidP="007B29DD">
      <w:pPr>
        <w:pStyle w:val="TOC1"/>
        <w:rPr>
          <w:rFonts w:eastAsiaTheme="minorEastAsia"/>
          <w:b/>
        </w:rPr>
      </w:pPr>
      <w:hyperlink w:anchor="_Toc57377115" w:history="1">
        <w:r w:rsidR="007B29DD" w:rsidRPr="00842BEA">
          <w:rPr>
            <w:rStyle w:val="Hyperlink"/>
          </w:rPr>
          <w:t>2. How to Use These Guidelines</w:t>
        </w:r>
        <w:r w:rsidR="007B29DD">
          <w:rPr>
            <w:webHidden/>
          </w:rPr>
          <w:tab/>
        </w:r>
        <w:r w:rsidR="007B29DD">
          <w:rPr>
            <w:webHidden/>
          </w:rPr>
          <w:fldChar w:fldCharType="begin"/>
        </w:r>
        <w:r w:rsidR="007B29DD">
          <w:rPr>
            <w:webHidden/>
          </w:rPr>
          <w:instrText xml:space="preserve"> PAGEREF _Toc57377115 \h </w:instrText>
        </w:r>
        <w:r w:rsidR="007B29DD">
          <w:rPr>
            <w:webHidden/>
          </w:rPr>
        </w:r>
        <w:r w:rsidR="007B29DD">
          <w:rPr>
            <w:webHidden/>
          </w:rPr>
          <w:fldChar w:fldCharType="separate"/>
        </w:r>
        <w:r w:rsidR="007B29DD">
          <w:rPr>
            <w:webHidden/>
          </w:rPr>
          <w:t>1</w:t>
        </w:r>
        <w:r w:rsidR="001710ED">
          <w:rPr>
            <w:webHidden/>
          </w:rPr>
          <w:t>4</w:t>
        </w:r>
        <w:r w:rsidR="007B29DD">
          <w:rPr>
            <w:webHidden/>
          </w:rPr>
          <w:fldChar w:fldCharType="end"/>
        </w:r>
      </w:hyperlink>
    </w:p>
    <w:p w14:paraId="681C8B59" w14:textId="7A96E5B1" w:rsidR="007B29DD" w:rsidRDefault="006C5210" w:rsidP="00811ED7">
      <w:pPr>
        <w:pStyle w:val="TOC2"/>
        <w:ind w:left="0"/>
        <w:rPr>
          <w:rFonts w:eastAsiaTheme="minorEastAsia"/>
          <w:b/>
        </w:rPr>
      </w:pPr>
      <w:hyperlink w:anchor="_Toc57377116" w:history="1">
        <w:r w:rsidR="007B29DD" w:rsidRPr="00842BEA">
          <w:rPr>
            <w:rStyle w:val="Hyperlink"/>
          </w:rPr>
          <w:t>2.1 Introduction</w:t>
        </w:r>
        <w:r w:rsidR="007B29DD">
          <w:rPr>
            <w:webHidden/>
          </w:rPr>
          <w:tab/>
        </w:r>
        <w:r w:rsidR="007B29DD">
          <w:rPr>
            <w:webHidden/>
          </w:rPr>
          <w:fldChar w:fldCharType="begin"/>
        </w:r>
        <w:r w:rsidR="007B29DD">
          <w:rPr>
            <w:webHidden/>
          </w:rPr>
          <w:instrText xml:space="preserve"> PAGEREF _Toc57377116 \h </w:instrText>
        </w:r>
        <w:r w:rsidR="007B29DD">
          <w:rPr>
            <w:webHidden/>
          </w:rPr>
        </w:r>
        <w:r w:rsidR="007B29DD">
          <w:rPr>
            <w:webHidden/>
          </w:rPr>
          <w:fldChar w:fldCharType="separate"/>
        </w:r>
        <w:r w:rsidR="007B29DD">
          <w:rPr>
            <w:webHidden/>
          </w:rPr>
          <w:t>1</w:t>
        </w:r>
        <w:r w:rsidR="009E6165">
          <w:rPr>
            <w:webHidden/>
          </w:rPr>
          <w:t>4</w:t>
        </w:r>
        <w:r w:rsidR="007B29DD">
          <w:rPr>
            <w:webHidden/>
          </w:rPr>
          <w:fldChar w:fldCharType="end"/>
        </w:r>
      </w:hyperlink>
    </w:p>
    <w:p w14:paraId="2A1ABE9C" w14:textId="5A12B45D" w:rsidR="007B29DD" w:rsidRDefault="006C5210" w:rsidP="00811ED7">
      <w:pPr>
        <w:pStyle w:val="TOC2"/>
        <w:ind w:left="0"/>
        <w:rPr>
          <w:rFonts w:eastAsiaTheme="minorEastAsia"/>
          <w:b/>
        </w:rPr>
      </w:pPr>
      <w:hyperlink w:anchor="_Toc57377117" w:history="1">
        <w:r w:rsidR="007B29DD" w:rsidRPr="00842BEA">
          <w:rPr>
            <w:rStyle w:val="Hyperlink"/>
          </w:rPr>
          <w:t>2.2 For bulk urban and rural water impact assessment</w:t>
        </w:r>
        <w:r w:rsidR="007B29DD">
          <w:rPr>
            <w:webHidden/>
          </w:rPr>
          <w:tab/>
        </w:r>
        <w:r w:rsidR="007B29DD">
          <w:rPr>
            <w:webHidden/>
          </w:rPr>
          <w:fldChar w:fldCharType="begin"/>
        </w:r>
        <w:r w:rsidR="007B29DD">
          <w:rPr>
            <w:webHidden/>
          </w:rPr>
          <w:instrText xml:space="preserve"> PAGEREF _Toc57377117 \h </w:instrText>
        </w:r>
        <w:r w:rsidR="007B29DD">
          <w:rPr>
            <w:webHidden/>
          </w:rPr>
        </w:r>
        <w:r w:rsidR="007B29DD">
          <w:rPr>
            <w:webHidden/>
          </w:rPr>
          <w:fldChar w:fldCharType="separate"/>
        </w:r>
        <w:r w:rsidR="007B29DD">
          <w:rPr>
            <w:webHidden/>
          </w:rPr>
          <w:t>1</w:t>
        </w:r>
        <w:r w:rsidR="009E6165">
          <w:rPr>
            <w:webHidden/>
          </w:rPr>
          <w:t>4</w:t>
        </w:r>
        <w:r w:rsidR="007B29DD">
          <w:rPr>
            <w:webHidden/>
          </w:rPr>
          <w:fldChar w:fldCharType="end"/>
        </w:r>
      </w:hyperlink>
    </w:p>
    <w:p w14:paraId="5F0F2203" w14:textId="1B95A9EA" w:rsidR="007B29DD" w:rsidRDefault="006C5210" w:rsidP="00811ED7">
      <w:pPr>
        <w:pStyle w:val="TOC2"/>
        <w:ind w:left="0"/>
        <w:rPr>
          <w:rFonts w:eastAsiaTheme="minorEastAsia"/>
          <w:b/>
        </w:rPr>
      </w:pPr>
      <w:hyperlink w:anchor="_Toc57377118" w:history="1">
        <w:r w:rsidR="007B29DD" w:rsidRPr="00842BEA">
          <w:rPr>
            <w:rStyle w:val="Hyperlink"/>
          </w:rPr>
          <w:t>2.3 For integrated water cycle management</w:t>
        </w:r>
        <w:r w:rsidR="007B29DD">
          <w:rPr>
            <w:webHidden/>
          </w:rPr>
          <w:tab/>
        </w:r>
        <w:r w:rsidR="007B29DD">
          <w:rPr>
            <w:webHidden/>
          </w:rPr>
          <w:fldChar w:fldCharType="begin"/>
        </w:r>
        <w:r w:rsidR="007B29DD">
          <w:rPr>
            <w:webHidden/>
          </w:rPr>
          <w:instrText xml:space="preserve"> PAGEREF _Toc57377118 \h </w:instrText>
        </w:r>
        <w:r w:rsidR="007B29DD">
          <w:rPr>
            <w:webHidden/>
          </w:rPr>
        </w:r>
        <w:r w:rsidR="007B29DD">
          <w:rPr>
            <w:webHidden/>
          </w:rPr>
          <w:fldChar w:fldCharType="separate"/>
        </w:r>
        <w:r w:rsidR="007B29DD">
          <w:rPr>
            <w:webHidden/>
          </w:rPr>
          <w:t>1</w:t>
        </w:r>
        <w:r w:rsidR="00AB5170">
          <w:rPr>
            <w:webHidden/>
          </w:rPr>
          <w:t>5</w:t>
        </w:r>
        <w:r w:rsidR="007B29DD">
          <w:rPr>
            <w:webHidden/>
          </w:rPr>
          <w:fldChar w:fldCharType="end"/>
        </w:r>
      </w:hyperlink>
    </w:p>
    <w:p w14:paraId="6298C7E5" w14:textId="0D05C577" w:rsidR="007B29DD" w:rsidRDefault="006C5210" w:rsidP="00811ED7">
      <w:pPr>
        <w:pStyle w:val="TOC2"/>
        <w:ind w:left="0"/>
        <w:rPr>
          <w:rFonts w:eastAsiaTheme="minorEastAsia"/>
          <w:b/>
        </w:rPr>
      </w:pPr>
      <w:hyperlink w:anchor="_Toc57377119" w:history="1">
        <w:r w:rsidR="007B29DD" w:rsidRPr="00842BEA">
          <w:rPr>
            <w:rStyle w:val="Hyperlink"/>
          </w:rPr>
          <w:t>2.4 For environmental water management</w:t>
        </w:r>
        <w:r w:rsidR="007B29DD">
          <w:rPr>
            <w:webHidden/>
          </w:rPr>
          <w:tab/>
        </w:r>
        <w:r w:rsidR="00AD513D">
          <w:rPr>
            <w:webHidden/>
          </w:rPr>
          <w:t>16</w:t>
        </w:r>
      </w:hyperlink>
    </w:p>
    <w:p w14:paraId="1A39913B" w14:textId="148B3729" w:rsidR="007B29DD" w:rsidRDefault="006C5210" w:rsidP="00811ED7">
      <w:pPr>
        <w:pStyle w:val="TOC2"/>
        <w:ind w:left="0"/>
        <w:rPr>
          <w:rFonts w:eastAsiaTheme="minorEastAsia"/>
          <w:b/>
        </w:rPr>
      </w:pPr>
      <w:hyperlink w:anchor="_Toc57377120" w:history="1">
        <w:r w:rsidR="007B29DD" w:rsidRPr="00842BEA">
          <w:rPr>
            <w:rStyle w:val="Hyperlink"/>
          </w:rPr>
          <w:t>2.5 Guidance on climate variability versus climate change</w:t>
        </w:r>
        <w:r w:rsidR="007B29DD">
          <w:rPr>
            <w:webHidden/>
          </w:rPr>
          <w:tab/>
        </w:r>
        <w:r w:rsidR="00A65EE1">
          <w:rPr>
            <w:webHidden/>
          </w:rPr>
          <w:t>17</w:t>
        </w:r>
      </w:hyperlink>
    </w:p>
    <w:p w14:paraId="2D8553A2" w14:textId="16C19329" w:rsidR="007B29DD" w:rsidRDefault="006C5210" w:rsidP="007B29DD">
      <w:pPr>
        <w:pStyle w:val="TOC1"/>
        <w:rPr>
          <w:rFonts w:eastAsiaTheme="minorEastAsia"/>
          <w:b/>
        </w:rPr>
      </w:pPr>
      <w:hyperlink w:anchor="_Toc57377121" w:history="1">
        <w:r w:rsidR="007B29DD" w:rsidRPr="00842BEA">
          <w:rPr>
            <w:rStyle w:val="Hyperlink"/>
          </w:rPr>
          <w:t>3. Observed Climate Change to Date</w:t>
        </w:r>
        <w:r w:rsidR="007B29DD">
          <w:rPr>
            <w:webHidden/>
          </w:rPr>
          <w:tab/>
        </w:r>
        <w:r w:rsidR="00632B5E">
          <w:rPr>
            <w:webHidden/>
          </w:rPr>
          <w:t>18</w:t>
        </w:r>
      </w:hyperlink>
    </w:p>
    <w:p w14:paraId="6EE64777" w14:textId="69303989" w:rsidR="007B29DD" w:rsidRDefault="006C5210" w:rsidP="00811ED7">
      <w:pPr>
        <w:pStyle w:val="TOC2"/>
        <w:ind w:left="0"/>
        <w:rPr>
          <w:rFonts w:eastAsiaTheme="minorEastAsia"/>
          <w:b/>
        </w:rPr>
      </w:pPr>
      <w:hyperlink w:anchor="_Toc57377122" w:history="1">
        <w:r w:rsidR="007B29DD" w:rsidRPr="00842BEA">
          <w:rPr>
            <w:rStyle w:val="Hyperlink"/>
          </w:rPr>
          <w:t>3.1 Introduction</w:t>
        </w:r>
        <w:r w:rsidR="007B29DD">
          <w:rPr>
            <w:webHidden/>
          </w:rPr>
          <w:tab/>
        </w:r>
        <w:r w:rsidR="00632B5E">
          <w:rPr>
            <w:webHidden/>
          </w:rPr>
          <w:t>18</w:t>
        </w:r>
      </w:hyperlink>
    </w:p>
    <w:p w14:paraId="1350835D" w14:textId="6841B4B5" w:rsidR="007B29DD" w:rsidRDefault="006C5210" w:rsidP="00811ED7">
      <w:pPr>
        <w:pStyle w:val="TOC2"/>
        <w:ind w:left="0"/>
        <w:rPr>
          <w:rFonts w:eastAsiaTheme="minorEastAsia"/>
          <w:b/>
        </w:rPr>
      </w:pPr>
      <w:hyperlink w:anchor="_Toc57377123" w:history="1">
        <w:r w:rsidR="007B29DD" w:rsidRPr="00842BEA">
          <w:rPr>
            <w:rStyle w:val="Hyperlink"/>
          </w:rPr>
          <w:t>3.2 Observed global changes in emissions, greenhouse gas concentrations and air temperature</w:t>
        </w:r>
        <w:r w:rsidR="007B29DD">
          <w:rPr>
            <w:webHidden/>
          </w:rPr>
          <w:tab/>
        </w:r>
        <w:r w:rsidR="00632B5E">
          <w:rPr>
            <w:webHidden/>
          </w:rPr>
          <w:t>18</w:t>
        </w:r>
      </w:hyperlink>
    </w:p>
    <w:p w14:paraId="12CC4641" w14:textId="2B4C80AD" w:rsidR="007B29DD" w:rsidRDefault="006C5210" w:rsidP="00811ED7">
      <w:pPr>
        <w:pStyle w:val="TOC2"/>
        <w:ind w:left="0"/>
        <w:rPr>
          <w:rFonts w:eastAsiaTheme="minorEastAsia"/>
          <w:b/>
        </w:rPr>
      </w:pPr>
      <w:hyperlink w:anchor="_Toc57377124" w:history="1">
        <w:r w:rsidR="007B29DD" w:rsidRPr="00842BEA">
          <w:rPr>
            <w:rStyle w:val="Hyperlink"/>
          </w:rPr>
          <w:t>3.3 Observed regional changes in climate influences and Victoria’s climatology</w:t>
        </w:r>
        <w:r w:rsidR="007B29DD">
          <w:rPr>
            <w:webHidden/>
          </w:rPr>
          <w:tab/>
        </w:r>
        <w:r w:rsidR="007B29DD">
          <w:rPr>
            <w:webHidden/>
          </w:rPr>
          <w:fldChar w:fldCharType="begin"/>
        </w:r>
        <w:r w:rsidR="007B29DD">
          <w:rPr>
            <w:webHidden/>
          </w:rPr>
          <w:instrText xml:space="preserve"> PAGEREF _Toc57377124 \h </w:instrText>
        </w:r>
        <w:r w:rsidR="007B29DD">
          <w:rPr>
            <w:webHidden/>
          </w:rPr>
        </w:r>
        <w:r w:rsidR="007B29DD">
          <w:rPr>
            <w:webHidden/>
          </w:rPr>
          <w:fldChar w:fldCharType="separate"/>
        </w:r>
        <w:r w:rsidR="007B29DD">
          <w:rPr>
            <w:webHidden/>
          </w:rPr>
          <w:t>2</w:t>
        </w:r>
        <w:r w:rsidR="00B61999">
          <w:rPr>
            <w:webHidden/>
          </w:rPr>
          <w:t>0</w:t>
        </w:r>
        <w:r w:rsidR="007B29DD">
          <w:rPr>
            <w:webHidden/>
          </w:rPr>
          <w:fldChar w:fldCharType="end"/>
        </w:r>
      </w:hyperlink>
    </w:p>
    <w:p w14:paraId="41AFD952" w14:textId="1D1E022C" w:rsidR="007B29DD" w:rsidRDefault="006C5210" w:rsidP="00811ED7">
      <w:pPr>
        <w:pStyle w:val="TOC2"/>
        <w:ind w:left="0"/>
        <w:rPr>
          <w:rFonts w:eastAsiaTheme="minorEastAsia"/>
          <w:b/>
        </w:rPr>
      </w:pPr>
      <w:hyperlink w:anchor="_Toc57377125" w:history="1">
        <w:r w:rsidR="007B29DD" w:rsidRPr="00842BEA">
          <w:rPr>
            <w:rStyle w:val="Hyperlink"/>
          </w:rPr>
          <w:t>3.4 Observed local changes in air temperature, evaporation, rainfall, runoff and recharge</w:t>
        </w:r>
        <w:r w:rsidR="007B29DD">
          <w:rPr>
            <w:webHidden/>
          </w:rPr>
          <w:tab/>
        </w:r>
        <w:r w:rsidR="007B29DD">
          <w:rPr>
            <w:webHidden/>
          </w:rPr>
          <w:fldChar w:fldCharType="begin"/>
        </w:r>
        <w:r w:rsidR="007B29DD">
          <w:rPr>
            <w:webHidden/>
          </w:rPr>
          <w:instrText xml:space="preserve"> PAGEREF _Toc57377125 \h </w:instrText>
        </w:r>
        <w:r w:rsidR="007B29DD">
          <w:rPr>
            <w:webHidden/>
          </w:rPr>
        </w:r>
        <w:r w:rsidR="007B29DD">
          <w:rPr>
            <w:webHidden/>
          </w:rPr>
          <w:fldChar w:fldCharType="separate"/>
        </w:r>
        <w:r w:rsidR="007B29DD">
          <w:rPr>
            <w:webHidden/>
          </w:rPr>
          <w:t>2</w:t>
        </w:r>
        <w:r w:rsidR="00F31F12">
          <w:rPr>
            <w:webHidden/>
          </w:rPr>
          <w:t>1</w:t>
        </w:r>
        <w:r w:rsidR="007B29DD">
          <w:rPr>
            <w:webHidden/>
          </w:rPr>
          <w:fldChar w:fldCharType="end"/>
        </w:r>
      </w:hyperlink>
    </w:p>
    <w:p w14:paraId="1230F0FD" w14:textId="426EB52F" w:rsidR="007B29DD" w:rsidRDefault="006C5210" w:rsidP="007B29DD">
      <w:pPr>
        <w:pStyle w:val="TOC1"/>
        <w:rPr>
          <w:rFonts w:eastAsiaTheme="minorEastAsia"/>
          <w:b/>
        </w:rPr>
      </w:pPr>
      <w:hyperlink w:anchor="_Toc57377126" w:history="1">
        <w:r w:rsidR="007B29DD" w:rsidRPr="00842BEA">
          <w:rPr>
            <w:rStyle w:val="Hyperlink"/>
          </w:rPr>
          <w:t>4. How the Future Climate Projections for Victoria Were Developed</w:t>
        </w:r>
        <w:r w:rsidR="007B29DD">
          <w:rPr>
            <w:webHidden/>
          </w:rPr>
          <w:tab/>
        </w:r>
        <w:r w:rsidR="007B29DD">
          <w:rPr>
            <w:webHidden/>
          </w:rPr>
          <w:fldChar w:fldCharType="begin"/>
        </w:r>
        <w:r w:rsidR="007B29DD">
          <w:rPr>
            <w:webHidden/>
          </w:rPr>
          <w:instrText xml:space="preserve"> PAGEREF _Toc57377126 \h </w:instrText>
        </w:r>
        <w:r w:rsidR="007B29DD">
          <w:rPr>
            <w:webHidden/>
          </w:rPr>
        </w:r>
        <w:r w:rsidR="007B29DD">
          <w:rPr>
            <w:webHidden/>
          </w:rPr>
          <w:fldChar w:fldCharType="separate"/>
        </w:r>
        <w:r w:rsidR="007B29DD">
          <w:rPr>
            <w:webHidden/>
          </w:rPr>
          <w:t>2</w:t>
        </w:r>
        <w:r w:rsidR="00F20027">
          <w:rPr>
            <w:webHidden/>
          </w:rPr>
          <w:t>4</w:t>
        </w:r>
        <w:r w:rsidR="007B29DD">
          <w:rPr>
            <w:webHidden/>
          </w:rPr>
          <w:fldChar w:fldCharType="end"/>
        </w:r>
      </w:hyperlink>
    </w:p>
    <w:p w14:paraId="7A99D759" w14:textId="5685E7F1" w:rsidR="007B29DD" w:rsidRDefault="006C5210" w:rsidP="00811ED7">
      <w:pPr>
        <w:pStyle w:val="TOC2"/>
        <w:ind w:left="0"/>
        <w:rPr>
          <w:rFonts w:eastAsiaTheme="minorEastAsia"/>
          <w:b/>
        </w:rPr>
      </w:pPr>
      <w:hyperlink w:anchor="_Toc57377127" w:history="1">
        <w:r w:rsidR="007B29DD" w:rsidRPr="00842BEA">
          <w:rPr>
            <w:rStyle w:val="Hyperlink"/>
          </w:rPr>
          <w:t>4.1 Introduction</w:t>
        </w:r>
        <w:r w:rsidR="007B29DD">
          <w:rPr>
            <w:webHidden/>
          </w:rPr>
          <w:tab/>
        </w:r>
        <w:r w:rsidR="007B29DD">
          <w:rPr>
            <w:webHidden/>
          </w:rPr>
          <w:fldChar w:fldCharType="begin"/>
        </w:r>
        <w:r w:rsidR="007B29DD">
          <w:rPr>
            <w:webHidden/>
          </w:rPr>
          <w:instrText xml:space="preserve"> PAGEREF _Toc57377127 \h </w:instrText>
        </w:r>
        <w:r w:rsidR="007B29DD">
          <w:rPr>
            <w:webHidden/>
          </w:rPr>
        </w:r>
        <w:r w:rsidR="007B29DD">
          <w:rPr>
            <w:webHidden/>
          </w:rPr>
          <w:fldChar w:fldCharType="separate"/>
        </w:r>
        <w:r w:rsidR="007B29DD">
          <w:rPr>
            <w:webHidden/>
          </w:rPr>
          <w:t>2</w:t>
        </w:r>
        <w:r w:rsidR="00F20027">
          <w:rPr>
            <w:webHidden/>
          </w:rPr>
          <w:t>4</w:t>
        </w:r>
        <w:r w:rsidR="007B29DD">
          <w:rPr>
            <w:webHidden/>
          </w:rPr>
          <w:fldChar w:fldCharType="end"/>
        </w:r>
      </w:hyperlink>
    </w:p>
    <w:p w14:paraId="7AE76F6F" w14:textId="67D4BE9D" w:rsidR="007B29DD" w:rsidRDefault="006C5210" w:rsidP="00811ED7">
      <w:pPr>
        <w:pStyle w:val="TOC2"/>
        <w:ind w:left="0"/>
        <w:rPr>
          <w:rFonts w:eastAsiaTheme="minorEastAsia"/>
          <w:b/>
        </w:rPr>
      </w:pPr>
      <w:hyperlink w:anchor="_Toc57377128" w:history="1">
        <w:r w:rsidR="007B29DD" w:rsidRPr="00842BEA">
          <w:rPr>
            <w:rStyle w:val="Hyperlink"/>
          </w:rPr>
          <w:t>4.2 Overview of climate modelling approaches</w:t>
        </w:r>
        <w:r w:rsidR="007B29DD">
          <w:rPr>
            <w:webHidden/>
          </w:rPr>
          <w:tab/>
        </w:r>
        <w:r w:rsidR="007B29DD">
          <w:rPr>
            <w:webHidden/>
          </w:rPr>
          <w:fldChar w:fldCharType="begin"/>
        </w:r>
        <w:r w:rsidR="007B29DD">
          <w:rPr>
            <w:webHidden/>
          </w:rPr>
          <w:instrText xml:space="preserve"> PAGEREF _Toc57377128 \h </w:instrText>
        </w:r>
        <w:r w:rsidR="007B29DD">
          <w:rPr>
            <w:webHidden/>
          </w:rPr>
        </w:r>
        <w:r w:rsidR="007B29DD">
          <w:rPr>
            <w:webHidden/>
          </w:rPr>
          <w:fldChar w:fldCharType="separate"/>
        </w:r>
        <w:r w:rsidR="007B29DD">
          <w:rPr>
            <w:webHidden/>
          </w:rPr>
          <w:t>2</w:t>
        </w:r>
        <w:r w:rsidR="00F20027">
          <w:rPr>
            <w:webHidden/>
          </w:rPr>
          <w:t>4</w:t>
        </w:r>
        <w:r w:rsidR="007B29DD">
          <w:rPr>
            <w:webHidden/>
          </w:rPr>
          <w:fldChar w:fldCharType="end"/>
        </w:r>
      </w:hyperlink>
    </w:p>
    <w:p w14:paraId="1BAAEA24" w14:textId="397B0870" w:rsidR="007B29DD" w:rsidRDefault="006C5210" w:rsidP="00811ED7">
      <w:pPr>
        <w:pStyle w:val="TOC3"/>
        <w:ind w:left="0"/>
        <w:rPr>
          <w:b/>
        </w:rPr>
      </w:pPr>
      <w:hyperlink w:anchor="_Toc57377129" w:history="1">
        <w:r w:rsidR="007B29DD" w:rsidRPr="00842BEA">
          <w:rPr>
            <w:rStyle w:val="Hyperlink"/>
          </w:rPr>
          <w:t>4.2.1 Global climate modelling</w:t>
        </w:r>
        <w:r w:rsidR="007B29DD">
          <w:rPr>
            <w:webHidden/>
          </w:rPr>
          <w:tab/>
        </w:r>
        <w:r w:rsidR="007B29DD">
          <w:rPr>
            <w:webHidden/>
          </w:rPr>
          <w:fldChar w:fldCharType="begin"/>
        </w:r>
        <w:r w:rsidR="007B29DD">
          <w:rPr>
            <w:webHidden/>
          </w:rPr>
          <w:instrText xml:space="preserve"> PAGEREF _Toc57377129 \h </w:instrText>
        </w:r>
        <w:r w:rsidR="007B29DD">
          <w:rPr>
            <w:webHidden/>
          </w:rPr>
        </w:r>
        <w:r w:rsidR="007B29DD">
          <w:rPr>
            <w:webHidden/>
          </w:rPr>
          <w:fldChar w:fldCharType="separate"/>
        </w:r>
        <w:r w:rsidR="007B29DD">
          <w:rPr>
            <w:webHidden/>
          </w:rPr>
          <w:t>2</w:t>
        </w:r>
        <w:r w:rsidR="00F20027">
          <w:rPr>
            <w:webHidden/>
          </w:rPr>
          <w:t>4</w:t>
        </w:r>
        <w:r w:rsidR="007B29DD">
          <w:rPr>
            <w:webHidden/>
          </w:rPr>
          <w:fldChar w:fldCharType="end"/>
        </w:r>
      </w:hyperlink>
    </w:p>
    <w:p w14:paraId="06E52173" w14:textId="4AED9DA5" w:rsidR="007B29DD" w:rsidRDefault="006C5210" w:rsidP="00811ED7">
      <w:pPr>
        <w:pStyle w:val="TOC3"/>
        <w:ind w:left="0"/>
        <w:rPr>
          <w:b/>
        </w:rPr>
      </w:pPr>
      <w:hyperlink w:anchor="_Toc57377130" w:history="1">
        <w:r w:rsidR="007B29DD" w:rsidRPr="00842BEA">
          <w:rPr>
            <w:rStyle w:val="Hyperlink"/>
          </w:rPr>
          <w:t>4.2.2 Process for deriving climate change projections for the guidelines</w:t>
        </w:r>
        <w:r w:rsidR="007B29DD">
          <w:rPr>
            <w:webHidden/>
          </w:rPr>
          <w:tab/>
        </w:r>
        <w:r w:rsidR="007B29DD">
          <w:rPr>
            <w:webHidden/>
          </w:rPr>
          <w:fldChar w:fldCharType="begin"/>
        </w:r>
        <w:r w:rsidR="007B29DD">
          <w:rPr>
            <w:webHidden/>
          </w:rPr>
          <w:instrText xml:space="preserve"> PAGEREF _Toc57377130 \h </w:instrText>
        </w:r>
        <w:r w:rsidR="007B29DD">
          <w:rPr>
            <w:webHidden/>
          </w:rPr>
        </w:r>
        <w:r w:rsidR="007B29DD">
          <w:rPr>
            <w:webHidden/>
          </w:rPr>
          <w:fldChar w:fldCharType="separate"/>
        </w:r>
        <w:r w:rsidR="007B29DD">
          <w:rPr>
            <w:webHidden/>
          </w:rPr>
          <w:t>2</w:t>
        </w:r>
        <w:r w:rsidR="00F20027">
          <w:rPr>
            <w:webHidden/>
          </w:rPr>
          <w:t>4</w:t>
        </w:r>
        <w:r w:rsidR="007B29DD">
          <w:rPr>
            <w:webHidden/>
          </w:rPr>
          <w:fldChar w:fldCharType="end"/>
        </w:r>
      </w:hyperlink>
    </w:p>
    <w:p w14:paraId="1F40FF5D" w14:textId="4CAA49D1" w:rsidR="007B29DD" w:rsidRDefault="006C5210" w:rsidP="00811ED7">
      <w:pPr>
        <w:pStyle w:val="TOC3"/>
        <w:ind w:left="0"/>
        <w:rPr>
          <w:b/>
        </w:rPr>
      </w:pPr>
      <w:hyperlink w:anchor="_Toc57377131" w:history="1">
        <w:r w:rsidR="007B29DD" w:rsidRPr="00842BEA">
          <w:rPr>
            <w:rStyle w:val="Hyperlink"/>
          </w:rPr>
          <w:t>4.2.3 Regional climate modelling (VCP19)</w:t>
        </w:r>
        <w:r w:rsidR="007B29DD">
          <w:rPr>
            <w:webHidden/>
          </w:rPr>
          <w:tab/>
        </w:r>
        <w:r w:rsidR="00A53B5F">
          <w:rPr>
            <w:webHidden/>
          </w:rPr>
          <w:t>25</w:t>
        </w:r>
      </w:hyperlink>
    </w:p>
    <w:p w14:paraId="1B914A4F" w14:textId="731405BD" w:rsidR="007B29DD" w:rsidRDefault="006C5210" w:rsidP="00811ED7">
      <w:pPr>
        <w:pStyle w:val="TOC2"/>
        <w:ind w:left="0"/>
        <w:rPr>
          <w:rFonts w:eastAsiaTheme="minorEastAsia"/>
          <w:b/>
        </w:rPr>
      </w:pPr>
      <w:hyperlink w:anchor="_Toc57377132" w:history="1">
        <w:r w:rsidR="007B29DD" w:rsidRPr="00842BEA">
          <w:rPr>
            <w:rStyle w:val="Hyperlink"/>
          </w:rPr>
          <w:t>4.3 Emissions scenarios and the Paris Agreement</w:t>
        </w:r>
        <w:r w:rsidR="007B29DD">
          <w:rPr>
            <w:webHidden/>
          </w:rPr>
          <w:tab/>
        </w:r>
        <w:r w:rsidR="00AB5AE0">
          <w:rPr>
            <w:webHidden/>
          </w:rPr>
          <w:t>27</w:t>
        </w:r>
      </w:hyperlink>
    </w:p>
    <w:p w14:paraId="2FDC8308" w14:textId="4223215F" w:rsidR="007B29DD" w:rsidRDefault="006C5210" w:rsidP="00811ED7">
      <w:pPr>
        <w:pStyle w:val="TOC2"/>
        <w:ind w:left="0"/>
        <w:rPr>
          <w:rFonts w:eastAsiaTheme="minorEastAsia"/>
          <w:b/>
        </w:rPr>
      </w:pPr>
      <w:hyperlink w:anchor="_Toc57377133" w:history="1">
        <w:r w:rsidR="007B29DD" w:rsidRPr="00842BEA">
          <w:rPr>
            <w:rStyle w:val="Hyperlink"/>
          </w:rPr>
          <w:t>4.4 Which global climate model is the best for Victoria?</w:t>
        </w:r>
        <w:r w:rsidR="007B29DD">
          <w:rPr>
            <w:webHidden/>
          </w:rPr>
          <w:tab/>
        </w:r>
        <w:r w:rsidR="007B29DD">
          <w:rPr>
            <w:webHidden/>
          </w:rPr>
          <w:fldChar w:fldCharType="begin"/>
        </w:r>
        <w:r w:rsidR="007B29DD">
          <w:rPr>
            <w:webHidden/>
          </w:rPr>
          <w:instrText xml:space="preserve"> PAGEREF _Toc57377133 \h </w:instrText>
        </w:r>
        <w:r w:rsidR="007B29DD">
          <w:rPr>
            <w:webHidden/>
          </w:rPr>
        </w:r>
        <w:r w:rsidR="007B29DD">
          <w:rPr>
            <w:webHidden/>
          </w:rPr>
          <w:fldChar w:fldCharType="separate"/>
        </w:r>
        <w:r w:rsidR="007B29DD">
          <w:rPr>
            <w:webHidden/>
          </w:rPr>
          <w:t>3</w:t>
        </w:r>
        <w:r w:rsidR="00EA4B6E">
          <w:rPr>
            <w:webHidden/>
          </w:rPr>
          <w:t>2</w:t>
        </w:r>
        <w:r w:rsidR="007B29DD">
          <w:rPr>
            <w:webHidden/>
          </w:rPr>
          <w:fldChar w:fldCharType="end"/>
        </w:r>
      </w:hyperlink>
    </w:p>
    <w:p w14:paraId="399B8493" w14:textId="7383883F" w:rsidR="007B29DD" w:rsidRDefault="006C5210" w:rsidP="00811ED7">
      <w:pPr>
        <w:pStyle w:val="TOC2"/>
        <w:ind w:left="0"/>
        <w:rPr>
          <w:rFonts w:eastAsiaTheme="minorEastAsia"/>
          <w:b/>
        </w:rPr>
      </w:pPr>
      <w:hyperlink w:anchor="_Toc57377134" w:history="1">
        <w:r w:rsidR="007B29DD" w:rsidRPr="00842BEA">
          <w:rPr>
            <w:rStyle w:val="Hyperlink"/>
          </w:rPr>
          <w:t>4.5 Seasonal versus annual global climate model projections</w:t>
        </w:r>
        <w:r w:rsidR="007B29DD">
          <w:rPr>
            <w:webHidden/>
          </w:rPr>
          <w:tab/>
        </w:r>
        <w:r w:rsidR="007B29DD">
          <w:rPr>
            <w:webHidden/>
          </w:rPr>
          <w:fldChar w:fldCharType="begin"/>
        </w:r>
        <w:r w:rsidR="007B29DD">
          <w:rPr>
            <w:webHidden/>
          </w:rPr>
          <w:instrText xml:space="preserve"> PAGEREF _Toc57377134 \h </w:instrText>
        </w:r>
        <w:r w:rsidR="007B29DD">
          <w:rPr>
            <w:webHidden/>
          </w:rPr>
        </w:r>
        <w:r w:rsidR="007B29DD">
          <w:rPr>
            <w:webHidden/>
          </w:rPr>
          <w:fldChar w:fldCharType="separate"/>
        </w:r>
        <w:r w:rsidR="007B29DD">
          <w:rPr>
            <w:webHidden/>
          </w:rPr>
          <w:t>3</w:t>
        </w:r>
        <w:r w:rsidR="00EA4B6E">
          <w:rPr>
            <w:webHidden/>
          </w:rPr>
          <w:t>2</w:t>
        </w:r>
        <w:r w:rsidR="007B29DD">
          <w:rPr>
            <w:webHidden/>
          </w:rPr>
          <w:fldChar w:fldCharType="end"/>
        </w:r>
      </w:hyperlink>
    </w:p>
    <w:p w14:paraId="1E39DDDC" w14:textId="0AC82ED5" w:rsidR="007B29DD" w:rsidRDefault="006C5210" w:rsidP="00811ED7">
      <w:pPr>
        <w:pStyle w:val="TOC2"/>
        <w:ind w:left="0"/>
        <w:rPr>
          <w:rFonts w:eastAsiaTheme="minorEastAsia"/>
          <w:b/>
        </w:rPr>
      </w:pPr>
      <w:hyperlink w:anchor="_Toc57377135" w:history="1">
        <w:r w:rsidR="007B29DD" w:rsidRPr="00842BEA">
          <w:rPr>
            <w:rStyle w:val="Hyperlink"/>
          </w:rPr>
          <w:t>4.6 Spatial resolution of GCM projections</w:t>
        </w:r>
        <w:r w:rsidR="007B29DD">
          <w:rPr>
            <w:webHidden/>
          </w:rPr>
          <w:tab/>
        </w:r>
        <w:r w:rsidR="007B29DD">
          <w:rPr>
            <w:webHidden/>
          </w:rPr>
          <w:fldChar w:fldCharType="begin"/>
        </w:r>
        <w:r w:rsidR="007B29DD">
          <w:rPr>
            <w:webHidden/>
          </w:rPr>
          <w:instrText xml:space="preserve"> PAGEREF _Toc57377135 \h </w:instrText>
        </w:r>
        <w:r w:rsidR="007B29DD">
          <w:rPr>
            <w:webHidden/>
          </w:rPr>
        </w:r>
        <w:r w:rsidR="007B29DD">
          <w:rPr>
            <w:webHidden/>
          </w:rPr>
          <w:fldChar w:fldCharType="separate"/>
        </w:r>
        <w:r w:rsidR="007B29DD">
          <w:rPr>
            <w:webHidden/>
          </w:rPr>
          <w:t>3</w:t>
        </w:r>
        <w:r w:rsidR="00EA4B6E">
          <w:rPr>
            <w:webHidden/>
          </w:rPr>
          <w:t>2</w:t>
        </w:r>
        <w:r w:rsidR="007B29DD">
          <w:rPr>
            <w:webHidden/>
          </w:rPr>
          <w:fldChar w:fldCharType="end"/>
        </w:r>
      </w:hyperlink>
    </w:p>
    <w:p w14:paraId="2D010E53" w14:textId="449CCDDA" w:rsidR="007B29DD" w:rsidRDefault="006C5210" w:rsidP="00811ED7">
      <w:pPr>
        <w:pStyle w:val="TOC2"/>
        <w:ind w:left="0"/>
        <w:rPr>
          <w:rFonts w:eastAsiaTheme="minorEastAsia"/>
          <w:b/>
        </w:rPr>
      </w:pPr>
      <w:hyperlink w:anchor="_Toc57377136" w:history="1">
        <w:r w:rsidR="007B29DD" w:rsidRPr="00842BEA">
          <w:rPr>
            <w:rStyle w:val="Hyperlink"/>
          </w:rPr>
          <w:t>4.7 Selection of output parameters</w:t>
        </w:r>
        <w:r w:rsidR="007B29DD">
          <w:rPr>
            <w:webHidden/>
          </w:rPr>
          <w:tab/>
        </w:r>
        <w:r w:rsidR="007B29DD">
          <w:rPr>
            <w:webHidden/>
          </w:rPr>
          <w:fldChar w:fldCharType="begin"/>
        </w:r>
        <w:r w:rsidR="007B29DD">
          <w:rPr>
            <w:webHidden/>
          </w:rPr>
          <w:instrText xml:space="preserve"> PAGEREF _Toc57377136 \h </w:instrText>
        </w:r>
        <w:r w:rsidR="007B29DD">
          <w:rPr>
            <w:webHidden/>
          </w:rPr>
        </w:r>
        <w:r w:rsidR="007B29DD">
          <w:rPr>
            <w:webHidden/>
          </w:rPr>
          <w:fldChar w:fldCharType="separate"/>
        </w:r>
        <w:r w:rsidR="007B29DD">
          <w:rPr>
            <w:webHidden/>
          </w:rPr>
          <w:t>3</w:t>
        </w:r>
        <w:r w:rsidR="006C176E">
          <w:rPr>
            <w:webHidden/>
          </w:rPr>
          <w:t>3</w:t>
        </w:r>
        <w:r w:rsidR="007B29DD">
          <w:rPr>
            <w:webHidden/>
          </w:rPr>
          <w:fldChar w:fldCharType="end"/>
        </w:r>
      </w:hyperlink>
    </w:p>
    <w:p w14:paraId="1C8F51FB" w14:textId="0C679867" w:rsidR="007B29DD" w:rsidRDefault="006C5210" w:rsidP="00811ED7">
      <w:pPr>
        <w:pStyle w:val="TOC2"/>
        <w:ind w:left="0"/>
        <w:rPr>
          <w:rFonts w:eastAsiaTheme="minorEastAsia"/>
          <w:b/>
        </w:rPr>
      </w:pPr>
      <w:hyperlink w:anchor="_Toc57377137" w:history="1">
        <w:r w:rsidR="007B29DD" w:rsidRPr="00842BEA">
          <w:rPr>
            <w:rStyle w:val="Hyperlink"/>
          </w:rPr>
          <w:t>4.8 Global climate model limitations</w:t>
        </w:r>
        <w:r w:rsidR="007B29DD">
          <w:rPr>
            <w:webHidden/>
          </w:rPr>
          <w:tab/>
        </w:r>
        <w:r w:rsidR="007B29DD">
          <w:rPr>
            <w:webHidden/>
          </w:rPr>
          <w:fldChar w:fldCharType="begin"/>
        </w:r>
        <w:r w:rsidR="007B29DD">
          <w:rPr>
            <w:webHidden/>
          </w:rPr>
          <w:instrText xml:space="preserve"> PAGEREF _Toc57377137 \h </w:instrText>
        </w:r>
        <w:r w:rsidR="007B29DD">
          <w:rPr>
            <w:webHidden/>
          </w:rPr>
        </w:r>
        <w:r w:rsidR="007B29DD">
          <w:rPr>
            <w:webHidden/>
          </w:rPr>
          <w:fldChar w:fldCharType="separate"/>
        </w:r>
        <w:r w:rsidR="007B29DD">
          <w:rPr>
            <w:webHidden/>
          </w:rPr>
          <w:t>3</w:t>
        </w:r>
        <w:r w:rsidR="006C176E">
          <w:rPr>
            <w:webHidden/>
          </w:rPr>
          <w:t>3</w:t>
        </w:r>
        <w:r w:rsidR="007B29DD">
          <w:rPr>
            <w:webHidden/>
          </w:rPr>
          <w:fldChar w:fldCharType="end"/>
        </w:r>
      </w:hyperlink>
    </w:p>
    <w:p w14:paraId="4148DD21" w14:textId="73EDDB8F" w:rsidR="007B29DD" w:rsidRDefault="006C5210" w:rsidP="007B29DD">
      <w:pPr>
        <w:pStyle w:val="TOC1"/>
        <w:rPr>
          <w:rFonts w:eastAsiaTheme="minorEastAsia"/>
          <w:b/>
        </w:rPr>
      </w:pPr>
      <w:hyperlink w:anchor="_Toc57377138" w:history="1">
        <w:r w:rsidR="007B29DD" w:rsidRPr="00842BEA">
          <w:rPr>
            <w:rStyle w:val="Hyperlink"/>
          </w:rPr>
          <w:t>5. Climate Change Impact Assessment</w:t>
        </w:r>
        <w:r w:rsidR="007B29DD">
          <w:rPr>
            <w:webHidden/>
          </w:rPr>
          <w:tab/>
        </w:r>
        <w:r w:rsidR="002A7F52">
          <w:rPr>
            <w:webHidden/>
          </w:rPr>
          <w:t>36</w:t>
        </w:r>
      </w:hyperlink>
    </w:p>
    <w:p w14:paraId="235817C0" w14:textId="54C435A2" w:rsidR="007B29DD" w:rsidRDefault="006C5210" w:rsidP="00811ED7">
      <w:pPr>
        <w:pStyle w:val="TOC2"/>
        <w:ind w:left="0"/>
        <w:rPr>
          <w:rFonts w:eastAsiaTheme="minorEastAsia"/>
          <w:b/>
        </w:rPr>
      </w:pPr>
      <w:hyperlink w:anchor="_Toc57377139" w:history="1">
        <w:r w:rsidR="007B29DD" w:rsidRPr="00842BEA">
          <w:rPr>
            <w:rStyle w:val="Hyperlink"/>
          </w:rPr>
          <w:t>5.1 Introduction</w:t>
        </w:r>
        <w:r w:rsidR="007B29DD">
          <w:rPr>
            <w:webHidden/>
          </w:rPr>
          <w:tab/>
        </w:r>
        <w:r w:rsidR="002A7F52">
          <w:rPr>
            <w:webHidden/>
          </w:rPr>
          <w:t>36</w:t>
        </w:r>
      </w:hyperlink>
    </w:p>
    <w:p w14:paraId="0593F5A6" w14:textId="7FB3DFF3" w:rsidR="007B29DD" w:rsidRDefault="006C5210" w:rsidP="00811ED7">
      <w:pPr>
        <w:pStyle w:val="TOC2"/>
        <w:ind w:left="0"/>
        <w:rPr>
          <w:rFonts w:eastAsiaTheme="minorEastAsia"/>
          <w:b/>
        </w:rPr>
      </w:pPr>
      <w:hyperlink w:anchor="_Toc57377140" w:history="1">
        <w:r w:rsidR="007B29DD" w:rsidRPr="00842BEA">
          <w:rPr>
            <w:rStyle w:val="Hyperlink"/>
          </w:rPr>
          <w:t>5.2 Overview of climate reference periods and climate change scenarios</w:t>
        </w:r>
        <w:r w:rsidR="007B29DD">
          <w:rPr>
            <w:webHidden/>
          </w:rPr>
          <w:tab/>
        </w:r>
        <w:r w:rsidR="00235ED2">
          <w:rPr>
            <w:webHidden/>
          </w:rPr>
          <w:t>37</w:t>
        </w:r>
      </w:hyperlink>
    </w:p>
    <w:p w14:paraId="18438D11" w14:textId="09B2E456" w:rsidR="007B29DD" w:rsidRDefault="006C5210" w:rsidP="00811ED7">
      <w:pPr>
        <w:pStyle w:val="TOC2"/>
        <w:ind w:left="0"/>
        <w:rPr>
          <w:rFonts w:eastAsiaTheme="minorEastAsia"/>
          <w:b/>
        </w:rPr>
      </w:pPr>
      <w:hyperlink w:anchor="_Toc57377141" w:history="1">
        <w:r w:rsidR="007B29DD" w:rsidRPr="00842BEA">
          <w:rPr>
            <w:rStyle w:val="Hyperlink"/>
          </w:rPr>
          <w:t>5.3 Develop your historic climate reference period datasets</w:t>
        </w:r>
        <w:r w:rsidR="007B29DD">
          <w:rPr>
            <w:webHidden/>
          </w:rPr>
          <w:tab/>
        </w:r>
        <w:r w:rsidR="00B22065">
          <w:rPr>
            <w:webHidden/>
          </w:rPr>
          <w:t>38</w:t>
        </w:r>
      </w:hyperlink>
    </w:p>
    <w:p w14:paraId="72877BA5" w14:textId="62C1F072" w:rsidR="007B29DD" w:rsidRDefault="006C5210" w:rsidP="00811ED7">
      <w:pPr>
        <w:pStyle w:val="TOC3"/>
        <w:ind w:left="0"/>
        <w:rPr>
          <w:b/>
        </w:rPr>
      </w:pPr>
      <w:hyperlink w:anchor="_Toc57377142" w:history="1">
        <w:r w:rsidR="007B29DD" w:rsidRPr="00842BEA">
          <w:rPr>
            <w:rStyle w:val="Hyperlink"/>
          </w:rPr>
          <w:t>5.3.1 Why are climate reference periods important?</w:t>
        </w:r>
        <w:r w:rsidR="007B29DD">
          <w:rPr>
            <w:webHidden/>
          </w:rPr>
          <w:tab/>
        </w:r>
        <w:r w:rsidR="00B22065">
          <w:rPr>
            <w:webHidden/>
          </w:rPr>
          <w:t>38</w:t>
        </w:r>
      </w:hyperlink>
    </w:p>
    <w:p w14:paraId="529F6B2A" w14:textId="39C82C55" w:rsidR="007B29DD" w:rsidRDefault="006C5210" w:rsidP="00811ED7">
      <w:pPr>
        <w:pStyle w:val="TOC3"/>
        <w:ind w:left="0"/>
        <w:rPr>
          <w:b/>
        </w:rPr>
      </w:pPr>
      <w:hyperlink w:anchor="_Toc57377143" w:history="1">
        <w:r w:rsidR="007B29DD" w:rsidRPr="00842BEA">
          <w:rPr>
            <w:rStyle w:val="Hyperlink"/>
          </w:rPr>
          <w:t>5.3.2 How the climate reference periods were selected for the guidelines</w:t>
        </w:r>
        <w:r w:rsidR="007B29DD">
          <w:rPr>
            <w:webHidden/>
          </w:rPr>
          <w:tab/>
        </w:r>
        <w:r w:rsidR="00B22065">
          <w:rPr>
            <w:webHidden/>
          </w:rPr>
          <w:t>38</w:t>
        </w:r>
      </w:hyperlink>
    </w:p>
    <w:p w14:paraId="48DF1EC5" w14:textId="6743F468" w:rsidR="007B29DD" w:rsidRDefault="006C5210" w:rsidP="00811ED7">
      <w:pPr>
        <w:pStyle w:val="TOC3"/>
        <w:ind w:left="0"/>
        <w:rPr>
          <w:b/>
        </w:rPr>
      </w:pPr>
      <w:hyperlink w:anchor="_Toc57377144" w:history="1">
        <w:r w:rsidR="007B29DD" w:rsidRPr="00842BEA">
          <w:rPr>
            <w:rStyle w:val="Hyperlink"/>
          </w:rPr>
          <w:t>5.3.3 Historic climate reference periods (post-1975 and post-1997)</w:t>
        </w:r>
        <w:r w:rsidR="007B29DD">
          <w:rPr>
            <w:webHidden/>
          </w:rPr>
          <w:tab/>
        </w:r>
        <w:r w:rsidR="00B22065">
          <w:rPr>
            <w:webHidden/>
          </w:rPr>
          <w:t>38</w:t>
        </w:r>
      </w:hyperlink>
    </w:p>
    <w:p w14:paraId="32AC56B7" w14:textId="540A0BFE" w:rsidR="007B29DD" w:rsidRDefault="006C5210" w:rsidP="00811ED7">
      <w:pPr>
        <w:pStyle w:val="TOC3"/>
        <w:ind w:left="0"/>
        <w:rPr>
          <w:b/>
        </w:rPr>
      </w:pPr>
      <w:hyperlink w:anchor="_Toc57377145" w:history="1">
        <w:r w:rsidR="007B29DD" w:rsidRPr="00842BEA">
          <w:rPr>
            <w:rStyle w:val="Hyperlink"/>
          </w:rPr>
          <w:t>5.3.4 Rationale for selecting the post-1975 historic climate reference period</w:t>
        </w:r>
        <w:r w:rsidR="007B29DD">
          <w:rPr>
            <w:webHidden/>
          </w:rPr>
          <w:tab/>
        </w:r>
        <w:r w:rsidR="00B22065">
          <w:rPr>
            <w:webHidden/>
          </w:rPr>
          <w:t>38</w:t>
        </w:r>
      </w:hyperlink>
    </w:p>
    <w:p w14:paraId="18877A95" w14:textId="13F9E1B6" w:rsidR="007B29DD" w:rsidRDefault="006C5210" w:rsidP="00811ED7">
      <w:pPr>
        <w:pStyle w:val="TOC3"/>
        <w:ind w:left="0"/>
        <w:rPr>
          <w:b/>
        </w:rPr>
      </w:pPr>
      <w:hyperlink w:anchor="_Toc57377146" w:history="1">
        <w:r w:rsidR="007B29DD" w:rsidRPr="00842BEA">
          <w:rPr>
            <w:rStyle w:val="Hyperlink"/>
          </w:rPr>
          <w:t>5.3.5 Rationale for selecting the post-1997 historic climate reference period</w:t>
        </w:r>
        <w:r w:rsidR="007B29DD">
          <w:rPr>
            <w:webHidden/>
          </w:rPr>
          <w:tab/>
        </w:r>
        <w:r w:rsidR="00B22065">
          <w:rPr>
            <w:webHidden/>
          </w:rPr>
          <w:t>39</w:t>
        </w:r>
      </w:hyperlink>
    </w:p>
    <w:p w14:paraId="20766047" w14:textId="3940403C" w:rsidR="007B29DD" w:rsidRDefault="006C5210" w:rsidP="00811ED7">
      <w:pPr>
        <w:pStyle w:val="TOC3"/>
        <w:ind w:left="0"/>
        <w:rPr>
          <w:b/>
        </w:rPr>
      </w:pPr>
      <w:hyperlink w:anchor="_Toc57377147" w:history="1">
        <w:r w:rsidR="007B29DD" w:rsidRPr="00842BEA">
          <w:rPr>
            <w:rStyle w:val="Hyperlink"/>
          </w:rPr>
          <w:t>5.3.6 Event sampling for near-term drought, extreme event and operational planning</w:t>
        </w:r>
        <w:r w:rsidR="007B29DD">
          <w:rPr>
            <w:webHidden/>
          </w:rPr>
          <w:tab/>
        </w:r>
        <w:r w:rsidR="007B29DD">
          <w:rPr>
            <w:webHidden/>
          </w:rPr>
          <w:fldChar w:fldCharType="begin"/>
        </w:r>
        <w:r w:rsidR="007B29DD">
          <w:rPr>
            <w:webHidden/>
          </w:rPr>
          <w:instrText xml:space="preserve"> PAGEREF _Toc57377147 \h </w:instrText>
        </w:r>
        <w:r w:rsidR="007B29DD">
          <w:rPr>
            <w:webHidden/>
          </w:rPr>
        </w:r>
        <w:r w:rsidR="007B29DD">
          <w:rPr>
            <w:webHidden/>
          </w:rPr>
          <w:fldChar w:fldCharType="separate"/>
        </w:r>
        <w:r w:rsidR="007B29DD">
          <w:rPr>
            <w:webHidden/>
          </w:rPr>
          <w:t>4</w:t>
        </w:r>
        <w:r w:rsidR="000150A6">
          <w:rPr>
            <w:webHidden/>
          </w:rPr>
          <w:t>0</w:t>
        </w:r>
        <w:r w:rsidR="007B29DD">
          <w:rPr>
            <w:webHidden/>
          </w:rPr>
          <w:fldChar w:fldCharType="end"/>
        </w:r>
      </w:hyperlink>
    </w:p>
    <w:p w14:paraId="78583578" w14:textId="239FAFBA" w:rsidR="007B29DD" w:rsidRDefault="006C5210" w:rsidP="00811ED7">
      <w:pPr>
        <w:pStyle w:val="TOC2"/>
        <w:ind w:left="0"/>
        <w:rPr>
          <w:rFonts w:eastAsiaTheme="minorEastAsia"/>
          <w:b/>
        </w:rPr>
      </w:pPr>
      <w:hyperlink w:anchor="_Toc57377148" w:history="1">
        <w:r w:rsidR="007B29DD" w:rsidRPr="00842BEA">
          <w:rPr>
            <w:rStyle w:val="Hyperlink"/>
          </w:rPr>
          <w:t>5.4 Extend your climate reference period datasets</w:t>
        </w:r>
        <w:r w:rsidR="007B29DD">
          <w:rPr>
            <w:webHidden/>
          </w:rPr>
          <w:tab/>
        </w:r>
        <w:r w:rsidR="007B29DD">
          <w:rPr>
            <w:webHidden/>
          </w:rPr>
          <w:fldChar w:fldCharType="begin"/>
        </w:r>
        <w:r w:rsidR="007B29DD">
          <w:rPr>
            <w:webHidden/>
          </w:rPr>
          <w:instrText xml:space="preserve"> PAGEREF _Toc57377148 \h </w:instrText>
        </w:r>
        <w:r w:rsidR="007B29DD">
          <w:rPr>
            <w:webHidden/>
          </w:rPr>
        </w:r>
        <w:r w:rsidR="007B29DD">
          <w:rPr>
            <w:webHidden/>
          </w:rPr>
          <w:fldChar w:fldCharType="separate"/>
        </w:r>
        <w:r w:rsidR="007B29DD">
          <w:rPr>
            <w:webHidden/>
          </w:rPr>
          <w:t>4</w:t>
        </w:r>
        <w:r w:rsidR="00E97C02">
          <w:rPr>
            <w:webHidden/>
          </w:rPr>
          <w:t>2</w:t>
        </w:r>
        <w:r w:rsidR="007B29DD">
          <w:rPr>
            <w:webHidden/>
          </w:rPr>
          <w:fldChar w:fldCharType="end"/>
        </w:r>
      </w:hyperlink>
    </w:p>
    <w:p w14:paraId="6B0826D7" w14:textId="6CAD0678" w:rsidR="007B29DD" w:rsidRDefault="006C5210" w:rsidP="00811ED7">
      <w:pPr>
        <w:pStyle w:val="TOC3"/>
        <w:ind w:left="0"/>
        <w:rPr>
          <w:b/>
        </w:rPr>
      </w:pPr>
      <w:hyperlink w:anchor="_Toc57377149" w:history="1">
        <w:r w:rsidR="007B29DD" w:rsidRPr="00842BEA">
          <w:rPr>
            <w:rStyle w:val="Hyperlink"/>
          </w:rPr>
          <w:t>5.4.1 Introduction</w:t>
        </w:r>
        <w:r w:rsidR="007B29DD">
          <w:rPr>
            <w:webHidden/>
          </w:rPr>
          <w:tab/>
        </w:r>
        <w:r w:rsidR="007B29DD">
          <w:rPr>
            <w:webHidden/>
          </w:rPr>
          <w:fldChar w:fldCharType="begin"/>
        </w:r>
        <w:r w:rsidR="007B29DD">
          <w:rPr>
            <w:webHidden/>
          </w:rPr>
          <w:instrText xml:space="preserve"> PAGEREF _Toc57377149 \h </w:instrText>
        </w:r>
        <w:r w:rsidR="007B29DD">
          <w:rPr>
            <w:webHidden/>
          </w:rPr>
        </w:r>
        <w:r w:rsidR="007B29DD">
          <w:rPr>
            <w:webHidden/>
          </w:rPr>
          <w:fldChar w:fldCharType="separate"/>
        </w:r>
        <w:r w:rsidR="007B29DD">
          <w:rPr>
            <w:webHidden/>
          </w:rPr>
          <w:t>4</w:t>
        </w:r>
        <w:r w:rsidR="00E97C02">
          <w:rPr>
            <w:webHidden/>
          </w:rPr>
          <w:t>2</w:t>
        </w:r>
        <w:r w:rsidR="007B29DD">
          <w:rPr>
            <w:webHidden/>
          </w:rPr>
          <w:fldChar w:fldCharType="end"/>
        </w:r>
      </w:hyperlink>
    </w:p>
    <w:p w14:paraId="32C6F5D3" w14:textId="757B5F5C" w:rsidR="007B29DD" w:rsidRDefault="006C5210" w:rsidP="00811ED7">
      <w:pPr>
        <w:pStyle w:val="TOC3"/>
        <w:ind w:left="0"/>
        <w:rPr>
          <w:b/>
        </w:rPr>
      </w:pPr>
      <w:hyperlink w:anchor="_Toc57377150" w:history="1">
        <w:r w:rsidR="007B29DD" w:rsidRPr="00842BEA">
          <w:rPr>
            <w:rStyle w:val="Hyperlink"/>
          </w:rPr>
          <w:t>5.4.2 Historical data scaling</w:t>
        </w:r>
        <w:r w:rsidR="007B29DD">
          <w:rPr>
            <w:webHidden/>
          </w:rPr>
          <w:tab/>
        </w:r>
        <w:r w:rsidR="00E97C02">
          <w:rPr>
            <w:webHidden/>
          </w:rPr>
          <w:t xml:space="preserve"> </w:t>
        </w:r>
        <w:r w:rsidR="007B29DD">
          <w:rPr>
            <w:webHidden/>
          </w:rPr>
          <w:fldChar w:fldCharType="begin"/>
        </w:r>
        <w:r w:rsidR="007B29DD">
          <w:rPr>
            <w:webHidden/>
          </w:rPr>
          <w:instrText xml:space="preserve"> PAGEREF _Toc57377150 \h </w:instrText>
        </w:r>
        <w:r w:rsidR="007B29DD">
          <w:rPr>
            <w:webHidden/>
          </w:rPr>
        </w:r>
        <w:r w:rsidR="007B29DD">
          <w:rPr>
            <w:webHidden/>
          </w:rPr>
          <w:fldChar w:fldCharType="separate"/>
        </w:r>
        <w:r w:rsidR="007B29DD">
          <w:rPr>
            <w:webHidden/>
          </w:rPr>
          <w:t>4</w:t>
        </w:r>
        <w:r w:rsidR="00E97C02">
          <w:rPr>
            <w:webHidden/>
          </w:rPr>
          <w:t>2</w:t>
        </w:r>
        <w:r w:rsidR="007B29DD">
          <w:rPr>
            <w:webHidden/>
          </w:rPr>
          <w:fldChar w:fldCharType="end"/>
        </w:r>
      </w:hyperlink>
    </w:p>
    <w:p w14:paraId="15D172E7" w14:textId="01D51930" w:rsidR="007B29DD" w:rsidRDefault="006C5210" w:rsidP="00811ED7">
      <w:pPr>
        <w:pStyle w:val="TOC3"/>
        <w:ind w:left="0"/>
        <w:rPr>
          <w:b/>
        </w:rPr>
      </w:pPr>
      <w:hyperlink w:anchor="_Toc57377151" w:history="1">
        <w:r w:rsidR="007B29DD" w:rsidRPr="00842BEA">
          <w:rPr>
            <w:rStyle w:val="Hyperlink"/>
          </w:rPr>
          <w:t>5.4.3 Stochastic data generation</w:t>
        </w:r>
        <w:r w:rsidR="007B29DD">
          <w:rPr>
            <w:webHidden/>
          </w:rPr>
          <w:tab/>
        </w:r>
        <w:r w:rsidR="007B29DD">
          <w:rPr>
            <w:webHidden/>
          </w:rPr>
          <w:fldChar w:fldCharType="begin"/>
        </w:r>
        <w:r w:rsidR="007B29DD">
          <w:rPr>
            <w:webHidden/>
          </w:rPr>
          <w:instrText xml:space="preserve"> PAGEREF _Toc57377151 \h </w:instrText>
        </w:r>
        <w:r w:rsidR="007B29DD">
          <w:rPr>
            <w:webHidden/>
          </w:rPr>
        </w:r>
        <w:r w:rsidR="007B29DD">
          <w:rPr>
            <w:webHidden/>
          </w:rPr>
          <w:fldChar w:fldCharType="separate"/>
        </w:r>
        <w:r w:rsidR="007B29DD">
          <w:rPr>
            <w:webHidden/>
          </w:rPr>
          <w:t>4</w:t>
        </w:r>
        <w:r w:rsidR="003716BC">
          <w:rPr>
            <w:webHidden/>
          </w:rPr>
          <w:t>4</w:t>
        </w:r>
        <w:r w:rsidR="007B29DD">
          <w:rPr>
            <w:webHidden/>
          </w:rPr>
          <w:fldChar w:fldCharType="end"/>
        </w:r>
      </w:hyperlink>
    </w:p>
    <w:p w14:paraId="1F31B3D4" w14:textId="7D15E9DC" w:rsidR="007B29DD" w:rsidRDefault="006C5210" w:rsidP="00811ED7">
      <w:pPr>
        <w:pStyle w:val="TOC2"/>
        <w:ind w:left="0"/>
        <w:rPr>
          <w:rFonts w:eastAsiaTheme="minorEastAsia"/>
          <w:b/>
        </w:rPr>
      </w:pPr>
      <w:hyperlink w:anchor="_Toc57377152" w:history="1">
        <w:r w:rsidR="007B29DD" w:rsidRPr="00842BEA">
          <w:rPr>
            <w:rStyle w:val="Hyperlink"/>
          </w:rPr>
          <w:t>5.5 Select your Representative Concentration Pathway scenarios</w:t>
        </w:r>
        <w:r w:rsidR="007B29DD">
          <w:rPr>
            <w:webHidden/>
          </w:rPr>
          <w:tab/>
        </w:r>
        <w:r w:rsidR="00D612DD">
          <w:rPr>
            <w:webHidden/>
          </w:rPr>
          <w:t>46</w:t>
        </w:r>
      </w:hyperlink>
    </w:p>
    <w:p w14:paraId="50CC906D" w14:textId="79357120" w:rsidR="007B29DD" w:rsidRDefault="006C5210" w:rsidP="00811ED7">
      <w:pPr>
        <w:pStyle w:val="TOC2"/>
        <w:ind w:left="0"/>
        <w:rPr>
          <w:rFonts w:eastAsiaTheme="minorEastAsia"/>
          <w:b/>
        </w:rPr>
      </w:pPr>
      <w:hyperlink w:anchor="_Toc57377153" w:history="1">
        <w:r w:rsidR="007B29DD" w:rsidRPr="00842BEA">
          <w:rPr>
            <w:rStyle w:val="Hyperlink"/>
          </w:rPr>
          <w:t>5.6 Develop your climate change scenarios</w:t>
        </w:r>
        <w:r w:rsidR="007B29DD">
          <w:rPr>
            <w:webHidden/>
          </w:rPr>
          <w:tab/>
        </w:r>
        <w:r w:rsidR="00EC4C3E">
          <w:rPr>
            <w:webHidden/>
          </w:rPr>
          <w:t>47</w:t>
        </w:r>
      </w:hyperlink>
    </w:p>
    <w:p w14:paraId="52CD7938" w14:textId="2D168302" w:rsidR="007B29DD" w:rsidRDefault="006C5210" w:rsidP="00811ED7">
      <w:pPr>
        <w:pStyle w:val="TOC3"/>
        <w:ind w:left="0"/>
        <w:rPr>
          <w:b/>
        </w:rPr>
      </w:pPr>
      <w:hyperlink w:anchor="_Toc57377154" w:history="1">
        <w:r w:rsidR="007B29DD" w:rsidRPr="00842BEA">
          <w:rPr>
            <w:rStyle w:val="Hyperlink"/>
          </w:rPr>
          <w:t>5.6.1 Introduction</w:t>
        </w:r>
        <w:r w:rsidR="007B29DD">
          <w:rPr>
            <w:webHidden/>
          </w:rPr>
          <w:tab/>
        </w:r>
        <w:r w:rsidR="00EC4C3E">
          <w:rPr>
            <w:webHidden/>
          </w:rPr>
          <w:t>47</w:t>
        </w:r>
      </w:hyperlink>
    </w:p>
    <w:p w14:paraId="2FB02818" w14:textId="5294770A" w:rsidR="007B29DD" w:rsidRDefault="006C5210" w:rsidP="00811ED7">
      <w:pPr>
        <w:pStyle w:val="TOC3"/>
        <w:ind w:left="0"/>
        <w:rPr>
          <w:b/>
        </w:rPr>
      </w:pPr>
      <w:hyperlink w:anchor="_Toc57377155" w:history="1">
        <w:r w:rsidR="007B29DD" w:rsidRPr="00842BEA">
          <w:rPr>
            <w:rStyle w:val="Hyperlink"/>
          </w:rPr>
          <w:t>5.6.2 Representing global climate model uncertainty</w:t>
        </w:r>
        <w:r w:rsidR="007B29DD">
          <w:rPr>
            <w:webHidden/>
          </w:rPr>
          <w:tab/>
        </w:r>
        <w:r w:rsidR="00EC4C3E">
          <w:rPr>
            <w:webHidden/>
          </w:rPr>
          <w:t>47</w:t>
        </w:r>
      </w:hyperlink>
    </w:p>
    <w:p w14:paraId="13FEF6E4" w14:textId="3D3B3297" w:rsidR="007B29DD" w:rsidRDefault="006C5210" w:rsidP="00811ED7">
      <w:pPr>
        <w:pStyle w:val="TOC3"/>
        <w:ind w:left="0"/>
        <w:rPr>
          <w:b/>
        </w:rPr>
      </w:pPr>
      <w:hyperlink w:anchor="_Toc57377156" w:history="1">
        <w:r w:rsidR="007B29DD" w:rsidRPr="00842BEA">
          <w:rPr>
            <w:rStyle w:val="Hyperlink"/>
          </w:rPr>
          <w:t>5.6.3 Projecting the low, medium and high climate change scenarios</w:t>
        </w:r>
        <w:r w:rsidR="007B29DD">
          <w:rPr>
            <w:webHidden/>
          </w:rPr>
          <w:tab/>
        </w:r>
        <w:r w:rsidR="00070CBA">
          <w:rPr>
            <w:webHidden/>
          </w:rPr>
          <w:t>48</w:t>
        </w:r>
      </w:hyperlink>
    </w:p>
    <w:p w14:paraId="375237F5" w14:textId="3BBE8EB9" w:rsidR="007B29DD" w:rsidRDefault="006C5210" w:rsidP="00811ED7">
      <w:pPr>
        <w:pStyle w:val="TOC3"/>
        <w:ind w:left="0"/>
        <w:rPr>
          <w:b/>
        </w:rPr>
      </w:pPr>
      <w:hyperlink w:anchor="_Toc57377157" w:history="1">
        <w:r w:rsidR="007B29DD" w:rsidRPr="00842BEA">
          <w:rPr>
            <w:rStyle w:val="Hyperlink"/>
          </w:rPr>
          <w:t>5.6.4 Projecting the post-1997 step climate change scenario</w:t>
        </w:r>
        <w:r w:rsidR="007B29DD">
          <w:rPr>
            <w:webHidden/>
          </w:rPr>
          <w:tab/>
        </w:r>
        <w:r w:rsidR="007B29DD">
          <w:rPr>
            <w:webHidden/>
          </w:rPr>
          <w:fldChar w:fldCharType="begin"/>
        </w:r>
        <w:r w:rsidR="007B29DD">
          <w:rPr>
            <w:webHidden/>
          </w:rPr>
          <w:instrText xml:space="preserve"> PAGEREF _Toc57377157 \h </w:instrText>
        </w:r>
        <w:r w:rsidR="007B29DD">
          <w:rPr>
            <w:webHidden/>
          </w:rPr>
        </w:r>
        <w:r w:rsidR="007B29DD">
          <w:rPr>
            <w:webHidden/>
          </w:rPr>
          <w:fldChar w:fldCharType="separate"/>
        </w:r>
        <w:r w:rsidR="007B29DD">
          <w:rPr>
            <w:webHidden/>
          </w:rPr>
          <w:t>5</w:t>
        </w:r>
        <w:r w:rsidR="00124CBB">
          <w:rPr>
            <w:webHidden/>
          </w:rPr>
          <w:t>2</w:t>
        </w:r>
        <w:r w:rsidR="007B29DD">
          <w:rPr>
            <w:webHidden/>
          </w:rPr>
          <w:fldChar w:fldCharType="end"/>
        </w:r>
      </w:hyperlink>
    </w:p>
    <w:p w14:paraId="68399582" w14:textId="0992B1B5" w:rsidR="007B29DD" w:rsidRDefault="006C5210" w:rsidP="00811ED7">
      <w:pPr>
        <w:pStyle w:val="TOC3"/>
        <w:ind w:left="0"/>
        <w:rPr>
          <w:b/>
        </w:rPr>
      </w:pPr>
      <w:hyperlink w:anchor="_Toc57377158" w:history="1">
        <w:r w:rsidR="007B29DD" w:rsidRPr="00842BEA">
          <w:rPr>
            <w:rStyle w:val="Hyperlink"/>
          </w:rPr>
          <w:t>5.6.5 What is the current status of the climate and water availability?</w:t>
        </w:r>
        <w:r w:rsidR="007B29DD">
          <w:rPr>
            <w:webHidden/>
          </w:rPr>
          <w:tab/>
        </w:r>
        <w:r w:rsidR="007B29DD">
          <w:rPr>
            <w:webHidden/>
          </w:rPr>
          <w:fldChar w:fldCharType="begin"/>
        </w:r>
        <w:r w:rsidR="007B29DD">
          <w:rPr>
            <w:webHidden/>
          </w:rPr>
          <w:instrText xml:space="preserve"> PAGEREF _Toc57377158 \h </w:instrText>
        </w:r>
        <w:r w:rsidR="007B29DD">
          <w:rPr>
            <w:webHidden/>
          </w:rPr>
        </w:r>
        <w:r w:rsidR="007B29DD">
          <w:rPr>
            <w:webHidden/>
          </w:rPr>
          <w:fldChar w:fldCharType="separate"/>
        </w:r>
        <w:r w:rsidR="007B29DD">
          <w:rPr>
            <w:webHidden/>
          </w:rPr>
          <w:t>5</w:t>
        </w:r>
        <w:r w:rsidR="00124CBB">
          <w:rPr>
            <w:webHidden/>
          </w:rPr>
          <w:t>2</w:t>
        </w:r>
        <w:r w:rsidR="007B29DD">
          <w:rPr>
            <w:webHidden/>
          </w:rPr>
          <w:fldChar w:fldCharType="end"/>
        </w:r>
      </w:hyperlink>
    </w:p>
    <w:p w14:paraId="04297E76" w14:textId="3F636401" w:rsidR="007B29DD" w:rsidRDefault="006C5210" w:rsidP="00811ED7">
      <w:pPr>
        <w:pStyle w:val="TOC2"/>
        <w:ind w:left="0"/>
        <w:rPr>
          <w:rFonts w:eastAsiaTheme="minorEastAsia"/>
          <w:b/>
        </w:rPr>
      </w:pPr>
      <w:hyperlink w:anchor="_Toc57377159" w:history="1">
        <w:r w:rsidR="007B29DD" w:rsidRPr="00842BEA">
          <w:rPr>
            <w:rStyle w:val="Hyperlink"/>
          </w:rPr>
          <w:t>5.7 Applying climate change projections to temperature</w:t>
        </w:r>
        <w:r w:rsidR="007B29DD">
          <w:rPr>
            <w:webHidden/>
          </w:rPr>
          <w:tab/>
        </w:r>
        <w:r w:rsidR="007B29DD">
          <w:rPr>
            <w:webHidden/>
          </w:rPr>
          <w:fldChar w:fldCharType="begin"/>
        </w:r>
        <w:r w:rsidR="007B29DD">
          <w:rPr>
            <w:webHidden/>
          </w:rPr>
          <w:instrText xml:space="preserve"> PAGEREF _Toc57377159 \h </w:instrText>
        </w:r>
        <w:r w:rsidR="007B29DD">
          <w:rPr>
            <w:webHidden/>
          </w:rPr>
        </w:r>
        <w:r w:rsidR="007B29DD">
          <w:rPr>
            <w:webHidden/>
          </w:rPr>
          <w:fldChar w:fldCharType="separate"/>
        </w:r>
        <w:r w:rsidR="007B29DD">
          <w:rPr>
            <w:webHidden/>
          </w:rPr>
          <w:t>5</w:t>
        </w:r>
        <w:r w:rsidR="00124CBB">
          <w:rPr>
            <w:webHidden/>
          </w:rPr>
          <w:t>3</w:t>
        </w:r>
        <w:r w:rsidR="007B29DD">
          <w:rPr>
            <w:webHidden/>
          </w:rPr>
          <w:fldChar w:fldCharType="end"/>
        </w:r>
      </w:hyperlink>
    </w:p>
    <w:p w14:paraId="46E52D5D" w14:textId="0D59FDF0" w:rsidR="007B29DD" w:rsidRDefault="006C5210" w:rsidP="00811ED7">
      <w:pPr>
        <w:pStyle w:val="TOC3"/>
        <w:ind w:left="0"/>
        <w:rPr>
          <w:b/>
        </w:rPr>
      </w:pPr>
      <w:hyperlink w:anchor="_Toc57377160" w:history="1">
        <w:r w:rsidR="007B29DD" w:rsidRPr="00842BEA">
          <w:rPr>
            <w:rStyle w:val="Hyperlink"/>
          </w:rPr>
          <w:t>5.7.1 Average annual temperature changes</w:t>
        </w:r>
        <w:r w:rsidR="004E642A">
          <w:rPr>
            <w:rStyle w:val="Hyperlink"/>
          </w:rPr>
          <w:t xml:space="preserve"> </w:t>
        </w:r>
        <w:r w:rsidR="007B29DD">
          <w:rPr>
            <w:webHidden/>
          </w:rPr>
          <w:tab/>
        </w:r>
        <w:r w:rsidR="004E642A">
          <w:rPr>
            <w:webHidden/>
          </w:rPr>
          <w:t>53</w:t>
        </w:r>
      </w:hyperlink>
    </w:p>
    <w:p w14:paraId="610A20F9" w14:textId="7425C2A6" w:rsidR="007B29DD" w:rsidRDefault="006C5210" w:rsidP="00811ED7">
      <w:pPr>
        <w:pStyle w:val="TOC3"/>
        <w:ind w:left="0"/>
        <w:rPr>
          <w:b/>
        </w:rPr>
      </w:pPr>
      <w:hyperlink w:anchor="_Toc57377161" w:history="1">
        <w:r w:rsidR="007B29DD" w:rsidRPr="00842BEA">
          <w:rPr>
            <w:rStyle w:val="Hyperlink"/>
          </w:rPr>
          <w:t>5.7.2 Minimum and peak temperature changes</w:t>
        </w:r>
        <w:r w:rsidR="007B29DD">
          <w:rPr>
            <w:webHidden/>
          </w:rPr>
          <w:tab/>
        </w:r>
        <w:r w:rsidR="007B29DD">
          <w:rPr>
            <w:webHidden/>
          </w:rPr>
          <w:fldChar w:fldCharType="begin"/>
        </w:r>
        <w:r w:rsidR="007B29DD">
          <w:rPr>
            <w:webHidden/>
          </w:rPr>
          <w:instrText xml:space="preserve"> PAGEREF _Toc57377161 \h </w:instrText>
        </w:r>
        <w:r w:rsidR="007B29DD">
          <w:rPr>
            <w:webHidden/>
          </w:rPr>
        </w:r>
        <w:r w:rsidR="007B29DD">
          <w:rPr>
            <w:webHidden/>
          </w:rPr>
          <w:fldChar w:fldCharType="separate"/>
        </w:r>
        <w:r w:rsidR="007B29DD">
          <w:rPr>
            <w:webHidden/>
          </w:rPr>
          <w:t>5</w:t>
        </w:r>
        <w:r w:rsidR="00F511AB">
          <w:rPr>
            <w:webHidden/>
          </w:rPr>
          <w:t>6</w:t>
        </w:r>
        <w:r w:rsidR="007B29DD">
          <w:rPr>
            <w:webHidden/>
          </w:rPr>
          <w:fldChar w:fldCharType="end"/>
        </w:r>
      </w:hyperlink>
    </w:p>
    <w:p w14:paraId="5C9FE8A4" w14:textId="29C717A3" w:rsidR="007B29DD" w:rsidRDefault="006C5210" w:rsidP="00811ED7">
      <w:pPr>
        <w:pStyle w:val="TOC2"/>
        <w:ind w:left="0"/>
        <w:rPr>
          <w:rFonts w:eastAsiaTheme="minorEastAsia"/>
          <w:b/>
        </w:rPr>
      </w:pPr>
      <w:hyperlink w:anchor="_Toc57377162" w:history="1">
        <w:r w:rsidR="007B29DD" w:rsidRPr="00842BEA">
          <w:rPr>
            <w:rStyle w:val="Hyperlink"/>
          </w:rPr>
          <w:t>5.8 Applying climate change projections to potential evapotranspiration</w:t>
        </w:r>
        <w:r w:rsidR="007B29DD">
          <w:rPr>
            <w:webHidden/>
          </w:rPr>
          <w:tab/>
        </w:r>
        <w:r w:rsidR="00D66983">
          <w:rPr>
            <w:webHidden/>
          </w:rPr>
          <w:t>57</w:t>
        </w:r>
      </w:hyperlink>
    </w:p>
    <w:p w14:paraId="7DACC2E7" w14:textId="5D8124EE" w:rsidR="007B29DD" w:rsidRDefault="006C5210" w:rsidP="00811ED7">
      <w:pPr>
        <w:pStyle w:val="TOC2"/>
        <w:ind w:left="0"/>
        <w:rPr>
          <w:rFonts w:eastAsiaTheme="minorEastAsia"/>
          <w:b/>
        </w:rPr>
      </w:pPr>
      <w:hyperlink w:anchor="_Toc57377163" w:history="1">
        <w:r w:rsidR="007B29DD" w:rsidRPr="00842BEA">
          <w:rPr>
            <w:rStyle w:val="Hyperlink"/>
          </w:rPr>
          <w:t>5.9 Applying climate change projections to rainfall</w:t>
        </w:r>
        <w:r w:rsidR="007B29DD">
          <w:rPr>
            <w:webHidden/>
          </w:rPr>
          <w:tab/>
        </w:r>
        <w:r w:rsidR="007B29DD">
          <w:rPr>
            <w:webHidden/>
          </w:rPr>
          <w:fldChar w:fldCharType="begin"/>
        </w:r>
        <w:r w:rsidR="007B29DD">
          <w:rPr>
            <w:webHidden/>
          </w:rPr>
          <w:instrText xml:space="preserve"> PAGEREF _Toc57377163 \h </w:instrText>
        </w:r>
        <w:r w:rsidR="007B29DD">
          <w:rPr>
            <w:webHidden/>
          </w:rPr>
        </w:r>
        <w:r w:rsidR="007B29DD">
          <w:rPr>
            <w:webHidden/>
          </w:rPr>
          <w:fldChar w:fldCharType="separate"/>
        </w:r>
        <w:r w:rsidR="007B29DD">
          <w:rPr>
            <w:webHidden/>
          </w:rPr>
          <w:t>6</w:t>
        </w:r>
        <w:r w:rsidR="00982A0F">
          <w:rPr>
            <w:webHidden/>
          </w:rPr>
          <w:t>0</w:t>
        </w:r>
        <w:r w:rsidR="007B29DD">
          <w:rPr>
            <w:webHidden/>
          </w:rPr>
          <w:fldChar w:fldCharType="end"/>
        </w:r>
      </w:hyperlink>
    </w:p>
    <w:p w14:paraId="67BE0443" w14:textId="4DAE2F1E" w:rsidR="007B29DD" w:rsidRDefault="006C5210" w:rsidP="00811ED7">
      <w:pPr>
        <w:pStyle w:val="TOC3"/>
        <w:ind w:left="0"/>
        <w:rPr>
          <w:b/>
        </w:rPr>
      </w:pPr>
      <w:hyperlink w:anchor="_Toc57377164" w:history="1">
        <w:r w:rsidR="007B29DD" w:rsidRPr="00842BEA">
          <w:rPr>
            <w:rStyle w:val="Hyperlink"/>
          </w:rPr>
          <w:t>5.9.1 Average annual rainfall changes</w:t>
        </w:r>
        <w:r w:rsidR="007B29DD">
          <w:rPr>
            <w:webHidden/>
          </w:rPr>
          <w:tab/>
        </w:r>
        <w:r w:rsidR="007B29DD">
          <w:rPr>
            <w:webHidden/>
          </w:rPr>
          <w:fldChar w:fldCharType="begin"/>
        </w:r>
        <w:r w:rsidR="007B29DD">
          <w:rPr>
            <w:webHidden/>
          </w:rPr>
          <w:instrText xml:space="preserve"> PAGEREF _Toc57377164 \h </w:instrText>
        </w:r>
        <w:r w:rsidR="007B29DD">
          <w:rPr>
            <w:webHidden/>
          </w:rPr>
        </w:r>
        <w:r w:rsidR="007B29DD">
          <w:rPr>
            <w:webHidden/>
          </w:rPr>
          <w:fldChar w:fldCharType="separate"/>
        </w:r>
        <w:r w:rsidR="007B29DD">
          <w:rPr>
            <w:webHidden/>
          </w:rPr>
          <w:t>6</w:t>
        </w:r>
        <w:r w:rsidR="007B29DD">
          <w:rPr>
            <w:webHidden/>
          </w:rPr>
          <w:fldChar w:fldCharType="end"/>
        </w:r>
      </w:hyperlink>
      <w:r w:rsidR="00982A0F">
        <w:t>0</w:t>
      </w:r>
    </w:p>
    <w:p w14:paraId="7FB6715A" w14:textId="0B46BBB8" w:rsidR="007B29DD" w:rsidRDefault="006C5210" w:rsidP="00811ED7">
      <w:pPr>
        <w:pStyle w:val="TOC3"/>
        <w:ind w:left="0"/>
        <w:rPr>
          <w:b/>
        </w:rPr>
      </w:pPr>
      <w:hyperlink w:anchor="_Toc57377165" w:history="1">
        <w:r w:rsidR="007B29DD" w:rsidRPr="00842BEA">
          <w:rPr>
            <w:rStyle w:val="Hyperlink"/>
          </w:rPr>
          <w:t>5.9.2 Average seasonal rainfall changes</w:t>
        </w:r>
        <w:r w:rsidR="007B29DD">
          <w:rPr>
            <w:webHidden/>
          </w:rPr>
          <w:tab/>
        </w:r>
        <w:r w:rsidR="007B29DD">
          <w:rPr>
            <w:webHidden/>
          </w:rPr>
          <w:fldChar w:fldCharType="begin"/>
        </w:r>
        <w:r w:rsidR="007B29DD">
          <w:rPr>
            <w:webHidden/>
          </w:rPr>
          <w:instrText xml:space="preserve"> PAGEREF _Toc57377165 \h </w:instrText>
        </w:r>
        <w:r w:rsidR="007B29DD">
          <w:rPr>
            <w:webHidden/>
          </w:rPr>
        </w:r>
        <w:r w:rsidR="007B29DD">
          <w:rPr>
            <w:webHidden/>
          </w:rPr>
          <w:fldChar w:fldCharType="separate"/>
        </w:r>
        <w:r w:rsidR="007B29DD">
          <w:rPr>
            <w:webHidden/>
          </w:rPr>
          <w:t>6</w:t>
        </w:r>
        <w:r w:rsidR="00921025">
          <w:rPr>
            <w:webHidden/>
          </w:rPr>
          <w:t>4</w:t>
        </w:r>
        <w:r w:rsidR="007B29DD">
          <w:rPr>
            <w:webHidden/>
          </w:rPr>
          <w:fldChar w:fldCharType="end"/>
        </w:r>
      </w:hyperlink>
    </w:p>
    <w:p w14:paraId="152782EF" w14:textId="3715F663" w:rsidR="007B29DD" w:rsidRDefault="006C5210" w:rsidP="00811ED7">
      <w:pPr>
        <w:pStyle w:val="TOC3"/>
        <w:ind w:left="0"/>
        <w:rPr>
          <w:b/>
        </w:rPr>
      </w:pPr>
      <w:hyperlink w:anchor="_Toc57377166" w:history="1">
        <w:r w:rsidR="007B29DD" w:rsidRPr="00842BEA">
          <w:rPr>
            <w:rStyle w:val="Hyperlink"/>
          </w:rPr>
          <w:t>5.9.3 Changes to drought duration</w:t>
        </w:r>
        <w:r w:rsidR="007B29DD">
          <w:rPr>
            <w:webHidden/>
          </w:rPr>
          <w:tab/>
        </w:r>
        <w:r w:rsidR="007B29DD">
          <w:rPr>
            <w:webHidden/>
          </w:rPr>
          <w:fldChar w:fldCharType="begin"/>
        </w:r>
        <w:r w:rsidR="007B29DD">
          <w:rPr>
            <w:webHidden/>
          </w:rPr>
          <w:instrText xml:space="preserve"> PAGEREF _Toc57377166 \h </w:instrText>
        </w:r>
        <w:r w:rsidR="007B29DD">
          <w:rPr>
            <w:webHidden/>
          </w:rPr>
        </w:r>
        <w:r w:rsidR="007B29DD">
          <w:rPr>
            <w:webHidden/>
          </w:rPr>
          <w:fldChar w:fldCharType="separate"/>
        </w:r>
        <w:r w:rsidR="007B29DD">
          <w:rPr>
            <w:webHidden/>
          </w:rPr>
          <w:t>6</w:t>
        </w:r>
        <w:r w:rsidR="002800C5">
          <w:rPr>
            <w:webHidden/>
          </w:rPr>
          <w:t>7</w:t>
        </w:r>
        <w:r w:rsidR="007B29DD">
          <w:rPr>
            <w:webHidden/>
          </w:rPr>
          <w:fldChar w:fldCharType="end"/>
        </w:r>
      </w:hyperlink>
    </w:p>
    <w:p w14:paraId="27D6BA68" w14:textId="0EF291ED" w:rsidR="007B29DD" w:rsidRDefault="006C5210" w:rsidP="00811ED7">
      <w:pPr>
        <w:pStyle w:val="TOC3"/>
        <w:ind w:left="0"/>
        <w:rPr>
          <w:b/>
        </w:rPr>
      </w:pPr>
      <w:hyperlink w:anchor="_Toc57377167" w:history="1">
        <w:r w:rsidR="007B29DD" w:rsidRPr="00842BEA">
          <w:rPr>
            <w:rStyle w:val="Hyperlink"/>
          </w:rPr>
          <w:t>5.9.4 Changes to peak rainfall</w:t>
        </w:r>
        <w:r w:rsidR="007B29DD">
          <w:rPr>
            <w:webHidden/>
          </w:rPr>
          <w:tab/>
        </w:r>
        <w:r w:rsidR="007B29DD">
          <w:rPr>
            <w:webHidden/>
          </w:rPr>
          <w:fldChar w:fldCharType="begin"/>
        </w:r>
        <w:r w:rsidR="007B29DD">
          <w:rPr>
            <w:webHidden/>
          </w:rPr>
          <w:instrText xml:space="preserve"> PAGEREF _Toc57377167 \h </w:instrText>
        </w:r>
        <w:r w:rsidR="007B29DD">
          <w:rPr>
            <w:webHidden/>
          </w:rPr>
        </w:r>
        <w:r w:rsidR="007B29DD">
          <w:rPr>
            <w:webHidden/>
          </w:rPr>
          <w:fldChar w:fldCharType="separate"/>
        </w:r>
        <w:r w:rsidR="007B29DD">
          <w:rPr>
            <w:webHidden/>
          </w:rPr>
          <w:t>6</w:t>
        </w:r>
        <w:r w:rsidR="002800C5">
          <w:rPr>
            <w:webHidden/>
          </w:rPr>
          <w:t>7</w:t>
        </w:r>
        <w:r w:rsidR="007B29DD">
          <w:rPr>
            <w:webHidden/>
          </w:rPr>
          <w:fldChar w:fldCharType="end"/>
        </w:r>
      </w:hyperlink>
    </w:p>
    <w:p w14:paraId="73B9E85E" w14:textId="667A6759" w:rsidR="007B29DD" w:rsidRDefault="006C5210" w:rsidP="00811ED7">
      <w:pPr>
        <w:pStyle w:val="TOC2"/>
        <w:ind w:left="0"/>
        <w:rPr>
          <w:rFonts w:eastAsiaTheme="minorEastAsia"/>
          <w:b/>
        </w:rPr>
      </w:pPr>
      <w:hyperlink w:anchor="_Toc57377168" w:history="1">
        <w:r w:rsidR="007B29DD" w:rsidRPr="00842BEA">
          <w:rPr>
            <w:rStyle w:val="Hyperlink"/>
          </w:rPr>
          <w:t>5.10 Applying climate change projections to runoff (streamflow)</w:t>
        </w:r>
        <w:r w:rsidR="007B29DD">
          <w:rPr>
            <w:webHidden/>
          </w:rPr>
          <w:tab/>
        </w:r>
        <w:r w:rsidR="00BD6BEB">
          <w:rPr>
            <w:webHidden/>
          </w:rPr>
          <w:t>69</w:t>
        </w:r>
      </w:hyperlink>
    </w:p>
    <w:p w14:paraId="3E144E04" w14:textId="46D113D8" w:rsidR="007B29DD" w:rsidRDefault="006C5210" w:rsidP="00811ED7">
      <w:pPr>
        <w:pStyle w:val="TOC3"/>
        <w:ind w:left="0"/>
        <w:rPr>
          <w:b/>
        </w:rPr>
      </w:pPr>
      <w:hyperlink w:anchor="_Toc57377169" w:history="1">
        <w:r w:rsidR="007B29DD" w:rsidRPr="00842BEA">
          <w:rPr>
            <w:rStyle w:val="Hyperlink"/>
          </w:rPr>
          <w:t>5.10.1 Average annual runoff changes</w:t>
        </w:r>
        <w:r w:rsidR="007B29DD">
          <w:rPr>
            <w:webHidden/>
          </w:rPr>
          <w:tab/>
        </w:r>
        <w:r w:rsidR="00BD6BEB">
          <w:rPr>
            <w:webHidden/>
          </w:rPr>
          <w:t>69</w:t>
        </w:r>
      </w:hyperlink>
    </w:p>
    <w:p w14:paraId="2C01D0A3" w14:textId="77777777" w:rsidR="007B29DD" w:rsidRDefault="006C5210" w:rsidP="00811ED7">
      <w:pPr>
        <w:pStyle w:val="TOC3"/>
        <w:ind w:left="0"/>
        <w:rPr>
          <w:b/>
        </w:rPr>
      </w:pPr>
      <w:hyperlink w:anchor="_Toc57377170" w:history="1">
        <w:r w:rsidR="007B29DD" w:rsidRPr="00842BEA">
          <w:rPr>
            <w:rStyle w:val="Hyperlink"/>
          </w:rPr>
          <w:t>5.10.2 Average seasonal runoff changes</w:t>
        </w:r>
        <w:r w:rsidR="007B29DD">
          <w:rPr>
            <w:webHidden/>
          </w:rPr>
          <w:tab/>
        </w:r>
        <w:r w:rsidR="007B29DD">
          <w:rPr>
            <w:webHidden/>
          </w:rPr>
          <w:fldChar w:fldCharType="begin"/>
        </w:r>
        <w:r w:rsidR="007B29DD">
          <w:rPr>
            <w:webHidden/>
          </w:rPr>
          <w:instrText xml:space="preserve"> PAGEREF _Toc57377170 \h </w:instrText>
        </w:r>
        <w:r w:rsidR="007B29DD">
          <w:rPr>
            <w:webHidden/>
          </w:rPr>
        </w:r>
        <w:r w:rsidR="007B29DD">
          <w:rPr>
            <w:webHidden/>
          </w:rPr>
          <w:fldChar w:fldCharType="separate"/>
        </w:r>
        <w:r w:rsidR="007B29DD">
          <w:rPr>
            <w:webHidden/>
          </w:rPr>
          <w:t>73</w:t>
        </w:r>
        <w:r w:rsidR="007B29DD">
          <w:rPr>
            <w:webHidden/>
          </w:rPr>
          <w:fldChar w:fldCharType="end"/>
        </w:r>
      </w:hyperlink>
    </w:p>
    <w:p w14:paraId="5CADC73E" w14:textId="77777777" w:rsidR="007B29DD" w:rsidRDefault="006C5210" w:rsidP="00811ED7">
      <w:pPr>
        <w:pStyle w:val="TOC3"/>
        <w:ind w:left="0"/>
        <w:rPr>
          <w:b/>
        </w:rPr>
      </w:pPr>
      <w:hyperlink w:anchor="_Toc57377171" w:history="1">
        <w:r w:rsidR="007B29DD" w:rsidRPr="00842BEA">
          <w:rPr>
            <w:rStyle w:val="Hyperlink"/>
          </w:rPr>
          <w:t>5.10.3 Changes to rainfall-runoff behaviour</w:t>
        </w:r>
        <w:r w:rsidR="007B29DD">
          <w:rPr>
            <w:webHidden/>
          </w:rPr>
          <w:tab/>
        </w:r>
        <w:r w:rsidR="007B29DD">
          <w:rPr>
            <w:webHidden/>
          </w:rPr>
          <w:fldChar w:fldCharType="begin"/>
        </w:r>
        <w:r w:rsidR="007B29DD">
          <w:rPr>
            <w:webHidden/>
          </w:rPr>
          <w:instrText xml:space="preserve"> PAGEREF _Toc57377171 \h </w:instrText>
        </w:r>
        <w:r w:rsidR="007B29DD">
          <w:rPr>
            <w:webHidden/>
          </w:rPr>
        </w:r>
        <w:r w:rsidR="007B29DD">
          <w:rPr>
            <w:webHidden/>
          </w:rPr>
          <w:fldChar w:fldCharType="separate"/>
        </w:r>
        <w:r w:rsidR="007B29DD">
          <w:rPr>
            <w:webHidden/>
          </w:rPr>
          <w:t>73</w:t>
        </w:r>
        <w:r w:rsidR="007B29DD">
          <w:rPr>
            <w:webHidden/>
          </w:rPr>
          <w:fldChar w:fldCharType="end"/>
        </w:r>
      </w:hyperlink>
    </w:p>
    <w:p w14:paraId="11C1810C" w14:textId="77777777" w:rsidR="007B29DD" w:rsidRDefault="006C5210" w:rsidP="00811ED7">
      <w:pPr>
        <w:pStyle w:val="TOC3"/>
        <w:ind w:left="0"/>
        <w:rPr>
          <w:b/>
        </w:rPr>
      </w:pPr>
      <w:hyperlink w:anchor="_Toc57377172" w:history="1">
        <w:r w:rsidR="007B29DD" w:rsidRPr="00842BEA">
          <w:rPr>
            <w:rStyle w:val="Hyperlink"/>
          </w:rPr>
          <w:t>5.10.4 Changes to peak flows</w:t>
        </w:r>
        <w:r w:rsidR="007B29DD">
          <w:rPr>
            <w:webHidden/>
          </w:rPr>
          <w:tab/>
        </w:r>
        <w:r w:rsidR="007B29DD">
          <w:rPr>
            <w:webHidden/>
          </w:rPr>
          <w:fldChar w:fldCharType="begin"/>
        </w:r>
        <w:r w:rsidR="007B29DD">
          <w:rPr>
            <w:webHidden/>
          </w:rPr>
          <w:instrText xml:space="preserve"> PAGEREF _Toc57377172 \h </w:instrText>
        </w:r>
        <w:r w:rsidR="007B29DD">
          <w:rPr>
            <w:webHidden/>
          </w:rPr>
        </w:r>
        <w:r w:rsidR="007B29DD">
          <w:rPr>
            <w:webHidden/>
          </w:rPr>
          <w:fldChar w:fldCharType="separate"/>
        </w:r>
        <w:r w:rsidR="007B29DD">
          <w:rPr>
            <w:webHidden/>
          </w:rPr>
          <w:t>74</w:t>
        </w:r>
        <w:r w:rsidR="007B29DD">
          <w:rPr>
            <w:webHidden/>
          </w:rPr>
          <w:fldChar w:fldCharType="end"/>
        </w:r>
      </w:hyperlink>
    </w:p>
    <w:p w14:paraId="478075F0" w14:textId="70E3BC38" w:rsidR="007B29DD" w:rsidRDefault="006C5210" w:rsidP="00811ED7">
      <w:pPr>
        <w:pStyle w:val="TOC2"/>
        <w:ind w:left="0"/>
        <w:rPr>
          <w:rFonts w:eastAsiaTheme="minorEastAsia"/>
          <w:b/>
        </w:rPr>
      </w:pPr>
      <w:hyperlink w:anchor="_Toc57377173" w:history="1">
        <w:r w:rsidR="007B29DD" w:rsidRPr="00842BEA">
          <w:rPr>
            <w:rStyle w:val="Hyperlink"/>
          </w:rPr>
          <w:t>5.11 Applying climate change projections to groundwater</w:t>
        </w:r>
        <w:r w:rsidR="007B29DD">
          <w:rPr>
            <w:webHidden/>
          </w:rPr>
          <w:tab/>
        </w:r>
        <w:r w:rsidR="00642ADD">
          <w:rPr>
            <w:webHidden/>
          </w:rPr>
          <w:t>75</w:t>
        </w:r>
      </w:hyperlink>
    </w:p>
    <w:p w14:paraId="26394417" w14:textId="24AD9B63" w:rsidR="007B29DD" w:rsidRDefault="006C5210" w:rsidP="00811ED7">
      <w:pPr>
        <w:pStyle w:val="TOC3"/>
        <w:ind w:left="0"/>
        <w:rPr>
          <w:b/>
        </w:rPr>
      </w:pPr>
      <w:hyperlink w:anchor="_Toc57377174" w:history="1">
        <w:r w:rsidR="007B29DD" w:rsidRPr="00842BEA">
          <w:rPr>
            <w:rStyle w:val="Hyperlink"/>
          </w:rPr>
          <w:t>5.11.1</w:t>
        </w:r>
        <w:r w:rsidR="007B29DD" w:rsidRPr="00842BEA">
          <w:rPr>
            <w:rStyle w:val="Hyperlink"/>
            <w:rFonts w:ascii="Arial" w:eastAsia="Arial" w:hAnsi="Arial"/>
          </w:rPr>
          <w:t xml:space="preserve"> Introduction</w:t>
        </w:r>
        <w:r w:rsidR="007B29DD">
          <w:rPr>
            <w:webHidden/>
          </w:rPr>
          <w:tab/>
        </w:r>
        <w:r w:rsidR="007B29DD">
          <w:rPr>
            <w:webHidden/>
          </w:rPr>
          <w:fldChar w:fldCharType="begin"/>
        </w:r>
        <w:r w:rsidR="007B29DD">
          <w:rPr>
            <w:webHidden/>
          </w:rPr>
          <w:instrText xml:space="preserve"> PAGEREF _Toc57377174 \h </w:instrText>
        </w:r>
        <w:r w:rsidR="007B29DD">
          <w:rPr>
            <w:webHidden/>
          </w:rPr>
        </w:r>
        <w:r w:rsidR="007B29DD">
          <w:rPr>
            <w:webHidden/>
          </w:rPr>
          <w:fldChar w:fldCharType="separate"/>
        </w:r>
        <w:r w:rsidR="007B29DD">
          <w:rPr>
            <w:webHidden/>
          </w:rPr>
          <w:t>7</w:t>
        </w:r>
        <w:r w:rsidR="00642ADD">
          <w:rPr>
            <w:webHidden/>
          </w:rPr>
          <w:t>5</w:t>
        </w:r>
        <w:r w:rsidR="007B29DD">
          <w:rPr>
            <w:webHidden/>
          </w:rPr>
          <w:fldChar w:fldCharType="end"/>
        </w:r>
      </w:hyperlink>
    </w:p>
    <w:p w14:paraId="7DF60044" w14:textId="77777777" w:rsidR="007B29DD" w:rsidRDefault="006C5210" w:rsidP="00811ED7">
      <w:pPr>
        <w:pStyle w:val="TOC3"/>
        <w:ind w:left="0"/>
        <w:rPr>
          <w:b/>
        </w:rPr>
      </w:pPr>
      <w:hyperlink w:anchor="_Toc57377175" w:history="1">
        <w:r w:rsidR="007B29DD" w:rsidRPr="00842BEA">
          <w:rPr>
            <w:rStyle w:val="Hyperlink"/>
          </w:rPr>
          <w:t>5.11.2</w:t>
        </w:r>
        <w:r w:rsidR="007B29DD" w:rsidRPr="00842BEA">
          <w:rPr>
            <w:rStyle w:val="Hyperlink"/>
            <w:rFonts w:ascii="Arial" w:eastAsia="Arial" w:hAnsi="Arial"/>
          </w:rPr>
          <w:t xml:space="preserve"> Groundwater resources that require assessment of climate change impacts</w:t>
        </w:r>
        <w:r w:rsidR="007B29DD">
          <w:rPr>
            <w:webHidden/>
          </w:rPr>
          <w:tab/>
        </w:r>
        <w:r w:rsidR="007B29DD">
          <w:rPr>
            <w:webHidden/>
          </w:rPr>
          <w:fldChar w:fldCharType="begin"/>
        </w:r>
        <w:r w:rsidR="007B29DD">
          <w:rPr>
            <w:webHidden/>
          </w:rPr>
          <w:instrText xml:space="preserve"> PAGEREF _Toc57377175 \h </w:instrText>
        </w:r>
        <w:r w:rsidR="007B29DD">
          <w:rPr>
            <w:webHidden/>
          </w:rPr>
        </w:r>
        <w:r w:rsidR="007B29DD">
          <w:rPr>
            <w:webHidden/>
          </w:rPr>
          <w:fldChar w:fldCharType="separate"/>
        </w:r>
        <w:r w:rsidR="007B29DD">
          <w:rPr>
            <w:webHidden/>
          </w:rPr>
          <w:t>75</w:t>
        </w:r>
        <w:r w:rsidR="007B29DD">
          <w:rPr>
            <w:webHidden/>
          </w:rPr>
          <w:fldChar w:fldCharType="end"/>
        </w:r>
      </w:hyperlink>
    </w:p>
    <w:p w14:paraId="61752FB4" w14:textId="77777777" w:rsidR="007B29DD" w:rsidRDefault="006C5210" w:rsidP="00811ED7">
      <w:pPr>
        <w:pStyle w:val="TOC3"/>
        <w:ind w:left="0"/>
        <w:rPr>
          <w:b/>
        </w:rPr>
      </w:pPr>
      <w:hyperlink w:anchor="_Toc57377176" w:history="1">
        <w:r w:rsidR="007B29DD" w:rsidRPr="00842BEA">
          <w:rPr>
            <w:rStyle w:val="Hyperlink"/>
          </w:rPr>
          <w:t>5.11.3</w:t>
        </w:r>
        <w:r w:rsidR="007B29DD" w:rsidRPr="00842BEA">
          <w:rPr>
            <w:rStyle w:val="Hyperlink"/>
            <w:rFonts w:ascii="Arial" w:eastAsia="Arial" w:hAnsi="Arial"/>
          </w:rPr>
          <w:t xml:space="preserve"> Historic recharge rates for analytical modelling of groundwater systems in Victoria</w:t>
        </w:r>
        <w:r w:rsidR="007B29DD">
          <w:rPr>
            <w:webHidden/>
          </w:rPr>
          <w:tab/>
        </w:r>
        <w:r w:rsidR="007B29DD">
          <w:rPr>
            <w:webHidden/>
          </w:rPr>
          <w:fldChar w:fldCharType="begin"/>
        </w:r>
        <w:r w:rsidR="007B29DD">
          <w:rPr>
            <w:webHidden/>
          </w:rPr>
          <w:instrText xml:space="preserve"> PAGEREF _Toc57377176 \h </w:instrText>
        </w:r>
        <w:r w:rsidR="007B29DD">
          <w:rPr>
            <w:webHidden/>
          </w:rPr>
        </w:r>
        <w:r w:rsidR="007B29DD">
          <w:rPr>
            <w:webHidden/>
          </w:rPr>
          <w:fldChar w:fldCharType="separate"/>
        </w:r>
        <w:r w:rsidR="007B29DD">
          <w:rPr>
            <w:webHidden/>
          </w:rPr>
          <w:t>75</w:t>
        </w:r>
        <w:r w:rsidR="007B29DD">
          <w:rPr>
            <w:webHidden/>
          </w:rPr>
          <w:fldChar w:fldCharType="end"/>
        </w:r>
      </w:hyperlink>
    </w:p>
    <w:p w14:paraId="67B40818" w14:textId="77777777" w:rsidR="007B29DD" w:rsidRDefault="006C5210" w:rsidP="00811ED7">
      <w:pPr>
        <w:pStyle w:val="TOC3"/>
        <w:ind w:left="0"/>
        <w:rPr>
          <w:b/>
        </w:rPr>
      </w:pPr>
      <w:hyperlink w:anchor="_Toc57377177" w:history="1">
        <w:r w:rsidR="007B29DD" w:rsidRPr="00842BEA">
          <w:rPr>
            <w:rStyle w:val="Hyperlink"/>
          </w:rPr>
          <w:t>5.11.4</w:t>
        </w:r>
        <w:r w:rsidR="007B29DD" w:rsidRPr="00842BEA">
          <w:rPr>
            <w:rStyle w:val="Hyperlink"/>
            <w:rFonts w:ascii="Arial" w:eastAsia="Arial" w:hAnsi="Arial"/>
          </w:rPr>
          <w:t xml:space="preserve"> Approach for including climate change in recharge assessments</w:t>
        </w:r>
        <w:r w:rsidR="007B29DD">
          <w:rPr>
            <w:webHidden/>
          </w:rPr>
          <w:tab/>
        </w:r>
        <w:r w:rsidR="007B29DD">
          <w:rPr>
            <w:webHidden/>
          </w:rPr>
          <w:fldChar w:fldCharType="begin"/>
        </w:r>
        <w:r w:rsidR="007B29DD">
          <w:rPr>
            <w:webHidden/>
          </w:rPr>
          <w:instrText xml:space="preserve"> PAGEREF _Toc57377177 \h </w:instrText>
        </w:r>
        <w:r w:rsidR="007B29DD">
          <w:rPr>
            <w:webHidden/>
          </w:rPr>
        </w:r>
        <w:r w:rsidR="007B29DD">
          <w:rPr>
            <w:webHidden/>
          </w:rPr>
          <w:fldChar w:fldCharType="separate"/>
        </w:r>
        <w:r w:rsidR="007B29DD">
          <w:rPr>
            <w:webHidden/>
          </w:rPr>
          <w:t>76</w:t>
        </w:r>
        <w:r w:rsidR="007B29DD">
          <w:rPr>
            <w:webHidden/>
          </w:rPr>
          <w:fldChar w:fldCharType="end"/>
        </w:r>
      </w:hyperlink>
    </w:p>
    <w:p w14:paraId="00A77CA8" w14:textId="77777777" w:rsidR="007B29DD" w:rsidRDefault="006C5210" w:rsidP="00811ED7">
      <w:pPr>
        <w:pStyle w:val="TOC2"/>
        <w:ind w:left="0"/>
        <w:rPr>
          <w:rFonts w:eastAsiaTheme="minorEastAsia"/>
          <w:b/>
        </w:rPr>
      </w:pPr>
      <w:hyperlink w:anchor="_Toc57377178" w:history="1">
        <w:r w:rsidR="007B29DD" w:rsidRPr="00842BEA">
          <w:rPr>
            <w:rStyle w:val="Hyperlink"/>
          </w:rPr>
          <w:t>5.12 Applying climate change projections to water demands</w:t>
        </w:r>
        <w:r w:rsidR="007B29DD">
          <w:rPr>
            <w:webHidden/>
          </w:rPr>
          <w:tab/>
        </w:r>
        <w:r w:rsidR="007B29DD">
          <w:rPr>
            <w:webHidden/>
          </w:rPr>
          <w:fldChar w:fldCharType="begin"/>
        </w:r>
        <w:r w:rsidR="007B29DD">
          <w:rPr>
            <w:webHidden/>
          </w:rPr>
          <w:instrText xml:space="preserve"> PAGEREF _Toc57377178 \h </w:instrText>
        </w:r>
        <w:r w:rsidR="007B29DD">
          <w:rPr>
            <w:webHidden/>
          </w:rPr>
        </w:r>
        <w:r w:rsidR="007B29DD">
          <w:rPr>
            <w:webHidden/>
          </w:rPr>
          <w:fldChar w:fldCharType="separate"/>
        </w:r>
        <w:r w:rsidR="007B29DD">
          <w:rPr>
            <w:webHidden/>
          </w:rPr>
          <w:t>78</w:t>
        </w:r>
        <w:r w:rsidR="007B29DD">
          <w:rPr>
            <w:webHidden/>
          </w:rPr>
          <w:fldChar w:fldCharType="end"/>
        </w:r>
      </w:hyperlink>
    </w:p>
    <w:p w14:paraId="3465D6C7" w14:textId="77777777" w:rsidR="007B29DD" w:rsidRDefault="006C5210" w:rsidP="00811ED7">
      <w:pPr>
        <w:pStyle w:val="TOC3"/>
        <w:ind w:left="0"/>
        <w:rPr>
          <w:b/>
        </w:rPr>
      </w:pPr>
      <w:hyperlink w:anchor="_Toc57377179" w:history="1">
        <w:r w:rsidR="007B29DD" w:rsidRPr="00842BEA">
          <w:rPr>
            <w:rStyle w:val="Hyperlink"/>
          </w:rPr>
          <w:t>5.12.1 Urban water demands</w:t>
        </w:r>
        <w:r w:rsidR="007B29DD">
          <w:rPr>
            <w:webHidden/>
          </w:rPr>
          <w:tab/>
        </w:r>
        <w:r w:rsidR="007B29DD">
          <w:rPr>
            <w:webHidden/>
          </w:rPr>
          <w:fldChar w:fldCharType="begin"/>
        </w:r>
        <w:r w:rsidR="007B29DD">
          <w:rPr>
            <w:webHidden/>
          </w:rPr>
          <w:instrText xml:space="preserve"> PAGEREF _Toc57377179 \h </w:instrText>
        </w:r>
        <w:r w:rsidR="007B29DD">
          <w:rPr>
            <w:webHidden/>
          </w:rPr>
        </w:r>
        <w:r w:rsidR="007B29DD">
          <w:rPr>
            <w:webHidden/>
          </w:rPr>
          <w:fldChar w:fldCharType="separate"/>
        </w:r>
        <w:r w:rsidR="007B29DD">
          <w:rPr>
            <w:webHidden/>
          </w:rPr>
          <w:t>79</w:t>
        </w:r>
        <w:r w:rsidR="007B29DD">
          <w:rPr>
            <w:webHidden/>
          </w:rPr>
          <w:fldChar w:fldCharType="end"/>
        </w:r>
      </w:hyperlink>
    </w:p>
    <w:p w14:paraId="41ED6E67" w14:textId="77777777" w:rsidR="007B29DD" w:rsidRDefault="006C5210" w:rsidP="00811ED7">
      <w:pPr>
        <w:pStyle w:val="TOC3"/>
        <w:ind w:left="0"/>
        <w:rPr>
          <w:b/>
        </w:rPr>
      </w:pPr>
      <w:hyperlink w:anchor="_Toc57377180" w:history="1">
        <w:r w:rsidR="007B29DD" w:rsidRPr="00842BEA">
          <w:rPr>
            <w:rStyle w:val="Hyperlink"/>
          </w:rPr>
          <w:t>5.12.2 Rural water demands</w:t>
        </w:r>
        <w:r w:rsidR="007B29DD">
          <w:rPr>
            <w:webHidden/>
          </w:rPr>
          <w:tab/>
        </w:r>
        <w:r w:rsidR="007B29DD">
          <w:rPr>
            <w:webHidden/>
          </w:rPr>
          <w:fldChar w:fldCharType="begin"/>
        </w:r>
        <w:r w:rsidR="007B29DD">
          <w:rPr>
            <w:webHidden/>
          </w:rPr>
          <w:instrText xml:space="preserve"> PAGEREF _Toc57377180 \h </w:instrText>
        </w:r>
        <w:r w:rsidR="007B29DD">
          <w:rPr>
            <w:webHidden/>
          </w:rPr>
        </w:r>
        <w:r w:rsidR="007B29DD">
          <w:rPr>
            <w:webHidden/>
          </w:rPr>
          <w:fldChar w:fldCharType="separate"/>
        </w:r>
        <w:r w:rsidR="007B29DD">
          <w:rPr>
            <w:webHidden/>
          </w:rPr>
          <w:t>80</w:t>
        </w:r>
        <w:r w:rsidR="007B29DD">
          <w:rPr>
            <w:webHidden/>
          </w:rPr>
          <w:fldChar w:fldCharType="end"/>
        </w:r>
      </w:hyperlink>
    </w:p>
    <w:p w14:paraId="4CB15027" w14:textId="77777777" w:rsidR="007B29DD" w:rsidRDefault="006C5210" w:rsidP="00811ED7">
      <w:pPr>
        <w:pStyle w:val="TOC3"/>
        <w:ind w:left="0"/>
        <w:rPr>
          <w:b/>
        </w:rPr>
      </w:pPr>
      <w:hyperlink w:anchor="_Toc57377181" w:history="1">
        <w:r w:rsidR="007B29DD" w:rsidRPr="00842BEA">
          <w:rPr>
            <w:rStyle w:val="Hyperlink"/>
          </w:rPr>
          <w:t>5.12.3 Farm dams</w:t>
        </w:r>
        <w:r w:rsidR="007B29DD">
          <w:rPr>
            <w:webHidden/>
          </w:rPr>
          <w:tab/>
        </w:r>
        <w:r w:rsidR="007B29DD">
          <w:rPr>
            <w:webHidden/>
          </w:rPr>
          <w:fldChar w:fldCharType="begin"/>
        </w:r>
        <w:r w:rsidR="007B29DD">
          <w:rPr>
            <w:webHidden/>
          </w:rPr>
          <w:instrText xml:space="preserve"> PAGEREF _Toc57377181 \h </w:instrText>
        </w:r>
        <w:r w:rsidR="007B29DD">
          <w:rPr>
            <w:webHidden/>
          </w:rPr>
        </w:r>
        <w:r w:rsidR="007B29DD">
          <w:rPr>
            <w:webHidden/>
          </w:rPr>
          <w:fldChar w:fldCharType="separate"/>
        </w:r>
        <w:r w:rsidR="007B29DD">
          <w:rPr>
            <w:webHidden/>
          </w:rPr>
          <w:t>80</w:t>
        </w:r>
        <w:r w:rsidR="007B29DD">
          <w:rPr>
            <w:webHidden/>
          </w:rPr>
          <w:fldChar w:fldCharType="end"/>
        </w:r>
      </w:hyperlink>
    </w:p>
    <w:p w14:paraId="495CCB86" w14:textId="77777777" w:rsidR="007B29DD" w:rsidRDefault="006C5210" w:rsidP="00811ED7">
      <w:pPr>
        <w:pStyle w:val="TOC3"/>
        <w:ind w:left="0"/>
        <w:rPr>
          <w:b/>
        </w:rPr>
      </w:pPr>
      <w:hyperlink w:anchor="_Toc57377182" w:history="1">
        <w:r w:rsidR="007B29DD" w:rsidRPr="00842BEA">
          <w:rPr>
            <w:rStyle w:val="Hyperlink"/>
          </w:rPr>
          <w:t>5.12.4 Environmental water demands</w:t>
        </w:r>
        <w:r w:rsidR="007B29DD">
          <w:rPr>
            <w:webHidden/>
          </w:rPr>
          <w:tab/>
        </w:r>
        <w:r w:rsidR="007B29DD">
          <w:rPr>
            <w:webHidden/>
          </w:rPr>
          <w:fldChar w:fldCharType="begin"/>
        </w:r>
        <w:r w:rsidR="007B29DD">
          <w:rPr>
            <w:webHidden/>
          </w:rPr>
          <w:instrText xml:space="preserve"> PAGEREF _Toc57377182 \h </w:instrText>
        </w:r>
        <w:r w:rsidR="007B29DD">
          <w:rPr>
            <w:webHidden/>
          </w:rPr>
        </w:r>
        <w:r w:rsidR="007B29DD">
          <w:rPr>
            <w:webHidden/>
          </w:rPr>
          <w:fldChar w:fldCharType="separate"/>
        </w:r>
        <w:r w:rsidR="007B29DD">
          <w:rPr>
            <w:webHidden/>
          </w:rPr>
          <w:t>80</w:t>
        </w:r>
        <w:r w:rsidR="007B29DD">
          <w:rPr>
            <w:webHidden/>
          </w:rPr>
          <w:fldChar w:fldCharType="end"/>
        </w:r>
      </w:hyperlink>
    </w:p>
    <w:p w14:paraId="07F8A7FA" w14:textId="77777777" w:rsidR="007B29DD" w:rsidRDefault="006C5210" w:rsidP="00811ED7">
      <w:pPr>
        <w:pStyle w:val="TOC2"/>
        <w:ind w:left="0"/>
        <w:rPr>
          <w:rFonts w:eastAsiaTheme="minorEastAsia"/>
          <w:b/>
        </w:rPr>
      </w:pPr>
      <w:hyperlink w:anchor="_Toc57377183" w:history="1">
        <w:r w:rsidR="007B29DD" w:rsidRPr="00842BEA">
          <w:rPr>
            <w:rStyle w:val="Hyperlink"/>
          </w:rPr>
          <w:t>5.13 Applying climate change projections to performance metrics</w:t>
        </w:r>
        <w:r w:rsidR="007B29DD">
          <w:rPr>
            <w:webHidden/>
          </w:rPr>
          <w:tab/>
        </w:r>
        <w:r w:rsidR="007B29DD">
          <w:rPr>
            <w:webHidden/>
          </w:rPr>
          <w:fldChar w:fldCharType="begin"/>
        </w:r>
        <w:r w:rsidR="007B29DD">
          <w:rPr>
            <w:webHidden/>
          </w:rPr>
          <w:instrText xml:space="preserve"> PAGEREF _Toc57377183 \h </w:instrText>
        </w:r>
        <w:r w:rsidR="007B29DD">
          <w:rPr>
            <w:webHidden/>
          </w:rPr>
        </w:r>
        <w:r w:rsidR="007B29DD">
          <w:rPr>
            <w:webHidden/>
          </w:rPr>
          <w:fldChar w:fldCharType="separate"/>
        </w:r>
        <w:r w:rsidR="007B29DD">
          <w:rPr>
            <w:webHidden/>
          </w:rPr>
          <w:t>81</w:t>
        </w:r>
        <w:r w:rsidR="007B29DD">
          <w:rPr>
            <w:webHidden/>
          </w:rPr>
          <w:fldChar w:fldCharType="end"/>
        </w:r>
      </w:hyperlink>
    </w:p>
    <w:p w14:paraId="6950E28E" w14:textId="77777777" w:rsidR="007B29DD" w:rsidRDefault="006C5210" w:rsidP="00811ED7">
      <w:pPr>
        <w:pStyle w:val="TOC2"/>
        <w:ind w:left="0"/>
        <w:rPr>
          <w:rFonts w:eastAsiaTheme="minorEastAsia"/>
          <w:b/>
        </w:rPr>
      </w:pPr>
      <w:hyperlink w:anchor="_Toc57377184" w:history="1">
        <w:r w:rsidR="007B29DD" w:rsidRPr="00842BEA">
          <w:rPr>
            <w:rStyle w:val="Hyperlink"/>
          </w:rPr>
          <w:t>5.14 Alpine catchments</w:t>
        </w:r>
        <w:r w:rsidR="007B29DD">
          <w:rPr>
            <w:webHidden/>
          </w:rPr>
          <w:tab/>
        </w:r>
        <w:r w:rsidR="007B29DD">
          <w:rPr>
            <w:webHidden/>
          </w:rPr>
          <w:fldChar w:fldCharType="begin"/>
        </w:r>
        <w:r w:rsidR="007B29DD">
          <w:rPr>
            <w:webHidden/>
          </w:rPr>
          <w:instrText xml:space="preserve"> PAGEREF _Toc57377184 \h </w:instrText>
        </w:r>
        <w:r w:rsidR="007B29DD">
          <w:rPr>
            <w:webHidden/>
          </w:rPr>
        </w:r>
        <w:r w:rsidR="007B29DD">
          <w:rPr>
            <w:webHidden/>
          </w:rPr>
          <w:fldChar w:fldCharType="separate"/>
        </w:r>
        <w:r w:rsidR="007B29DD">
          <w:rPr>
            <w:webHidden/>
          </w:rPr>
          <w:t>83</w:t>
        </w:r>
        <w:r w:rsidR="007B29DD">
          <w:rPr>
            <w:webHidden/>
          </w:rPr>
          <w:fldChar w:fldCharType="end"/>
        </w:r>
      </w:hyperlink>
    </w:p>
    <w:p w14:paraId="5F105F64" w14:textId="77777777" w:rsidR="007B29DD" w:rsidRDefault="006C5210" w:rsidP="00811ED7">
      <w:pPr>
        <w:pStyle w:val="TOC3"/>
        <w:ind w:left="0"/>
        <w:rPr>
          <w:b/>
        </w:rPr>
      </w:pPr>
      <w:hyperlink w:anchor="_Toc57377185" w:history="1">
        <w:r w:rsidR="007B29DD" w:rsidRPr="00842BEA">
          <w:rPr>
            <w:rStyle w:val="Hyperlink"/>
          </w:rPr>
          <w:t>5.14.1 Alpine catchment orientation</w:t>
        </w:r>
        <w:r w:rsidR="007B29DD">
          <w:rPr>
            <w:webHidden/>
          </w:rPr>
          <w:tab/>
        </w:r>
        <w:r w:rsidR="007B29DD">
          <w:rPr>
            <w:webHidden/>
          </w:rPr>
          <w:fldChar w:fldCharType="begin"/>
        </w:r>
        <w:r w:rsidR="007B29DD">
          <w:rPr>
            <w:webHidden/>
          </w:rPr>
          <w:instrText xml:space="preserve"> PAGEREF _Toc57377185 \h </w:instrText>
        </w:r>
        <w:r w:rsidR="007B29DD">
          <w:rPr>
            <w:webHidden/>
          </w:rPr>
        </w:r>
        <w:r w:rsidR="007B29DD">
          <w:rPr>
            <w:webHidden/>
          </w:rPr>
          <w:fldChar w:fldCharType="separate"/>
        </w:r>
        <w:r w:rsidR="007B29DD">
          <w:rPr>
            <w:webHidden/>
          </w:rPr>
          <w:t>83</w:t>
        </w:r>
        <w:r w:rsidR="007B29DD">
          <w:rPr>
            <w:webHidden/>
          </w:rPr>
          <w:fldChar w:fldCharType="end"/>
        </w:r>
      </w:hyperlink>
    </w:p>
    <w:p w14:paraId="12285832" w14:textId="77777777" w:rsidR="007B29DD" w:rsidRDefault="006C5210" w:rsidP="00811ED7">
      <w:pPr>
        <w:pStyle w:val="TOC3"/>
        <w:ind w:left="0"/>
        <w:rPr>
          <w:b/>
        </w:rPr>
      </w:pPr>
      <w:hyperlink w:anchor="_Toc57377186" w:history="1">
        <w:r w:rsidR="007B29DD" w:rsidRPr="00842BEA">
          <w:rPr>
            <w:rStyle w:val="Hyperlink"/>
          </w:rPr>
          <w:t>5.14.2 Changes in snow cover</w:t>
        </w:r>
        <w:r w:rsidR="007B29DD">
          <w:rPr>
            <w:webHidden/>
          </w:rPr>
          <w:tab/>
        </w:r>
        <w:r w:rsidR="007B29DD">
          <w:rPr>
            <w:webHidden/>
          </w:rPr>
          <w:fldChar w:fldCharType="begin"/>
        </w:r>
        <w:r w:rsidR="007B29DD">
          <w:rPr>
            <w:webHidden/>
          </w:rPr>
          <w:instrText xml:space="preserve"> PAGEREF _Toc57377186 \h </w:instrText>
        </w:r>
        <w:r w:rsidR="007B29DD">
          <w:rPr>
            <w:webHidden/>
          </w:rPr>
        </w:r>
        <w:r w:rsidR="007B29DD">
          <w:rPr>
            <w:webHidden/>
          </w:rPr>
          <w:fldChar w:fldCharType="separate"/>
        </w:r>
        <w:r w:rsidR="007B29DD">
          <w:rPr>
            <w:webHidden/>
          </w:rPr>
          <w:t>83</w:t>
        </w:r>
        <w:r w:rsidR="007B29DD">
          <w:rPr>
            <w:webHidden/>
          </w:rPr>
          <w:fldChar w:fldCharType="end"/>
        </w:r>
      </w:hyperlink>
    </w:p>
    <w:p w14:paraId="30CC39FA" w14:textId="77777777" w:rsidR="007B29DD" w:rsidRDefault="006C5210" w:rsidP="00811ED7">
      <w:pPr>
        <w:pStyle w:val="TOC2"/>
        <w:ind w:left="0"/>
        <w:rPr>
          <w:rFonts w:eastAsiaTheme="minorEastAsia"/>
          <w:b/>
        </w:rPr>
      </w:pPr>
      <w:hyperlink w:anchor="_Toc57377187" w:history="1">
        <w:r w:rsidR="007B29DD" w:rsidRPr="00842BEA">
          <w:rPr>
            <w:rStyle w:val="Hyperlink"/>
          </w:rPr>
          <w:t>5.15 Bushfires</w:t>
        </w:r>
        <w:r w:rsidR="007B29DD">
          <w:rPr>
            <w:webHidden/>
          </w:rPr>
          <w:tab/>
        </w:r>
        <w:r w:rsidR="007B29DD">
          <w:rPr>
            <w:webHidden/>
          </w:rPr>
          <w:fldChar w:fldCharType="begin"/>
        </w:r>
        <w:r w:rsidR="007B29DD">
          <w:rPr>
            <w:webHidden/>
          </w:rPr>
          <w:instrText xml:space="preserve"> PAGEREF _Toc57377187 \h </w:instrText>
        </w:r>
        <w:r w:rsidR="007B29DD">
          <w:rPr>
            <w:webHidden/>
          </w:rPr>
        </w:r>
        <w:r w:rsidR="007B29DD">
          <w:rPr>
            <w:webHidden/>
          </w:rPr>
          <w:fldChar w:fldCharType="separate"/>
        </w:r>
        <w:r w:rsidR="007B29DD">
          <w:rPr>
            <w:webHidden/>
          </w:rPr>
          <w:t>85</w:t>
        </w:r>
        <w:r w:rsidR="007B29DD">
          <w:rPr>
            <w:webHidden/>
          </w:rPr>
          <w:fldChar w:fldCharType="end"/>
        </w:r>
      </w:hyperlink>
    </w:p>
    <w:p w14:paraId="25D8EE0F" w14:textId="66CC1A43" w:rsidR="007B29DD" w:rsidRDefault="006C5210" w:rsidP="007B29DD">
      <w:pPr>
        <w:pStyle w:val="TOC1"/>
        <w:rPr>
          <w:rFonts w:eastAsiaTheme="minorEastAsia"/>
          <w:b/>
        </w:rPr>
      </w:pPr>
      <w:hyperlink w:anchor="_Toc57377188" w:history="1">
        <w:r w:rsidR="007B29DD" w:rsidRPr="00842BEA">
          <w:rPr>
            <w:rStyle w:val="Hyperlink"/>
          </w:rPr>
          <w:t>6. Near-Term Decision Risks</w:t>
        </w:r>
        <w:r w:rsidR="007B29DD">
          <w:rPr>
            <w:webHidden/>
          </w:rPr>
          <w:tab/>
        </w:r>
        <w:r w:rsidR="007B29DD">
          <w:rPr>
            <w:webHidden/>
          </w:rPr>
          <w:fldChar w:fldCharType="begin"/>
        </w:r>
        <w:r w:rsidR="007B29DD">
          <w:rPr>
            <w:webHidden/>
          </w:rPr>
          <w:instrText xml:space="preserve"> PAGEREF _Toc57377188 \h </w:instrText>
        </w:r>
        <w:r w:rsidR="007B29DD">
          <w:rPr>
            <w:webHidden/>
          </w:rPr>
        </w:r>
        <w:r w:rsidR="007B29DD">
          <w:rPr>
            <w:webHidden/>
          </w:rPr>
          <w:fldChar w:fldCharType="separate"/>
        </w:r>
        <w:r w:rsidR="007B29DD">
          <w:rPr>
            <w:webHidden/>
          </w:rPr>
          <w:t>8</w:t>
        </w:r>
        <w:r w:rsidR="00982FD6">
          <w:rPr>
            <w:webHidden/>
          </w:rPr>
          <w:t>7</w:t>
        </w:r>
        <w:r w:rsidR="007B29DD">
          <w:rPr>
            <w:webHidden/>
          </w:rPr>
          <w:fldChar w:fldCharType="end"/>
        </w:r>
      </w:hyperlink>
    </w:p>
    <w:p w14:paraId="0E317ECF" w14:textId="28F8D779" w:rsidR="007B29DD" w:rsidRDefault="006C5210" w:rsidP="00811ED7">
      <w:pPr>
        <w:pStyle w:val="TOC2"/>
        <w:ind w:left="0"/>
        <w:rPr>
          <w:rFonts w:eastAsiaTheme="minorEastAsia"/>
          <w:b/>
        </w:rPr>
      </w:pPr>
      <w:hyperlink w:anchor="_Toc57377189" w:history="1">
        <w:r w:rsidR="007B29DD" w:rsidRPr="00842BEA">
          <w:rPr>
            <w:rStyle w:val="Hyperlink"/>
          </w:rPr>
          <w:t>6.1 Introduction</w:t>
        </w:r>
        <w:r w:rsidR="007B29DD">
          <w:rPr>
            <w:webHidden/>
          </w:rPr>
          <w:tab/>
        </w:r>
        <w:r w:rsidR="007B29DD">
          <w:rPr>
            <w:webHidden/>
          </w:rPr>
          <w:fldChar w:fldCharType="begin"/>
        </w:r>
        <w:r w:rsidR="007B29DD">
          <w:rPr>
            <w:webHidden/>
          </w:rPr>
          <w:instrText xml:space="preserve"> PAGEREF _Toc57377189 \h </w:instrText>
        </w:r>
        <w:r w:rsidR="007B29DD">
          <w:rPr>
            <w:webHidden/>
          </w:rPr>
        </w:r>
        <w:r w:rsidR="007B29DD">
          <w:rPr>
            <w:webHidden/>
          </w:rPr>
          <w:fldChar w:fldCharType="separate"/>
        </w:r>
        <w:r w:rsidR="007B29DD">
          <w:rPr>
            <w:webHidden/>
          </w:rPr>
          <w:t>8</w:t>
        </w:r>
        <w:r w:rsidR="00982FD6">
          <w:rPr>
            <w:webHidden/>
          </w:rPr>
          <w:t>7</w:t>
        </w:r>
        <w:r w:rsidR="007B29DD">
          <w:rPr>
            <w:webHidden/>
          </w:rPr>
          <w:fldChar w:fldCharType="end"/>
        </w:r>
      </w:hyperlink>
    </w:p>
    <w:p w14:paraId="1BDA7802" w14:textId="564C6A00" w:rsidR="007B29DD" w:rsidRDefault="006C5210" w:rsidP="00811ED7">
      <w:pPr>
        <w:pStyle w:val="TOC2"/>
        <w:ind w:left="0"/>
        <w:rPr>
          <w:rFonts w:eastAsiaTheme="minorEastAsia"/>
          <w:b/>
        </w:rPr>
      </w:pPr>
      <w:hyperlink w:anchor="_Toc57377190" w:history="1">
        <w:r w:rsidR="007B29DD" w:rsidRPr="00842BEA">
          <w:rPr>
            <w:rStyle w:val="Hyperlink"/>
          </w:rPr>
          <w:t>6.2 What if the assumptions in the guidelines are incorrect?</w:t>
        </w:r>
        <w:r w:rsidR="007B29DD">
          <w:rPr>
            <w:webHidden/>
          </w:rPr>
          <w:tab/>
        </w:r>
        <w:r w:rsidR="007B29DD">
          <w:rPr>
            <w:webHidden/>
          </w:rPr>
          <w:fldChar w:fldCharType="begin"/>
        </w:r>
        <w:r w:rsidR="007B29DD">
          <w:rPr>
            <w:webHidden/>
          </w:rPr>
          <w:instrText xml:space="preserve"> PAGEREF _Toc57377190 \h </w:instrText>
        </w:r>
        <w:r w:rsidR="007B29DD">
          <w:rPr>
            <w:webHidden/>
          </w:rPr>
        </w:r>
        <w:r w:rsidR="007B29DD">
          <w:rPr>
            <w:webHidden/>
          </w:rPr>
          <w:fldChar w:fldCharType="separate"/>
        </w:r>
        <w:r w:rsidR="007B29DD">
          <w:rPr>
            <w:webHidden/>
          </w:rPr>
          <w:t>8</w:t>
        </w:r>
        <w:r w:rsidR="00982FD6">
          <w:rPr>
            <w:webHidden/>
          </w:rPr>
          <w:t>7</w:t>
        </w:r>
        <w:r w:rsidR="007B29DD">
          <w:rPr>
            <w:webHidden/>
          </w:rPr>
          <w:fldChar w:fldCharType="end"/>
        </w:r>
      </w:hyperlink>
    </w:p>
    <w:p w14:paraId="273AB008" w14:textId="6D9B0833" w:rsidR="007B29DD" w:rsidRDefault="006C5210" w:rsidP="00811ED7">
      <w:pPr>
        <w:pStyle w:val="TOC2"/>
        <w:ind w:left="0"/>
        <w:rPr>
          <w:rFonts w:eastAsiaTheme="minorEastAsia"/>
          <w:b/>
        </w:rPr>
      </w:pPr>
      <w:hyperlink w:anchor="_Toc57377191" w:history="1">
        <w:r w:rsidR="007B29DD" w:rsidRPr="00842BEA">
          <w:rPr>
            <w:rStyle w:val="Hyperlink"/>
          </w:rPr>
          <w:t>6.3 Defining vulnerability to climate change assumptions</w:t>
        </w:r>
        <w:r w:rsidR="007B29DD">
          <w:rPr>
            <w:webHidden/>
          </w:rPr>
          <w:tab/>
        </w:r>
        <w:r w:rsidR="007B29DD">
          <w:rPr>
            <w:webHidden/>
          </w:rPr>
          <w:fldChar w:fldCharType="begin"/>
        </w:r>
        <w:r w:rsidR="007B29DD">
          <w:rPr>
            <w:webHidden/>
          </w:rPr>
          <w:instrText xml:space="preserve"> PAGEREF _Toc57377191 \h </w:instrText>
        </w:r>
        <w:r w:rsidR="007B29DD">
          <w:rPr>
            <w:webHidden/>
          </w:rPr>
        </w:r>
        <w:r w:rsidR="007B29DD">
          <w:rPr>
            <w:webHidden/>
          </w:rPr>
          <w:fldChar w:fldCharType="separate"/>
        </w:r>
        <w:r w:rsidR="007B29DD">
          <w:rPr>
            <w:webHidden/>
          </w:rPr>
          <w:t>8</w:t>
        </w:r>
        <w:r w:rsidR="00CB40B3">
          <w:rPr>
            <w:webHidden/>
          </w:rPr>
          <w:t>8</w:t>
        </w:r>
        <w:r w:rsidR="007B29DD">
          <w:rPr>
            <w:webHidden/>
          </w:rPr>
          <w:fldChar w:fldCharType="end"/>
        </w:r>
      </w:hyperlink>
    </w:p>
    <w:p w14:paraId="117FEB71" w14:textId="6AE5EE4F" w:rsidR="007B29DD" w:rsidRDefault="006C5210" w:rsidP="00811ED7">
      <w:pPr>
        <w:pStyle w:val="TOC2"/>
        <w:ind w:left="0"/>
        <w:rPr>
          <w:rFonts w:eastAsiaTheme="minorEastAsia"/>
          <w:b/>
        </w:rPr>
      </w:pPr>
      <w:hyperlink w:anchor="_Toc57377192" w:history="1">
        <w:r w:rsidR="007B29DD" w:rsidRPr="00842BEA">
          <w:rPr>
            <w:rStyle w:val="Hyperlink"/>
          </w:rPr>
          <w:t>6.4 What to do if your planning decisions are considered at risk from the guideline assumptions</w:t>
        </w:r>
        <w:r w:rsidR="007B29DD">
          <w:rPr>
            <w:webHidden/>
          </w:rPr>
          <w:tab/>
        </w:r>
        <w:r w:rsidR="00CB40B3">
          <w:rPr>
            <w:webHidden/>
          </w:rPr>
          <w:t>89</w:t>
        </w:r>
      </w:hyperlink>
    </w:p>
    <w:p w14:paraId="7377FAEE" w14:textId="1F02C6A9" w:rsidR="007B29DD" w:rsidRDefault="006C5210" w:rsidP="00811ED7">
      <w:pPr>
        <w:pStyle w:val="TOC3"/>
        <w:ind w:left="0"/>
        <w:rPr>
          <w:b/>
        </w:rPr>
      </w:pPr>
      <w:hyperlink w:anchor="_Toc57377193" w:history="1">
        <w:r w:rsidR="007B29DD" w:rsidRPr="00842BEA">
          <w:rPr>
            <w:rStyle w:val="Hyperlink"/>
          </w:rPr>
          <w:t>6.4.1 Additional climate change projections</w:t>
        </w:r>
        <w:r w:rsidR="007B29DD">
          <w:rPr>
            <w:webHidden/>
          </w:rPr>
          <w:tab/>
        </w:r>
        <w:r w:rsidR="00CB40B3">
          <w:rPr>
            <w:webHidden/>
          </w:rPr>
          <w:t xml:space="preserve"> </w:t>
        </w:r>
        <w:r w:rsidR="007B29DD">
          <w:rPr>
            <w:webHidden/>
          </w:rPr>
          <w:fldChar w:fldCharType="begin"/>
        </w:r>
        <w:r w:rsidR="007B29DD">
          <w:rPr>
            <w:webHidden/>
          </w:rPr>
          <w:instrText xml:space="preserve"> PAGEREF _Toc57377193 \h </w:instrText>
        </w:r>
        <w:r w:rsidR="007B29DD">
          <w:rPr>
            <w:webHidden/>
          </w:rPr>
        </w:r>
        <w:r w:rsidR="007B29DD">
          <w:rPr>
            <w:webHidden/>
          </w:rPr>
          <w:fldChar w:fldCharType="separate"/>
        </w:r>
        <w:r w:rsidR="007B29DD">
          <w:rPr>
            <w:webHidden/>
          </w:rPr>
          <w:t>9</w:t>
        </w:r>
        <w:r w:rsidR="009407DE">
          <w:rPr>
            <w:webHidden/>
          </w:rPr>
          <w:t>0</w:t>
        </w:r>
        <w:r w:rsidR="007B29DD">
          <w:rPr>
            <w:webHidden/>
          </w:rPr>
          <w:fldChar w:fldCharType="end"/>
        </w:r>
      </w:hyperlink>
    </w:p>
    <w:p w14:paraId="5CE27518" w14:textId="3F853AEC" w:rsidR="007B29DD" w:rsidRDefault="006C5210" w:rsidP="00811ED7">
      <w:pPr>
        <w:pStyle w:val="TOC3"/>
        <w:ind w:left="0"/>
        <w:rPr>
          <w:b/>
        </w:rPr>
      </w:pPr>
      <w:hyperlink w:anchor="_Toc57377194" w:history="1">
        <w:r w:rsidR="007B29DD" w:rsidRPr="00842BEA">
          <w:rPr>
            <w:rStyle w:val="Hyperlink"/>
          </w:rPr>
          <w:t>6.4.2 Additional climate change impact assessment techniques</w:t>
        </w:r>
        <w:r w:rsidR="007B29DD">
          <w:rPr>
            <w:webHidden/>
          </w:rPr>
          <w:tab/>
        </w:r>
        <w:r w:rsidR="007B29DD">
          <w:rPr>
            <w:webHidden/>
          </w:rPr>
          <w:fldChar w:fldCharType="begin"/>
        </w:r>
        <w:r w:rsidR="007B29DD">
          <w:rPr>
            <w:webHidden/>
          </w:rPr>
          <w:instrText xml:space="preserve"> PAGEREF _Toc57377194 \h </w:instrText>
        </w:r>
        <w:r w:rsidR="007B29DD">
          <w:rPr>
            <w:webHidden/>
          </w:rPr>
        </w:r>
        <w:r w:rsidR="007B29DD">
          <w:rPr>
            <w:webHidden/>
          </w:rPr>
          <w:fldChar w:fldCharType="separate"/>
        </w:r>
        <w:r w:rsidR="007B29DD">
          <w:rPr>
            <w:webHidden/>
          </w:rPr>
          <w:t>9</w:t>
        </w:r>
        <w:r w:rsidR="009407DE">
          <w:rPr>
            <w:webHidden/>
          </w:rPr>
          <w:t>0</w:t>
        </w:r>
        <w:r w:rsidR="007B29DD">
          <w:rPr>
            <w:webHidden/>
          </w:rPr>
          <w:fldChar w:fldCharType="end"/>
        </w:r>
      </w:hyperlink>
    </w:p>
    <w:p w14:paraId="76B304A3" w14:textId="38C843E3" w:rsidR="007B29DD" w:rsidRDefault="006C5210" w:rsidP="007B29DD">
      <w:pPr>
        <w:pStyle w:val="TOC1"/>
        <w:rPr>
          <w:rFonts w:eastAsiaTheme="minorEastAsia"/>
          <w:b/>
        </w:rPr>
      </w:pPr>
      <w:hyperlink w:anchor="_Toc57377195" w:history="1">
        <w:r w:rsidR="007B29DD" w:rsidRPr="00842BEA">
          <w:rPr>
            <w:rStyle w:val="Hyperlink"/>
          </w:rPr>
          <w:t>7. Future Updates to Climate Change Projections</w:t>
        </w:r>
        <w:r w:rsidR="007B29DD">
          <w:rPr>
            <w:webHidden/>
          </w:rPr>
          <w:tab/>
        </w:r>
        <w:r w:rsidR="007B29DD">
          <w:rPr>
            <w:webHidden/>
          </w:rPr>
          <w:fldChar w:fldCharType="begin"/>
        </w:r>
        <w:r w:rsidR="007B29DD">
          <w:rPr>
            <w:webHidden/>
          </w:rPr>
          <w:instrText xml:space="preserve"> PAGEREF _Toc57377195 \h </w:instrText>
        </w:r>
        <w:r w:rsidR="007B29DD">
          <w:rPr>
            <w:webHidden/>
          </w:rPr>
        </w:r>
        <w:r w:rsidR="007B29DD">
          <w:rPr>
            <w:webHidden/>
          </w:rPr>
          <w:fldChar w:fldCharType="separate"/>
        </w:r>
        <w:r w:rsidR="007B29DD">
          <w:rPr>
            <w:webHidden/>
          </w:rPr>
          <w:t>9</w:t>
        </w:r>
        <w:r w:rsidR="00F14C5F">
          <w:rPr>
            <w:webHidden/>
          </w:rPr>
          <w:t>1</w:t>
        </w:r>
        <w:r w:rsidR="007B29DD">
          <w:rPr>
            <w:webHidden/>
          </w:rPr>
          <w:fldChar w:fldCharType="end"/>
        </w:r>
      </w:hyperlink>
    </w:p>
    <w:p w14:paraId="4CC5E922" w14:textId="5C173F63" w:rsidR="007B29DD" w:rsidRDefault="006C5210" w:rsidP="00811ED7">
      <w:pPr>
        <w:pStyle w:val="TOC2"/>
        <w:ind w:left="0"/>
        <w:rPr>
          <w:rFonts w:eastAsiaTheme="minorEastAsia"/>
          <w:b/>
        </w:rPr>
      </w:pPr>
      <w:hyperlink w:anchor="_Toc57377196" w:history="1">
        <w:r w:rsidR="007B29DD" w:rsidRPr="00842BEA">
          <w:rPr>
            <w:rStyle w:val="Hyperlink"/>
          </w:rPr>
          <w:t>7.1 Where to get updated guidance from DELWP as it emerges</w:t>
        </w:r>
        <w:r w:rsidR="007B29DD">
          <w:rPr>
            <w:webHidden/>
          </w:rPr>
          <w:tab/>
        </w:r>
        <w:r w:rsidR="007B29DD">
          <w:rPr>
            <w:webHidden/>
          </w:rPr>
          <w:fldChar w:fldCharType="begin"/>
        </w:r>
        <w:r w:rsidR="007B29DD">
          <w:rPr>
            <w:webHidden/>
          </w:rPr>
          <w:instrText xml:space="preserve"> PAGEREF _Toc57377196 \h </w:instrText>
        </w:r>
        <w:r w:rsidR="007B29DD">
          <w:rPr>
            <w:webHidden/>
          </w:rPr>
        </w:r>
        <w:r w:rsidR="007B29DD">
          <w:rPr>
            <w:webHidden/>
          </w:rPr>
          <w:fldChar w:fldCharType="separate"/>
        </w:r>
        <w:r w:rsidR="007B29DD">
          <w:rPr>
            <w:webHidden/>
          </w:rPr>
          <w:t>9</w:t>
        </w:r>
        <w:r w:rsidR="00F14C5F">
          <w:rPr>
            <w:webHidden/>
          </w:rPr>
          <w:t>1</w:t>
        </w:r>
        <w:r w:rsidR="007B29DD">
          <w:rPr>
            <w:webHidden/>
          </w:rPr>
          <w:fldChar w:fldCharType="end"/>
        </w:r>
      </w:hyperlink>
    </w:p>
    <w:p w14:paraId="5F8DAA5F" w14:textId="0D0C89CD" w:rsidR="007B29DD" w:rsidRDefault="006C5210" w:rsidP="007B29DD">
      <w:pPr>
        <w:pStyle w:val="TOC1"/>
        <w:rPr>
          <w:rFonts w:eastAsiaTheme="minorEastAsia"/>
          <w:b/>
        </w:rPr>
      </w:pPr>
      <w:hyperlink w:anchor="_Toc57377197" w:history="1">
        <w:r w:rsidR="007B29DD" w:rsidRPr="00842BEA">
          <w:rPr>
            <w:rStyle w:val="Hyperlink"/>
          </w:rPr>
          <w:t>8. References</w:t>
        </w:r>
        <w:r w:rsidR="007B29DD">
          <w:rPr>
            <w:webHidden/>
          </w:rPr>
          <w:tab/>
        </w:r>
        <w:r w:rsidR="007B29DD">
          <w:rPr>
            <w:webHidden/>
          </w:rPr>
          <w:fldChar w:fldCharType="begin"/>
        </w:r>
        <w:r w:rsidR="007B29DD">
          <w:rPr>
            <w:webHidden/>
          </w:rPr>
          <w:instrText xml:space="preserve"> PAGEREF _Toc57377197 \h </w:instrText>
        </w:r>
        <w:r w:rsidR="007B29DD">
          <w:rPr>
            <w:webHidden/>
          </w:rPr>
        </w:r>
        <w:r w:rsidR="007B29DD">
          <w:rPr>
            <w:webHidden/>
          </w:rPr>
          <w:fldChar w:fldCharType="separate"/>
        </w:r>
        <w:r w:rsidR="007B29DD">
          <w:rPr>
            <w:webHidden/>
          </w:rPr>
          <w:t>9</w:t>
        </w:r>
        <w:r w:rsidR="00336F96">
          <w:rPr>
            <w:webHidden/>
          </w:rPr>
          <w:t>2</w:t>
        </w:r>
        <w:r w:rsidR="007B29DD">
          <w:rPr>
            <w:webHidden/>
          </w:rPr>
          <w:fldChar w:fldCharType="end"/>
        </w:r>
      </w:hyperlink>
    </w:p>
    <w:p w14:paraId="58CDE35D" w14:textId="68B8191F" w:rsidR="007B29DD" w:rsidRDefault="006C5210" w:rsidP="007B29DD">
      <w:pPr>
        <w:pStyle w:val="TOC1"/>
        <w:rPr>
          <w:rFonts w:eastAsiaTheme="minorEastAsia"/>
          <w:b/>
        </w:rPr>
      </w:pPr>
      <w:hyperlink w:anchor="_Toc57377198" w:history="1">
        <w:r w:rsidR="007B29DD" w:rsidRPr="00842BEA">
          <w:rPr>
            <w:rStyle w:val="Hyperlink"/>
          </w:rPr>
          <w:t>Glossary</w:t>
        </w:r>
        <w:r w:rsidR="007B29DD">
          <w:rPr>
            <w:webHidden/>
          </w:rPr>
          <w:tab/>
        </w:r>
        <w:r w:rsidR="00B860CE">
          <w:rPr>
            <w:webHidden/>
          </w:rPr>
          <w:t>99</w:t>
        </w:r>
      </w:hyperlink>
    </w:p>
    <w:p w14:paraId="6D98535B" w14:textId="77777777" w:rsidR="007B29DD" w:rsidRDefault="006C5210" w:rsidP="00670932">
      <w:pPr>
        <w:pStyle w:val="TOC8"/>
        <w:ind w:left="0"/>
        <w:rPr>
          <w:rFonts w:eastAsiaTheme="minorEastAsia"/>
          <w:b/>
          <w:noProof/>
        </w:rPr>
      </w:pPr>
      <w:hyperlink w:anchor="_Toc57377199" w:history="1">
        <w:r w:rsidR="007B29DD" w:rsidRPr="00842BEA">
          <w:rPr>
            <w:rStyle w:val="Hyperlink"/>
            <w:noProof/>
          </w:rPr>
          <w:t>Appendix A</w:t>
        </w:r>
        <w:r w:rsidR="007B29DD">
          <w:rPr>
            <w:rFonts w:eastAsiaTheme="minorEastAsia"/>
            <w:noProof/>
          </w:rPr>
          <w:tab/>
        </w:r>
        <w:r w:rsidR="007B29DD" w:rsidRPr="00842BEA">
          <w:rPr>
            <w:rStyle w:val="Hyperlink"/>
            <w:noProof/>
          </w:rPr>
          <w:t>Case Studies and Explanatory Notes</w:t>
        </w:r>
        <w:r w:rsidR="007B29DD">
          <w:rPr>
            <w:noProof/>
            <w:webHidden/>
          </w:rPr>
          <w:tab/>
        </w:r>
        <w:r w:rsidR="007B29DD">
          <w:rPr>
            <w:noProof/>
            <w:webHidden/>
          </w:rPr>
          <w:fldChar w:fldCharType="begin"/>
        </w:r>
        <w:r w:rsidR="007B29DD">
          <w:rPr>
            <w:noProof/>
            <w:webHidden/>
          </w:rPr>
          <w:instrText xml:space="preserve"> PAGEREF _Toc57377199 \h </w:instrText>
        </w:r>
        <w:r w:rsidR="007B29DD">
          <w:rPr>
            <w:noProof/>
            <w:webHidden/>
          </w:rPr>
        </w:r>
        <w:r w:rsidR="007B29DD">
          <w:rPr>
            <w:noProof/>
            <w:webHidden/>
          </w:rPr>
          <w:fldChar w:fldCharType="separate"/>
        </w:r>
        <w:r w:rsidR="007B29DD">
          <w:rPr>
            <w:noProof/>
            <w:webHidden/>
          </w:rPr>
          <w:t>105</w:t>
        </w:r>
        <w:r w:rsidR="007B29DD">
          <w:rPr>
            <w:noProof/>
            <w:webHidden/>
          </w:rPr>
          <w:fldChar w:fldCharType="end"/>
        </w:r>
      </w:hyperlink>
    </w:p>
    <w:p w14:paraId="07C2AB78" w14:textId="3C473500" w:rsidR="007B29DD" w:rsidRDefault="006C5210" w:rsidP="00811ED7">
      <w:pPr>
        <w:pStyle w:val="TOC2"/>
        <w:ind w:left="0"/>
        <w:rPr>
          <w:rFonts w:eastAsiaTheme="minorEastAsia"/>
          <w:b/>
        </w:rPr>
      </w:pPr>
      <w:hyperlink w:anchor="_Toc57377200" w:history="1">
        <w:r w:rsidR="007B29DD" w:rsidRPr="00842BEA">
          <w:rPr>
            <w:rStyle w:val="Hyperlink"/>
          </w:rPr>
          <w:t>A.1 Introduction</w:t>
        </w:r>
        <w:r w:rsidR="007B29DD">
          <w:rPr>
            <w:webHidden/>
          </w:rPr>
          <w:tab/>
        </w:r>
        <w:r w:rsidR="007B29DD">
          <w:rPr>
            <w:webHidden/>
          </w:rPr>
          <w:fldChar w:fldCharType="begin"/>
        </w:r>
        <w:r w:rsidR="007B29DD">
          <w:rPr>
            <w:webHidden/>
          </w:rPr>
          <w:instrText xml:space="preserve"> PAGEREF _Toc57377200 \h </w:instrText>
        </w:r>
        <w:r w:rsidR="007B29DD">
          <w:rPr>
            <w:webHidden/>
          </w:rPr>
        </w:r>
        <w:r w:rsidR="007B29DD">
          <w:rPr>
            <w:webHidden/>
          </w:rPr>
          <w:fldChar w:fldCharType="separate"/>
        </w:r>
        <w:r w:rsidR="007B29DD">
          <w:rPr>
            <w:webHidden/>
          </w:rPr>
          <w:t>10</w:t>
        </w:r>
        <w:r w:rsidR="004B4ED2">
          <w:rPr>
            <w:webHidden/>
          </w:rPr>
          <w:t>5</w:t>
        </w:r>
        <w:r w:rsidR="007B29DD">
          <w:rPr>
            <w:webHidden/>
          </w:rPr>
          <w:fldChar w:fldCharType="end"/>
        </w:r>
      </w:hyperlink>
    </w:p>
    <w:p w14:paraId="5238D32A" w14:textId="77777777" w:rsidR="007B29DD" w:rsidRDefault="006C5210" w:rsidP="00811ED7">
      <w:pPr>
        <w:pStyle w:val="TOC2"/>
        <w:ind w:left="0"/>
        <w:rPr>
          <w:rFonts w:eastAsiaTheme="minorEastAsia"/>
          <w:b/>
        </w:rPr>
      </w:pPr>
      <w:hyperlink w:anchor="_Toc57377201" w:history="1">
        <w:r w:rsidR="007B29DD" w:rsidRPr="00842BEA">
          <w:rPr>
            <w:rStyle w:val="Hyperlink"/>
          </w:rPr>
          <w:t>A.2 Complementary references</w:t>
        </w:r>
        <w:r w:rsidR="007B29DD">
          <w:rPr>
            <w:webHidden/>
          </w:rPr>
          <w:tab/>
        </w:r>
        <w:r w:rsidR="007B29DD">
          <w:rPr>
            <w:webHidden/>
          </w:rPr>
          <w:fldChar w:fldCharType="begin"/>
        </w:r>
        <w:r w:rsidR="007B29DD">
          <w:rPr>
            <w:webHidden/>
          </w:rPr>
          <w:instrText xml:space="preserve"> PAGEREF _Toc57377201 \h </w:instrText>
        </w:r>
        <w:r w:rsidR="007B29DD">
          <w:rPr>
            <w:webHidden/>
          </w:rPr>
        </w:r>
        <w:r w:rsidR="007B29DD">
          <w:rPr>
            <w:webHidden/>
          </w:rPr>
          <w:fldChar w:fldCharType="separate"/>
        </w:r>
        <w:r w:rsidR="007B29DD">
          <w:rPr>
            <w:webHidden/>
          </w:rPr>
          <w:t>105</w:t>
        </w:r>
        <w:r w:rsidR="007B29DD">
          <w:rPr>
            <w:webHidden/>
          </w:rPr>
          <w:fldChar w:fldCharType="end"/>
        </w:r>
      </w:hyperlink>
    </w:p>
    <w:p w14:paraId="6909D16A" w14:textId="458DD901" w:rsidR="007B29DD" w:rsidRDefault="006C5210" w:rsidP="00811ED7">
      <w:pPr>
        <w:pStyle w:val="TOC2"/>
        <w:ind w:left="0"/>
        <w:rPr>
          <w:rFonts w:eastAsiaTheme="minorEastAsia"/>
          <w:b/>
        </w:rPr>
      </w:pPr>
      <w:hyperlink w:anchor="_Toc57377202" w:history="1">
        <w:r w:rsidR="007B29DD" w:rsidRPr="00842BEA">
          <w:rPr>
            <w:rStyle w:val="Hyperlink"/>
          </w:rPr>
          <w:t>A.3 Historical data scaling examples</w:t>
        </w:r>
        <w:r w:rsidR="007B29DD">
          <w:rPr>
            <w:webHidden/>
          </w:rPr>
          <w:tab/>
        </w:r>
        <w:r w:rsidR="007B29DD">
          <w:rPr>
            <w:webHidden/>
          </w:rPr>
          <w:fldChar w:fldCharType="begin"/>
        </w:r>
        <w:r w:rsidR="007B29DD">
          <w:rPr>
            <w:webHidden/>
          </w:rPr>
          <w:instrText xml:space="preserve"> PAGEREF _Toc57377202 \h </w:instrText>
        </w:r>
        <w:r w:rsidR="007B29DD">
          <w:rPr>
            <w:webHidden/>
          </w:rPr>
        </w:r>
        <w:r w:rsidR="007B29DD">
          <w:rPr>
            <w:webHidden/>
          </w:rPr>
          <w:fldChar w:fldCharType="separate"/>
        </w:r>
        <w:r w:rsidR="007B29DD">
          <w:rPr>
            <w:webHidden/>
          </w:rPr>
          <w:t>10</w:t>
        </w:r>
        <w:r w:rsidR="004B4ED2">
          <w:rPr>
            <w:webHidden/>
          </w:rPr>
          <w:t>4</w:t>
        </w:r>
        <w:r w:rsidR="007B29DD">
          <w:rPr>
            <w:webHidden/>
          </w:rPr>
          <w:fldChar w:fldCharType="end"/>
        </w:r>
      </w:hyperlink>
    </w:p>
    <w:p w14:paraId="38B3C393" w14:textId="33BC464F" w:rsidR="007B29DD" w:rsidRDefault="006C5210" w:rsidP="00DB384C">
      <w:pPr>
        <w:pStyle w:val="TOC8"/>
        <w:ind w:left="0"/>
        <w:rPr>
          <w:rFonts w:eastAsiaTheme="minorEastAsia"/>
          <w:b/>
          <w:noProof/>
        </w:rPr>
      </w:pPr>
      <w:hyperlink w:anchor="_Toc57377203" w:history="1">
        <w:r w:rsidR="007B29DD" w:rsidRPr="00842BEA">
          <w:rPr>
            <w:rStyle w:val="Hyperlink"/>
            <w:noProof/>
          </w:rPr>
          <w:t>Appendix B</w:t>
        </w:r>
        <w:r w:rsidR="007B29DD">
          <w:rPr>
            <w:rFonts w:eastAsiaTheme="minorEastAsia"/>
            <w:noProof/>
          </w:rPr>
          <w:tab/>
        </w:r>
        <w:r w:rsidR="007B29DD" w:rsidRPr="00842BEA">
          <w:rPr>
            <w:rStyle w:val="Hyperlink"/>
            <w:noProof/>
          </w:rPr>
          <w:t>Supplementary Information</w:t>
        </w:r>
        <w:r w:rsidR="007B29DD">
          <w:rPr>
            <w:noProof/>
            <w:webHidden/>
          </w:rPr>
          <w:tab/>
        </w:r>
        <w:r w:rsidR="007B29DD">
          <w:rPr>
            <w:noProof/>
            <w:webHidden/>
          </w:rPr>
          <w:fldChar w:fldCharType="begin"/>
        </w:r>
        <w:r w:rsidR="007B29DD">
          <w:rPr>
            <w:noProof/>
            <w:webHidden/>
          </w:rPr>
          <w:instrText xml:space="preserve"> PAGEREF _Toc57377203 \h </w:instrText>
        </w:r>
        <w:r w:rsidR="007B29DD">
          <w:rPr>
            <w:noProof/>
            <w:webHidden/>
          </w:rPr>
        </w:r>
        <w:r w:rsidR="007B29DD">
          <w:rPr>
            <w:noProof/>
            <w:webHidden/>
          </w:rPr>
          <w:fldChar w:fldCharType="separate"/>
        </w:r>
        <w:r w:rsidR="007B29DD">
          <w:rPr>
            <w:noProof/>
            <w:webHidden/>
          </w:rPr>
          <w:t>10</w:t>
        </w:r>
        <w:r w:rsidR="00DB384C">
          <w:rPr>
            <w:noProof/>
            <w:webHidden/>
          </w:rPr>
          <w:t>7</w:t>
        </w:r>
        <w:r w:rsidR="007B29DD">
          <w:rPr>
            <w:noProof/>
            <w:webHidden/>
          </w:rPr>
          <w:fldChar w:fldCharType="end"/>
        </w:r>
      </w:hyperlink>
    </w:p>
    <w:p w14:paraId="63629FBD" w14:textId="743C2E01" w:rsidR="007B29DD" w:rsidRDefault="006C5210" w:rsidP="00811ED7">
      <w:pPr>
        <w:pStyle w:val="TOC2"/>
        <w:ind w:left="0"/>
        <w:rPr>
          <w:rFonts w:eastAsiaTheme="minorEastAsia"/>
          <w:b/>
        </w:rPr>
      </w:pPr>
      <w:hyperlink w:anchor="_Toc57377204" w:history="1">
        <w:r w:rsidR="007B29DD" w:rsidRPr="00842BEA">
          <w:rPr>
            <w:rStyle w:val="Hyperlink"/>
          </w:rPr>
          <w:t>B.1 Introduction</w:t>
        </w:r>
        <w:r w:rsidR="007B29DD">
          <w:rPr>
            <w:webHidden/>
          </w:rPr>
          <w:tab/>
        </w:r>
        <w:r w:rsidR="007B29DD">
          <w:rPr>
            <w:webHidden/>
          </w:rPr>
          <w:fldChar w:fldCharType="begin"/>
        </w:r>
        <w:r w:rsidR="007B29DD">
          <w:rPr>
            <w:webHidden/>
          </w:rPr>
          <w:instrText xml:space="preserve"> PAGEREF _Toc57377204 \h </w:instrText>
        </w:r>
        <w:r w:rsidR="007B29DD">
          <w:rPr>
            <w:webHidden/>
          </w:rPr>
        </w:r>
        <w:r w:rsidR="007B29DD">
          <w:rPr>
            <w:webHidden/>
          </w:rPr>
          <w:fldChar w:fldCharType="separate"/>
        </w:r>
        <w:r w:rsidR="007B29DD">
          <w:rPr>
            <w:webHidden/>
          </w:rPr>
          <w:t>10</w:t>
        </w:r>
        <w:r w:rsidR="00DB384C">
          <w:rPr>
            <w:webHidden/>
          </w:rPr>
          <w:t>7</w:t>
        </w:r>
        <w:r w:rsidR="007B29DD">
          <w:rPr>
            <w:webHidden/>
          </w:rPr>
          <w:fldChar w:fldCharType="end"/>
        </w:r>
      </w:hyperlink>
    </w:p>
    <w:p w14:paraId="5996FE7C" w14:textId="65FCF5D6" w:rsidR="007B29DD" w:rsidRDefault="006C5210" w:rsidP="00811ED7">
      <w:pPr>
        <w:pStyle w:val="TOC2"/>
        <w:ind w:left="0"/>
        <w:rPr>
          <w:rFonts w:eastAsiaTheme="minorEastAsia"/>
          <w:b/>
        </w:rPr>
      </w:pPr>
      <w:hyperlink w:anchor="_Toc57377205" w:history="1">
        <w:r w:rsidR="007B29DD" w:rsidRPr="00842BEA">
          <w:rPr>
            <w:rStyle w:val="Hyperlink"/>
          </w:rPr>
          <w:t>B.2 Other downscaled climate change projections</w:t>
        </w:r>
        <w:r w:rsidR="007B29DD">
          <w:rPr>
            <w:webHidden/>
          </w:rPr>
          <w:tab/>
        </w:r>
        <w:r w:rsidR="007B29DD">
          <w:rPr>
            <w:webHidden/>
          </w:rPr>
          <w:fldChar w:fldCharType="begin"/>
        </w:r>
        <w:r w:rsidR="007B29DD">
          <w:rPr>
            <w:webHidden/>
          </w:rPr>
          <w:instrText xml:space="preserve"> PAGEREF _Toc57377205 \h </w:instrText>
        </w:r>
        <w:r w:rsidR="007B29DD">
          <w:rPr>
            <w:webHidden/>
          </w:rPr>
        </w:r>
        <w:r w:rsidR="007B29DD">
          <w:rPr>
            <w:webHidden/>
          </w:rPr>
          <w:fldChar w:fldCharType="separate"/>
        </w:r>
        <w:r w:rsidR="007B29DD">
          <w:rPr>
            <w:webHidden/>
          </w:rPr>
          <w:t>10</w:t>
        </w:r>
        <w:r w:rsidR="00DB384C">
          <w:rPr>
            <w:webHidden/>
          </w:rPr>
          <w:t>7</w:t>
        </w:r>
        <w:r w:rsidR="007B29DD">
          <w:rPr>
            <w:webHidden/>
          </w:rPr>
          <w:fldChar w:fldCharType="end"/>
        </w:r>
      </w:hyperlink>
    </w:p>
    <w:p w14:paraId="10ADB94F" w14:textId="44F38061" w:rsidR="007B29DD" w:rsidRDefault="006C5210" w:rsidP="00811ED7">
      <w:pPr>
        <w:pStyle w:val="TOC3"/>
        <w:ind w:left="0"/>
        <w:rPr>
          <w:b/>
        </w:rPr>
      </w:pPr>
      <w:hyperlink w:anchor="_Toc57377206" w:history="1">
        <w:r w:rsidR="007B29DD" w:rsidRPr="00842BEA">
          <w:rPr>
            <w:rStyle w:val="Hyperlink"/>
          </w:rPr>
          <w:t>B.2.1 VCP19</w:t>
        </w:r>
        <w:r w:rsidR="007B29DD">
          <w:rPr>
            <w:webHidden/>
          </w:rPr>
          <w:tab/>
        </w:r>
        <w:r w:rsidR="007B29DD">
          <w:rPr>
            <w:webHidden/>
          </w:rPr>
          <w:fldChar w:fldCharType="begin"/>
        </w:r>
        <w:r w:rsidR="007B29DD">
          <w:rPr>
            <w:webHidden/>
          </w:rPr>
          <w:instrText xml:space="preserve"> PAGEREF _Toc57377206 \h </w:instrText>
        </w:r>
        <w:r w:rsidR="007B29DD">
          <w:rPr>
            <w:webHidden/>
          </w:rPr>
        </w:r>
        <w:r w:rsidR="007B29DD">
          <w:rPr>
            <w:webHidden/>
          </w:rPr>
          <w:fldChar w:fldCharType="separate"/>
        </w:r>
        <w:r w:rsidR="007B29DD">
          <w:rPr>
            <w:webHidden/>
          </w:rPr>
          <w:t>10</w:t>
        </w:r>
        <w:r w:rsidR="00DB384C">
          <w:rPr>
            <w:webHidden/>
          </w:rPr>
          <w:t>7</w:t>
        </w:r>
        <w:r w:rsidR="007B29DD">
          <w:rPr>
            <w:webHidden/>
          </w:rPr>
          <w:fldChar w:fldCharType="end"/>
        </w:r>
      </w:hyperlink>
    </w:p>
    <w:p w14:paraId="73AAD281" w14:textId="77777777" w:rsidR="007B29DD" w:rsidRDefault="006C5210" w:rsidP="00811ED7">
      <w:pPr>
        <w:pStyle w:val="TOC3"/>
        <w:ind w:left="0"/>
        <w:rPr>
          <w:b/>
        </w:rPr>
      </w:pPr>
      <w:hyperlink w:anchor="_Toc57377207" w:history="1">
        <w:r w:rsidR="007B29DD" w:rsidRPr="00842BEA">
          <w:rPr>
            <w:rStyle w:val="Hyperlink"/>
          </w:rPr>
          <w:t>B.2.2 NARCliM</w:t>
        </w:r>
        <w:r w:rsidR="007B29DD">
          <w:rPr>
            <w:webHidden/>
          </w:rPr>
          <w:tab/>
        </w:r>
        <w:r w:rsidR="007B29DD">
          <w:rPr>
            <w:webHidden/>
          </w:rPr>
          <w:fldChar w:fldCharType="begin"/>
        </w:r>
        <w:r w:rsidR="007B29DD">
          <w:rPr>
            <w:webHidden/>
          </w:rPr>
          <w:instrText xml:space="preserve"> PAGEREF _Toc57377207 \h </w:instrText>
        </w:r>
        <w:r w:rsidR="007B29DD">
          <w:rPr>
            <w:webHidden/>
          </w:rPr>
        </w:r>
        <w:r w:rsidR="007B29DD">
          <w:rPr>
            <w:webHidden/>
          </w:rPr>
          <w:fldChar w:fldCharType="separate"/>
        </w:r>
        <w:r w:rsidR="007B29DD">
          <w:rPr>
            <w:webHidden/>
          </w:rPr>
          <w:t>113</w:t>
        </w:r>
        <w:r w:rsidR="007B29DD">
          <w:rPr>
            <w:webHidden/>
          </w:rPr>
          <w:fldChar w:fldCharType="end"/>
        </w:r>
      </w:hyperlink>
    </w:p>
    <w:p w14:paraId="7B5A91A6" w14:textId="0CC50CDA" w:rsidR="007B29DD" w:rsidRDefault="006C5210" w:rsidP="00811ED7">
      <w:pPr>
        <w:pStyle w:val="TOC3"/>
        <w:ind w:left="0"/>
        <w:rPr>
          <w:b/>
        </w:rPr>
      </w:pPr>
      <w:hyperlink w:anchor="_Toc57377208" w:history="1">
        <w:r w:rsidR="007B29DD" w:rsidRPr="00842BEA">
          <w:rPr>
            <w:rStyle w:val="Hyperlink"/>
          </w:rPr>
          <w:t>B.2.3 Climate Change in Australia NRM Region Projections</w:t>
        </w:r>
        <w:r w:rsidR="007B29DD">
          <w:rPr>
            <w:webHidden/>
          </w:rPr>
          <w:tab/>
        </w:r>
        <w:r w:rsidR="007B29DD">
          <w:rPr>
            <w:webHidden/>
          </w:rPr>
          <w:fldChar w:fldCharType="begin"/>
        </w:r>
        <w:r w:rsidR="007B29DD">
          <w:rPr>
            <w:webHidden/>
          </w:rPr>
          <w:instrText xml:space="preserve"> PAGEREF _Toc57377208 \h </w:instrText>
        </w:r>
        <w:r w:rsidR="007B29DD">
          <w:rPr>
            <w:webHidden/>
          </w:rPr>
        </w:r>
        <w:r w:rsidR="007B29DD">
          <w:rPr>
            <w:webHidden/>
          </w:rPr>
          <w:fldChar w:fldCharType="separate"/>
        </w:r>
        <w:r w:rsidR="007B29DD">
          <w:rPr>
            <w:webHidden/>
          </w:rPr>
          <w:t>11</w:t>
        </w:r>
        <w:r w:rsidR="00347C52">
          <w:rPr>
            <w:webHidden/>
          </w:rPr>
          <w:t>3</w:t>
        </w:r>
        <w:r w:rsidR="007B29DD">
          <w:rPr>
            <w:webHidden/>
          </w:rPr>
          <w:fldChar w:fldCharType="end"/>
        </w:r>
      </w:hyperlink>
    </w:p>
    <w:p w14:paraId="5C9297FF" w14:textId="77777777" w:rsidR="007B29DD" w:rsidRDefault="006C5210" w:rsidP="00811ED7">
      <w:pPr>
        <w:pStyle w:val="TOC3"/>
        <w:ind w:left="0"/>
        <w:rPr>
          <w:b/>
        </w:rPr>
      </w:pPr>
      <w:hyperlink w:anchor="_Toc57377209" w:history="1">
        <w:r w:rsidR="007B29DD" w:rsidRPr="00842BEA">
          <w:rPr>
            <w:rStyle w:val="Hyperlink"/>
          </w:rPr>
          <w:t>B.2.3 National Hydrologic Projections</w:t>
        </w:r>
        <w:r w:rsidR="007B29DD">
          <w:rPr>
            <w:webHidden/>
          </w:rPr>
          <w:tab/>
        </w:r>
        <w:r w:rsidR="007B29DD">
          <w:rPr>
            <w:webHidden/>
          </w:rPr>
          <w:fldChar w:fldCharType="begin"/>
        </w:r>
        <w:r w:rsidR="007B29DD">
          <w:rPr>
            <w:webHidden/>
          </w:rPr>
          <w:instrText xml:space="preserve"> PAGEREF _Toc57377209 \h </w:instrText>
        </w:r>
        <w:r w:rsidR="007B29DD">
          <w:rPr>
            <w:webHidden/>
          </w:rPr>
        </w:r>
        <w:r w:rsidR="007B29DD">
          <w:rPr>
            <w:webHidden/>
          </w:rPr>
          <w:fldChar w:fldCharType="separate"/>
        </w:r>
        <w:r w:rsidR="007B29DD">
          <w:rPr>
            <w:webHidden/>
          </w:rPr>
          <w:t>114</w:t>
        </w:r>
        <w:r w:rsidR="007B29DD">
          <w:rPr>
            <w:webHidden/>
          </w:rPr>
          <w:fldChar w:fldCharType="end"/>
        </w:r>
      </w:hyperlink>
    </w:p>
    <w:p w14:paraId="7EDDF3DD" w14:textId="77777777" w:rsidR="007B29DD" w:rsidRDefault="006C5210" w:rsidP="00811ED7">
      <w:pPr>
        <w:pStyle w:val="TOC2"/>
        <w:ind w:left="0"/>
        <w:rPr>
          <w:rFonts w:eastAsiaTheme="minorEastAsia"/>
          <w:b/>
        </w:rPr>
      </w:pPr>
      <w:hyperlink w:anchor="_Toc57377210" w:history="1">
        <w:r w:rsidR="007B29DD" w:rsidRPr="00842BEA">
          <w:rPr>
            <w:rStyle w:val="Hyperlink"/>
          </w:rPr>
          <w:t>B.3 Obtaining finer spatial resolution for projected changes</w:t>
        </w:r>
        <w:r w:rsidR="007B29DD">
          <w:rPr>
            <w:webHidden/>
          </w:rPr>
          <w:tab/>
        </w:r>
        <w:r w:rsidR="007B29DD">
          <w:rPr>
            <w:webHidden/>
          </w:rPr>
          <w:fldChar w:fldCharType="begin"/>
        </w:r>
        <w:r w:rsidR="007B29DD">
          <w:rPr>
            <w:webHidden/>
          </w:rPr>
          <w:instrText xml:space="preserve"> PAGEREF _Toc57377210 \h </w:instrText>
        </w:r>
        <w:r w:rsidR="007B29DD">
          <w:rPr>
            <w:webHidden/>
          </w:rPr>
        </w:r>
        <w:r w:rsidR="007B29DD">
          <w:rPr>
            <w:webHidden/>
          </w:rPr>
          <w:fldChar w:fldCharType="separate"/>
        </w:r>
        <w:r w:rsidR="007B29DD">
          <w:rPr>
            <w:webHidden/>
          </w:rPr>
          <w:t>114</w:t>
        </w:r>
        <w:r w:rsidR="007B29DD">
          <w:rPr>
            <w:webHidden/>
          </w:rPr>
          <w:fldChar w:fldCharType="end"/>
        </w:r>
      </w:hyperlink>
    </w:p>
    <w:p w14:paraId="23E16A82" w14:textId="7D3BFF39" w:rsidR="007B29DD" w:rsidRDefault="006C5210" w:rsidP="00811ED7">
      <w:pPr>
        <w:pStyle w:val="TOC2"/>
        <w:ind w:left="0"/>
        <w:rPr>
          <w:rFonts w:eastAsiaTheme="minorEastAsia"/>
          <w:b/>
        </w:rPr>
      </w:pPr>
      <w:hyperlink w:anchor="_Toc57377211" w:history="1">
        <w:r w:rsidR="007B29DD" w:rsidRPr="00842BEA">
          <w:rPr>
            <w:rStyle w:val="Hyperlink"/>
          </w:rPr>
          <w:t>B.4 Climate analogues</w:t>
        </w:r>
        <w:r w:rsidR="007B29DD">
          <w:rPr>
            <w:webHidden/>
          </w:rPr>
          <w:tab/>
        </w:r>
        <w:r w:rsidR="007B29DD">
          <w:rPr>
            <w:webHidden/>
          </w:rPr>
          <w:fldChar w:fldCharType="begin"/>
        </w:r>
        <w:r w:rsidR="007B29DD">
          <w:rPr>
            <w:webHidden/>
          </w:rPr>
          <w:instrText xml:space="preserve"> PAGEREF _Toc57377211 \h </w:instrText>
        </w:r>
        <w:r w:rsidR="007B29DD">
          <w:rPr>
            <w:webHidden/>
          </w:rPr>
        </w:r>
        <w:r w:rsidR="007B29DD">
          <w:rPr>
            <w:webHidden/>
          </w:rPr>
          <w:fldChar w:fldCharType="separate"/>
        </w:r>
        <w:r w:rsidR="007B29DD">
          <w:rPr>
            <w:webHidden/>
          </w:rPr>
          <w:t>11</w:t>
        </w:r>
        <w:r w:rsidR="0000239E">
          <w:rPr>
            <w:webHidden/>
          </w:rPr>
          <w:t>6</w:t>
        </w:r>
        <w:r w:rsidR="007B29DD">
          <w:rPr>
            <w:webHidden/>
          </w:rPr>
          <w:fldChar w:fldCharType="end"/>
        </w:r>
      </w:hyperlink>
    </w:p>
    <w:p w14:paraId="19BFD592" w14:textId="77777777" w:rsidR="007B29DD" w:rsidRDefault="006C5210" w:rsidP="00811ED7">
      <w:pPr>
        <w:pStyle w:val="TOC2"/>
        <w:ind w:left="0"/>
        <w:rPr>
          <w:rFonts w:eastAsiaTheme="minorEastAsia"/>
          <w:b/>
        </w:rPr>
      </w:pPr>
      <w:hyperlink w:anchor="_Toc57377212" w:history="1">
        <w:r w:rsidR="007B29DD" w:rsidRPr="00842BEA">
          <w:rPr>
            <w:rStyle w:val="Hyperlink"/>
          </w:rPr>
          <w:t>B.5 Paleoclimate rainfall and streamflow reconstructions</w:t>
        </w:r>
        <w:r w:rsidR="007B29DD">
          <w:rPr>
            <w:webHidden/>
          </w:rPr>
          <w:tab/>
        </w:r>
        <w:r w:rsidR="007B29DD">
          <w:rPr>
            <w:webHidden/>
          </w:rPr>
          <w:fldChar w:fldCharType="begin"/>
        </w:r>
        <w:r w:rsidR="007B29DD">
          <w:rPr>
            <w:webHidden/>
          </w:rPr>
          <w:instrText xml:space="preserve"> PAGEREF _Toc57377212 \h </w:instrText>
        </w:r>
        <w:r w:rsidR="007B29DD">
          <w:rPr>
            <w:webHidden/>
          </w:rPr>
        </w:r>
        <w:r w:rsidR="007B29DD">
          <w:rPr>
            <w:webHidden/>
          </w:rPr>
          <w:fldChar w:fldCharType="separate"/>
        </w:r>
        <w:r w:rsidR="007B29DD">
          <w:rPr>
            <w:webHidden/>
          </w:rPr>
          <w:t>118</w:t>
        </w:r>
        <w:r w:rsidR="007B29DD">
          <w:rPr>
            <w:webHidden/>
          </w:rPr>
          <w:fldChar w:fldCharType="end"/>
        </w:r>
      </w:hyperlink>
    </w:p>
    <w:p w14:paraId="6F70FB6E" w14:textId="77777777" w:rsidR="007B29DD" w:rsidRDefault="006C5210" w:rsidP="00811ED7">
      <w:pPr>
        <w:pStyle w:val="TOC2"/>
        <w:ind w:left="0"/>
        <w:rPr>
          <w:rFonts w:eastAsiaTheme="minorEastAsia"/>
          <w:b/>
        </w:rPr>
      </w:pPr>
      <w:hyperlink w:anchor="_Toc57377213" w:history="1">
        <w:r w:rsidR="007B29DD" w:rsidRPr="00842BEA">
          <w:rPr>
            <w:rStyle w:val="Hyperlink"/>
          </w:rPr>
          <w:t>B.6 Additional climate change impact assessment techniques</w:t>
        </w:r>
        <w:r w:rsidR="007B29DD">
          <w:rPr>
            <w:webHidden/>
          </w:rPr>
          <w:tab/>
        </w:r>
        <w:r w:rsidR="007B29DD">
          <w:rPr>
            <w:webHidden/>
          </w:rPr>
          <w:fldChar w:fldCharType="begin"/>
        </w:r>
        <w:r w:rsidR="007B29DD">
          <w:rPr>
            <w:webHidden/>
          </w:rPr>
          <w:instrText xml:space="preserve"> PAGEREF _Toc57377213 \h </w:instrText>
        </w:r>
        <w:r w:rsidR="007B29DD">
          <w:rPr>
            <w:webHidden/>
          </w:rPr>
        </w:r>
        <w:r w:rsidR="007B29DD">
          <w:rPr>
            <w:webHidden/>
          </w:rPr>
          <w:fldChar w:fldCharType="separate"/>
        </w:r>
        <w:r w:rsidR="007B29DD">
          <w:rPr>
            <w:webHidden/>
          </w:rPr>
          <w:t>120</w:t>
        </w:r>
        <w:r w:rsidR="007B29DD">
          <w:rPr>
            <w:webHidden/>
          </w:rPr>
          <w:fldChar w:fldCharType="end"/>
        </w:r>
      </w:hyperlink>
    </w:p>
    <w:p w14:paraId="5C6AB068" w14:textId="77777777" w:rsidR="007B29DD" w:rsidRDefault="006C5210" w:rsidP="00811ED7">
      <w:pPr>
        <w:pStyle w:val="TOC3"/>
        <w:ind w:left="0"/>
        <w:rPr>
          <w:b/>
        </w:rPr>
      </w:pPr>
      <w:hyperlink w:anchor="_Toc57377214" w:history="1">
        <w:r w:rsidR="007B29DD" w:rsidRPr="00842BEA">
          <w:rPr>
            <w:rStyle w:val="Hyperlink"/>
          </w:rPr>
          <w:t>B 6.1 Sensitivity (stress) testing</w:t>
        </w:r>
        <w:r w:rsidR="007B29DD">
          <w:rPr>
            <w:webHidden/>
          </w:rPr>
          <w:tab/>
        </w:r>
        <w:r w:rsidR="007B29DD">
          <w:rPr>
            <w:webHidden/>
          </w:rPr>
          <w:fldChar w:fldCharType="begin"/>
        </w:r>
        <w:r w:rsidR="007B29DD">
          <w:rPr>
            <w:webHidden/>
          </w:rPr>
          <w:instrText xml:space="preserve"> PAGEREF _Toc57377214 \h </w:instrText>
        </w:r>
        <w:r w:rsidR="007B29DD">
          <w:rPr>
            <w:webHidden/>
          </w:rPr>
        </w:r>
        <w:r w:rsidR="007B29DD">
          <w:rPr>
            <w:webHidden/>
          </w:rPr>
          <w:fldChar w:fldCharType="separate"/>
        </w:r>
        <w:r w:rsidR="007B29DD">
          <w:rPr>
            <w:webHidden/>
          </w:rPr>
          <w:t>120</w:t>
        </w:r>
        <w:r w:rsidR="007B29DD">
          <w:rPr>
            <w:webHidden/>
          </w:rPr>
          <w:fldChar w:fldCharType="end"/>
        </w:r>
      </w:hyperlink>
    </w:p>
    <w:p w14:paraId="03FE72F5" w14:textId="77777777" w:rsidR="007B29DD" w:rsidRDefault="006C5210" w:rsidP="00811ED7">
      <w:pPr>
        <w:pStyle w:val="TOC3"/>
        <w:ind w:left="0"/>
        <w:rPr>
          <w:b/>
        </w:rPr>
      </w:pPr>
      <w:hyperlink w:anchor="_Toc57377215" w:history="1">
        <w:r w:rsidR="007B29DD" w:rsidRPr="00842BEA">
          <w:rPr>
            <w:rStyle w:val="Hyperlink"/>
          </w:rPr>
          <w:t>B 6.2 Sensitivity testing for seasonal rainfall projections</w:t>
        </w:r>
        <w:r w:rsidR="007B29DD">
          <w:rPr>
            <w:webHidden/>
          </w:rPr>
          <w:tab/>
        </w:r>
        <w:r w:rsidR="007B29DD">
          <w:rPr>
            <w:webHidden/>
          </w:rPr>
          <w:fldChar w:fldCharType="begin"/>
        </w:r>
        <w:r w:rsidR="007B29DD">
          <w:rPr>
            <w:webHidden/>
          </w:rPr>
          <w:instrText xml:space="preserve"> PAGEREF _Toc57377215 \h </w:instrText>
        </w:r>
        <w:r w:rsidR="007B29DD">
          <w:rPr>
            <w:webHidden/>
          </w:rPr>
        </w:r>
        <w:r w:rsidR="007B29DD">
          <w:rPr>
            <w:webHidden/>
          </w:rPr>
          <w:fldChar w:fldCharType="separate"/>
        </w:r>
        <w:r w:rsidR="007B29DD">
          <w:rPr>
            <w:webHidden/>
          </w:rPr>
          <w:t>122</w:t>
        </w:r>
        <w:r w:rsidR="007B29DD">
          <w:rPr>
            <w:webHidden/>
          </w:rPr>
          <w:fldChar w:fldCharType="end"/>
        </w:r>
      </w:hyperlink>
    </w:p>
    <w:p w14:paraId="538CC711" w14:textId="426008F2" w:rsidR="007B29DD" w:rsidRDefault="006C5210" w:rsidP="00811ED7">
      <w:pPr>
        <w:pStyle w:val="TOC3"/>
        <w:ind w:left="0"/>
        <w:rPr>
          <w:b/>
        </w:rPr>
      </w:pPr>
      <w:hyperlink w:anchor="_Toc57377216" w:history="1">
        <w:r w:rsidR="007B29DD" w:rsidRPr="00842BEA">
          <w:rPr>
            <w:rStyle w:val="Hyperlink"/>
          </w:rPr>
          <w:t>B 6.3 Decision scaling</w:t>
        </w:r>
        <w:r w:rsidR="007B29DD">
          <w:rPr>
            <w:webHidden/>
          </w:rPr>
          <w:tab/>
        </w:r>
        <w:r w:rsidR="007B29DD">
          <w:rPr>
            <w:webHidden/>
          </w:rPr>
          <w:fldChar w:fldCharType="begin"/>
        </w:r>
        <w:r w:rsidR="007B29DD">
          <w:rPr>
            <w:webHidden/>
          </w:rPr>
          <w:instrText xml:space="preserve"> PAGEREF _Toc57377216 \h </w:instrText>
        </w:r>
        <w:r w:rsidR="007B29DD">
          <w:rPr>
            <w:webHidden/>
          </w:rPr>
        </w:r>
        <w:r w:rsidR="007B29DD">
          <w:rPr>
            <w:webHidden/>
          </w:rPr>
          <w:fldChar w:fldCharType="separate"/>
        </w:r>
        <w:r w:rsidR="007B29DD">
          <w:rPr>
            <w:webHidden/>
          </w:rPr>
          <w:t>13</w:t>
        </w:r>
        <w:r w:rsidR="005F2221">
          <w:rPr>
            <w:webHidden/>
          </w:rPr>
          <w:t>6</w:t>
        </w:r>
        <w:r w:rsidR="007B29DD">
          <w:rPr>
            <w:webHidden/>
          </w:rPr>
          <w:fldChar w:fldCharType="end"/>
        </w:r>
      </w:hyperlink>
    </w:p>
    <w:p w14:paraId="5ABDBB81" w14:textId="5F869615" w:rsidR="007B29DD" w:rsidRDefault="006C5210" w:rsidP="00811ED7">
      <w:pPr>
        <w:pStyle w:val="TOC3"/>
        <w:ind w:left="0"/>
        <w:rPr>
          <w:b/>
        </w:rPr>
      </w:pPr>
      <w:hyperlink w:anchor="_Toc57377217" w:history="1">
        <w:r w:rsidR="007B29DD" w:rsidRPr="00842BEA">
          <w:rPr>
            <w:rStyle w:val="Hyperlink"/>
          </w:rPr>
          <w:t>B.6.4 Stochastic weather generators</w:t>
        </w:r>
        <w:r w:rsidR="007B29DD">
          <w:rPr>
            <w:webHidden/>
          </w:rPr>
          <w:tab/>
        </w:r>
        <w:r w:rsidR="007B29DD">
          <w:rPr>
            <w:webHidden/>
          </w:rPr>
          <w:fldChar w:fldCharType="begin"/>
        </w:r>
        <w:r w:rsidR="007B29DD">
          <w:rPr>
            <w:webHidden/>
          </w:rPr>
          <w:instrText xml:space="preserve"> PAGEREF _Toc57377217 \h </w:instrText>
        </w:r>
        <w:r w:rsidR="007B29DD">
          <w:rPr>
            <w:webHidden/>
          </w:rPr>
        </w:r>
        <w:r w:rsidR="007B29DD">
          <w:rPr>
            <w:webHidden/>
          </w:rPr>
          <w:fldChar w:fldCharType="separate"/>
        </w:r>
        <w:r w:rsidR="007B29DD">
          <w:rPr>
            <w:webHidden/>
          </w:rPr>
          <w:t>13</w:t>
        </w:r>
        <w:r w:rsidR="00654D92">
          <w:rPr>
            <w:webHidden/>
          </w:rPr>
          <w:t>9</w:t>
        </w:r>
        <w:r w:rsidR="007B29DD">
          <w:rPr>
            <w:webHidden/>
          </w:rPr>
          <w:fldChar w:fldCharType="end"/>
        </w:r>
      </w:hyperlink>
    </w:p>
    <w:p w14:paraId="3BCF2605" w14:textId="2A98DBD7" w:rsidR="007B29DD" w:rsidRDefault="006C5210" w:rsidP="00811ED7">
      <w:pPr>
        <w:pStyle w:val="TOC3"/>
        <w:ind w:left="0"/>
        <w:rPr>
          <w:b/>
        </w:rPr>
      </w:pPr>
      <w:hyperlink w:anchor="_Toc57377218" w:history="1">
        <w:r w:rsidR="007B29DD" w:rsidRPr="00842BEA">
          <w:rPr>
            <w:rStyle w:val="Hyperlink"/>
          </w:rPr>
          <w:t>B.6.5 Multi-objective pareto front optimisation (MOPFO)</w:t>
        </w:r>
        <w:r w:rsidR="007B29DD">
          <w:rPr>
            <w:webHidden/>
          </w:rPr>
          <w:tab/>
        </w:r>
        <w:r w:rsidR="007B29DD">
          <w:rPr>
            <w:webHidden/>
          </w:rPr>
          <w:fldChar w:fldCharType="begin"/>
        </w:r>
        <w:r w:rsidR="007B29DD">
          <w:rPr>
            <w:webHidden/>
          </w:rPr>
          <w:instrText xml:space="preserve"> PAGEREF _Toc57377218 \h </w:instrText>
        </w:r>
        <w:r w:rsidR="007B29DD">
          <w:rPr>
            <w:webHidden/>
          </w:rPr>
        </w:r>
        <w:r w:rsidR="007B29DD">
          <w:rPr>
            <w:webHidden/>
          </w:rPr>
          <w:fldChar w:fldCharType="separate"/>
        </w:r>
        <w:r w:rsidR="007B29DD">
          <w:rPr>
            <w:webHidden/>
          </w:rPr>
          <w:t>1</w:t>
        </w:r>
        <w:r w:rsidR="0095049A">
          <w:rPr>
            <w:webHidden/>
          </w:rPr>
          <w:t>41</w:t>
        </w:r>
        <w:r w:rsidR="007B29DD">
          <w:rPr>
            <w:webHidden/>
          </w:rPr>
          <w:fldChar w:fldCharType="end"/>
        </w:r>
      </w:hyperlink>
    </w:p>
    <w:p w14:paraId="14F265B6" w14:textId="534A4F81" w:rsidR="007B29DD" w:rsidRDefault="006C5210" w:rsidP="00811ED7">
      <w:pPr>
        <w:pStyle w:val="TOC3"/>
        <w:ind w:left="0"/>
        <w:rPr>
          <w:b/>
        </w:rPr>
      </w:pPr>
      <w:hyperlink w:anchor="_Toc57377219" w:history="1">
        <w:r w:rsidR="007B29DD" w:rsidRPr="00842BEA">
          <w:rPr>
            <w:rStyle w:val="Hyperlink"/>
          </w:rPr>
          <w:t>B 6.6 Other approaches that the guidelines can support</w:t>
        </w:r>
        <w:r w:rsidR="007B29DD">
          <w:rPr>
            <w:webHidden/>
          </w:rPr>
          <w:tab/>
        </w:r>
        <w:r w:rsidR="007B29DD">
          <w:rPr>
            <w:webHidden/>
          </w:rPr>
          <w:fldChar w:fldCharType="begin"/>
        </w:r>
        <w:r w:rsidR="007B29DD">
          <w:rPr>
            <w:webHidden/>
          </w:rPr>
          <w:instrText xml:space="preserve"> PAGEREF _Toc57377219 \h </w:instrText>
        </w:r>
        <w:r w:rsidR="007B29DD">
          <w:rPr>
            <w:webHidden/>
          </w:rPr>
        </w:r>
        <w:r w:rsidR="007B29DD">
          <w:rPr>
            <w:webHidden/>
          </w:rPr>
          <w:fldChar w:fldCharType="separate"/>
        </w:r>
        <w:r w:rsidR="007B29DD">
          <w:rPr>
            <w:webHidden/>
          </w:rPr>
          <w:t>14</w:t>
        </w:r>
        <w:r w:rsidR="00B42040">
          <w:rPr>
            <w:webHidden/>
          </w:rPr>
          <w:t>5</w:t>
        </w:r>
        <w:r w:rsidR="007B29DD">
          <w:rPr>
            <w:webHidden/>
          </w:rPr>
          <w:fldChar w:fldCharType="end"/>
        </w:r>
      </w:hyperlink>
    </w:p>
    <w:p w14:paraId="3234AD11" w14:textId="73009DE6" w:rsidR="007B29DD" w:rsidRDefault="006C5210" w:rsidP="00811ED7">
      <w:pPr>
        <w:pStyle w:val="TOC2"/>
        <w:ind w:left="0"/>
        <w:rPr>
          <w:rFonts w:eastAsiaTheme="minorEastAsia"/>
          <w:b/>
        </w:rPr>
      </w:pPr>
      <w:hyperlink w:anchor="_Toc57377220" w:history="1">
        <w:r w:rsidR="007B29DD" w:rsidRPr="00842BEA">
          <w:rPr>
            <w:rStyle w:val="Hyperlink"/>
          </w:rPr>
          <w:t>B.7 Supplementary guidance on sub-hourly rainfall</w:t>
        </w:r>
        <w:r w:rsidR="007B29DD">
          <w:rPr>
            <w:webHidden/>
          </w:rPr>
          <w:tab/>
        </w:r>
        <w:r w:rsidR="007B29DD">
          <w:rPr>
            <w:webHidden/>
          </w:rPr>
          <w:fldChar w:fldCharType="begin"/>
        </w:r>
        <w:r w:rsidR="007B29DD">
          <w:rPr>
            <w:webHidden/>
          </w:rPr>
          <w:instrText xml:space="preserve"> PAGEREF _Toc57377220 \h </w:instrText>
        </w:r>
        <w:r w:rsidR="007B29DD">
          <w:rPr>
            <w:webHidden/>
          </w:rPr>
        </w:r>
        <w:r w:rsidR="007B29DD">
          <w:rPr>
            <w:webHidden/>
          </w:rPr>
          <w:fldChar w:fldCharType="separate"/>
        </w:r>
        <w:r w:rsidR="007B29DD">
          <w:rPr>
            <w:webHidden/>
          </w:rPr>
          <w:t>14</w:t>
        </w:r>
        <w:r w:rsidR="00B42040">
          <w:rPr>
            <w:webHidden/>
          </w:rPr>
          <w:t>5</w:t>
        </w:r>
        <w:r w:rsidR="007B29DD">
          <w:rPr>
            <w:webHidden/>
          </w:rPr>
          <w:fldChar w:fldCharType="end"/>
        </w:r>
      </w:hyperlink>
    </w:p>
    <w:p w14:paraId="29E036A0" w14:textId="5ED5E375" w:rsidR="007B29DD" w:rsidRDefault="006C5210" w:rsidP="00811ED7">
      <w:pPr>
        <w:pStyle w:val="TOC2"/>
        <w:ind w:left="0"/>
        <w:rPr>
          <w:rFonts w:eastAsiaTheme="minorEastAsia"/>
          <w:b/>
        </w:rPr>
      </w:pPr>
      <w:hyperlink w:anchor="_Toc57377221" w:history="1">
        <w:r w:rsidR="007B29DD" w:rsidRPr="00842BEA">
          <w:rPr>
            <w:rStyle w:val="Hyperlink"/>
          </w:rPr>
          <w:t>B.8 Supplementary guidance on runoff due to changes in snow cover</w:t>
        </w:r>
        <w:r w:rsidR="007B29DD">
          <w:rPr>
            <w:webHidden/>
          </w:rPr>
          <w:tab/>
        </w:r>
        <w:r w:rsidR="007B29DD">
          <w:rPr>
            <w:webHidden/>
          </w:rPr>
          <w:fldChar w:fldCharType="begin"/>
        </w:r>
        <w:r w:rsidR="007B29DD">
          <w:rPr>
            <w:webHidden/>
          </w:rPr>
          <w:instrText xml:space="preserve"> PAGEREF _Toc57377221 \h </w:instrText>
        </w:r>
        <w:r w:rsidR="007B29DD">
          <w:rPr>
            <w:webHidden/>
          </w:rPr>
        </w:r>
        <w:r w:rsidR="007B29DD">
          <w:rPr>
            <w:webHidden/>
          </w:rPr>
          <w:fldChar w:fldCharType="separate"/>
        </w:r>
        <w:r w:rsidR="007B29DD">
          <w:rPr>
            <w:webHidden/>
          </w:rPr>
          <w:t>14</w:t>
        </w:r>
        <w:r w:rsidR="00455AF7">
          <w:rPr>
            <w:webHidden/>
          </w:rPr>
          <w:t>7</w:t>
        </w:r>
        <w:r w:rsidR="007B29DD">
          <w:rPr>
            <w:webHidden/>
          </w:rPr>
          <w:fldChar w:fldCharType="end"/>
        </w:r>
      </w:hyperlink>
    </w:p>
    <w:p w14:paraId="199C5C9D" w14:textId="5C469F91" w:rsidR="007B29DD" w:rsidRDefault="006C5210" w:rsidP="00811ED7">
      <w:pPr>
        <w:pStyle w:val="TOC2"/>
        <w:ind w:left="0"/>
        <w:rPr>
          <w:rFonts w:eastAsiaTheme="minorEastAsia"/>
          <w:b/>
        </w:rPr>
      </w:pPr>
      <w:hyperlink w:anchor="_Toc57377222" w:history="1">
        <w:r w:rsidR="007B29DD" w:rsidRPr="00842BEA">
          <w:rPr>
            <w:rStyle w:val="Hyperlink"/>
          </w:rPr>
          <w:t>B.9 Additional information on observed shifts in rainfall-runoff behaviour</w:t>
        </w:r>
        <w:r w:rsidR="007B29DD">
          <w:rPr>
            <w:webHidden/>
          </w:rPr>
          <w:tab/>
        </w:r>
        <w:r w:rsidR="007B29DD">
          <w:rPr>
            <w:webHidden/>
          </w:rPr>
          <w:fldChar w:fldCharType="begin"/>
        </w:r>
        <w:r w:rsidR="007B29DD">
          <w:rPr>
            <w:webHidden/>
          </w:rPr>
          <w:instrText xml:space="preserve"> PAGEREF _Toc57377222 \h </w:instrText>
        </w:r>
        <w:r w:rsidR="007B29DD">
          <w:rPr>
            <w:webHidden/>
          </w:rPr>
        </w:r>
        <w:r w:rsidR="007B29DD">
          <w:rPr>
            <w:webHidden/>
          </w:rPr>
          <w:fldChar w:fldCharType="separate"/>
        </w:r>
        <w:r w:rsidR="007B29DD">
          <w:rPr>
            <w:webHidden/>
          </w:rPr>
          <w:t>1</w:t>
        </w:r>
        <w:r w:rsidR="00105BC0">
          <w:rPr>
            <w:webHidden/>
          </w:rPr>
          <w:t>50</w:t>
        </w:r>
        <w:r w:rsidR="007B29DD">
          <w:rPr>
            <w:webHidden/>
          </w:rPr>
          <w:fldChar w:fldCharType="end"/>
        </w:r>
      </w:hyperlink>
    </w:p>
    <w:p w14:paraId="1E99A743" w14:textId="387EF523" w:rsidR="007B29DD" w:rsidRDefault="006C5210" w:rsidP="00811ED7">
      <w:pPr>
        <w:pStyle w:val="TOC2"/>
        <w:ind w:left="0"/>
        <w:rPr>
          <w:rFonts w:eastAsiaTheme="minorEastAsia"/>
          <w:b/>
        </w:rPr>
      </w:pPr>
      <w:hyperlink w:anchor="_Toc57377223" w:history="1">
        <w:r w:rsidR="007B29DD" w:rsidRPr="00842BEA">
          <w:rPr>
            <w:rStyle w:val="Hyperlink"/>
          </w:rPr>
          <w:t>B.10 Additional information on groundwater recharge processes</w:t>
        </w:r>
        <w:r w:rsidR="007B29DD">
          <w:rPr>
            <w:webHidden/>
          </w:rPr>
          <w:tab/>
        </w:r>
        <w:r w:rsidR="007B29DD">
          <w:rPr>
            <w:webHidden/>
          </w:rPr>
          <w:fldChar w:fldCharType="begin"/>
        </w:r>
        <w:r w:rsidR="007B29DD">
          <w:rPr>
            <w:webHidden/>
          </w:rPr>
          <w:instrText xml:space="preserve"> PAGEREF _Toc57377223 \h </w:instrText>
        </w:r>
        <w:r w:rsidR="007B29DD">
          <w:rPr>
            <w:webHidden/>
          </w:rPr>
        </w:r>
        <w:r w:rsidR="007B29DD">
          <w:rPr>
            <w:webHidden/>
          </w:rPr>
          <w:fldChar w:fldCharType="separate"/>
        </w:r>
        <w:r w:rsidR="007B29DD">
          <w:rPr>
            <w:webHidden/>
          </w:rPr>
          <w:t>1</w:t>
        </w:r>
        <w:r w:rsidR="002F1B60">
          <w:rPr>
            <w:webHidden/>
          </w:rPr>
          <w:t>51</w:t>
        </w:r>
        <w:r w:rsidR="007B29DD">
          <w:rPr>
            <w:webHidden/>
          </w:rPr>
          <w:fldChar w:fldCharType="end"/>
        </w:r>
      </w:hyperlink>
    </w:p>
    <w:p w14:paraId="07B27FF9" w14:textId="461496E6" w:rsidR="007B29DD" w:rsidRDefault="006C5210" w:rsidP="00811ED7">
      <w:pPr>
        <w:pStyle w:val="TOC3"/>
        <w:ind w:left="0"/>
        <w:rPr>
          <w:b/>
        </w:rPr>
      </w:pPr>
      <w:hyperlink w:anchor="_Toc57377224" w:history="1">
        <w:r w:rsidR="007B29DD" w:rsidRPr="00842BEA">
          <w:rPr>
            <w:rStyle w:val="Hyperlink"/>
          </w:rPr>
          <w:t>B.10.1 Influence of climate on groundwater resources</w:t>
        </w:r>
        <w:r w:rsidR="007B29DD">
          <w:rPr>
            <w:webHidden/>
          </w:rPr>
          <w:tab/>
        </w:r>
        <w:r w:rsidR="007B29DD">
          <w:rPr>
            <w:webHidden/>
          </w:rPr>
          <w:fldChar w:fldCharType="begin"/>
        </w:r>
        <w:r w:rsidR="007B29DD">
          <w:rPr>
            <w:webHidden/>
          </w:rPr>
          <w:instrText xml:space="preserve"> PAGEREF _Toc57377224 \h </w:instrText>
        </w:r>
        <w:r w:rsidR="007B29DD">
          <w:rPr>
            <w:webHidden/>
          </w:rPr>
        </w:r>
        <w:r w:rsidR="007B29DD">
          <w:rPr>
            <w:webHidden/>
          </w:rPr>
          <w:fldChar w:fldCharType="separate"/>
        </w:r>
        <w:r w:rsidR="007B29DD">
          <w:rPr>
            <w:webHidden/>
          </w:rPr>
          <w:t>1</w:t>
        </w:r>
        <w:r w:rsidR="002F1B60">
          <w:rPr>
            <w:webHidden/>
          </w:rPr>
          <w:t>51</w:t>
        </w:r>
        <w:r w:rsidR="007B29DD">
          <w:rPr>
            <w:webHidden/>
          </w:rPr>
          <w:fldChar w:fldCharType="end"/>
        </w:r>
      </w:hyperlink>
    </w:p>
    <w:p w14:paraId="65E423A2" w14:textId="28A1100F" w:rsidR="007B29DD" w:rsidRDefault="006C5210" w:rsidP="00811ED7">
      <w:pPr>
        <w:pStyle w:val="TOC3"/>
        <w:ind w:left="0"/>
        <w:rPr>
          <w:b/>
        </w:rPr>
      </w:pPr>
      <w:hyperlink w:anchor="_Toc57377225" w:history="1">
        <w:r w:rsidR="007B29DD" w:rsidRPr="00842BEA">
          <w:rPr>
            <w:rStyle w:val="Hyperlink"/>
          </w:rPr>
          <w:t>B.10.2 Dominant recharge mechanisms for Victoria’s groundwater systems</w:t>
        </w:r>
        <w:r w:rsidR="007B29DD">
          <w:rPr>
            <w:webHidden/>
          </w:rPr>
          <w:tab/>
        </w:r>
        <w:r w:rsidR="007B29DD">
          <w:rPr>
            <w:webHidden/>
          </w:rPr>
          <w:fldChar w:fldCharType="begin"/>
        </w:r>
        <w:r w:rsidR="007B29DD">
          <w:rPr>
            <w:webHidden/>
          </w:rPr>
          <w:instrText xml:space="preserve"> PAGEREF _Toc57377225 \h </w:instrText>
        </w:r>
        <w:r w:rsidR="007B29DD">
          <w:rPr>
            <w:webHidden/>
          </w:rPr>
        </w:r>
        <w:r w:rsidR="007B29DD">
          <w:rPr>
            <w:webHidden/>
          </w:rPr>
          <w:fldChar w:fldCharType="separate"/>
        </w:r>
        <w:r w:rsidR="007B29DD">
          <w:rPr>
            <w:webHidden/>
          </w:rPr>
          <w:t>1</w:t>
        </w:r>
        <w:r w:rsidR="002F1B60">
          <w:rPr>
            <w:webHidden/>
          </w:rPr>
          <w:t>51</w:t>
        </w:r>
        <w:r w:rsidR="007B29DD">
          <w:rPr>
            <w:webHidden/>
          </w:rPr>
          <w:fldChar w:fldCharType="end"/>
        </w:r>
      </w:hyperlink>
    </w:p>
    <w:p w14:paraId="7C37F62F" w14:textId="48F9384B" w:rsidR="007B29DD" w:rsidRDefault="006C5210" w:rsidP="00811ED7">
      <w:pPr>
        <w:pStyle w:val="TOC3"/>
        <w:ind w:left="0"/>
        <w:rPr>
          <w:b/>
        </w:rPr>
      </w:pPr>
      <w:hyperlink w:anchor="_Toc57377226" w:history="1">
        <w:r w:rsidR="007B29DD" w:rsidRPr="00842BEA">
          <w:rPr>
            <w:rStyle w:val="Hyperlink"/>
          </w:rPr>
          <w:t>B.10.3 Influence of rainfall quantum, intensity and timing</w:t>
        </w:r>
        <w:r w:rsidR="007B29DD">
          <w:rPr>
            <w:webHidden/>
          </w:rPr>
          <w:tab/>
        </w:r>
        <w:r w:rsidR="007B29DD">
          <w:rPr>
            <w:webHidden/>
          </w:rPr>
          <w:fldChar w:fldCharType="begin"/>
        </w:r>
        <w:r w:rsidR="007B29DD">
          <w:rPr>
            <w:webHidden/>
          </w:rPr>
          <w:instrText xml:space="preserve"> PAGEREF _Toc57377226 \h </w:instrText>
        </w:r>
        <w:r w:rsidR="007B29DD">
          <w:rPr>
            <w:webHidden/>
          </w:rPr>
        </w:r>
        <w:r w:rsidR="007B29DD">
          <w:rPr>
            <w:webHidden/>
          </w:rPr>
          <w:fldChar w:fldCharType="separate"/>
        </w:r>
        <w:r w:rsidR="007B29DD">
          <w:rPr>
            <w:webHidden/>
          </w:rPr>
          <w:t>1</w:t>
        </w:r>
        <w:r w:rsidR="002F1B60">
          <w:rPr>
            <w:webHidden/>
          </w:rPr>
          <w:t>51</w:t>
        </w:r>
        <w:r w:rsidR="007B29DD">
          <w:rPr>
            <w:webHidden/>
          </w:rPr>
          <w:fldChar w:fldCharType="end"/>
        </w:r>
      </w:hyperlink>
    </w:p>
    <w:p w14:paraId="09EC5E57" w14:textId="33821F83" w:rsidR="007B29DD" w:rsidRDefault="006C5210" w:rsidP="00811ED7">
      <w:pPr>
        <w:pStyle w:val="TOC3"/>
        <w:ind w:left="0"/>
        <w:rPr>
          <w:b/>
        </w:rPr>
      </w:pPr>
      <w:hyperlink w:anchor="_Toc57377227" w:history="1">
        <w:r w:rsidR="007B29DD" w:rsidRPr="00842BEA">
          <w:rPr>
            <w:rStyle w:val="Hyperlink"/>
          </w:rPr>
          <w:t xml:space="preserve">B.10.4 </w:t>
        </w:r>
        <w:r w:rsidR="007B29DD" w:rsidRPr="00842BEA">
          <w:rPr>
            <w:rStyle w:val="Hyperlink"/>
            <w:rFonts w:eastAsia="Arial"/>
          </w:rPr>
          <w:t>Projected changes in recharge due to climate change</w:t>
        </w:r>
        <w:r w:rsidR="007B29DD">
          <w:rPr>
            <w:webHidden/>
          </w:rPr>
          <w:tab/>
        </w:r>
        <w:r w:rsidR="007B29DD">
          <w:rPr>
            <w:webHidden/>
          </w:rPr>
          <w:fldChar w:fldCharType="begin"/>
        </w:r>
        <w:r w:rsidR="007B29DD">
          <w:rPr>
            <w:webHidden/>
          </w:rPr>
          <w:instrText xml:space="preserve"> PAGEREF _Toc57377227 \h </w:instrText>
        </w:r>
        <w:r w:rsidR="007B29DD">
          <w:rPr>
            <w:webHidden/>
          </w:rPr>
        </w:r>
        <w:r w:rsidR="007B29DD">
          <w:rPr>
            <w:webHidden/>
          </w:rPr>
          <w:fldChar w:fldCharType="separate"/>
        </w:r>
        <w:r w:rsidR="007B29DD">
          <w:rPr>
            <w:webHidden/>
          </w:rPr>
          <w:t>1</w:t>
        </w:r>
        <w:r w:rsidR="00C812BD">
          <w:rPr>
            <w:webHidden/>
          </w:rPr>
          <w:t>52</w:t>
        </w:r>
        <w:r w:rsidR="007B29DD">
          <w:rPr>
            <w:webHidden/>
          </w:rPr>
          <w:fldChar w:fldCharType="end"/>
        </w:r>
      </w:hyperlink>
    </w:p>
    <w:p w14:paraId="4BEBED6C" w14:textId="487D0ABD" w:rsidR="007B29DD" w:rsidRDefault="006C5210" w:rsidP="00C812BD">
      <w:pPr>
        <w:pStyle w:val="TOC8"/>
        <w:ind w:left="0"/>
        <w:rPr>
          <w:rFonts w:eastAsiaTheme="minorEastAsia"/>
          <w:b/>
          <w:noProof/>
        </w:rPr>
      </w:pPr>
      <w:hyperlink w:anchor="_Toc57377228" w:history="1">
        <w:r w:rsidR="007B29DD" w:rsidRPr="00842BEA">
          <w:rPr>
            <w:rStyle w:val="Hyperlink"/>
            <w:noProof/>
          </w:rPr>
          <w:t>Appendix C</w:t>
        </w:r>
        <w:r w:rsidR="007B29DD">
          <w:rPr>
            <w:rFonts w:eastAsiaTheme="minorEastAsia"/>
            <w:noProof/>
          </w:rPr>
          <w:tab/>
        </w:r>
        <w:r w:rsidR="007B29DD" w:rsidRPr="00842BEA">
          <w:rPr>
            <w:rStyle w:val="Hyperlink"/>
            <w:noProof/>
          </w:rPr>
          <w:t>Guidelines version log</w:t>
        </w:r>
        <w:r w:rsidR="007B29DD">
          <w:rPr>
            <w:noProof/>
            <w:webHidden/>
          </w:rPr>
          <w:tab/>
        </w:r>
        <w:r w:rsidR="007B29DD">
          <w:rPr>
            <w:noProof/>
            <w:webHidden/>
          </w:rPr>
          <w:fldChar w:fldCharType="begin"/>
        </w:r>
        <w:r w:rsidR="007B29DD">
          <w:rPr>
            <w:noProof/>
            <w:webHidden/>
          </w:rPr>
          <w:instrText xml:space="preserve"> PAGEREF _Toc57377228 \h </w:instrText>
        </w:r>
        <w:r w:rsidR="007B29DD">
          <w:rPr>
            <w:noProof/>
            <w:webHidden/>
          </w:rPr>
        </w:r>
        <w:r w:rsidR="007B29DD">
          <w:rPr>
            <w:noProof/>
            <w:webHidden/>
          </w:rPr>
          <w:fldChar w:fldCharType="separate"/>
        </w:r>
        <w:r w:rsidR="007B29DD">
          <w:rPr>
            <w:noProof/>
            <w:webHidden/>
          </w:rPr>
          <w:t>1</w:t>
        </w:r>
        <w:r w:rsidR="00C812BD">
          <w:rPr>
            <w:noProof/>
            <w:webHidden/>
          </w:rPr>
          <w:t>53</w:t>
        </w:r>
        <w:r w:rsidR="007B29DD">
          <w:rPr>
            <w:noProof/>
            <w:webHidden/>
          </w:rPr>
          <w:fldChar w:fldCharType="end"/>
        </w:r>
      </w:hyperlink>
    </w:p>
    <w:p w14:paraId="7D312CEE" w14:textId="50F41CC3" w:rsidR="007B29DD" w:rsidRDefault="007B29DD" w:rsidP="00051EAA">
      <w:r>
        <w:rPr>
          <w:b/>
          <w:noProof/>
          <w:color w:val="44546A" w:themeColor="text2"/>
          <w:sz w:val="24"/>
          <w:szCs w:val="24"/>
        </w:rPr>
        <w:fldChar w:fldCharType="end"/>
      </w:r>
    </w:p>
    <w:p w14:paraId="6295AEAE" w14:textId="77777777" w:rsidR="007B29DD" w:rsidRDefault="007B29DD" w:rsidP="007B29DD">
      <w:pPr>
        <w:spacing w:after="440" w:line="460" w:lineRule="exact"/>
        <w:sectPr w:rsidR="007B29DD" w:rsidSect="00306AF1">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134" w:header="283" w:footer="283" w:gutter="0"/>
          <w:cols w:space="708"/>
          <w:docGrid w:linePitch="360"/>
        </w:sectPr>
      </w:pPr>
    </w:p>
    <w:p w14:paraId="235B2BBE" w14:textId="77777777" w:rsidR="007B29DD" w:rsidRPr="007B29DD" w:rsidRDefault="007B29DD" w:rsidP="007B29DD">
      <w:pPr>
        <w:pStyle w:val="Heading1"/>
        <w:numPr>
          <w:ilvl w:val="0"/>
          <w:numId w:val="5"/>
        </w:numPr>
        <w:rPr>
          <w:color w:val="000000" w:themeColor="text1"/>
        </w:rPr>
      </w:pPr>
      <w:bookmarkStart w:id="2" w:name="_Toc483576267"/>
      <w:bookmarkStart w:id="3" w:name="_Toc53585854"/>
      <w:bookmarkStart w:id="4" w:name="_Toc57377105"/>
      <w:bookmarkStart w:id="5" w:name="H1top1"/>
      <w:r w:rsidRPr="007B29DD">
        <w:rPr>
          <w:color w:val="000000" w:themeColor="text1"/>
        </w:rPr>
        <w:lastRenderedPageBreak/>
        <w:t>Introduction</w:t>
      </w:r>
      <w:bookmarkEnd w:id="2"/>
      <w:bookmarkEnd w:id="3"/>
      <w:bookmarkEnd w:id="4"/>
    </w:p>
    <w:bookmarkEnd w:id="5"/>
    <w:p w14:paraId="7BA9EC64" w14:textId="77777777" w:rsidR="007B29DD" w:rsidRDefault="007B29DD" w:rsidP="007B29DD">
      <w:pPr>
        <w:pStyle w:val="BodyText"/>
      </w:pPr>
      <w:r>
        <w:t xml:space="preserve">Victoria’s climate is changing, and this poses many challenges for the water sector as well as Victorian businesses, industries and communities that rely on water. Our water resources are largely climate dependent, so planning for climate change is extremely important for Victorian water resource management. </w:t>
      </w:r>
      <w:r w:rsidRPr="007D1068">
        <w:t>Although the body of scientific knowledge on climate change continues to mature, future climate projections reflect model</w:t>
      </w:r>
      <w:r>
        <w:t>ling</w:t>
      </w:r>
      <w:r w:rsidRPr="007D1068">
        <w:t xml:space="preserve"> uncertainty and uncertainty around future greenhouse gas emissions. It is therefore important that a range of possible climate scenarios are considered when planning for the sustainability of Victoria’s water future.</w:t>
      </w:r>
    </w:p>
    <w:p w14:paraId="40DEA666"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6" w:name="_Toc38957416"/>
      <w:bookmarkStart w:id="7" w:name="_Toc43476435"/>
      <w:bookmarkStart w:id="8" w:name="_Toc44928678"/>
      <w:bookmarkStart w:id="9" w:name="_Toc51657950"/>
      <w:bookmarkStart w:id="10" w:name="_Toc53585855"/>
      <w:bookmarkStart w:id="11" w:name="_Toc57377106"/>
      <w:r w:rsidRPr="007B29DD">
        <w:rPr>
          <w:b/>
          <w:bCs/>
          <w:color w:val="000000" w:themeColor="text1"/>
        </w:rPr>
        <w:t>Scope and purpose of the guidelines</w:t>
      </w:r>
      <w:bookmarkEnd w:id="6"/>
      <w:bookmarkEnd w:id="7"/>
      <w:bookmarkEnd w:id="8"/>
      <w:bookmarkEnd w:id="9"/>
      <w:bookmarkEnd w:id="10"/>
      <w:bookmarkEnd w:id="11"/>
    </w:p>
    <w:p w14:paraId="38A26A73" w14:textId="77777777" w:rsidR="007B29DD" w:rsidRPr="007B29DD" w:rsidRDefault="007B29DD" w:rsidP="007B29DD">
      <w:pPr>
        <w:pStyle w:val="Heading3"/>
        <w:numPr>
          <w:ilvl w:val="2"/>
          <w:numId w:val="5"/>
        </w:numPr>
        <w:rPr>
          <w:color w:val="000000" w:themeColor="text1"/>
        </w:rPr>
      </w:pPr>
      <w:bookmarkStart w:id="12" w:name="_Toc38957417"/>
      <w:bookmarkStart w:id="13" w:name="_Toc43476436"/>
      <w:bookmarkStart w:id="14" w:name="_Toc44928679"/>
      <w:bookmarkStart w:id="15" w:name="_Toc51657951"/>
      <w:bookmarkStart w:id="16" w:name="_Toc53585856"/>
      <w:bookmarkStart w:id="17" w:name="_Toc57377107"/>
      <w:r w:rsidRPr="00056CD1">
        <w:rPr>
          <w:b/>
          <w:bCs/>
          <w:color w:val="000000" w:themeColor="text1"/>
        </w:rPr>
        <w:t>S</w:t>
      </w:r>
      <w:r w:rsidRPr="007B29DD">
        <w:rPr>
          <w:b/>
          <w:bCs/>
          <w:color w:val="000000" w:themeColor="text1"/>
        </w:rPr>
        <w:t>cope and purpose</w:t>
      </w:r>
      <w:bookmarkEnd w:id="12"/>
      <w:bookmarkEnd w:id="13"/>
      <w:bookmarkEnd w:id="14"/>
      <w:bookmarkEnd w:id="15"/>
      <w:bookmarkEnd w:id="16"/>
      <w:bookmarkEnd w:id="17"/>
    </w:p>
    <w:p w14:paraId="49DA9DFC" w14:textId="77777777" w:rsidR="007B29DD" w:rsidRPr="003B6EA0" w:rsidRDefault="007B29DD" w:rsidP="007B29DD">
      <w:pPr>
        <w:pStyle w:val="BodyText"/>
        <w:rPr>
          <w:lang w:eastAsia="en-AU"/>
        </w:rPr>
      </w:pPr>
      <w:r>
        <w:rPr>
          <w:lang w:eastAsia="en-AU"/>
        </w:rPr>
        <w:t>These guidelines update and replace the previous guidelines issued in 2016 (DELWP, 2016a).</w:t>
      </w:r>
    </w:p>
    <w:p w14:paraId="62EBAF13" w14:textId="77777777" w:rsidR="007B29DD" w:rsidRDefault="007B29DD" w:rsidP="007B29DD">
      <w:pPr>
        <w:pStyle w:val="BodyText"/>
        <w:rPr>
          <w:lang w:eastAsia="en-AU"/>
        </w:rPr>
      </w:pPr>
      <w:r>
        <w:rPr>
          <w:lang w:eastAsia="en-AU"/>
        </w:rPr>
        <w:t xml:space="preserve">The purpose of these guidelines is to </w:t>
      </w:r>
      <w:r w:rsidRPr="009B76D4">
        <w:rPr>
          <w:lang w:eastAsia="en-AU"/>
        </w:rPr>
        <w:t xml:space="preserve">set out climate </w:t>
      </w:r>
      <w:r>
        <w:rPr>
          <w:lang w:eastAsia="en-AU"/>
        </w:rPr>
        <w:t xml:space="preserve">change </w:t>
      </w:r>
      <w:r w:rsidRPr="009B76D4">
        <w:rPr>
          <w:lang w:eastAsia="en-AU"/>
        </w:rPr>
        <w:t xml:space="preserve">scenarios for temperature, potential evapotranspiration, rainfall, runoff and groundwater recharge </w:t>
      </w:r>
      <w:r>
        <w:rPr>
          <w:lang w:eastAsia="en-AU"/>
        </w:rPr>
        <w:t xml:space="preserve">for use </w:t>
      </w:r>
      <w:r w:rsidRPr="009B76D4">
        <w:rPr>
          <w:lang w:eastAsia="en-AU"/>
        </w:rPr>
        <w:t xml:space="preserve">across Victoria for assessing the impact of climate change on water </w:t>
      </w:r>
      <w:r>
        <w:rPr>
          <w:lang w:eastAsia="en-AU"/>
        </w:rPr>
        <w:t xml:space="preserve">availability, </w:t>
      </w:r>
      <w:r w:rsidRPr="009B76D4">
        <w:rPr>
          <w:lang w:eastAsia="en-AU"/>
        </w:rPr>
        <w:t>suppl</w:t>
      </w:r>
      <w:r>
        <w:rPr>
          <w:lang w:eastAsia="en-AU"/>
        </w:rPr>
        <w:t>y and demand. These guidelines also include information on changes to climate variability associated with climate change.</w:t>
      </w:r>
    </w:p>
    <w:p w14:paraId="06A866A4" w14:textId="77777777" w:rsidR="007B29DD" w:rsidRDefault="007B29DD" w:rsidP="007B29DD">
      <w:pPr>
        <w:pStyle w:val="BodyText"/>
        <w:rPr>
          <w:lang w:eastAsia="en-AU"/>
        </w:rPr>
      </w:pPr>
      <w:r>
        <w:rPr>
          <w:lang w:eastAsia="en-AU"/>
        </w:rPr>
        <w:t xml:space="preserve">These guidelines were developed by the Victorian Department of Environment, Water, Land and Planning (DELWP) and informed by feedback from users of the 2016 edition of the guidelines, including Victoria’s Water Corporations. The primary audience of the guidelines is Victoria’s Water Corporations, and water resource managers and planners within the department. It is recognised, however, that there is a wide range of other potential users of the guidelines, including other government agencies, consultants, businesses, researchers </w:t>
      </w:r>
      <w:r w:rsidRPr="00825627">
        <w:rPr>
          <w:lang w:eastAsia="en-AU"/>
        </w:rPr>
        <w:t>and others who have a need to consider the impact of climate change on water availability in Victoria</w:t>
      </w:r>
      <w:r>
        <w:rPr>
          <w:lang w:eastAsia="en-AU"/>
        </w:rPr>
        <w:t>.</w:t>
      </w:r>
    </w:p>
    <w:p w14:paraId="057642ED" w14:textId="77777777" w:rsidR="007B29DD" w:rsidRDefault="007B29DD" w:rsidP="007B29DD">
      <w:pPr>
        <w:pStyle w:val="BodyText"/>
        <w:rPr>
          <w:lang w:eastAsia="en-AU"/>
        </w:rPr>
      </w:pPr>
      <w:r>
        <w:rPr>
          <w:lang w:eastAsia="en-AU"/>
        </w:rPr>
        <w:t>The key benefits of these guidelines include:</w:t>
      </w:r>
    </w:p>
    <w:p w14:paraId="24F22B0E" w14:textId="77777777" w:rsidR="007B29DD" w:rsidRPr="00673F85" w:rsidRDefault="007B29DD" w:rsidP="007B29DD">
      <w:pPr>
        <w:pStyle w:val="BodyText"/>
        <w:numPr>
          <w:ilvl w:val="5"/>
          <w:numId w:val="3"/>
        </w:numPr>
        <w:ind w:left="709"/>
        <w:rPr>
          <w:bCs/>
          <w:lang w:eastAsia="en-AU"/>
        </w:rPr>
      </w:pPr>
      <w:r w:rsidRPr="00D76126">
        <w:rPr>
          <w:bCs/>
          <w:lang w:eastAsia="en-AU"/>
        </w:rPr>
        <w:t>To provide tailored guidance on how to apply the climate science</w:t>
      </w:r>
      <w:r w:rsidRPr="00673F85">
        <w:rPr>
          <w:bCs/>
          <w:lang w:eastAsia="en-AU"/>
        </w:rPr>
        <w:t xml:space="preserve"> for water resource planning applications. Applying the science can be complex, and the guidelines describe how to do this in a manner consistent with current research findings.</w:t>
      </w:r>
    </w:p>
    <w:p w14:paraId="796A9153" w14:textId="77777777" w:rsidR="007B29DD" w:rsidRPr="00673F85" w:rsidRDefault="007B29DD" w:rsidP="007B29DD">
      <w:pPr>
        <w:pStyle w:val="BodyText"/>
        <w:numPr>
          <w:ilvl w:val="5"/>
          <w:numId w:val="3"/>
        </w:numPr>
        <w:ind w:left="709"/>
        <w:rPr>
          <w:bCs/>
          <w:lang w:eastAsia="en-AU"/>
        </w:rPr>
      </w:pPr>
      <w:r w:rsidRPr="00D76126">
        <w:rPr>
          <w:bCs/>
          <w:lang w:eastAsia="en-AU"/>
        </w:rPr>
        <w:t xml:space="preserve">To promote a consistency in approach to climate change impact assessment for water supplies. This </w:t>
      </w:r>
      <w:r w:rsidRPr="00673F85">
        <w:rPr>
          <w:bCs/>
          <w:lang w:eastAsia="en-AU"/>
        </w:rPr>
        <w:t>enables comparisons of current and future water availability and use for shared water resources across Victoria.</w:t>
      </w:r>
    </w:p>
    <w:p w14:paraId="085603CF" w14:textId="77777777" w:rsidR="007B29DD" w:rsidRPr="00673F85" w:rsidRDefault="007B29DD" w:rsidP="007B29DD">
      <w:pPr>
        <w:pStyle w:val="BodyText"/>
        <w:numPr>
          <w:ilvl w:val="5"/>
          <w:numId w:val="3"/>
        </w:numPr>
        <w:ind w:left="709"/>
        <w:rPr>
          <w:bCs/>
          <w:lang w:eastAsia="en-AU"/>
        </w:rPr>
      </w:pPr>
      <w:r w:rsidRPr="00D76126">
        <w:rPr>
          <w:bCs/>
        </w:rPr>
        <w:t>To enable more efficient climate change impact assessment</w:t>
      </w:r>
      <w:r w:rsidRPr="00673F85">
        <w:rPr>
          <w:bCs/>
        </w:rPr>
        <w:t xml:space="preserve"> by pre-generating a standard set of climate change information, thereby removing the burden for individual </w:t>
      </w:r>
      <w:r>
        <w:rPr>
          <w:bCs/>
        </w:rPr>
        <w:t>W</w:t>
      </w:r>
      <w:r w:rsidRPr="00673F85">
        <w:rPr>
          <w:bCs/>
        </w:rPr>
        <w:t xml:space="preserve">ater </w:t>
      </w:r>
      <w:r>
        <w:rPr>
          <w:bCs/>
        </w:rPr>
        <w:t>C</w:t>
      </w:r>
      <w:r w:rsidRPr="00673F85">
        <w:rPr>
          <w:bCs/>
        </w:rPr>
        <w:t>orporations or other users to generate their own climate change projections in an area of complex science.</w:t>
      </w:r>
    </w:p>
    <w:p w14:paraId="66DCC9FA" w14:textId="77777777" w:rsidR="007B29DD" w:rsidRDefault="007B29DD" w:rsidP="007B29DD">
      <w:pPr>
        <w:pStyle w:val="BodyText"/>
        <w:rPr>
          <w:i/>
        </w:rPr>
      </w:pPr>
      <w:r>
        <w:t>The scope of the guidelines includes the provision of annual climate change projections for the years 2040 and 2065 for temperature, potential evapotranspiration, rainfall, runoff and recharge, for each river basin in Victoria. These are provided for two Representative Concentration Pathways (RCPs) incorporating different scenarios of greenhouse gas emissions and concentrations over time. The guidelines also include a range of other supporting information including the establishment of historic climate reference periods, discussion of climate change projection uncertainties, supporting data for sensitivity testing for seasonal climate change impacts, an overview of the influences on Victoria’s climate and how they are changing, and a range of other practical considerations for when applying these guidelines.</w:t>
      </w:r>
    </w:p>
    <w:p w14:paraId="3F3D7B59" w14:textId="77777777" w:rsidR="007B29DD" w:rsidRPr="0069587A" w:rsidRDefault="007B29DD" w:rsidP="007B29DD">
      <w:pPr>
        <w:pStyle w:val="BodyText"/>
        <w:rPr>
          <w:lang w:eastAsia="en-AU"/>
        </w:rPr>
      </w:pPr>
      <w:r>
        <w:rPr>
          <w:lang w:eastAsia="en-AU"/>
        </w:rPr>
        <w:t xml:space="preserve">The guidelines are expected to be suitable for a broad range of assessments on the impact of climate change on water availability, but there may be some applications where other scenarios or methods </w:t>
      </w:r>
      <w:r w:rsidDel="003C4B15">
        <w:rPr>
          <w:lang w:eastAsia="en-AU"/>
        </w:rPr>
        <w:t xml:space="preserve">may </w:t>
      </w:r>
      <w:r w:rsidDel="00B20886">
        <w:rPr>
          <w:lang w:eastAsia="en-AU"/>
        </w:rPr>
        <w:t xml:space="preserve">be </w:t>
      </w:r>
      <w:r>
        <w:rPr>
          <w:lang w:eastAsia="en-AU"/>
        </w:rPr>
        <w:t xml:space="preserve">more appropriate. The scope of the guidelines does not cover aspects of water planning covered by other guidance documents or expert processes, including the projected impacts of climate change on water quality, sewerage planning, floodplain management, asset management, and ecosystem behaviour. However, these guidelines do support a range of water planning activities in Victoria, as outlined below in Sections </w:t>
      </w:r>
      <w:r>
        <w:rPr>
          <w:lang w:eastAsia="en-AU"/>
        </w:rPr>
        <w:fldChar w:fldCharType="begin"/>
      </w:r>
      <w:r>
        <w:rPr>
          <w:lang w:eastAsia="en-AU"/>
        </w:rPr>
        <w:instrText xml:space="preserve"> REF _Ref39042060 \r \h </w:instrText>
      </w:r>
      <w:r>
        <w:rPr>
          <w:lang w:eastAsia="en-AU"/>
        </w:rPr>
      </w:r>
      <w:r>
        <w:rPr>
          <w:lang w:eastAsia="en-AU"/>
        </w:rPr>
        <w:fldChar w:fldCharType="separate"/>
      </w:r>
      <w:r>
        <w:rPr>
          <w:lang w:eastAsia="en-AU"/>
        </w:rPr>
        <w:t>1.1.2</w:t>
      </w:r>
      <w:r>
        <w:rPr>
          <w:lang w:eastAsia="en-AU"/>
        </w:rPr>
        <w:fldChar w:fldCharType="end"/>
      </w:r>
      <w:r>
        <w:rPr>
          <w:lang w:eastAsia="en-AU"/>
        </w:rPr>
        <w:t xml:space="preserve"> and </w:t>
      </w:r>
      <w:r>
        <w:rPr>
          <w:lang w:eastAsia="en-AU"/>
        </w:rPr>
        <w:fldChar w:fldCharType="begin"/>
      </w:r>
      <w:r>
        <w:rPr>
          <w:lang w:eastAsia="en-AU"/>
        </w:rPr>
        <w:instrText xml:space="preserve"> REF _Ref44332063 \r \h </w:instrText>
      </w:r>
      <w:r>
        <w:rPr>
          <w:lang w:eastAsia="en-AU"/>
        </w:rPr>
      </w:r>
      <w:r>
        <w:rPr>
          <w:lang w:eastAsia="en-AU"/>
        </w:rPr>
        <w:fldChar w:fldCharType="separate"/>
      </w:r>
      <w:r>
        <w:rPr>
          <w:lang w:eastAsia="en-AU"/>
        </w:rPr>
        <w:t>1.1.3</w:t>
      </w:r>
      <w:r>
        <w:rPr>
          <w:lang w:eastAsia="en-AU"/>
        </w:rPr>
        <w:fldChar w:fldCharType="end"/>
      </w:r>
      <w:r>
        <w:rPr>
          <w:lang w:eastAsia="en-AU"/>
        </w:rPr>
        <w:t>.</w:t>
      </w:r>
    </w:p>
    <w:p w14:paraId="34B1E504" w14:textId="77777777" w:rsidR="007B29DD" w:rsidRPr="007B29DD"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18" w:name="_Toc38957418"/>
      <w:bookmarkStart w:id="19" w:name="_Ref39042060"/>
      <w:bookmarkStart w:id="20" w:name="_Toc43476437"/>
      <w:bookmarkStart w:id="21" w:name="_Toc44928680"/>
      <w:bookmarkStart w:id="22" w:name="_Toc51657952"/>
      <w:bookmarkStart w:id="23" w:name="_Toc53585857"/>
      <w:bookmarkStart w:id="24" w:name="_Toc57377108"/>
      <w:r w:rsidRPr="007B29DD">
        <w:rPr>
          <w:b/>
          <w:bCs/>
          <w:color w:val="000000" w:themeColor="text1"/>
        </w:rPr>
        <w:t>Role of the guidelines within Victoria’s water planning framework</w:t>
      </w:r>
      <w:bookmarkEnd w:id="18"/>
      <w:bookmarkEnd w:id="19"/>
      <w:bookmarkEnd w:id="20"/>
      <w:bookmarkEnd w:id="21"/>
      <w:bookmarkEnd w:id="22"/>
      <w:bookmarkEnd w:id="23"/>
      <w:bookmarkEnd w:id="24"/>
    </w:p>
    <w:p w14:paraId="27ABA292" w14:textId="77777777" w:rsidR="007B29DD" w:rsidRDefault="007B29DD" w:rsidP="007B29DD">
      <w:pPr>
        <w:pStyle w:val="BodyText"/>
        <w:rPr>
          <w:lang w:eastAsia="en-AU"/>
        </w:rPr>
      </w:pPr>
      <w:r>
        <w:rPr>
          <w:lang w:eastAsia="en-AU"/>
        </w:rPr>
        <w:t xml:space="preserve">These guidelines perform an important role in delivering on commitments under Victoria’s policy and legislative framework. It is stated in Victoria’s </w:t>
      </w:r>
      <w:r w:rsidRPr="00E21C8A">
        <w:rPr>
          <w:i/>
          <w:iCs/>
          <w:lang w:eastAsia="en-AU"/>
        </w:rPr>
        <w:t>Climate Change Act 2017</w:t>
      </w:r>
      <w:r>
        <w:rPr>
          <w:lang w:eastAsia="en-AU"/>
        </w:rPr>
        <w:t xml:space="preserve"> (the Act) that “decision makers must have regard to climate change”, including the potential impacts of climate change (Parliament of Victoria, 2017). The guidelines are consistent with a core guiding principle stated within the Act, namely that decisions, policies, programs or processes should be based on informed decision making, using “the </w:t>
      </w:r>
      <w:r w:rsidRPr="00922B16">
        <w:rPr>
          <w:lang w:eastAsia="en-AU"/>
        </w:rPr>
        <w:t>best practicably available information about the potential impacts of climate change</w:t>
      </w:r>
      <w:r>
        <w:rPr>
          <w:lang w:eastAsia="en-AU"/>
        </w:rPr>
        <w:t xml:space="preserve">” (Parliament of Victoria, 2017). The guidelines also support the other guiding principles within the Act by (i) providing information on uncertainties that aligns with a risk management approach, and (ii) </w:t>
      </w:r>
      <w:r>
        <w:rPr>
          <w:lang w:eastAsia="en-AU"/>
        </w:rPr>
        <w:lastRenderedPageBreak/>
        <w:t xml:space="preserve">presenting long-term projections that can help to assess equity across generations. By publishing the guidelines, they support the principles of (iii) community engagement and (iv) compatibility of information across policies and programs. The role of the guidelines is acknowledged in Action 2.3 of </w:t>
      </w:r>
      <w:r>
        <w:rPr>
          <w:i/>
          <w:iCs/>
          <w:lang w:eastAsia="en-AU"/>
        </w:rPr>
        <w:t xml:space="preserve">Water for Victoria </w:t>
      </w:r>
      <w:r>
        <w:rPr>
          <w:lang w:eastAsia="en-AU"/>
        </w:rPr>
        <w:t>(DELWP, 2016b), Victoria’s strategic water management plan, namely that:</w:t>
      </w:r>
    </w:p>
    <w:p w14:paraId="7E8885E4" w14:textId="77777777" w:rsidR="007B29DD" w:rsidRPr="00A53A3A" w:rsidRDefault="007B29DD" w:rsidP="007B29DD">
      <w:pPr>
        <w:pStyle w:val="BodyText"/>
        <w:ind w:left="567"/>
        <w:rPr>
          <w:i/>
          <w:iCs/>
          <w:lang w:eastAsia="en-AU"/>
        </w:rPr>
      </w:pPr>
      <w:r w:rsidRPr="00A53A3A">
        <w:rPr>
          <w:i/>
          <w:iCs/>
          <w:lang w:eastAsia="en-AU"/>
        </w:rPr>
        <w:t>“In the short-term, water corporations will apply the Guidelines for Assessing the Impact of Climate Change on Water Supplies in Victoria”.</w:t>
      </w:r>
    </w:p>
    <w:p w14:paraId="56856746" w14:textId="77777777" w:rsidR="007B29DD" w:rsidRDefault="007B29DD" w:rsidP="007B29DD">
      <w:pPr>
        <w:pStyle w:val="BodyText"/>
        <w:rPr>
          <w:lang w:eastAsia="en-AU"/>
        </w:rPr>
      </w:pPr>
      <w:r>
        <w:rPr>
          <w:lang w:eastAsia="en-AU"/>
        </w:rPr>
        <w:t xml:space="preserve">This obligation is also embedded within </w:t>
      </w:r>
      <w:r w:rsidRPr="00E665E5">
        <w:rPr>
          <w:lang w:eastAsia="en-AU"/>
        </w:rPr>
        <w:t xml:space="preserve">the Statement of Obligations (General) to Victorian </w:t>
      </w:r>
      <w:r>
        <w:rPr>
          <w:lang w:eastAsia="en-AU"/>
        </w:rPr>
        <w:t>W</w:t>
      </w:r>
      <w:r w:rsidRPr="00E665E5">
        <w:rPr>
          <w:lang w:eastAsia="en-AU"/>
        </w:rPr>
        <w:t xml:space="preserve">ater </w:t>
      </w:r>
      <w:r>
        <w:rPr>
          <w:lang w:eastAsia="en-AU"/>
        </w:rPr>
        <w:t>C</w:t>
      </w:r>
      <w:r w:rsidRPr="00E665E5">
        <w:rPr>
          <w:lang w:eastAsia="en-AU"/>
        </w:rPr>
        <w:t>orporations</w:t>
      </w:r>
      <w:r>
        <w:rPr>
          <w:lang w:eastAsia="en-AU"/>
        </w:rPr>
        <w:t xml:space="preserve"> that </w:t>
      </w:r>
      <w:r w:rsidRPr="00E665E5">
        <w:rPr>
          <w:lang w:eastAsia="en-AU"/>
        </w:rPr>
        <w:t>was issued by the Minister for Environment, Climate Change and Water in December 2015</w:t>
      </w:r>
      <w:r>
        <w:rPr>
          <w:lang w:eastAsia="en-AU"/>
        </w:rPr>
        <w:t xml:space="preserve">. </w:t>
      </w:r>
      <w:r w:rsidRPr="00A53EF2">
        <w:rPr>
          <w:lang w:eastAsia="en-AU"/>
        </w:rPr>
        <w:t>Clause 6-A</w:t>
      </w:r>
      <w:r w:rsidRPr="00A53EF2" w:rsidDel="0045421E">
        <w:rPr>
          <w:lang w:eastAsia="en-AU"/>
        </w:rPr>
        <w:t xml:space="preserve"> </w:t>
      </w:r>
      <w:r w:rsidRPr="00A53EF2">
        <w:rPr>
          <w:lang w:eastAsia="en-AU"/>
        </w:rPr>
        <w:t xml:space="preserve">requires </w:t>
      </w:r>
      <w:r>
        <w:rPr>
          <w:lang w:eastAsia="en-AU"/>
        </w:rPr>
        <w:t>W</w:t>
      </w:r>
      <w:r w:rsidRPr="00A53EF2">
        <w:rPr>
          <w:lang w:eastAsia="en-AU"/>
        </w:rPr>
        <w:t xml:space="preserve">ater </w:t>
      </w:r>
      <w:r>
        <w:rPr>
          <w:lang w:eastAsia="en-AU"/>
        </w:rPr>
        <w:t>C</w:t>
      </w:r>
      <w:r w:rsidRPr="00A53EF2">
        <w:rPr>
          <w:lang w:eastAsia="en-AU"/>
        </w:rPr>
        <w:t>orporations to comply with these guidelines</w:t>
      </w:r>
      <w:r>
        <w:rPr>
          <w:lang w:eastAsia="en-AU"/>
        </w:rPr>
        <w:t xml:space="preserve"> (Minister for Environment, Climate Change and Water, 2015)</w:t>
      </w:r>
      <w:r w:rsidRPr="00E665E5">
        <w:rPr>
          <w:lang w:eastAsia="en-AU"/>
        </w:rPr>
        <w:t>.</w:t>
      </w:r>
    </w:p>
    <w:p w14:paraId="56D7D48D" w14:textId="77777777" w:rsidR="007B29DD" w:rsidRDefault="007B29DD" w:rsidP="007B29DD">
      <w:pPr>
        <w:pStyle w:val="BodyText"/>
        <w:rPr>
          <w:lang w:eastAsia="en-AU"/>
        </w:rPr>
      </w:pPr>
      <w:r>
        <w:rPr>
          <w:lang w:eastAsia="en-AU"/>
        </w:rPr>
        <w:t xml:space="preserve">The role of the guidelines within directly related water resource programs and planning activities is illustrated in </w:t>
      </w:r>
      <w:r>
        <w:rPr>
          <w:lang w:eastAsia="en-AU"/>
        </w:rPr>
        <w:fldChar w:fldCharType="begin"/>
      </w:r>
      <w:r>
        <w:rPr>
          <w:lang w:eastAsia="en-AU"/>
        </w:rPr>
        <w:instrText xml:space="preserve"> REF _Ref39048452 \h </w:instrText>
      </w:r>
      <w:r>
        <w:rPr>
          <w:lang w:eastAsia="en-AU"/>
        </w:rPr>
      </w:r>
      <w:r>
        <w:rPr>
          <w:lang w:eastAsia="en-AU"/>
        </w:rPr>
        <w:fldChar w:fldCharType="separate"/>
      </w:r>
      <w:r>
        <w:t xml:space="preserve">Figure </w:t>
      </w:r>
      <w:r>
        <w:rPr>
          <w:noProof/>
        </w:rPr>
        <w:t>1</w:t>
      </w:r>
      <w:r>
        <w:rPr>
          <w:lang w:eastAsia="en-AU"/>
        </w:rPr>
        <w:fldChar w:fldCharType="end"/>
      </w:r>
      <w:r>
        <w:rPr>
          <w:lang w:eastAsia="en-AU"/>
        </w:rPr>
        <w:t xml:space="preserve">. The guidelines feed directly into the </w:t>
      </w:r>
      <w:r w:rsidRPr="00A64F96">
        <w:rPr>
          <w:i/>
          <w:lang w:eastAsia="en-AU"/>
        </w:rPr>
        <w:t>Urban Water Strategy Guidelines</w:t>
      </w:r>
      <w:r>
        <w:rPr>
          <w:lang w:eastAsia="en-AU"/>
        </w:rPr>
        <w:t xml:space="preserve"> </w:t>
      </w:r>
      <w:r w:rsidRPr="004334D9">
        <w:rPr>
          <w:lang w:eastAsia="en-AU"/>
        </w:rPr>
        <w:t>(DELWP, 2020a)</w:t>
      </w:r>
      <w:r>
        <w:rPr>
          <w:lang w:eastAsia="en-AU"/>
        </w:rPr>
        <w:t xml:space="preserve"> for urban Water Corporations to develop a 50-year water supply and demand management strategy. The information in the guidelines also contributed to DELWP guidance notes for the (typically) 12-month supply and demand forecasts in the annual water outlooks by all Water Corporations (DELWP, 2019b; DELWP, 2019c). The information in the guidelines can potentially also help to inform a range of other plans and strategies, including but not limited to Water Corporation annual operating plans and drought preparedness plans. The information presented in these guidelines is compatible with the parallel climate change guidance provided to Water Corporation Board members and </w:t>
      </w:r>
      <w:r w:rsidRPr="007473BA">
        <w:rPr>
          <w:lang w:eastAsia="en-AU"/>
        </w:rPr>
        <w:t>executives (</w:t>
      </w:r>
      <w:r>
        <w:rPr>
          <w:lang w:eastAsia="en-AU"/>
        </w:rPr>
        <w:t>DELWP, 2019a). At a national level, the guidelines are consistent with climate change adaptation guidance from the Water Services Association of Australia (WSAA, 2016).</w:t>
      </w:r>
    </w:p>
    <w:p w14:paraId="3102032F" w14:textId="77777777" w:rsidR="007B29DD" w:rsidRDefault="007B29DD" w:rsidP="007B29DD">
      <w:pPr>
        <w:pStyle w:val="BodyText"/>
        <w:rPr>
          <w:lang w:eastAsia="en-AU"/>
        </w:rPr>
      </w:pPr>
    </w:p>
    <w:p w14:paraId="3540F35F" w14:textId="77777777" w:rsidR="007B29DD" w:rsidRDefault="007B29DD" w:rsidP="007B29DD">
      <w:pPr>
        <w:pStyle w:val="BodyText"/>
        <w:spacing w:after="0"/>
        <w:rPr>
          <w:lang w:eastAsia="en-AU"/>
        </w:rPr>
      </w:pPr>
      <w:r>
        <w:rPr>
          <w:noProof/>
        </w:rPr>
        <w:drawing>
          <wp:inline distT="0" distB="0" distL="0" distR="0" wp14:anchorId="176AC51D" wp14:editId="1CE1C94B">
            <wp:extent cx="6197600" cy="3064130"/>
            <wp:effectExtent l="19050" t="19050" r="12700" b="22225"/>
            <wp:docPr id="945704160" name="Picture 945704160" descr="Infographic showing the context of Victoria's regulatory planning framework for water resources.&#10;&#10;Stage 1: Climate change legislation and Policy (Water for Victoria and the Climate Change Act 2017).&#10;Stage 2: DELWP Climate Change Programs (VicWaCI, VCP19, Pilot Water Sector Climate Change Adaptation Action Plan).&#10;Stage 3: DELWP Climate Change Guidance (Guidelines, Climate Change Risk Guidance for Boards and Executives, other)&#10;Stage 4: DELWP Water Resource Planning Guidelines (AWO Guidance, UWS Guidelines)&#10;Stage 5: Water Corporation Plans and Strategies (Annual Operating Plans, Annual Water Outlooks, Urban Water Strategies, Drought Preparedness Plans, other plans and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5131" cy="3067853"/>
                    </a:xfrm>
                    <a:prstGeom prst="rect">
                      <a:avLst/>
                    </a:prstGeom>
                    <a:ln>
                      <a:solidFill>
                        <a:schemeClr val="bg1">
                          <a:lumMod val="65000"/>
                        </a:schemeClr>
                      </a:solidFill>
                    </a:ln>
                  </pic:spPr>
                </pic:pic>
              </a:graphicData>
            </a:graphic>
          </wp:inline>
        </w:drawing>
      </w:r>
    </w:p>
    <w:p w14:paraId="17C5606D" w14:textId="77777777" w:rsidR="007B29DD" w:rsidRDefault="007B29DD" w:rsidP="007B29DD">
      <w:pPr>
        <w:pStyle w:val="Caption"/>
        <w:spacing w:before="0"/>
      </w:pPr>
      <w:bookmarkStart w:id="25" w:name="_Ref39048452"/>
      <w:bookmarkStart w:id="26" w:name="_Toc43476568"/>
      <w:bookmarkStart w:id="27" w:name="_Toc44928813"/>
      <w:bookmarkStart w:id="28" w:name="_Toc51237477"/>
      <w:bookmarkStart w:id="29" w:name="_Toc53585992"/>
      <w:bookmarkStart w:id="30" w:name="_Toc57377243"/>
      <w:r>
        <w:t xml:space="preserve">Figure </w:t>
      </w:r>
      <w:r>
        <w:fldChar w:fldCharType="begin"/>
      </w:r>
      <w:r>
        <w:instrText>SEQ Figure \* ARABIC</w:instrText>
      </w:r>
      <w:r>
        <w:fldChar w:fldCharType="separate"/>
      </w:r>
      <w:r>
        <w:rPr>
          <w:noProof/>
        </w:rPr>
        <w:t>1</w:t>
      </w:r>
      <w:r>
        <w:fldChar w:fldCharType="end"/>
      </w:r>
      <w:bookmarkEnd w:id="25"/>
      <w:r>
        <w:t xml:space="preserve"> Climate change guidance in the context of Victoria’s regulatory and planning framework for water resources</w:t>
      </w:r>
      <w:bookmarkEnd w:id="26"/>
      <w:bookmarkEnd w:id="27"/>
      <w:bookmarkEnd w:id="28"/>
      <w:bookmarkEnd w:id="29"/>
      <w:bookmarkEnd w:id="30"/>
    </w:p>
    <w:p w14:paraId="0A10F212" w14:textId="77777777" w:rsidR="007B29DD" w:rsidRDefault="007B29DD" w:rsidP="007B29DD">
      <w:pPr>
        <w:pStyle w:val="BodyText"/>
        <w:rPr>
          <w:lang w:eastAsia="en-AU"/>
        </w:rPr>
      </w:pPr>
      <w:r>
        <w:rPr>
          <w:lang w:eastAsia="en-AU"/>
        </w:rPr>
        <w:t xml:space="preserve">As part of initiatives under Victoria’s Pilot Water Sector Climate Change Adaptation Action Plan (DELWP, 2018), other climate change guidance is under development by DELWP. This includes the </w:t>
      </w:r>
      <w:r w:rsidRPr="00307116">
        <w:rPr>
          <w:i/>
          <w:iCs/>
          <w:lang w:eastAsia="en-AU"/>
        </w:rPr>
        <w:t>Guidelines for Assessing the Impact of Climate Change on Sewerage Systems</w:t>
      </w:r>
      <w:r>
        <w:rPr>
          <w:lang w:eastAsia="en-AU"/>
        </w:rPr>
        <w:t xml:space="preserve"> </w:t>
      </w:r>
      <w:r w:rsidRPr="007473BA">
        <w:rPr>
          <w:lang w:eastAsia="en-AU"/>
        </w:rPr>
        <w:t>(</w:t>
      </w:r>
      <w:r>
        <w:rPr>
          <w:lang w:eastAsia="en-AU"/>
        </w:rPr>
        <w:t>DELWP, in development), which should be referred to for sewerage planning applications, such as the effect of climate change on sewerage generation and sewer infiltration rates.</w:t>
      </w:r>
    </w:p>
    <w:p w14:paraId="4723400E" w14:textId="77777777" w:rsidR="007B29DD" w:rsidRPr="00790C77" w:rsidRDefault="007B29DD" w:rsidP="007B29DD">
      <w:pPr>
        <w:pStyle w:val="BodyText"/>
        <w:rPr>
          <w:lang w:eastAsia="en-AU"/>
        </w:rPr>
      </w:pPr>
      <w:r>
        <w:rPr>
          <w:lang w:eastAsia="en-AU"/>
        </w:rPr>
        <w:t>The guidelines have drawn upon the climate science research generated from Victorian Government funded research under the Victorian Water and Climate Initiative (VicWaCI) and the Victorian Climate Projections 2019 (VCP19) regional climate modelling exercise.</w:t>
      </w:r>
    </w:p>
    <w:p w14:paraId="2E5D36AC" w14:textId="77777777" w:rsidR="007B29DD" w:rsidRPr="007B29DD"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31" w:name="_Toc38957419"/>
      <w:bookmarkStart w:id="32" w:name="_Ref39042095"/>
      <w:bookmarkStart w:id="33" w:name="_Toc43476438"/>
      <w:bookmarkStart w:id="34" w:name="_Ref44332063"/>
      <w:bookmarkStart w:id="35" w:name="_Toc44928681"/>
      <w:bookmarkStart w:id="36" w:name="_Toc51657953"/>
      <w:bookmarkStart w:id="37" w:name="_Toc53585858"/>
      <w:bookmarkStart w:id="38" w:name="_Toc57377109"/>
      <w:r w:rsidRPr="007B29DD">
        <w:rPr>
          <w:b/>
          <w:bCs/>
          <w:color w:val="000000" w:themeColor="text1"/>
        </w:rPr>
        <w:t>Planning approaches supported by the guideline</w:t>
      </w:r>
      <w:bookmarkEnd w:id="31"/>
      <w:bookmarkEnd w:id="32"/>
      <w:r w:rsidRPr="007B29DD">
        <w:rPr>
          <w:b/>
          <w:bCs/>
          <w:color w:val="000000" w:themeColor="text1"/>
        </w:rPr>
        <w:t>s</w:t>
      </w:r>
      <w:bookmarkEnd w:id="33"/>
      <w:bookmarkEnd w:id="34"/>
      <w:bookmarkEnd w:id="35"/>
      <w:bookmarkEnd w:id="36"/>
      <w:bookmarkEnd w:id="37"/>
      <w:bookmarkEnd w:id="38"/>
    </w:p>
    <w:p w14:paraId="4907394E" w14:textId="77777777" w:rsidR="007B29DD" w:rsidRDefault="007B29DD" w:rsidP="007B29DD">
      <w:pPr>
        <w:pStyle w:val="BodyText"/>
        <w:rPr>
          <w:lang w:eastAsia="en-AU"/>
        </w:rPr>
      </w:pPr>
      <w:r>
        <w:rPr>
          <w:lang w:eastAsia="en-AU"/>
        </w:rPr>
        <w:t xml:space="preserve">The guidelines provide information on observed historical changes and projected future changes in Victoria’s climate. This is just one consideration when undertaking water resource modelling. This section outlines other considerations, and the role of climate change impact assessments within the broader context of </w:t>
      </w:r>
      <w:r w:rsidRPr="007436B1">
        <w:rPr>
          <w:lang w:eastAsia="en-AU"/>
        </w:rPr>
        <w:t>Victoria’s water planning framework</w:t>
      </w:r>
      <w:r>
        <w:rPr>
          <w:lang w:eastAsia="en-AU"/>
        </w:rPr>
        <w:t>.</w:t>
      </w:r>
    </w:p>
    <w:p w14:paraId="352E307D" w14:textId="77777777" w:rsidR="007B29DD" w:rsidRDefault="007B29DD" w:rsidP="007B29DD">
      <w:pPr>
        <w:pStyle w:val="BodyText"/>
        <w:rPr>
          <w:lang w:eastAsia="en-AU"/>
        </w:rPr>
      </w:pPr>
      <w:r>
        <w:rPr>
          <w:lang w:eastAsia="en-AU"/>
        </w:rPr>
        <w:lastRenderedPageBreak/>
        <w:t>Climate change impact assessments take place within a planning and decision-making context and, as such, is a tool to inform those planning and decision-making processes. Climate change impacts are only one of many uncertainties that water resource managers and water users must plan for. Other uncertainties that can be relevant to water resource planning include climate variability, future population change, land use change, technology change, ecosystem behaviour, and changes to the size and nature of local, national and global economies.</w:t>
      </w:r>
    </w:p>
    <w:p w14:paraId="48070C5E" w14:textId="77777777" w:rsidR="007B29DD" w:rsidRDefault="007B29DD" w:rsidP="007B29DD">
      <w:pPr>
        <w:pStyle w:val="BodyText"/>
        <w:rPr>
          <w:lang w:eastAsia="en-AU"/>
        </w:rPr>
      </w:pPr>
      <w:r>
        <w:rPr>
          <w:lang w:eastAsia="en-AU"/>
        </w:rPr>
        <w:t xml:space="preserve">The information provided in the guidelines is designed to directly support scenario planning within an adaptive management framework. This approach is embedded within Victoria’s water planning framework. For example, for urban Water Corporations, long-term planning actions over a 50-year planning horizon are developed in urban water strategies, but the timing and nature of these actions can be adapted to suit the prevailing climate conditions through an Annual Water Outlook. Similarly, the </w:t>
      </w:r>
      <w:r w:rsidRPr="00A73FFE">
        <w:rPr>
          <w:lang w:eastAsia="en-AU"/>
        </w:rPr>
        <w:t xml:space="preserve">Long-Term Water Resource Assessment </w:t>
      </w:r>
      <w:r w:rsidRPr="00D50CBB">
        <w:rPr>
          <w:lang w:eastAsia="en-AU"/>
        </w:rPr>
        <w:t>(</w:t>
      </w:r>
      <w:r>
        <w:rPr>
          <w:lang w:eastAsia="en-AU"/>
        </w:rPr>
        <w:t>DELWP, 2020b) and Sustainable Water Strategy process includes regular reviews to consider changes in our understanding of climate behaviour over time. This adaptive management approach is particularly important given the uncertainty in the climate change projections in these guidelines, including uncertainties not only about the magnitude of the impacts, but also about how these impacts may evolve through time (e.g. gradual and/or step change occurring within the context of a highly variable climate).</w:t>
      </w:r>
    </w:p>
    <w:p w14:paraId="51724DA3" w14:textId="77777777" w:rsidR="007B29DD" w:rsidRDefault="007B29DD" w:rsidP="007B29DD">
      <w:pPr>
        <w:pStyle w:val="BodyText"/>
        <w:rPr>
          <w:lang w:eastAsia="en-AU"/>
        </w:rPr>
      </w:pPr>
      <w:r>
        <w:rPr>
          <w:lang w:eastAsia="en-AU"/>
        </w:rPr>
        <w:t>Climate change is recognised as a problem of “deep uncertainty” (Marchau et al., 2019), and, as such, the guidelines are designed to support other analytical and planning approaches. These other approaches can be utilised, in conjunction with scenario planning, to further assess imminent decisions that are perceived to be at high risk from climate change uncertainty.</w:t>
      </w:r>
    </w:p>
    <w:p w14:paraId="291937BD" w14:textId="77777777" w:rsidR="007B29DD" w:rsidRDefault="007B29DD" w:rsidP="007B29DD">
      <w:pPr>
        <w:pStyle w:val="BodyText"/>
        <w:rPr>
          <w:lang w:eastAsia="en-AU"/>
        </w:rPr>
      </w:pPr>
      <w:r>
        <w:rPr>
          <w:lang w:eastAsia="en-AU"/>
        </w:rPr>
        <w:t>The guidelines provide information to support water resource modelling, but they are not water resource modelling guidelines. National and multi-jurisdictional guidance on surface water resource modelling can be found in Black et al. (2011) and Murray-Darling Basin Authority (MDBA, 2019) and on groundwater modelling in Barnett et al. (2012).</w:t>
      </w:r>
    </w:p>
    <w:p w14:paraId="477C191D" w14:textId="77777777" w:rsidR="007B29DD" w:rsidRDefault="007B29DD" w:rsidP="007B29DD">
      <w:pPr>
        <w:pStyle w:val="BodyText"/>
        <w:rPr>
          <w:lang w:eastAsia="en-AU"/>
        </w:rPr>
      </w:pPr>
      <w:r>
        <w:rPr>
          <w:lang w:eastAsia="en-AU"/>
        </w:rPr>
        <w:t>The guidelines provide information on observed historical changes and projected future changes in climate variability under climate change. However, the guidelines do not</w:t>
      </w:r>
      <w:r w:rsidDel="00AB5B0F">
        <w:rPr>
          <w:lang w:eastAsia="en-AU"/>
        </w:rPr>
        <w:t xml:space="preserve"> </w:t>
      </w:r>
      <w:r>
        <w:rPr>
          <w:lang w:eastAsia="en-AU"/>
        </w:rPr>
        <w:t xml:space="preserve">provide prescriptive advice on information and analysis techniques for managing climate variability, other than where they intersect with issues related to climate change. Areas of intersection covered in these guidelines include (see also Section </w:t>
      </w:r>
      <w:r>
        <w:rPr>
          <w:lang w:eastAsia="en-AU"/>
        </w:rPr>
        <w:fldChar w:fldCharType="begin"/>
      </w:r>
      <w:r>
        <w:rPr>
          <w:lang w:eastAsia="en-AU"/>
        </w:rPr>
        <w:instrText xml:space="preserve"> REF _Ref43129491 \r \h </w:instrText>
      </w:r>
      <w:r>
        <w:rPr>
          <w:lang w:eastAsia="en-AU"/>
        </w:rPr>
      </w:r>
      <w:r>
        <w:rPr>
          <w:lang w:eastAsia="en-AU"/>
        </w:rPr>
        <w:fldChar w:fldCharType="separate"/>
      </w:r>
      <w:r>
        <w:rPr>
          <w:lang w:eastAsia="en-AU"/>
        </w:rPr>
        <w:t>2.5</w:t>
      </w:r>
      <w:r>
        <w:rPr>
          <w:lang w:eastAsia="en-AU"/>
        </w:rPr>
        <w:fldChar w:fldCharType="end"/>
      </w:r>
      <w:r>
        <w:rPr>
          <w:lang w:eastAsia="en-AU"/>
        </w:rPr>
        <w:t>):</w:t>
      </w:r>
    </w:p>
    <w:p w14:paraId="7EDC4400" w14:textId="77777777" w:rsidR="007B29DD" w:rsidRDefault="007B29DD" w:rsidP="007B29DD">
      <w:pPr>
        <w:pStyle w:val="ListNumber"/>
        <w:numPr>
          <w:ilvl w:val="0"/>
          <w:numId w:val="53"/>
        </w:numPr>
      </w:pPr>
      <w:r>
        <w:t>defining climate variability and climate change;</w:t>
      </w:r>
    </w:p>
    <w:p w14:paraId="6329A55D" w14:textId="77777777" w:rsidR="007B29DD" w:rsidRDefault="007B29DD" w:rsidP="007B29DD">
      <w:pPr>
        <w:pStyle w:val="ListNumber"/>
        <w:numPr>
          <w:ilvl w:val="0"/>
          <w:numId w:val="53"/>
        </w:numPr>
      </w:pPr>
      <w:r>
        <w:t xml:space="preserve">guidance on the selection of climate scenarios for drought and operational planning that are consistent with the climate reference period assumptions in the guidelines; and </w:t>
      </w:r>
    </w:p>
    <w:p w14:paraId="4FB9DA3E" w14:textId="77777777" w:rsidR="007B29DD" w:rsidRDefault="007B29DD" w:rsidP="007B29DD">
      <w:pPr>
        <w:pStyle w:val="ListNumber"/>
        <w:numPr>
          <w:ilvl w:val="0"/>
          <w:numId w:val="53"/>
        </w:numPr>
      </w:pPr>
      <w:r>
        <w:t>guidance on suitable methods for extending climate and streamflow reference period information for water resource applications.</w:t>
      </w:r>
    </w:p>
    <w:p w14:paraId="27F66739" w14:textId="77777777" w:rsidR="007B29DD" w:rsidRDefault="007B29DD" w:rsidP="007B29DD">
      <w:pPr>
        <w:pStyle w:val="BodyText"/>
        <w:rPr>
          <w:lang w:eastAsia="en-AU"/>
        </w:rPr>
      </w:pPr>
      <w:r>
        <w:rPr>
          <w:lang w:eastAsia="en-AU"/>
        </w:rPr>
        <w:t xml:space="preserve">For guidance on responding to climate variability for the purposes of urban drought preparedness planning, refer to the </w:t>
      </w:r>
      <w:r w:rsidRPr="0004573C">
        <w:rPr>
          <w:i/>
          <w:lang w:eastAsia="en-AU"/>
        </w:rPr>
        <w:t>Urban Water Strategy Guidelines</w:t>
      </w:r>
      <w:r>
        <w:rPr>
          <w:lang w:eastAsia="en-AU"/>
        </w:rPr>
        <w:t xml:space="preserve"> (DELWP, 2020a).</w:t>
      </w:r>
    </w:p>
    <w:p w14:paraId="32E2C25C"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39" w:name="_Toc38957420"/>
      <w:bookmarkStart w:id="40" w:name="_Toc43476439"/>
      <w:bookmarkStart w:id="41" w:name="_Toc44928682"/>
      <w:bookmarkStart w:id="42" w:name="_Toc51657954"/>
      <w:bookmarkStart w:id="43" w:name="_Toc53585859"/>
      <w:bookmarkStart w:id="44" w:name="_Toc57377110"/>
      <w:r w:rsidRPr="007B29DD">
        <w:rPr>
          <w:b/>
          <w:bCs/>
          <w:color w:val="000000" w:themeColor="text1"/>
        </w:rPr>
        <w:t>The process for updating the guidelines</w:t>
      </w:r>
      <w:bookmarkEnd w:id="39"/>
      <w:bookmarkEnd w:id="40"/>
      <w:bookmarkEnd w:id="41"/>
      <w:bookmarkEnd w:id="42"/>
      <w:bookmarkEnd w:id="43"/>
      <w:bookmarkEnd w:id="44"/>
    </w:p>
    <w:p w14:paraId="4047164B" w14:textId="77777777" w:rsidR="007B29DD" w:rsidRDefault="007B29DD" w:rsidP="007B29DD">
      <w:pPr>
        <w:pStyle w:val="BodyText"/>
        <w:rPr>
          <w:lang w:eastAsia="en-AU"/>
        </w:rPr>
      </w:pPr>
      <w:r>
        <w:rPr>
          <w:lang w:eastAsia="en-AU"/>
        </w:rPr>
        <w:t>DELWP has developed these guidelines in consultation with existing users of the guidelines, predominantly Victorian Water Corporations. The process began with a review of past applications, which led to the identification of opportunities to improve and clarify existing guidance. A series of discussion papers were then produced, and workshops hosted in 2019 and 2020. Past users have provided valuable input to the guidelines update by articulating user needs and exploring the implications of climate change on effective water planning and management.</w:t>
      </w:r>
    </w:p>
    <w:p w14:paraId="022F110B"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45" w:name="_Toc38957421"/>
      <w:bookmarkStart w:id="46" w:name="_Toc43476440"/>
      <w:bookmarkStart w:id="47" w:name="_Toc44928683"/>
      <w:bookmarkStart w:id="48" w:name="_Toc51657955"/>
      <w:bookmarkStart w:id="49" w:name="_Toc53585860"/>
      <w:bookmarkStart w:id="50" w:name="_Toc57377111"/>
      <w:r w:rsidRPr="007B29DD">
        <w:rPr>
          <w:b/>
          <w:bCs/>
          <w:color w:val="000000" w:themeColor="text1"/>
        </w:rPr>
        <w:t>What has changed since the last update?</w:t>
      </w:r>
      <w:bookmarkEnd w:id="45"/>
      <w:bookmarkEnd w:id="46"/>
      <w:bookmarkEnd w:id="47"/>
      <w:bookmarkEnd w:id="48"/>
      <w:bookmarkEnd w:id="49"/>
      <w:bookmarkEnd w:id="50"/>
    </w:p>
    <w:p w14:paraId="62AD85A5" w14:textId="77777777" w:rsidR="007B29DD" w:rsidRPr="007B29DD"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1" w:name="_Toc38957422"/>
      <w:bookmarkStart w:id="52" w:name="_Toc43476441"/>
      <w:bookmarkStart w:id="53" w:name="_Toc44928684"/>
      <w:bookmarkStart w:id="54" w:name="_Toc51657956"/>
      <w:bookmarkStart w:id="55" w:name="_Toc53585861"/>
      <w:bookmarkStart w:id="56" w:name="_Toc57377112"/>
      <w:r w:rsidRPr="007B29DD">
        <w:rPr>
          <w:b/>
          <w:bCs/>
          <w:color w:val="000000" w:themeColor="text1"/>
        </w:rPr>
        <w:t>New science, new policies and lessons learnt from applying the guidelines</w:t>
      </w:r>
      <w:bookmarkEnd w:id="51"/>
      <w:bookmarkEnd w:id="52"/>
      <w:bookmarkEnd w:id="53"/>
      <w:bookmarkEnd w:id="54"/>
      <w:bookmarkEnd w:id="55"/>
      <w:bookmarkEnd w:id="56"/>
    </w:p>
    <w:p w14:paraId="35ED030E" w14:textId="77777777" w:rsidR="007B29DD" w:rsidRPr="00405FD9" w:rsidRDefault="007B29DD" w:rsidP="007B29DD">
      <w:pPr>
        <w:pStyle w:val="BodyText"/>
        <w:rPr>
          <w:lang w:eastAsia="en-AU"/>
        </w:rPr>
      </w:pPr>
      <w:r>
        <w:rPr>
          <w:lang w:eastAsia="en-AU"/>
        </w:rPr>
        <w:t>Various changes have been made to this update of the guidelines, relative to the previous version (DELWP, 2016a). These include:</w:t>
      </w:r>
    </w:p>
    <w:p w14:paraId="609B0115" w14:textId="77777777" w:rsidR="007B29DD" w:rsidRDefault="007B29DD" w:rsidP="007B29DD">
      <w:pPr>
        <w:pStyle w:val="BodyText"/>
        <w:numPr>
          <w:ilvl w:val="0"/>
          <w:numId w:val="21"/>
        </w:numPr>
        <w:rPr>
          <w:lang w:eastAsia="en-AU"/>
        </w:rPr>
      </w:pPr>
      <w:r w:rsidRPr="4C198B8C">
        <w:rPr>
          <w:b/>
          <w:bCs/>
          <w:lang w:eastAsia="en-AU"/>
        </w:rPr>
        <w:t>Lessons learnt from applying the 2016 guidelines</w:t>
      </w:r>
      <w:r w:rsidRPr="4C198B8C">
        <w:rPr>
          <w:lang w:eastAsia="en-AU"/>
        </w:rPr>
        <w:t xml:space="preserve"> </w:t>
      </w:r>
      <w:r>
        <w:rPr>
          <w:lang w:eastAsia="en-AU"/>
        </w:rPr>
        <w:t>—</w:t>
      </w:r>
      <w:r w:rsidRPr="4C198B8C">
        <w:rPr>
          <w:lang w:eastAsia="en-AU"/>
        </w:rPr>
        <w:t xml:space="preserve"> </w:t>
      </w:r>
      <w:r>
        <w:rPr>
          <w:lang w:eastAsia="en-AU"/>
        </w:rPr>
        <w:t>W</w:t>
      </w:r>
      <w:r w:rsidRPr="4C198B8C">
        <w:rPr>
          <w:lang w:eastAsia="en-AU"/>
        </w:rPr>
        <w:t xml:space="preserve">ater </w:t>
      </w:r>
      <w:r>
        <w:rPr>
          <w:lang w:eastAsia="en-AU"/>
        </w:rPr>
        <w:t>C</w:t>
      </w:r>
      <w:r w:rsidRPr="4C198B8C">
        <w:rPr>
          <w:lang w:eastAsia="en-AU"/>
        </w:rPr>
        <w:t>orporations</w:t>
      </w:r>
      <w:r>
        <w:rPr>
          <w:lang w:eastAsia="en-AU"/>
        </w:rPr>
        <w:t xml:space="preserve"> and other users of the 2016 edition of the guidelines</w:t>
      </w:r>
      <w:r w:rsidRPr="4C198B8C">
        <w:rPr>
          <w:lang w:eastAsia="en-AU"/>
        </w:rPr>
        <w:t xml:space="preserve"> provided valuable feedback on areas for improvement in both formal and informal reviews conducted for the guidelines</w:t>
      </w:r>
      <w:r>
        <w:rPr>
          <w:lang w:eastAsia="en-AU"/>
        </w:rPr>
        <w:t>.</w:t>
      </w:r>
    </w:p>
    <w:p w14:paraId="35856A08" w14:textId="77777777" w:rsidR="007B29DD" w:rsidRDefault="007B29DD" w:rsidP="007B29DD">
      <w:pPr>
        <w:pStyle w:val="BodyText"/>
        <w:numPr>
          <w:ilvl w:val="0"/>
          <w:numId w:val="21"/>
        </w:numPr>
        <w:rPr>
          <w:lang w:eastAsia="en-AU"/>
        </w:rPr>
      </w:pPr>
      <w:r w:rsidRPr="00405FD9">
        <w:rPr>
          <w:b/>
          <w:bCs/>
          <w:lang w:eastAsia="en-AU"/>
        </w:rPr>
        <w:t>New science</w:t>
      </w:r>
      <w:r>
        <w:rPr>
          <w:lang w:eastAsia="en-AU"/>
        </w:rPr>
        <w:t xml:space="preserve"> — DELWP has drawn upon the latest climate research in preparing the guidelines, which users can refer to for more detailed information. These include:</w:t>
      </w:r>
    </w:p>
    <w:p w14:paraId="5A4181DB" w14:textId="1506ACA2" w:rsidR="007B29DD" w:rsidRDefault="007B29DD" w:rsidP="007B29DD">
      <w:pPr>
        <w:pStyle w:val="BodyText"/>
        <w:numPr>
          <w:ilvl w:val="1"/>
          <w:numId w:val="21"/>
        </w:numPr>
        <w:rPr>
          <w:lang w:eastAsia="en-AU"/>
        </w:rPr>
      </w:pPr>
      <w:r>
        <w:rPr>
          <w:lang w:eastAsia="en-AU"/>
        </w:rPr>
        <w:t>The Victorian Water and Climate Initiative (VicWaCI) and its predecessor research program, the Victorian Climate Initiative (VicCI), which concluded in 2017. Both</w:t>
      </w:r>
      <w:r w:rsidDel="00A2263A">
        <w:rPr>
          <w:lang w:eastAsia="en-AU"/>
        </w:rPr>
        <w:t xml:space="preserve"> </w:t>
      </w:r>
      <w:r>
        <w:rPr>
          <w:lang w:eastAsia="en-AU"/>
        </w:rPr>
        <w:t xml:space="preserve">were Victorian Government </w:t>
      </w:r>
      <w:r>
        <w:rPr>
          <w:lang w:eastAsia="en-AU"/>
        </w:rPr>
        <w:lastRenderedPageBreak/>
        <w:t xml:space="preserve">funded research programs. The four-year VicWaCI program has operated since 2017 and is conducted by the Bureau of Meteorology (BoM), Commonwealth Scientific and Industrial Research Organisation (CSIRO) and the University of Melbourne. VicWaCI research is focused on the impacts of climate change on Victorian water resources and has delivered new findings to provide stronger evidence about the nature of observed climate change in Victoria. The latest VicWaCI findings are summarised in Section </w:t>
      </w:r>
      <w:r>
        <w:fldChar w:fldCharType="begin"/>
      </w:r>
      <w:r>
        <w:rPr>
          <w:lang w:eastAsia="en-AU"/>
        </w:rPr>
        <w:instrText xml:space="preserve"> REF _Ref42846222 \r \h </w:instrText>
      </w:r>
      <w:r>
        <w:fldChar w:fldCharType="separate"/>
      </w:r>
      <w:r>
        <w:rPr>
          <w:lang w:eastAsia="en-AU"/>
        </w:rPr>
        <w:t>3</w:t>
      </w:r>
      <w:r>
        <w:fldChar w:fldCharType="end"/>
      </w:r>
      <w:r>
        <w:t xml:space="preserve"> </w:t>
      </w:r>
      <w:r>
        <w:rPr>
          <w:lang w:eastAsia="en-AU"/>
        </w:rPr>
        <w:t xml:space="preserve">in these guidelines, and are sourced from Victoria’s Climate Science Report (DELWP, 2019d), </w:t>
      </w:r>
      <w:r>
        <w:rPr>
          <w:i/>
          <w:iCs/>
          <w:lang w:eastAsia="en-AU"/>
        </w:rPr>
        <w:t xml:space="preserve">Victoria’s Water in a Changing Climate: Insights from the Victorian Water and Climate Initiative </w:t>
      </w:r>
      <w:r>
        <w:rPr>
          <w:lang w:eastAsia="en-AU"/>
        </w:rPr>
        <w:t>(DELWP</w:t>
      </w:r>
      <w:r w:rsidR="007F75E4">
        <w:rPr>
          <w:lang w:eastAsia="en-AU"/>
        </w:rPr>
        <w:t xml:space="preserve"> et al</w:t>
      </w:r>
      <w:r w:rsidR="00564FD3">
        <w:rPr>
          <w:lang w:eastAsia="en-AU"/>
        </w:rPr>
        <w:t>.</w:t>
      </w:r>
      <w:r>
        <w:rPr>
          <w:lang w:eastAsia="en-AU"/>
        </w:rPr>
        <w:t xml:space="preserve">, </w:t>
      </w:r>
      <w:r w:rsidR="007D778E">
        <w:rPr>
          <w:lang w:eastAsia="en-AU"/>
        </w:rPr>
        <w:t>2020</w:t>
      </w:r>
      <w:r>
        <w:rPr>
          <w:lang w:eastAsia="en-AU"/>
        </w:rPr>
        <w:t>),</w:t>
      </w:r>
      <w:r w:rsidDel="000B28AA">
        <w:rPr>
          <w:lang w:eastAsia="en-AU"/>
        </w:rPr>
        <w:t xml:space="preserve"> </w:t>
      </w:r>
      <w:r>
        <w:rPr>
          <w:i/>
          <w:iCs/>
          <w:lang w:eastAsia="en-AU"/>
        </w:rPr>
        <w:t xml:space="preserve">A Synthesis of Findings from the Victoria Climate Initiative </w:t>
      </w:r>
      <w:r>
        <w:rPr>
          <w:lang w:eastAsia="en-AU"/>
        </w:rPr>
        <w:t>(Hope et al., 2017), and Hydroclimate projections for Victoria at 2040 and 2065 (Potter et al., 2016), among others.</w:t>
      </w:r>
    </w:p>
    <w:p w14:paraId="1E1F9D4E" w14:textId="77777777" w:rsidR="007B29DD" w:rsidRDefault="007B29DD" w:rsidP="007B29DD">
      <w:pPr>
        <w:pStyle w:val="BodyText"/>
        <w:numPr>
          <w:ilvl w:val="1"/>
          <w:numId w:val="21"/>
        </w:numPr>
        <w:rPr>
          <w:lang w:eastAsia="en-AU"/>
        </w:rPr>
      </w:pPr>
      <w:r>
        <w:rPr>
          <w:lang w:eastAsia="en-AU"/>
        </w:rPr>
        <w:t>The Victorian Climate Projections 2019 (VCP19), which provide downscaled climate change projections for Victoria from a regional climate model using inputs from a subset of six global climate models (GCMs) (Clark et al., 2019a).</w:t>
      </w:r>
    </w:p>
    <w:p w14:paraId="3DE27EA5" w14:textId="77777777" w:rsidR="007B29DD" w:rsidRDefault="007B29DD" w:rsidP="007B29DD">
      <w:pPr>
        <w:pStyle w:val="BodyText"/>
        <w:numPr>
          <w:ilvl w:val="1"/>
          <w:numId w:val="21"/>
        </w:numPr>
        <w:rPr>
          <w:lang w:eastAsia="en-AU"/>
        </w:rPr>
      </w:pPr>
      <w:r>
        <w:rPr>
          <w:lang w:eastAsia="en-AU"/>
        </w:rPr>
        <w:t>A range of other relevant findings from research organisations in Australia and overseas.</w:t>
      </w:r>
    </w:p>
    <w:p w14:paraId="35215A75" w14:textId="77777777" w:rsidR="007B29DD" w:rsidRDefault="007B29DD" w:rsidP="007B29DD">
      <w:pPr>
        <w:pStyle w:val="BodyText"/>
        <w:numPr>
          <w:ilvl w:val="0"/>
          <w:numId w:val="21"/>
        </w:numPr>
        <w:rPr>
          <w:lang w:eastAsia="en-AU"/>
        </w:rPr>
      </w:pPr>
      <w:r w:rsidRPr="4C198B8C">
        <w:rPr>
          <w:b/>
          <w:bCs/>
          <w:lang w:eastAsia="en-AU"/>
        </w:rPr>
        <w:t>New legislation and parallel policy development</w:t>
      </w:r>
      <w:r w:rsidRPr="4C198B8C">
        <w:rPr>
          <w:lang w:eastAsia="en-AU"/>
        </w:rPr>
        <w:t xml:space="preserve"> – Victoria’s Climate Change Act 2017 was passed, spawning additional policy initiatives that are related to the guidelines, such as the Pilot Water Sector Climate Change Adaptation Action Plan (DELWP, 2018) and the Guidelines for Assessing the Impact of Climate Change on Sewerage Systems (DELWP, in development); and</w:t>
      </w:r>
    </w:p>
    <w:p w14:paraId="5B97FE2A" w14:textId="77777777" w:rsidR="007B29DD" w:rsidRDefault="007B29DD" w:rsidP="007B29DD">
      <w:pPr>
        <w:pStyle w:val="BodyText"/>
        <w:numPr>
          <w:ilvl w:val="0"/>
          <w:numId w:val="21"/>
        </w:numPr>
        <w:rPr>
          <w:lang w:eastAsia="en-AU"/>
        </w:rPr>
      </w:pPr>
      <w:r w:rsidRPr="4C198B8C">
        <w:rPr>
          <w:b/>
          <w:bCs/>
          <w:lang w:eastAsia="en-AU"/>
        </w:rPr>
        <w:t>The Paris Agreement</w:t>
      </w:r>
      <w:r w:rsidRPr="4C198B8C">
        <w:rPr>
          <w:lang w:eastAsia="en-AU"/>
        </w:rPr>
        <w:t xml:space="preserve"> (UNFCC</w:t>
      </w:r>
      <w:r>
        <w:rPr>
          <w:lang w:eastAsia="en-AU"/>
        </w:rPr>
        <w:t>C</w:t>
      </w:r>
      <w:r w:rsidRPr="4C198B8C">
        <w:rPr>
          <w:lang w:eastAsia="en-AU"/>
        </w:rPr>
        <w:t>, 2016) – The majority of the world’s governments have committed to reduce greenhouse gas emissions, which will influence future emissions trajectories.</w:t>
      </w:r>
      <w:r w:rsidRPr="00D455F1">
        <w:rPr>
          <w:lang w:eastAsia="en-AU"/>
        </w:rPr>
        <w:t xml:space="preserve"> </w:t>
      </w:r>
      <w:r>
        <w:rPr>
          <w:lang w:eastAsia="en-AU"/>
        </w:rPr>
        <w:t>These guidelines draw upon the Intergovernmental Panel on Climate Change’s (IPCC) Fifth Assessment Report (IPCC, 2015), which summarises the latest global climate trends and updated GCM projections, and more recent modelling on the Paris Agreement targets (IPCC, 2018);</w:t>
      </w:r>
    </w:p>
    <w:p w14:paraId="70FE6BEB" w14:textId="77777777" w:rsidR="007B29DD" w:rsidRPr="007B29DD" w:rsidRDefault="007B29DD" w:rsidP="007B29DD">
      <w:pPr>
        <w:pStyle w:val="Heading3"/>
        <w:numPr>
          <w:ilvl w:val="2"/>
          <w:numId w:val="5"/>
        </w:numPr>
        <w:tabs>
          <w:tab w:val="clear" w:pos="0"/>
          <w:tab w:val="left" w:pos="1418"/>
          <w:tab w:val="left" w:pos="1701"/>
          <w:tab w:val="left" w:pos="1985"/>
        </w:tabs>
        <w:spacing w:before="200" w:after="100" w:line="240" w:lineRule="exact"/>
        <w:rPr>
          <w:b/>
          <w:bCs/>
        </w:rPr>
      </w:pPr>
      <w:bookmarkStart w:id="57" w:name="_Toc38957423"/>
      <w:bookmarkStart w:id="58" w:name="_Toc43476442"/>
      <w:bookmarkStart w:id="59" w:name="_Toc44928685"/>
      <w:bookmarkStart w:id="60" w:name="_Toc51657957"/>
      <w:bookmarkStart w:id="61" w:name="_Toc53585862"/>
      <w:bookmarkStart w:id="62" w:name="_Toc57377113"/>
      <w:r w:rsidRPr="007B29DD">
        <w:rPr>
          <w:b/>
          <w:bCs/>
          <w:color w:val="000000" w:themeColor="text1"/>
        </w:rPr>
        <w:t>DELWP response</w:t>
      </w:r>
      <w:bookmarkEnd w:id="57"/>
      <w:bookmarkEnd w:id="58"/>
      <w:bookmarkEnd w:id="59"/>
      <w:bookmarkEnd w:id="60"/>
      <w:bookmarkEnd w:id="61"/>
      <w:bookmarkEnd w:id="62"/>
    </w:p>
    <w:p w14:paraId="6B7F0E54" w14:textId="77777777" w:rsidR="007B29DD" w:rsidRPr="000B073E" w:rsidRDefault="007B29DD" w:rsidP="007B29DD">
      <w:pPr>
        <w:pStyle w:val="BodyText"/>
        <w:rPr>
          <w:lang w:eastAsia="en-AU"/>
        </w:rPr>
      </w:pPr>
      <w:r>
        <w:rPr>
          <w:lang w:eastAsia="en-AU"/>
        </w:rPr>
        <w:t>DELWP has responded to these changes by updating the guidelines in consultation with Water Corporations and other users of the 2016 guidelines, and by seeking additional information from climate and hydrology research scientists. Key changes to the guidelines to incorporate this new information include:</w:t>
      </w:r>
    </w:p>
    <w:p w14:paraId="0455A561" w14:textId="77777777" w:rsidR="007B29DD" w:rsidRDefault="007B29DD" w:rsidP="007B29DD">
      <w:pPr>
        <w:pStyle w:val="BodyText"/>
        <w:numPr>
          <w:ilvl w:val="0"/>
          <w:numId w:val="21"/>
        </w:numPr>
        <w:rPr>
          <w:lang w:eastAsia="en-AU"/>
        </w:rPr>
      </w:pPr>
      <w:r w:rsidRPr="4C198B8C">
        <w:rPr>
          <w:b/>
          <w:bCs/>
          <w:lang w:eastAsia="en-AU"/>
        </w:rPr>
        <w:t>Additional information on a more moderate emissions scenario</w:t>
      </w:r>
      <w:r w:rsidRPr="4C198B8C">
        <w:rPr>
          <w:lang w:eastAsia="en-AU"/>
        </w:rPr>
        <w:t xml:space="preserve"> (RCP4.5) that would be more consistent with the implementation of emissions reductions under the Paris Agreement, and additional discussion on the suitability of the nominated emissions scenario (RCP8.5) in the context of the Paris Agreement</w:t>
      </w:r>
      <w:r>
        <w:rPr>
          <w:lang w:eastAsia="en-AU"/>
        </w:rPr>
        <w:t>.</w:t>
      </w:r>
    </w:p>
    <w:p w14:paraId="64B62D43" w14:textId="77777777" w:rsidR="007B29DD" w:rsidRDefault="007B29DD" w:rsidP="007B29DD">
      <w:pPr>
        <w:pStyle w:val="BodyText"/>
        <w:numPr>
          <w:ilvl w:val="0"/>
          <w:numId w:val="21"/>
        </w:numPr>
        <w:rPr>
          <w:lang w:eastAsia="en-AU"/>
        </w:rPr>
      </w:pPr>
      <w:r w:rsidRPr="4C198B8C">
        <w:rPr>
          <w:b/>
          <w:bCs/>
          <w:lang w:eastAsia="en-AU"/>
        </w:rPr>
        <w:t xml:space="preserve">Clarification of the approach to interpolating </w:t>
      </w:r>
      <w:r>
        <w:rPr>
          <w:b/>
          <w:bCs/>
          <w:lang w:eastAsia="en-AU"/>
        </w:rPr>
        <w:t>GCM</w:t>
      </w:r>
      <w:r w:rsidRPr="4C198B8C">
        <w:rPr>
          <w:b/>
          <w:bCs/>
          <w:lang w:eastAsia="en-AU"/>
        </w:rPr>
        <w:t xml:space="preserve"> projections between now and 2040</w:t>
      </w:r>
      <w:r w:rsidRPr="4C198B8C">
        <w:rPr>
          <w:lang w:eastAsia="en-AU"/>
        </w:rPr>
        <w:t>. This clarification address</w:t>
      </w:r>
      <w:r>
        <w:rPr>
          <w:lang w:eastAsia="en-AU"/>
        </w:rPr>
        <w:t>es</w:t>
      </w:r>
      <w:r w:rsidRPr="4C198B8C">
        <w:rPr>
          <w:lang w:eastAsia="en-AU"/>
        </w:rPr>
        <w:t xml:space="preserve"> an information gap in the guidelines. The recommended approach will have the effect of (i) representing current water availability as a range with respect to GCM projection uncertainty from 1995 to date</w:t>
      </w:r>
      <w:r>
        <w:rPr>
          <w:lang w:eastAsia="en-AU"/>
        </w:rPr>
        <w:t>,</w:t>
      </w:r>
      <w:r w:rsidRPr="4C198B8C">
        <w:rPr>
          <w:lang w:eastAsia="en-AU"/>
        </w:rPr>
        <w:t xml:space="preserve"> and (ii) potentially bringing forward actions anticipated to occur over this period prior to 2040</w:t>
      </w:r>
      <w:r>
        <w:rPr>
          <w:lang w:eastAsia="en-AU"/>
        </w:rPr>
        <w:t>.</w:t>
      </w:r>
    </w:p>
    <w:p w14:paraId="3BF357EE" w14:textId="77777777" w:rsidR="007B29DD" w:rsidRDefault="007B29DD" w:rsidP="007B29DD">
      <w:pPr>
        <w:pStyle w:val="BodyText"/>
        <w:numPr>
          <w:ilvl w:val="0"/>
          <w:numId w:val="21"/>
        </w:numPr>
        <w:rPr>
          <w:lang w:eastAsia="en-AU"/>
        </w:rPr>
      </w:pPr>
      <w:r w:rsidRPr="4C198B8C">
        <w:rPr>
          <w:b/>
          <w:bCs/>
          <w:lang w:eastAsia="en-AU"/>
        </w:rPr>
        <w:t>Further discussion of seasonal scaling factors for the climate change projections</w:t>
      </w:r>
      <w:r w:rsidRPr="4C198B8C">
        <w:rPr>
          <w:lang w:eastAsia="en-AU"/>
        </w:rPr>
        <w:t>. In response to greater certainty about the seasonal nature of observed climate changes to date, and a greater understanding of the seasonal nature of the influences on Victoria’s climate into the future, DELWP commissioned CSIRO to provide cool season (April to October) and warm season (November to March) projections. These projections have been used to generate a plausible range of cool season and warm season rainfall projections for sensitivity testing of planning outcomes</w:t>
      </w:r>
      <w:r>
        <w:rPr>
          <w:lang w:eastAsia="en-AU"/>
        </w:rPr>
        <w:t>.</w:t>
      </w:r>
    </w:p>
    <w:p w14:paraId="01811138" w14:textId="77777777" w:rsidR="007B29DD" w:rsidRDefault="007B29DD" w:rsidP="007B29DD">
      <w:pPr>
        <w:pStyle w:val="BodyText"/>
        <w:numPr>
          <w:ilvl w:val="0"/>
          <w:numId w:val="21"/>
        </w:numPr>
        <w:rPr>
          <w:lang w:eastAsia="en-AU"/>
        </w:rPr>
      </w:pPr>
      <w:r w:rsidRPr="4C198B8C">
        <w:rPr>
          <w:b/>
          <w:bCs/>
          <w:lang w:eastAsia="en-AU"/>
        </w:rPr>
        <w:t>Development of guidance on the impacts of climate change on snow cover</w:t>
      </w:r>
      <w:r w:rsidRPr="4C198B8C">
        <w:rPr>
          <w:lang w:eastAsia="en-AU"/>
        </w:rPr>
        <w:t>. This was identified as a knowledge gap in the previous guidelines, which has now been addressed with practical advice for alpine catchments</w:t>
      </w:r>
      <w:r>
        <w:rPr>
          <w:lang w:eastAsia="en-AU"/>
        </w:rPr>
        <w:t>.</w:t>
      </w:r>
    </w:p>
    <w:p w14:paraId="4F7E36F5" w14:textId="77777777" w:rsidR="007B29DD" w:rsidRDefault="007B29DD" w:rsidP="007B29DD">
      <w:pPr>
        <w:pStyle w:val="BodyText"/>
        <w:numPr>
          <w:ilvl w:val="0"/>
          <w:numId w:val="21"/>
        </w:numPr>
        <w:rPr>
          <w:lang w:eastAsia="en-AU"/>
        </w:rPr>
      </w:pPr>
      <w:r w:rsidRPr="4C198B8C">
        <w:rPr>
          <w:b/>
          <w:bCs/>
          <w:lang w:eastAsia="en-AU"/>
        </w:rPr>
        <w:t>Update of the guidance on the impacts of climate change on peak rainfall and streamflow</w:t>
      </w:r>
      <w:r w:rsidRPr="4C198B8C">
        <w:rPr>
          <w:lang w:eastAsia="en-AU"/>
        </w:rPr>
        <w:t>. In addition to the design guidance in Australian Rainfall and Runoff (Bates et al., 2019), the guidelines provide additional information from recent climate and hydrology research and advice on how that knowledge can be practically applied for the purpose of modelling peak rainfall and streamflow for water supply purposes</w:t>
      </w:r>
      <w:r>
        <w:rPr>
          <w:lang w:eastAsia="en-AU"/>
        </w:rPr>
        <w:t>.</w:t>
      </w:r>
    </w:p>
    <w:p w14:paraId="380F35E3" w14:textId="77777777" w:rsidR="007B29DD" w:rsidRDefault="007B29DD" w:rsidP="007B29DD">
      <w:pPr>
        <w:pStyle w:val="BodyText"/>
        <w:numPr>
          <w:ilvl w:val="0"/>
          <w:numId w:val="21"/>
        </w:numPr>
        <w:rPr>
          <w:lang w:eastAsia="en-AU"/>
        </w:rPr>
      </w:pPr>
      <w:r w:rsidRPr="57439A7C">
        <w:rPr>
          <w:b/>
          <w:bCs/>
          <w:lang w:eastAsia="en-AU"/>
        </w:rPr>
        <w:t>Update of the guidance on the impacts of climate change on groundwater recharge</w:t>
      </w:r>
      <w:r>
        <w:rPr>
          <w:b/>
          <w:bCs/>
          <w:lang w:eastAsia="en-AU"/>
        </w:rPr>
        <w:t>.</w:t>
      </w:r>
      <w:r w:rsidRPr="57439A7C">
        <w:rPr>
          <w:b/>
          <w:bCs/>
          <w:lang w:eastAsia="en-AU"/>
        </w:rPr>
        <w:t xml:space="preserve"> </w:t>
      </w:r>
      <w:r>
        <w:rPr>
          <w:lang w:eastAsia="en-AU"/>
        </w:rPr>
        <w:t>G</w:t>
      </w:r>
      <w:r w:rsidRPr="57439A7C">
        <w:rPr>
          <w:lang w:eastAsia="en-AU"/>
        </w:rPr>
        <w:t xml:space="preserve">uidance on </w:t>
      </w:r>
      <w:r>
        <w:rPr>
          <w:lang w:eastAsia="en-AU"/>
        </w:rPr>
        <w:t xml:space="preserve">historic </w:t>
      </w:r>
      <w:r w:rsidRPr="57439A7C">
        <w:rPr>
          <w:lang w:eastAsia="en-AU"/>
        </w:rPr>
        <w:t xml:space="preserve">recharge rates from recent </w:t>
      </w:r>
      <w:r>
        <w:rPr>
          <w:lang w:eastAsia="en-AU"/>
        </w:rPr>
        <w:t>studies</w:t>
      </w:r>
      <w:r w:rsidRPr="57439A7C">
        <w:rPr>
          <w:lang w:eastAsia="en-AU"/>
        </w:rPr>
        <w:t xml:space="preserve"> has been included. Direct and indirect impacts of climate on groundwater resources have also been discussed to inform assessment of availability during periods of drought. The advice provided support</w:t>
      </w:r>
      <w:r>
        <w:rPr>
          <w:lang w:eastAsia="en-AU"/>
        </w:rPr>
        <w:t>s</w:t>
      </w:r>
      <w:r w:rsidRPr="57439A7C">
        <w:rPr>
          <w:lang w:eastAsia="en-AU"/>
        </w:rPr>
        <w:t xml:space="preserve"> risk-based decision making that is fit-for-purpose for urban groundwater supply systems, without limiting use of more complex assessments for groundwater resources assessments</w:t>
      </w:r>
      <w:r>
        <w:rPr>
          <w:lang w:eastAsia="en-AU"/>
        </w:rPr>
        <w:t>.</w:t>
      </w:r>
    </w:p>
    <w:p w14:paraId="3A932573" w14:textId="7E4439D6" w:rsidR="007B29DD" w:rsidRDefault="007B29DD" w:rsidP="007B29DD">
      <w:pPr>
        <w:pStyle w:val="BodyText"/>
        <w:numPr>
          <w:ilvl w:val="0"/>
          <w:numId w:val="21"/>
        </w:numPr>
        <w:rPr>
          <w:lang w:eastAsia="en-AU"/>
        </w:rPr>
      </w:pPr>
      <w:r w:rsidRPr="4C198B8C">
        <w:rPr>
          <w:b/>
          <w:bCs/>
          <w:lang w:eastAsia="en-AU"/>
        </w:rPr>
        <w:lastRenderedPageBreak/>
        <w:t>Additional guidance on assessing shifts in rainfall-runoff behaviour during and after prolonged drought</w:t>
      </w:r>
      <w:r w:rsidRPr="4C198B8C">
        <w:rPr>
          <w:lang w:eastAsia="en-AU"/>
        </w:rPr>
        <w:t xml:space="preserve">. The guidelines now incorporate practical advice on additional uncertainty in the runoff projections under climate change, arising from </w:t>
      </w:r>
      <w:r w:rsidR="004F53D8">
        <w:rPr>
          <w:lang w:eastAsia="en-AU"/>
        </w:rPr>
        <w:t xml:space="preserve">the </w:t>
      </w:r>
      <w:r w:rsidRPr="4C198B8C">
        <w:rPr>
          <w:lang w:eastAsia="en-AU"/>
        </w:rPr>
        <w:t>University of Melbourne research into historical changes in rainfall-runoff behaviour, particularly during and after the Millennium Drought</w:t>
      </w:r>
      <w:r>
        <w:rPr>
          <w:lang w:eastAsia="en-AU"/>
        </w:rPr>
        <w:t>.</w:t>
      </w:r>
    </w:p>
    <w:p w14:paraId="3A107A67" w14:textId="77777777" w:rsidR="007B29DD" w:rsidRPr="00060FF7" w:rsidRDefault="007B29DD" w:rsidP="007B29DD">
      <w:pPr>
        <w:pStyle w:val="BodyText"/>
        <w:numPr>
          <w:ilvl w:val="0"/>
          <w:numId w:val="21"/>
        </w:numPr>
        <w:rPr>
          <w:lang w:eastAsia="en-AU"/>
        </w:rPr>
      </w:pPr>
      <w:r w:rsidRPr="4C198B8C">
        <w:rPr>
          <w:b/>
          <w:bCs/>
          <w:lang w:eastAsia="en-AU"/>
        </w:rPr>
        <w:t>Additional information that can support alternative impact assessment approaches.</w:t>
      </w:r>
      <w:r w:rsidRPr="4C198B8C">
        <w:rPr>
          <w:lang w:eastAsia="en-AU"/>
        </w:rPr>
        <w:t xml:space="preserve"> This is in addition to the scenario assessment approach outlined in the body of the guidelines, which is typically applied within an adaptive management framework within Victoria. Th</w:t>
      </w:r>
      <w:r>
        <w:rPr>
          <w:lang w:eastAsia="en-AU"/>
        </w:rPr>
        <w:t xml:space="preserve">e additional information </w:t>
      </w:r>
      <w:r w:rsidRPr="4C198B8C">
        <w:rPr>
          <w:lang w:eastAsia="en-AU"/>
        </w:rPr>
        <w:t xml:space="preserve">includes </w:t>
      </w:r>
      <w:r>
        <w:rPr>
          <w:lang w:eastAsia="en-AU"/>
        </w:rPr>
        <w:t>guidance</w:t>
      </w:r>
      <w:r w:rsidRPr="4C198B8C">
        <w:rPr>
          <w:lang w:eastAsia="en-AU"/>
        </w:rPr>
        <w:t xml:space="preserve"> on </w:t>
      </w:r>
      <w:r>
        <w:rPr>
          <w:lang w:eastAsia="en-AU"/>
        </w:rPr>
        <w:t>supplementary</w:t>
      </w:r>
      <w:r w:rsidRPr="4C198B8C">
        <w:rPr>
          <w:lang w:eastAsia="en-AU"/>
        </w:rPr>
        <w:t xml:space="preserve"> downscaled GCM results for Victoria, and a range of assessment techniques that can make use of this (and related) information.</w:t>
      </w:r>
    </w:p>
    <w:p w14:paraId="2534A227" w14:textId="77777777" w:rsidR="007B29DD" w:rsidRPr="007B29DD" w:rsidRDefault="007B29DD" w:rsidP="007B29DD">
      <w:pPr>
        <w:pStyle w:val="Heading2"/>
        <w:numPr>
          <w:ilvl w:val="1"/>
          <w:numId w:val="5"/>
        </w:numPr>
        <w:rPr>
          <w:b/>
          <w:bCs/>
          <w:color w:val="000000" w:themeColor="text1"/>
        </w:rPr>
      </w:pPr>
      <w:bookmarkStart w:id="63" w:name="_Toc38957424"/>
      <w:bookmarkStart w:id="64" w:name="_Toc43476443"/>
      <w:bookmarkStart w:id="65" w:name="_Toc44928686"/>
      <w:bookmarkStart w:id="66" w:name="_Toc51657958"/>
      <w:bookmarkStart w:id="67" w:name="_Toc53585863"/>
      <w:bookmarkStart w:id="68" w:name="_Toc57377114"/>
      <w:r w:rsidRPr="007B29DD">
        <w:rPr>
          <w:b/>
          <w:bCs/>
          <w:color w:val="000000" w:themeColor="text1"/>
        </w:rPr>
        <w:t>What has not changed since the last update?</w:t>
      </w:r>
      <w:bookmarkEnd w:id="63"/>
      <w:bookmarkEnd w:id="64"/>
      <w:bookmarkEnd w:id="65"/>
      <w:bookmarkEnd w:id="66"/>
      <w:bookmarkEnd w:id="67"/>
      <w:bookmarkEnd w:id="68"/>
    </w:p>
    <w:p w14:paraId="6F3D78BF" w14:textId="77777777" w:rsidR="007B29DD" w:rsidRDefault="007B29DD" w:rsidP="007B29DD">
      <w:r>
        <w:t>Some of the fundamental assumptions and approaches of the guidelines have not changed. These include:</w:t>
      </w:r>
    </w:p>
    <w:p w14:paraId="244E3BA3" w14:textId="77777777" w:rsidR="007B29DD" w:rsidRDefault="007B29DD" w:rsidP="007B29DD">
      <w:pPr>
        <w:pStyle w:val="BodyText"/>
        <w:numPr>
          <w:ilvl w:val="0"/>
          <w:numId w:val="21"/>
        </w:numPr>
        <w:rPr>
          <w:lang w:eastAsia="en-AU"/>
        </w:rPr>
      </w:pPr>
      <w:r w:rsidRPr="4C198B8C">
        <w:rPr>
          <w:b/>
          <w:bCs/>
          <w:lang w:eastAsia="en-AU"/>
        </w:rPr>
        <w:t xml:space="preserve">A post-1975 </w:t>
      </w:r>
      <w:r>
        <w:rPr>
          <w:b/>
          <w:bCs/>
          <w:lang w:eastAsia="en-AU"/>
        </w:rPr>
        <w:t xml:space="preserve">historic </w:t>
      </w:r>
      <w:r w:rsidRPr="4C198B8C">
        <w:rPr>
          <w:b/>
          <w:bCs/>
          <w:lang w:eastAsia="en-AU"/>
        </w:rPr>
        <w:t xml:space="preserve">climate </w:t>
      </w:r>
      <w:r>
        <w:rPr>
          <w:b/>
          <w:bCs/>
          <w:lang w:eastAsia="en-AU"/>
        </w:rPr>
        <w:t>reference period</w:t>
      </w:r>
      <w:r w:rsidRPr="4C198B8C">
        <w:rPr>
          <w:lang w:eastAsia="en-AU"/>
        </w:rPr>
        <w:t xml:space="preserve">, to which the GCM projections can be applied </w:t>
      </w:r>
      <w:r>
        <w:rPr>
          <w:lang w:eastAsia="en-AU"/>
        </w:rPr>
        <w:t>to generate low, medium and high climate change scenarios.</w:t>
      </w:r>
    </w:p>
    <w:p w14:paraId="6852A69E" w14:textId="77777777" w:rsidR="007B29DD" w:rsidRDefault="007B29DD" w:rsidP="007B29DD">
      <w:pPr>
        <w:pStyle w:val="BodyText"/>
        <w:numPr>
          <w:ilvl w:val="0"/>
          <w:numId w:val="21"/>
        </w:numPr>
        <w:rPr>
          <w:lang w:eastAsia="en-AU"/>
        </w:rPr>
      </w:pPr>
      <w:r w:rsidRPr="4C198B8C">
        <w:rPr>
          <w:b/>
          <w:bCs/>
          <w:lang w:eastAsia="en-AU"/>
        </w:rPr>
        <w:t xml:space="preserve">A post-1997 </w:t>
      </w:r>
      <w:r>
        <w:rPr>
          <w:b/>
          <w:bCs/>
          <w:lang w:eastAsia="en-AU"/>
        </w:rPr>
        <w:t xml:space="preserve">historic </w:t>
      </w:r>
      <w:r w:rsidRPr="4C198B8C">
        <w:rPr>
          <w:b/>
          <w:bCs/>
          <w:lang w:eastAsia="en-AU"/>
        </w:rPr>
        <w:t xml:space="preserve">climate </w:t>
      </w:r>
      <w:r>
        <w:rPr>
          <w:b/>
          <w:bCs/>
          <w:lang w:eastAsia="en-AU"/>
        </w:rPr>
        <w:t>reference period</w:t>
      </w:r>
      <w:r w:rsidRPr="00D33A45">
        <w:rPr>
          <w:lang w:eastAsia="en-AU"/>
        </w:rPr>
        <w:t xml:space="preserve">, which can be used </w:t>
      </w:r>
      <w:r>
        <w:rPr>
          <w:lang w:eastAsia="en-AU"/>
        </w:rPr>
        <w:t xml:space="preserve">to </w:t>
      </w:r>
      <w:r w:rsidRPr="00D33A45">
        <w:rPr>
          <w:lang w:eastAsia="en-AU"/>
        </w:rPr>
        <w:t>project a post-1997 step climate change scenario derived independently of the GCMs</w:t>
      </w:r>
      <w:r>
        <w:rPr>
          <w:lang w:eastAsia="en-AU"/>
        </w:rPr>
        <w:t>. This scenario assumes that the dry conditions experienced since 1997 represent a permanent step-change in climate from that experienced prior to 1997.</w:t>
      </w:r>
    </w:p>
    <w:p w14:paraId="45CEE366" w14:textId="77777777" w:rsidR="007B29DD" w:rsidRDefault="007B29DD" w:rsidP="007B29DD">
      <w:pPr>
        <w:pStyle w:val="BodyText"/>
        <w:numPr>
          <w:ilvl w:val="0"/>
          <w:numId w:val="21"/>
        </w:numPr>
        <w:rPr>
          <w:lang w:eastAsia="en-AU"/>
        </w:rPr>
      </w:pPr>
      <w:r w:rsidRPr="4C198B8C">
        <w:rPr>
          <w:b/>
          <w:bCs/>
          <w:lang w:eastAsia="en-AU"/>
        </w:rPr>
        <w:t>The presentation of low, medium and high climate change impacts</w:t>
      </w:r>
      <w:r w:rsidRPr="4C198B8C">
        <w:rPr>
          <w:lang w:eastAsia="en-AU"/>
        </w:rPr>
        <w:t xml:space="preserve"> representing the 10</w:t>
      </w:r>
      <w:r w:rsidRPr="003178A9">
        <w:rPr>
          <w:lang w:eastAsia="en-AU"/>
        </w:rPr>
        <w:t>th</w:t>
      </w:r>
      <w:r w:rsidRPr="4C198B8C">
        <w:rPr>
          <w:lang w:eastAsia="en-AU"/>
        </w:rPr>
        <w:t xml:space="preserve">, </w:t>
      </w:r>
      <w:r w:rsidRPr="005E0E0D">
        <w:rPr>
          <w:lang w:eastAsia="en-AU"/>
        </w:rPr>
        <w:t>50th</w:t>
      </w:r>
      <w:r w:rsidRPr="4C198B8C">
        <w:rPr>
          <w:lang w:eastAsia="en-AU"/>
        </w:rPr>
        <w:t xml:space="preserve"> and </w:t>
      </w:r>
      <w:r w:rsidRPr="003178A9">
        <w:rPr>
          <w:lang w:eastAsia="en-AU"/>
        </w:rPr>
        <w:t>90th</w:t>
      </w:r>
      <w:r w:rsidRPr="4C198B8C">
        <w:rPr>
          <w:lang w:eastAsia="en-AU"/>
        </w:rPr>
        <w:t xml:space="preserve"> percentile results from the suite of 42 available GCMs</w:t>
      </w:r>
      <w:r>
        <w:rPr>
          <w:lang w:eastAsia="en-AU"/>
        </w:rPr>
        <w:t>.</w:t>
      </w:r>
    </w:p>
    <w:p w14:paraId="2CF69E64" w14:textId="77777777" w:rsidR="007B29DD" w:rsidRPr="00954D05" w:rsidRDefault="007B29DD" w:rsidP="007B29DD">
      <w:pPr>
        <w:pStyle w:val="BodyText"/>
        <w:numPr>
          <w:ilvl w:val="0"/>
          <w:numId w:val="21"/>
        </w:numPr>
      </w:pPr>
      <w:r w:rsidRPr="4C198B8C">
        <w:rPr>
          <w:b/>
          <w:bCs/>
          <w:lang w:eastAsia="en-AU"/>
        </w:rPr>
        <w:t xml:space="preserve">The use of CMIP5 climate change projections </w:t>
      </w:r>
      <w:r w:rsidRPr="4C198B8C">
        <w:rPr>
          <w:lang w:eastAsia="en-AU"/>
        </w:rPr>
        <w:t>from the Intergovernmental Panel on Climate Change</w:t>
      </w:r>
      <w:r>
        <w:rPr>
          <w:lang w:eastAsia="en-AU"/>
        </w:rPr>
        <w:t>’s</w:t>
      </w:r>
      <w:r w:rsidRPr="4C198B8C">
        <w:rPr>
          <w:lang w:eastAsia="en-AU"/>
        </w:rPr>
        <w:t xml:space="preserve"> </w:t>
      </w:r>
      <w:r>
        <w:rPr>
          <w:lang w:eastAsia="en-AU"/>
        </w:rPr>
        <w:t>(</w:t>
      </w:r>
      <w:r w:rsidRPr="4C198B8C">
        <w:rPr>
          <w:lang w:eastAsia="en-AU"/>
        </w:rPr>
        <w:t>IPCC</w:t>
      </w:r>
      <w:r>
        <w:rPr>
          <w:lang w:eastAsia="en-AU"/>
        </w:rPr>
        <w:t>)</w:t>
      </w:r>
      <w:r w:rsidRPr="4C198B8C" w:rsidDel="00C24C1D">
        <w:rPr>
          <w:lang w:eastAsia="en-AU"/>
        </w:rPr>
        <w:t xml:space="preserve"> </w:t>
      </w:r>
      <w:r>
        <w:rPr>
          <w:lang w:eastAsia="en-AU"/>
        </w:rPr>
        <w:t>Fifth</w:t>
      </w:r>
      <w:r w:rsidRPr="4C198B8C">
        <w:rPr>
          <w:lang w:eastAsia="en-AU"/>
        </w:rPr>
        <w:t xml:space="preserve"> </w:t>
      </w:r>
      <w:r>
        <w:rPr>
          <w:lang w:eastAsia="en-AU"/>
        </w:rPr>
        <w:t>a</w:t>
      </w:r>
      <w:r w:rsidRPr="4C198B8C">
        <w:rPr>
          <w:lang w:eastAsia="en-AU"/>
        </w:rPr>
        <w:t xml:space="preserve">ssessment </w:t>
      </w:r>
      <w:r>
        <w:rPr>
          <w:lang w:eastAsia="en-AU"/>
        </w:rPr>
        <w:t>r</w:t>
      </w:r>
      <w:r w:rsidRPr="4C198B8C">
        <w:rPr>
          <w:lang w:eastAsia="en-AU"/>
        </w:rPr>
        <w:t>eport.</w:t>
      </w:r>
      <w:r w:rsidRPr="4C198B8C">
        <w:rPr>
          <w:b/>
          <w:bCs/>
          <w:lang w:eastAsia="en-AU"/>
        </w:rPr>
        <w:t xml:space="preserve"> </w:t>
      </w:r>
      <w:r w:rsidRPr="00D33A45">
        <w:rPr>
          <w:lang w:eastAsia="en-AU"/>
        </w:rPr>
        <w:t>Projections may be updated after the</w:t>
      </w:r>
      <w:r w:rsidRPr="4C198B8C">
        <w:rPr>
          <w:lang w:eastAsia="en-AU"/>
        </w:rPr>
        <w:t xml:space="preserve"> IPCC publishes its assessment of the next update of global climate modelling (CMIP6). The IPCC </w:t>
      </w:r>
      <w:r>
        <w:rPr>
          <w:lang w:eastAsia="en-AU"/>
        </w:rPr>
        <w:t>sixth</w:t>
      </w:r>
      <w:r w:rsidRPr="4C198B8C">
        <w:rPr>
          <w:lang w:eastAsia="en-AU"/>
        </w:rPr>
        <w:t xml:space="preserve"> </w:t>
      </w:r>
      <w:r>
        <w:rPr>
          <w:lang w:eastAsia="en-AU"/>
        </w:rPr>
        <w:t>a</w:t>
      </w:r>
      <w:r w:rsidRPr="4C198B8C">
        <w:rPr>
          <w:lang w:eastAsia="en-AU"/>
        </w:rPr>
        <w:t xml:space="preserve">ssessment </w:t>
      </w:r>
      <w:r>
        <w:rPr>
          <w:lang w:eastAsia="en-AU"/>
        </w:rPr>
        <w:t>r</w:t>
      </w:r>
      <w:r w:rsidRPr="4C198B8C">
        <w:rPr>
          <w:lang w:eastAsia="en-AU"/>
        </w:rPr>
        <w:t xml:space="preserve">eport has been delayed by the </w:t>
      </w:r>
      <w:r>
        <w:rPr>
          <w:lang w:eastAsia="en-AU"/>
        </w:rPr>
        <w:t>COVID-19</w:t>
      </w:r>
      <w:r w:rsidRPr="4C198B8C">
        <w:rPr>
          <w:lang w:eastAsia="en-AU"/>
        </w:rPr>
        <w:t xml:space="preserve"> disruption but is expected to be delivered in mid-2021 to mid-2022.</w:t>
      </w:r>
    </w:p>
    <w:p w14:paraId="0C27301B" w14:textId="77777777" w:rsidR="007B29DD" w:rsidRPr="007B29DD" w:rsidRDefault="007B29DD" w:rsidP="007B29DD">
      <w:pPr>
        <w:pStyle w:val="Heading1TopofPage"/>
        <w:numPr>
          <w:ilvl w:val="0"/>
          <w:numId w:val="5"/>
        </w:numPr>
        <w:tabs>
          <w:tab w:val="clear" w:pos="0"/>
        </w:tabs>
        <w:rPr>
          <w:color w:val="000000" w:themeColor="text1"/>
        </w:rPr>
      </w:pPr>
      <w:bookmarkStart w:id="69" w:name="_Toc38957425"/>
      <w:bookmarkStart w:id="70" w:name="_Toc43476444"/>
      <w:bookmarkStart w:id="71" w:name="_Toc44928687"/>
      <w:bookmarkStart w:id="72" w:name="_Toc51657959"/>
      <w:bookmarkStart w:id="73" w:name="_Toc53585864"/>
      <w:bookmarkStart w:id="74" w:name="_Toc57377115"/>
      <w:r w:rsidRPr="007B29DD">
        <w:rPr>
          <w:color w:val="000000" w:themeColor="text1"/>
        </w:rPr>
        <w:lastRenderedPageBreak/>
        <w:t>How to Use These Guidelines</w:t>
      </w:r>
      <w:bookmarkEnd w:id="69"/>
      <w:bookmarkEnd w:id="70"/>
      <w:bookmarkEnd w:id="71"/>
      <w:bookmarkEnd w:id="72"/>
      <w:bookmarkEnd w:id="73"/>
      <w:bookmarkEnd w:id="74"/>
    </w:p>
    <w:p w14:paraId="566D441D"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5" w:name="_Toc43476445"/>
      <w:bookmarkStart w:id="76" w:name="_Toc44928688"/>
      <w:bookmarkStart w:id="77" w:name="_Toc51657960"/>
      <w:bookmarkStart w:id="78" w:name="_Toc53585865"/>
      <w:bookmarkStart w:id="79" w:name="_Toc57377116"/>
      <w:r w:rsidRPr="007B29DD">
        <w:rPr>
          <w:b/>
          <w:bCs/>
          <w:color w:val="000000" w:themeColor="text1"/>
        </w:rPr>
        <w:t>Introduction</w:t>
      </w:r>
      <w:bookmarkEnd w:id="75"/>
      <w:bookmarkEnd w:id="76"/>
      <w:bookmarkEnd w:id="77"/>
      <w:bookmarkEnd w:id="78"/>
      <w:bookmarkEnd w:id="79"/>
    </w:p>
    <w:p w14:paraId="38DAF13D" w14:textId="77777777" w:rsidR="007B29DD" w:rsidRDefault="007B29DD" w:rsidP="007B29DD">
      <w:pPr>
        <w:pStyle w:val="BodyText"/>
        <w:rPr>
          <w:lang w:eastAsia="en-AU"/>
        </w:rPr>
      </w:pPr>
      <w:r>
        <w:rPr>
          <w:lang w:eastAsia="en-AU"/>
        </w:rPr>
        <w:t>These guidelines seek to distil complex climate change science into practical guidance for the Victorian water industry and other water resource planners across Victoria. It is recommended that practitioners read the guidelines in their entirety to gain a broad appreciation of the assumptions being made and their implications for climate change impact assessment and subsequent decision making.</w:t>
      </w:r>
    </w:p>
    <w:p w14:paraId="42658FCB" w14:textId="77777777" w:rsidR="007B29DD" w:rsidRDefault="007B29DD" w:rsidP="007B29DD">
      <w:pPr>
        <w:pStyle w:val="BodyText"/>
        <w:rPr>
          <w:lang w:eastAsia="en-AU"/>
        </w:rPr>
      </w:pPr>
      <w:r>
        <w:rPr>
          <w:lang w:eastAsia="en-AU"/>
        </w:rPr>
        <w:t>Practitioners with a sound understanding of climate change science or with previous experience (i.e. after your first application) working with this edition of the guidelines may wish to proceed directly to the information needed to apply the guidelines.</w:t>
      </w:r>
    </w:p>
    <w:p w14:paraId="4D4A4865" w14:textId="77777777" w:rsidR="007B29DD" w:rsidRDefault="007B29DD" w:rsidP="007B29DD">
      <w:pPr>
        <w:pStyle w:val="BodyText"/>
        <w:rPr>
          <w:lang w:eastAsia="en-AU"/>
        </w:rPr>
      </w:pPr>
      <w:r>
        <w:rPr>
          <w:lang w:eastAsia="en-AU"/>
        </w:rPr>
        <w:t xml:space="preserve">The following sub-sections provide a brief how-to guide for accessing items of particular relevance to different user types, including for bulk urban and rural water impact assessment (Section </w:t>
      </w:r>
      <w:r>
        <w:rPr>
          <w:lang w:eastAsia="en-AU"/>
        </w:rPr>
        <w:fldChar w:fldCharType="begin"/>
      </w:r>
      <w:r>
        <w:rPr>
          <w:lang w:eastAsia="en-AU"/>
        </w:rPr>
        <w:instrText xml:space="preserve"> REF _Ref42673084 \r \h </w:instrText>
      </w:r>
      <w:r>
        <w:rPr>
          <w:lang w:eastAsia="en-AU"/>
        </w:rPr>
      </w:r>
      <w:r>
        <w:rPr>
          <w:lang w:eastAsia="en-AU"/>
        </w:rPr>
        <w:fldChar w:fldCharType="separate"/>
      </w:r>
      <w:r>
        <w:rPr>
          <w:lang w:eastAsia="en-AU"/>
        </w:rPr>
        <w:t>2.2</w:t>
      </w:r>
      <w:r>
        <w:rPr>
          <w:lang w:eastAsia="en-AU"/>
        </w:rPr>
        <w:fldChar w:fldCharType="end"/>
      </w:r>
      <w:r>
        <w:rPr>
          <w:lang w:eastAsia="en-AU"/>
        </w:rPr>
        <w:t xml:space="preserve">), integrated water cycle management (Section </w:t>
      </w:r>
      <w:r>
        <w:rPr>
          <w:lang w:eastAsia="en-AU"/>
        </w:rPr>
        <w:fldChar w:fldCharType="begin"/>
      </w:r>
      <w:r>
        <w:rPr>
          <w:lang w:eastAsia="en-AU"/>
        </w:rPr>
        <w:instrText xml:space="preserve"> REF _Ref42673102 \r \h </w:instrText>
      </w:r>
      <w:r>
        <w:rPr>
          <w:lang w:eastAsia="en-AU"/>
        </w:rPr>
      </w:r>
      <w:r>
        <w:rPr>
          <w:lang w:eastAsia="en-AU"/>
        </w:rPr>
        <w:fldChar w:fldCharType="separate"/>
      </w:r>
      <w:r>
        <w:rPr>
          <w:lang w:eastAsia="en-AU"/>
        </w:rPr>
        <w:t>2.3</w:t>
      </w:r>
      <w:r>
        <w:rPr>
          <w:lang w:eastAsia="en-AU"/>
        </w:rPr>
        <w:fldChar w:fldCharType="end"/>
      </w:r>
      <w:r>
        <w:rPr>
          <w:lang w:eastAsia="en-AU"/>
        </w:rPr>
        <w:t xml:space="preserve">) and environmental water management (Section </w:t>
      </w:r>
      <w:r>
        <w:rPr>
          <w:lang w:eastAsia="en-AU"/>
        </w:rPr>
        <w:fldChar w:fldCharType="begin"/>
      </w:r>
      <w:r>
        <w:rPr>
          <w:lang w:eastAsia="en-AU"/>
        </w:rPr>
        <w:instrText xml:space="preserve"> REF _Ref42673125 \r \h </w:instrText>
      </w:r>
      <w:r>
        <w:rPr>
          <w:lang w:eastAsia="en-AU"/>
        </w:rPr>
      </w:r>
      <w:r>
        <w:rPr>
          <w:lang w:eastAsia="en-AU"/>
        </w:rPr>
        <w:fldChar w:fldCharType="separate"/>
      </w:r>
      <w:r>
        <w:rPr>
          <w:lang w:eastAsia="en-AU"/>
        </w:rPr>
        <w:t>2.4</w:t>
      </w:r>
      <w:r>
        <w:rPr>
          <w:lang w:eastAsia="en-AU"/>
        </w:rPr>
        <w:fldChar w:fldCharType="end"/>
      </w:r>
      <w:r>
        <w:rPr>
          <w:lang w:eastAsia="en-AU"/>
        </w:rPr>
        <w:t xml:space="preserve">). The ways in which the guidelines address issues related to climate variability are briefly discussed in Section </w:t>
      </w:r>
      <w:r>
        <w:rPr>
          <w:lang w:eastAsia="en-AU"/>
        </w:rPr>
        <w:fldChar w:fldCharType="begin"/>
      </w:r>
      <w:r>
        <w:rPr>
          <w:lang w:eastAsia="en-AU"/>
        </w:rPr>
        <w:instrText xml:space="preserve"> REF _Ref42673185 \r \h </w:instrText>
      </w:r>
      <w:r>
        <w:rPr>
          <w:lang w:eastAsia="en-AU"/>
        </w:rPr>
      </w:r>
      <w:r>
        <w:rPr>
          <w:lang w:eastAsia="en-AU"/>
        </w:rPr>
        <w:fldChar w:fldCharType="separate"/>
      </w:r>
      <w:r>
        <w:rPr>
          <w:lang w:eastAsia="en-AU"/>
        </w:rPr>
        <w:t>2.5</w:t>
      </w:r>
      <w:r>
        <w:rPr>
          <w:lang w:eastAsia="en-AU"/>
        </w:rPr>
        <w:fldChar w:fldCharType="end"/>
      </w:r>
      <w:r>
        <w:rPr>
          <w:lang w:eastAsia="en-AU"/>
        </w:rPr>
        <w:t>.</w:t>
      </w:r>
    </w:p>
    <w:p w14:paraId="35C828E1" w14:textId="77777777" w:rsidR="007B29DD" w:rsidRDefault="007B29DD" w:rsidP="007B29DD">
      <w:pPr>
        <w:pStyle w:val="BodyText"/>
        <w:rPr>
          <w:lang w:eastAsia="en-AU"/>
        </w:rPr>
      </w:pPr>
      <w:r>
        <w:rPr>
          <w:lang w:eastAsia="en-AU"/>
        </w:rPr>
        <w:t xml:space="preserve">Climate change science, including the availability of application-ready datasets, is continually evolving. Section </w:t>
      </w:r>
      <w:r>
        <w:rPr>
          <w:lang w:eastAsia="en-AU"/>
        </w:rPr>
        <w:fldChar w:fldCharType="begin"/>
      </w:r>
      <w:r>
        <w:rPr>
          <w:lang w:eastAsia="en-AU"/>
        </w:rPr>
        <w:instrText xml:space="preserve"> REF _Ref41399303 \r \h </w:instrText>
      </w:r>
      <w:r>
        <w:rPr>
          <w:lang w:eastAsia="en-AU"/>
        </w:rPr>
      </w:r>
      <w:r>
        <w:rPr>
          <w:lang w:eastAsia="en-AU"/>
        </w:rPr>
        <w:fldChar w:fldCharType="separate"/>
      </w:r>
      <w:r>
        <w:rPr>
          <w:lang w:eastAsia="en-AU"/>
        </w:rPr>
        <w:t>7.1</w:t>
      </w:r>
      <w:r>
        <w:rPr>
          <w:lang w:eastAsia="en-AU"/>
        </w:rPr>
        <w:fldChar w:fldCharType="end"/>
      </w:r>
      <w:r>
        <w:rPr>
          <w:lang w:eastAsia="en-AU"/>
        </w:rPr>
        <w:t xml:space="preserve"> provides a reference to any emerging updates to the guidelines, and any newly available datasets or research outcomes identified by DELWP to complement these guidelines. It is recommended that practitioners revisit this section prior to undertaking new impact assessments.</w:t>
      </w:r>
      <w:bookmarkStart w:id="80" w:name="_Toc42852436"/>
      <w:bookmarkEnd w:id="80"/>
    </w:p>
    <w:p w14:paraId="5AD4FF93"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81" w:name="_Ref42673084"/>
      <w:bookmarkStart w:id="82" w:name="_Toc43476446"/>
      <w:bookmarkStart w:id="83" w:name="_Toc44928689"/>
      <w:bookmarkStart w:id="84" w:name="_Toc51657961"/>
      <w:bookmarkStart w:id="85" w:name="_Toc53585866"/>
      <w:bookmarkStart w:id="86" w:name="_Toc57377117"/>
      <w:r w:rsidRPr="007B29DD">
        <w:rPr>
          <w:b/>
          <w:bCs/>
          <w:color w:val="000000" w:themeColor="text1"/>
        </w:rPr>
        <w:t>For bulk urban and rural water impact assessment</w:t>
      </w:r>
      <w:bookmarkEnd w:id="81"/>
      <w:bookmarkEnd w:id="82"/>
      <w:bookmarkEnd w:id="83"/>
      <w:bookmarkEnd w:id="84"/>
      <w:bookmarkEnd w:id="85"/>
      <w:bookmarkEnd w:id="86"/>
    </w:p>
    <w:p w14:paraId="385DA150" w14:textId="77777777" w:rsidR="007B29DD" w:rsidRDefault="007B29DD" w:rsidP="007B29DD">
      <w:pPr>
        <w:pStyle w:val="BodyText"/>
        <w:rPr>
          <w:lang w:eastAsia="en-AU"/>
        </w:rPr>
      </w:pPr>
      <w:r>
        <w:rPr>
          <w:lang w:eastAsia="en-AU"/>
        </w:rPr>
        <w:t xml:space="preserve">For bulk urban and rural water supply systems, </w:t>
      </w:r>
      <w:r>
        <w:rPr>
          <w:lang w:eastAsia="en-AU"/>
        </w:rPr>
        <w:fldChar w:fldCharType="begin"/>
      </w:r>
      <w:r>
        <w:rPr>
          <w:lang w:eastAsia="en-AU"/>
        </w:rPr>
        <w:instrText xml:space="preserve"> REF _Ref40365358 \h </w:instrText>
      </w:r>
      <w:r>
        <w:rPr>
          <w:lang w:eastAsia="en-AU"/>
        </w:rPr>
      </w:r>
      <w:r>
        <w:rPr>
          <w:lang w:eastAsia="en-AU"/>
        </w:rPr>
        <w:fldChar w:fldCharType="separate"/>
      </w:r>
      <w:r>
        <w:t xml:space="preserve">Figure </w:t>
      </w:r>
      <w:r>
        <w:rPr>
          <w:noProof/>
        </w:rPr>
        <w:t>2</w:t>
      </w:r>
      <w:r>
        <w:rPr>
          <w:lang w:eastAsia="en-AU"/>
        </w:rPr>
        <w:fldChar w:fldCharType="end"/>
      </w:r>
      <w:r>
        <w:rPr>
          <w:lang w:eastAsia="en-AU"/>
        </w:rPr>
        <w:t xml:space="preserve"> provides an overview of where to find information in the guidelines of relevance for different aspects of your climate change impact assessment.</w:t>
      </w:r>
    </w:p>
    <w:p w14:paraId="7B025E03" w14:textId="77777777" w:rsidR="007B29DD" w:rsidRDefault="007B29DD" w:rsidP="007B29DD">
      <w:pPr>
        <w:pStyle w:val="BodyText"/>
        <w:rPr>
          <w:lang w:eastAsia="en-AU"/>
        </w:rPr>
      </w:pPr>
    </w:p>
    <w:p w14:paraId="24DDA522" w14:textId="77777777" w:rsidR="007B29DD" w:rsidRDefault="007B29DD" w:rsidP="007B29DD">
      <w:pPr>
        <w:pStyle w:val="BodyText"/>
        <w:spacing w:after="0"/>
        <w:rPr>
          <w:lang w:eastAsia="en-AU"/>
        </w:rPr>
      </w:pPr>
      <w:r>
        <w:rPr>
          <w:noProof/>
        </w:rPr>
        <w:drawing>
          <wp:inline distT="0" distB="0" distL="0" distR="0" wp14:anchorId="2D03C2F5" wp14:editId="20D645B3">
            <wp:extent cx="6062399" cy="3553200"/>
            <wp:effectExtent l="19050" t="19050" r="14605" b="28575"/>
            <wp:docPr id="945704162" name="Picture 945704162" descr="Infographic explaining the overview of impact assessment process for bulk urban and rural water supply systems. This begins with understanding how Victoria's climate has already changed (section 3) and progresses down to long-term planning, climate change projection preparation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2399" cy="3553200"/>
                    </a:xfrm>
                    <a:prstGeom prst="rect">
                      <a:avLst/>
                    </a:prstGeom>
                    <a:ln>
                      <a:solidFill>
                        <a:schemeClr val="bg1">
                          <a:lumMod val="65000"/>
                        </a:schemeClr>
                      </a:solidFill>
                    </a:ln>
                  </pic:spPr>
                </pic:pic>
              </a:graphicData>
            </a:graphic>
          </wp:inline>
        </w:drawing>
      </w:r>
    </w:p>
    <w:p w14:paraId="6614CF8F" w14:textId="77777777" w:rsidR="007B29DD" w:rsidRDefault="007B29DD" w:rsidP="007B29DD">
      <w:pPr>
        <w:pStyle w:val="Caption"/>
        <w:keepNext w:val="0"/>
        <w:spacing w:before="0"/>
      </w:pPr>
      <w:bookmarkStart w:id="87" w:name="_Ref40365358"/>
      <w:bookmarkStart w:id="88" w:name="_Toc43476569"/>
      <w:bookmarkStart w:id="89" w:name="_Toc44928814"/>
      <w:bookmarkStart w:id="90" w:name="_Toc51237478"/>
      <w:bookmarkStart w:id="91" w:name="_Toc53585993"/>
      <w:bookmarkStart w:id="92" w:name="_Toc57377244"/>
      <w:r>
        <w:t xml:space="preserve">Figure </w:t>
      </w:r>
      <w:r>
        <w:fldChar w:fldCharType="begin"/>
      </w:r>
      <w:r>
        <w:instrText>SEQ Figure \* ARABIC</w:instrText>
      </w:r>
      <w:r>
        <w:fldChar w:fldCharType="separate"/>
      </w:r>
      <w:r>
        <w:rPr>
          <w:noProof/>
        </w:rPr>
        <w:t>2</w:t>
      </w:r>
      <w:r>
        <w:fldChar w:fldCharType="end"/>
      </w:r>
      <w:bookmarkEnd w:id="87"/>
      <w:r>
        <w:t xml:space="preserve"> Overview of impact assessment process for bulk urban and rural water supply systems</w:t>
      </w:r>
      <w:bookmarkEnd w:id="88"/>
      <w:bookmarkEnd w:id="89"/>
      <w:bookmarkEnd w:id="90"/>
      <w:bookmarkEnd w:id="91"/>
      <w:bookmarkEnd w:id="92"/>
    </w:p>
    <w:p w14:paraId="476B825B" w14:textId="77777777" w:rsidR="007B29DD" w:rsidRPr="00F412CD" w:rsidRDefault="007B29DD" w:rsidP="007B29DD">
      <w:pPr>
        <w:pStyle w:val="BodyText"/>
        <w:rPr>
          <w:lang w:eastAsia="en-AU"/>
        </w:rPr>
      </w:pPr>
    </w:p>
    <w:p w14:paraId="0274BBFF"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93" w:name="_Ref42673102"/>
      <w:bookmarkStart w:id="94" w:name="_Toc43476447"/>
      <w:bookmarkStart w:id="95" w:name="_Toc44928690"/>
      <w:bookmarkStart w:id="96" w:name="_Toc51657962"/>
      <w:bookmarkStart w:id="97" w:name="_Toc53585867"/>
      <w:bookmarkStart w:id="98" w:name="_Toc57377118"/>
      <w:r w:rsidRPr="007B29DD">
        <w:rPr>
          <w:b/>
          <w:bCs/>
          <w:color w:val="000000" w:themeColor="text1"/>
        </w:rPr>
        <w:lastRenderedPageBreak/>
        <w:t>For integrated water cycle management</w:t>
      </w:r>
      <w:bookmarkEnd w:id="93"/>
      <w:bookmarkEnd w:id="94"/>
      <w:bookmarkEnd w:id="95"/>
      <w:bookmarkEnd w:id="96"/>
      <w:bookmarkEnd w:id="97"/>
      <w:bookmarkEnd w:id="98"/>
    </w:p>
    <w:p w14:paraId="535CDE6E" w14:textId="77777777" w:rsidR="007B29DD" w:rsidRDefault="007B29DD" w:rsidP="007B29DD">
      <w:pPr>
        <w:pStyle w:val="BodyText"/>
        <w:keepNext/>
        <w:rPr>
          <w:lang w:eastAsia="en-AU"/>
        </w:rPr>
      </w:pPr>
      <w:r>
        <w:rPr>
          <w:lang w:eastAsia="en-AU"/>
        </w:rPr>
        <w:t xml:space="preserve">For integrated water cycle management, some additional information in the guidelines can potentially help to refine your water supply impact assessment, in addition to the advice for bulk water supply systems above. This additional advice is highlighted in colour and in bold in </w:t>
      </w:r>
      <w:r>
        <w:rPr>
          <w:lang w:eastAsia="en-AU"/>
        </w:rPr>
        <w:fldChar w:fldCharType="begin"/>
      </w:r>
      <w:r>
        <w:rPr>
          <w:lang w:eastAsia="en-AU"/>
        </w:rPr>
        <w:instrText xml:space="preserve"> REF _Ref40366733 \h </w:instrText>
      </w:r>
      <w:r>
        <w:rPr>
          <w:lang w:eastAsia="en-AU"/>
        </w:rPr>
      </w:r>
      <w:r>
        <w:rPr>
          <w:lang w:eastAsia="en-AU"/>
        </w:rPr>
        <w:fldChar w:fldCharType="separate"/>
      </w:r>
      <w:r>
        <w:t xml:space="preserve">Figure </w:t>
      </w:r>
      <w:r>
        <w:rPr>
          <w:noProof/>
        </w:rPr>
        <w:t>3</w:t>
      </w:r>
      <w:r>
        <w:rPr>
          <w:lang w:eastAsia="en-AU"/>
        </w:rPr>
        <w:fldChar w:fldCharType="end"/>
      </w:r>
      <w:r>
        <w:rPr>
          <w:lang w:eastAsia="en-AU"/>
        </w:rPr>
        <w:t>.</w:t>
      </w:r>
    </w:p>
    <w:p w14:paraId="2CCE1607" w14:textId="77777777" w:rsidR="007B29DD" w:rsidRDefault="007B29DD" w:rsidP="007B29DD">
      <w:pPr>
        <w:pStyle w:val="BodyText"/>
        <w:keepNext/>
        <w:rPr>
          <w:lang w:eastAsia="en-AU"/>
        </w:rPr>
      </w:pPr>
    </w:p>
    <w:p w14:paraId="792FE2E1" w14:textId="77777777" w:rsidR="007B29DD" w:rsidRDefault="007B29DD" w:rsidP="007B29DD">
      <w:pPr>
        <w:pStyle w:val="BodyText"/>
        <w:spacing w:after="0"/>
        <w:rPr>
          <w:lang w:eastAsia="en-AU"/>
        </w:rPr>
      </w:pPr>
      <w:r>
        <w:rPr>
          <w:noProof/>
        </w:rPr>
        <w:drawing>
          <wp:inline distT="0" distB="0" distL="0" distR="0" wp14:anchorId="307A37A5" wp14:editId="6C47177E">
            <wp:extent cx="6062399" cy="3942000"/>
            <wp:effectExtent l="19050" t="19050" r="14605" b="20955"/>
            <wp:docPr id="945704165" name="Picture 945704165" descr="Infographic displaying an overview of additional sections of high relevance for integrated water cycle management. These include &quot;Understand the limitations of global climate models on seasonal, daily, and sub-daily time steps (Section 4.5, Section 4.8), and then Adjust GCM projections for increases in daily/sub-daily rainfall intensity (sectio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2399" cy="3942000"/>
                    </a:xfrm>
                    <a:prstGeom prst="rect">
                      <a:avLst/>
                    </a:prstGeom>
                    <a:ln>
                      <a:solidFill>
                        <a:schemeClr val="bg1">
                          <a:lumMod val="65000"/>
                        </a:schemeClr>
                      </a:solidFill>
                    </a:ln>
                  </pic:spPr>
                </pic:pic>
              </a:graphicData>
            </a:graphic>
          </wp:inline>
        </w:drawing>
      </w:r>
    </w:p>
    <w:p w14:paraId="3D1FD7DC" w14:textId="77777777" w:rsidR="007B29DD" w:rsidRDefault="007B29DD" w:rsidP="007B29DD">
      <w:pPr>
        <w:pStyle w:val="Caption"/>
        <w:keepNext w:val="0"/>
        <w:spacing w:before="0"/>
      </w:pPr>
      <w:bookmarkStart w:id="99" w:name="_Ref40366733"/>
      <w:bookmarkStart w:id="100" w:name="_Toc43476570"/>
      <w:bookmarkStart w:id="101" w:name="_Toc44928815"/>
      <w:bookmarkStart w:id="102" w:name="_Toc51237479"/>
      <w:bookmarkStart w:id="103" w:name="_Toc53585994"/>
      <w:bookmarkStart w:id="104" w:name="_Toc57377245"/>
      <w:r>
        <w:t xml:space="preserve">Figure </w:t>
      </w:r>
      <w:r>
        <w:fldChar w:fldCharType="begin"/>
      </w:r>
      <w:r>
        <w:instrText>SEQ Figure \* ARABIC</w:instrText>
      </w:r>
      <w:r>
        <w:fldChar w:fldCharType="separate"/>
      </w:r>
      <w:r>
        <w:rPr>
          <w:noProof/>
        </w:rPr>
        <w:t>3</w:t>
      </w:r>
      <w:r>
        <w:fldChar w:fldCharType="end"/>
      </w:r>
      <w:bookmarkEnd w:id="99"/>
      <w:r>
        <w:t xml:space="preserve"> Overview of additional sections of high relevance for integrated water cycle management</w:t>
      </w:r>
      <w:bookmarkEnd w:id="100"/>
      <w:bookmarkEnd w:id="101"/>
      <w:bookmarkEnd w:id="102"/>
      <w:bookmarkEnd w:id="103"/>
      <w:bookmarkEnd w:id="104"/>
    </w:p>
    <w:p w14:paraId="09A8F229" w14:textId="77777777" w:rsidR="007B29DD" w:rsidRPr="00DE530A" w:rsidRDefault="007B29DD" w:rsidP="007B29DD">
      <w:pPr>
        <w:pStyle w:val="BodyText"/>
        <w:rPr>
          <w:lang w:eastAsia="en-AU"/>
        </w:rPr>
      </w:pPr>
    </w:p>
    <w:p w14:paraId="315EBD34"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05" w:name="_Ref42673125"/>
      <w:bookmarkStart w:id="106" w:name="_Toc43476448"/>
      <w:bookmarkStart w:id="107" w:name="_Toc44928691"/>
      <w:bookmarkStart w:id="108" w:name="_Toc51657963"/>
      <w:bookmarkStart w:id="109" w:name="_Toc53585868"/>
      <w:bookmarkStart w:id="110" w:name="_Toc57377119"/>
      <w:r w:rsidRPr="007B29DD">
        <w:rPr>
          <w:b/>
          <w:bCs/>
          <w:color w:val="000000" w:themeColor="text1"/>
        </w:rPr>
        <w:lastRenderedPageBreak/>
        <w:t>For environmental water management</w:t>
      </w:r>
      <w:bookmarkEnd w:id="105"/>
      <w:bookmarkEnd w:id="106"/>
      <w:bookmarkEnd w:id="107"/>
      <w:bookmarkEnd w:id="108"/>
      <w:bookmarkEnd w:id="109"/>
      <w:bookmarkEnd w:id="110"/>
    </w:p>
    <w:p w14:paraId="1A8D311C" w14:textId="77777777" w:rsidR="007B29DD" w:rsidRDefault="007B29DD" w:rsidP="007B29DD">
      <w:pPr>
        <w:pStyle w:val="BodyText"/>
        <w:keepNext/>
        <w:keepLines/>
        <w:rPr>
          <w:lang w:eastAsia="en-AU"/>
        </w:rPr>
      </w:pPr>
      <w:r>
        <w:rPr>
          <w:lang w:eastAsia="en-AU"/>
        </w:rPr>
        <w:t xml:space="preserve">For environmental water management, some additional information in the guidelines can potentially help to refine your water supply impact assessment, in addition to the advice for bulk water supply systems above. This additional advice is highlighted in colour and in bold in </w:t>
      </w:r>
      <w:r>
        <w:rPr>
          <w:lang w:eastAsia="en-AU"/>
        </w:rPr>
        <w:fldChar w:fldCharType="begin"/>
      </w:r>
      <w:r>
        <w:rPr>
          <w:lang w:eastAsia="en-AU"/>
        </w:rPr>
        <w:instrText xml:space="preserve"> REF _Ref40366907 \h </w:instrText>
      </w:r>
      <w:r>
        <w:rPr>
          <w:lang w:eastAsia="en-AU"/>
        </w:rPr>
      </w:r>
      <w:r>
        <w:rPr>
          <w:lang w:eastAsia="en-AU"/>
        </w:rPr>
        <w:fldChar w:fldCharType="separate"/>
      </w:r>
      <w:r>
        <w:t xml:space="preserve">Figure </w:t>
      </w:r>
      <w:r>
        <w:rPr>
          <w:noProof/>
        </w:rPr>
        <w:t>4</w:t>
      </w:r>
      <w:r>
        <w:rPr>
          <w:lang w:eastAsia="en-AU"/>
        </w:rPr>
        <w:fldChar w:fldCharType="end"/>
      </w:r>
      <w:r>
        <w:rPr>
          <w:lang w:eastAsia="en-AU"/>
        </w:rPr>
        <w:t>.</w:t>
      </w:r>
    </w:p>
    <w:p w14:paraId="35A1C202" w14:textId="77777777" w:rsidR="007B29DD" w:rsidRDefault="007B29DD" w:rsidP="007B29DD">
      <w:pPr>
        <w:pStyle w:val="BodyText"/>
        <w:keepNext/>
        <w:keepLines/>
        <w:rPr>
          <w:lang w:eastAsia="en-AU"/>
        </w:rPr>
      </w:pPr>
      <w:r>
        <w:rPr>
          <w:lang w:eastAsia="en-AU"/>
        </w:rPr>
        <w:t xml:space="preserve">For environmental water managers, it is no longer recommended that CSIRO’s seasonal climate change projections be applied. This advice is replaced by the range of projected changes to cool season and warm season rainfall provided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.6.2, which can be used for sensitivity testing to explore the impacts of climate change on seasonal streamflows.</w:t>
      </w:r>
    </w:p>
    <w:p w14:paraId="199CA178" w14:textId="77777777" w:rsidR="007B29DD" w:rsidRDefault="007B29DD" w:rsidP="007B29DD">
      <w:pPr>
        <w:pStyle w:val="BodyText"/>
        <w:keepNext/>
        <w:keepLines/>
        <w:rPr>
          <w:lang w:eastAsia="en-AU"/>
        </w:rPr>
      </w:pPr>
    </w:p>
    <w:p w14:paraId="28EB2ACC" w14:textId="77777777" w:rsidR="007B29DD" w:rsidRDefault="007B29DD" w:rsidP="007B29DD">
      <w:pPr>
        <w:pStyle w:val="BodyText"/>
        <w:keepNext/>
        <w:keepLines/>
        <w:spacing w:after="0"/>
        <w:rPr>
          <w:lang w:eastAsia="en-AU"/>
        </w:rPr>
      </w:pPr>
      <w:r>
        <w:rPr>
          <w:noProof/>
        </w:rPr>
        <w:drawing>
          <wp:inline distT="0" distB="0" distL="0" distR="0" wp14:anchorId="60025704" wp14:editId="5999D964">
            <wp:extent cx="6062399" cy="3942000"/>
            <wp:effectExtent l="19050" t="19050" r="14605" b="20955"/>
            <wp:docPr id="945704166" name="Picture 945704166" descr="Infographic displaying an overview of additional sections of high relevance for integrated water cycle management. These include &quot;Understand the limitations of global climate models on seasonal, daily, and sub-daily time steps (Section 4.5, Section 4.8), and then Adjust GCM projections for increases in daily/sub-daily rainfall intensity (sectio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2399" cy="3942000"/>
                    </a:xfrm>
                    <a:prstGeom prst="rect">
                      <a:avLst/>
                    </a:prstGeom>
                    <a:ln>
                      <a:solidFill>
                        <a:schemeClr val="bg1">
                          <a:lumMod val="65000"/>
                        </a:schemeClr>
                      </a:solidFill>
                    </a:ln>
                  </pic:spPr>
                </pic:pic>
              </a:graphicData>
            </a:graphic>
          </wp:inline>
        </w:drawing>
      </w:r>
    </w:p>
    <w:p w14:paraId="60D5A268" w14:textId="77777777" w:rsidR="007B29DD" w:rsidRDefault="007B29DD" w:rsidP="007B29DD">
      <w:pPr>
        <w:pStyle w:val="Caption"/>
        <w:keepNext w:val="0"/>
        <w:spacing w:before="0"/>
      </w:pPr>
      <w:bookmarkStart w:id="111" w:name="_Ref40366907"/>
      <w:bookmarkStart w:id="112" w:name="_Toc43476571"/>
      <w:bookmarkStart w:id="113" w:name="_Toc44928816"/>
      <w:bookmarkStart w:id="114" w:name="_Toc51237480"/>
      <w:bookmarkStart w:id="115" w:name="_Toc53585995"/>
      <w:bookmarkStart w:id="116" w:name="_Toc57377246"/>
      <w:r>
        <w:t xml:space="preserve">Figure </w:t>
      </w:r>
      <w:r>
        <w:fldChar w:fldCharType="begin"/>
      </w:r>
      <w:r>
        <w:instrText>SEQ Figure \* ARABIC</w:instrText>
      </w:r>
      <w:r>
        <w:fldChar w:fldCharType="separate"/>
      </w:r>
      <w:r>
        <w:rPr>
          <w:noProof/>
        </w:rPr>
        <w:t>4</w:t>
      </w:r>
      <w:r>
        <w:fldChar w:fldCharType="end"/>
      </w:r>
      <w:bookmarkEnd w:id="111"/>
      <w:r>
        <w:t xml:space="preserve"> Overview of additional sections of high relevance for environmental water management</w:t>
      </w:r>
      <w:bookmarkEnd w:id="112"/>
      <w:bookmarkEnd w:id="113"/>
      <w:bookmarkEnd w:id="114"/>
      <w:bookmarkEnd w:id="115"/>
      <w:bookmarkEnd w:id="116"/>
    </w:p>
    <w:p w14:paraId="7EC468DD" w14:textId="77777777" w:rsidR="007B29DD" w:rsidRDefault="007B29DD" w:rsidP="007B29DD">
      <w:pPr>
        <w:pStyle w:val="BodyText"/>
        <w:rPr>
          <w:lang w:eastAsia="en-AU"/>
        </w:rPr>
      </w:pPr>
    </w:p>
    <w:p w14:paraId="4FF7D481" w14:textId="77777777" w:rsidR="007B29DD" w:rsidRDefault="007B29DD" w:rsidP="007B29DD">
      <w:pPr>
        <w:rPr>
          <w:b/>
          <w:bCs/>
          <w:iCs/>
          <w:color w:val="44546A" w:themeColor="text2"/>
          <w:kern w:val="20"/>
          <w:sz w:val="24"/>
          <w:szCs w:val="28"/>
        </w:rPr>
      </w:pPr>
      <w:r>
        <w:br w:type="page"/>
      </w:r>
    </w:p>
    <w:p w14:paraId="71A03A31"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17" w:name="_Ref42673185"/>
      <w:bookmarkStart w:id="118" w:name="_Ref43129491"/>
      <w:bookmarkStart w:id="119" w:name="_Toc43476449"/>
      <w:bookmarkStart w:id="120" w:name="_Toc44928692"/>
      <w:bookmarkStart w:id="121" w:name="_Toc51657964"/>
      <w:bookmarkStart w:id="122" w:name="_Toc53585869"/>
      <w:bookmarkStart w:id="123" w:name="_Toc57377120"/>
      <w:r w:rsidRPr="007B29DD">
        <w:rPr>
          <w:b/>
          <w:bCs/>
          <w:color w:val="000000" w:themeColor="text1"/>
        </w:rPr>
        <w:lastRenderedPageBreak/>
        <w:t xml:space="preserve">Guidance on climate variability versus climate </w:t>
      </w:r>
      <w:bookmarkEnd w:id="117"/>
      <w:r w:rsidRPr="007B29DD">
        <w:rPr>
          <w:b/>
          <w:bCs/>
          <w:color w:val="000000" w:themeColor="text1"/>
        </w:rPr>
        <w:t>change</w:t>
      </w:r>
      <w:bookmarkEnd w:id="118"/>
      <w:bookmarkEnd w:id="119"/>
      <w:bookmarkEnd w:id="120"/>
      <w:bookmarkEnd w:id="121"/>
      <w:bookmarkEnd w:id="122"/>
      <w:bookmarkEnd w:id="123"/>
    </w:p>
    <w:p w14:paraId="2AE56822" w14:textId="77777777" w:rsidR="007B29DD" w:rsidRDefault="007B29DD" w:rsidP="007B29DD">
      <w:pPr>
        <w:pStyle w:val="BodyText"/>
        <w:rPr>
          <w:lang w:eastAsia="en-AU"/>
        </w:rPr>
      </w:pPr>
      <w:r>
        <w:rPr>
          <w:lang w:eastAsia="en-AU"/>
        </w:rPr>
        <w:t>Victoria has a highly variable climate, both spatially across the state, and over time. Climate variability is represented by</w:t>
      </w:r>
      <w:r w:rsidDel="006E433B">
        <w:rPr>
          <w:lang w:eastAsia="en-AU"/>
        </w:rPr>
        <w:t xml:space="preserve"> </w:t>
      </w:r>
      <w:r>
        <w:rPr>
          <w:lang w:eastAsia="en-AU"/>
        </w:rPr>
        <w:t>fluctuations in temperature, evapotranspiration, rainfall and other climate variables on sub-daily, daily, seasonal, annual and decadal time scales. Climate variability can be chaotic or cyclical in nature. For the purposes of these guidelines, natural climate variability is regarded as a phenomenon of the earth’s climate system at equilibrium under pre-industrial levels of greenhouse gas concentrations in the atmosphere. In contrast, climate change represents a change in climate behaviour, including changes in climate variability, associated with an underlying shift in the drivers of the Earth’s climate system.</w:t>
      </w:r>
    </w:p>
    <w:p w14:paraId="3DD89D6B" w14:textId="77777777" w:rsidR="007B29DD" w:rsidRDefault="007B29DD" w:rsidP="007B29DD">
      <w:pPr>
        <w:pStyle w:val="BodyText"/>
        <w:rPr>
          <w:lang w:eastAsia="en-AU"/>
        </w:rPr>
      </w:pPr>
      <w:r>
        <w:rPr>
          <w:lang w:eastAsia="en-AU"/>
        </w:rPr>
        <w:t>The scope of these guidelines is to provide guidance on climate change impact assessment. The scope of these guidelines does not cover how to undertake impact assessment for climate variability, which is addressed in national best practice modelling guidelines (Black et al., 2011; Barnett et al., 2012), the Urban Water Strategy guidelines (DELWP, 2020a) and a long-established best practice through past applications. Climate variability was nevertheless an important consideration in the development of these guidelines and will be an important consideration in their application.</w:t>
      </w:r>
    </w:p>
    <w:p w14:paraId="3A1BED22" w14:textId="77777777" w:rsidR="007B29DD" w:rsidRDefault="007B29DD" w:rsidP="007B29DD">
      <w:pPr>
        <w:pStyle w:val="BodyText"/>
        <w:rPr>
          <w:lang w:eastAsia="en-AU"/>
        </w:rPr>
      </w:pPr>
      <w:r>
        <w:rPr>
          <w:lang w:eastAsia="en-AU"/>
        </w:rPr>
        <w:t>Aspects of climate variability that are covered in these guidelines include:</w:t>
      </w:r>
    </w:p>
    <w:p w14:paraId="5C651455" w14:textId="77777777" w:rsidR="007B29DD" w:rsidRDefault="007B29DD" w:rsidP="007B29DD">
      <w:pPr>
        <w:pStyle w:val="BodyText"/>
        <w:numPr>
          <w:ilvl w:val="0"/>
          <w:numId w:val="24"/>
        </w:numPr>
        <w:rPr>
          <w:lang w:eastAsia="en-AU"/>
        </w:rPr>
      </w:pPr>
      <w:r>
        <w:rPr>
          <w:lang w:eastAsia="en-AU"/>
        </w:rPr>
        <w:t xml:space="preserve">Historic changes in climate variability, such as seasonal rainfall shifts, and changes in daily and sub-daily rainfall intensity (Section </w:t>
      </w:r>
      <w:r>
        <w:rPr>
          <w:lang w:eastAsia="en-AU"/>
        </w:rPr>
        <w:fldChar w:fldCharType="begin"/>
      </w:r>
      <w:r>
        <w:rPr>
          <w:lang w:eastAsia="en-AU"/>
        </w:rPr>
        <w:instrText xml:space="preserve"> REF _Ref42846720 \r \h </w:instrText>
      </w:r>
      <w:r>
        <w:rPr>
          <w:lang w:eastAsia="en-AU"/>
        </w:rPr>
      </w:r>
      <w:r>
        <w:rPr>
          <w:lang w:eastAsia="en-AU"/>
        </w:rPr>
        <w:fldChar w:fldCharType="separate"/>
      </w:r>
      <w:r>
        <w:rPr>
          <w:lang w:eastAsia="en-AU"/>
        </w:rPr>
        <w:t>3.4</w:t>
      </w:r>
      <w:r>
        <w:rPr>
          <w:lang w:eastAsia="en-AU"/>
        </w:rPr>
        <w:fldChar w:fldCharType="end"/>
      </w:r>
      <w:r>
        <w:rPr>
          <w:lang w:eastAsia="en-AU"/>
        </w:rPr>
        <w:t>).</w:t>
      </w:r>
    </w:p>
    <w:p w14:paraId="2CC9D8B2" w14:textId="77777777" w:rsidR="007B29DD" w:rsidRDefault="007B29DD" w:rsidP="007B29DD">
      <w:pPr>
        <w:pStyle w:val="BodyText"/>
        <w:numPr>
          <w:ilvl w:val="0"/>
          <w:numId w:val="24"/>
        </w:numPr>
        <w:rPr>
          <w:lang w:eastAsia="en-AU"/>
        </w:rPr>
      </w:pPr>
      <w:r>
        <w:rPr>
          <w:lang w:eastAsia="en-AU"/>
        </w:rPr>
        <w:t xml:space="preserve">Difficulties in attributing observed historical changes in climate to natural climate variability or anthropogenic climate change (Section </w:t>
      </w:r>
      <w:r>
        <w:rPr>
          <w:lang w:eastAsia="en-AU"/>
        </w:rPr>
        <w:fldChar w:fldCharType="begin"/>
      </w:r>
      <w:r>
        <w:rPr>
          <w:lang w:eastAsia="en-AU"/>
        </w:rPr>
        <w:instrText xml:space="preserve"> REF _Ref39500534 \r \h </w:instrText>
      </w:r>
      <w:r>
        <w:rPr>
          <w:lang w:eastAsia="en-AU"/>
        </w:rPr>
      </w:r>
      <w:r>
        <w:rPr>
          <w:lang w:eastAsia="en-AU"/>
        </w:rPr>
        <w:fldChar w:fldCharType="separate"/>
      </w:r>
      <w:r>
        <w:rPr>
          <w:lang w:eastAsia="en-AU"/>
        </w:rPr>
        <w:t>4.4</w:t>
      </w:r>
      <w:r>
        <w:rPr>
          <w:lang w:eastAsia="en-AU"/>
        </w:rPr>
        <w:fldChar w:fldCharType="end"/>
      </w:r>
      <w:r>
        <w:rPr>
          <w:lang w:eastAsia="en-AU"/>
        </w:rPr>
        <w:t>).</w:t>
      </w:r>
    </w:p>
    <w:p w14:paraId="568AFA02" w14:textId="77777777" w:rsidR="007B29DD" w:rsidRDefault="007B29DD" w:rsidP="007B29DD">
      <w:pPr>
        <w:pStyle w:val="BodyText"/>
        <w:numPr>
          <w:ilvl w:val="0"/>
          <w:numId w:val="24"/>
        </w:numPr>
        <w:rPr>
          <w:lang w:eastAsia="en-AU"/>
        </w:rPr>
      </w:pPr>
      <w:r>
        <w:rPr>
          <w:lang w:eastAsia="en-AU"/>
        </w:rPr>
        <w:t>Establishment of climate reference periods that capture a wide range of climate variability (Sections </w:t>
      </w:r>
      <w:r>
        <w:rPr>
          <w:lang w:eastAsia="en-AU"/>
        </w:rPr>
        <w:fldChar w:fldCharType="begin"/>
      </w:r>
      <w:r>
        <w:rPr>
          <w:lang w:eastAsia="en-AU"/>
        </w:rPr>
        <w:instrText xml:space="preserve"> REF _Ref39736043 \r \h </w:instrText>
      </w:r>
      <w:r>
        <w:rPr>
          <w:lang w:eastAsia="en-AU"/>
        </w:rPr>
      </w:r>
      <w:r>
        <w:rPr>
          <w:lang w:eastAsia="en-AU"/>
        </w:rPr>
        <w:fldChar w:fldCharType="separate"/>
      </w:r>
      <w:r>
        <w:rPr>
          <w:lang w:eastAsia="en-AU"/>
        </w:rPr>
        <w:t>5.2</w:t>
      </w:r>
      <w:r>
        <w:rPr>
          <w:lang w:eastAsia="en-AU"/>
        </w:rPr>
        <w:fldChar w:fldCharType="end"/>
      </w:r>
      <w:r>
        <w:rPr>
          <w:lang w:eastAsia="en-AU"/>
        </w:rPr>
        <w:t xml:space="preserve"> and </w:t>
      </w:r>
      <w:r>
        <w:rPr>
          <w:lang w:eastAsia="en-AU"/>
        </w:rPr>
        <w:fldChar w:fldCharType="begin"/>
      </w:r>
      <w:r>
        <w:rPr>
          <w:lang w:eastAsia="en-AU"/>
        </w:rPr>
        <w:instrText xml:space="preserve"> REF _Ref52195410 \r \h </w:instrText>
      </w:r>
      <w:r>
        <w:rPr>
          <w:lang w:eastAsia="en-AU"/>
        </w:rPr>
      </w:r>
      <w:r>
        <w:rPr>
          <w:lang w:eastAsia="en-AU"/>
        </w:rPr>
        <w:fldChar w:fldCharType="separate"/>
      </w:r>
      <w:r>
        <w:rPr>
          <w:lang w:eastAsia="en-AU"/>
        </w:rPr>
        <w:t>5.3</w:t>
      </w:r>
      <w:r>
        <w:rPr>
          <w:lang w:eastAsia="en-AU"/>
        </w:rPr>
        <w:fldChar w:fldCharType="end"/>
      </w:r>
      <w:r>
        <w:rPr>
          <w:lang w:eastAsia="en-AU"/>
        </w:rPr>
        <w:t>).</w:t>
      </w:r>
    </w:p>
    <w:p w14:paraId="2CA5F44C" w14:textId="77777777" w:rsidR="007B29DD" w:rsidRDefault="007B29DD" w:rsidP="007B29DD">
      <w:pPr>
        <w:pStyle w:val="BodyText"/>
        <w:numPr>
          <w:ilvl w:val="0"/>
          <w:numId w:val="24"/>
        </w:numPr>
        <w:rPr>
          <w:lang w:eastAsia="en-AU"/>
        </w:rPr>
      </w:pPr>
      <w:r>
        <w:rPr>
          <w:lang w:eastAsia="en-AU"/>
        </w:rPr>
        <w:t xml:space="preserve">Extension of climate reference periods to capture additional climate variability (Section </w:t>
      </w:r>
      <w:r>
        <w:rPr>
          <w:lang w:eastAsia="en-AU"/>
        </w:rPr>
        <w:fldChar w:fldCharType="begin"/>
      </w:r>
      <w:r>
        <w:rPr>
          <w:lang w:eastAsia="en-AU"/>
        </w:rPr>
        <w:instrText xml:space="preserve"> REF _Ref39736086 \r \h </w:instrText>
      </w:r>
      <w:r>
        <w:rPr>
          <w:lang w:eastAsia="en-AU"/>
        </w:rPr>
      </w:r>
      <w:r>
        <w:rPr>
          <w:lang w:eastAsia="en-AU"/>
        </w:rPr>
        <w:fldChar w:fldCharType="separate"/>
      </w:r>
      <w:r>
        <w:rPr>
          <w:lang w:eastAsia="en-AU"/>
        </w:rPr>
        <w:t>5.4</w:t>
      </w:r>
      <w:r>
        <w:rPr>
          <w:lang w:eastAsia="en-AU"/>
        </w:rPr>
        <w:fldChar w:fldCharType="end"/>
      </w:r>
      <w:r>
        <w:rPr>
          <w:lang w:eastAsia="en-AU"/>
        </w:rPr>
        <w:t xml:space="preserve">), including stochastic data generation methods (Section </w:t>
      </w:r>
      <w:r>
        <w:rPr>
          <w:lang w:eastAsia="en-AU"/>
        </w:rPr>
        <w:fldChar w:fldCharType="begin"/>
      </w:r>
      <w:r>
        <w:rPr>
          <w:lang w:eastAsia="en-AU"/>
        </w:rPr>
        <w:instrText xml:space="preserve"> REF _Ref42245526 \r \h </w:instrText>
      </w:r>
      <w:r>
        <w:rPr>
          <w:lang w:eastAsia="en-AU"/>
        </w:rPr>
      </w:r>
      <w:r>
        <w:rPr>
          <w:lang w:eastAsia="en-AU"/>
        </w:rPr>
        <w:fldChar w:fldCharType="separate"/>
      </w:r>
      <w:r>
        <w:rPr>
          <w:lang w:eastAsia="en-AU"/>
        </w:rPr>
        <w:t>5.4.3</w:t>
      </w:r>
      <w:r>
        <w:rPr>
          <w:lang w:eastAsia="en-AU"/>
        </w:rPr>
        <w:fldChar w:fldCharType="end"/>
      </w:r>
      <w:r>
        <w:rPr>
          <w:lang w:eastAsia="en-AU"/>
        </w:rPr>
        <w:t>).</w:t>
      </w:r>
    </w:p>
    <w:p w14:paraId="7599CBB7" w14:textId="77777777" w:rsidR="007B29DD" w:rsidRDefault="007B29DD" w:rsidP="007B29DD">
      <w:pPr>
        <w:pStyle w:val="BodyText"/>
        <w:numPr>
          <w:ilvl w:val="0"/>
          <w:numId w:val="24"/>
        </w:numPr>
        <w:rPr>
          <w:lang w:eastAsia="en-AU"/>
        </w:rPr>
      </w:pPr>
      <w:r>
        <w:rPr>
          <w:lang w:eastAsia="en-AU"/>
        </w:rPr>
        <w:t xml:space="preserve">Projected changes in climate variability, including changes in seasonal, daily and sub-daily behaviour (Section </w:t>
      </w:r>
      <w:r>
        <w:rPr>
          <w:lang w:eastAsia="en-AU"/>
        </w:rPr>
        <w:fldChar w:fldCharType="begin"/>
      </w:r>
      <w:r>
        <w:rPr>
          <w:lang w:eastAsia="en-AU"/>
        </w:rPr>
        <w:instrText xml:space="preserve"> REF _Ref39736145 \r \h </w:instrText>
      </w:r>
      <w:r>
        <w:rPr>
          <w:lang w:eastAsia="en-AU"/>
        </w:rPr>
      </w:r>
      <w:r>
        <w:rPr>
          <w:lang w:eastAsia="en-AU"/>
        </w:rPr>
        <w:fldChar w:fldCharType="separate"/>
      </w:r>
      <w:r>
        <w:rPr>
          <w:lang w:eastAsia="en-AU"/>
        </w:rPr>
        <w:t>4</w:t>
      </w:r>
      <w:r>
        <w:rPr>
          <w:lang w:eastAsia="en-AU"/>
        </w:rPr>
        <w:fldChar w:fldCharType="end"/>
      </w:r>
      <w:r>
        <w:rPr>
          <w:lang w:eastAsia="en-AU"/>
        </w:rPr>
        <w:t xml:space="preserve">, Section </w:t>
      </w:r>
      <w:r>
        <w:rPr>
          <w:lang w:eastAsia="en-AU"/>
        </w:rPr>
        <w:fldChar w:fldCharType="begin"/>
      </w:r>
      <w:r>
        <w:rPr>
          <w:lang w:eastAsia="en-AU"/>
        </w:rPr>
        <w:instrText xml:space="preserve"> REF _Ref39736159 \r \h </w:instrText>
      </w:r>
      <w:r>
        <w:rPr>
          <w:lang w:eastAsia="en-AU"/>
        </w:rPr>
      </w:r>
      <w:r>
        <w:rPr>
          <w:lang w:eastAsia="en-AU"/>
        </w:rPr>
        <w:fldChar w:fldCharType="separate"/>
      </w:r>
      <w:r>
        <w:rPr>
          <w:lang w:eastAsia="en-AU"/>
        </w:rPr>
        <w:t>5</w:t>
      </w:r>
      <w:r>
        <w:rPr>
          <w:lang w:eastAsia="en-AU"/>
        </w:rPr>
        <w:fldChar w:fldCharType="end"/>
      </w:r>
      <w:r>
        <w:rPr>
          <w:lang w:eastAsia="en-AU"/>
        </w:rPr>
        <w:t xml:space="preserve"> and Appendix B.6.2).</w:t>
      </w:r>
    </w:p>
    <w:p w14:paraId="28292FF5" w14:textId="77777777" w:rsidR="007B29DD" w:rsidRDefault="007B29DD" w:rsidP="007B29DD">
      <w:pPr>
        <w:pStyle w:val="BodyText"/>
        <w:rPr>
          <w:lang w:eastAsia="en-AU"/>
        </w:rPr>
      </w:pPr>
      <w:r>
        <w:rPr>
          <w:lang w:eastAsia="en-AU"/>
        </w:rPr>
        <w:t xml:space="preserve">Water availability assessments based on historic climate records are unlikely to contain the full range of climate variability that can be expected to occur in Victoria’s future. Events that fall outside of the range of climate experienced over the observed record </w:t>
      </w:r>
      <w:r w:rsidDel="00B713E2">
        <w:rPr>
          <w:lang w:eastAsia="en-AU"/>
        </w:rPr>
        <w:t xml:space="preserve">can </w:t>
      </w:r>
      <w:r>
        <w:rPr>
          <w:lang w:eastAsia="en-AU"/>
        </w:rPr>
        <w:t xml:space="preserve">be experienced in the future, even without the influence of climate change. Stochastic data generation methods can help to expand our understanding of the potential range of climate variability that could be expected. </w:t>
      </w:r>
    </w:p>
    <w:p w14:paraId="4F2182E0" w14:textId="77777777" w:rsidR="007B29DD" w:rsidRDefault="007B29DD" w:rsidP="007B29DD">
      <w:pPr>
        <w:pStyle w:val="BodyText"/>
        <w:rPr>
          <w:lang w:eastAsia="en-AU"/>
        </w:rPr>
      </w:pPr>
      <w:r>
        <w:rPr>
          <w:lang w:eastAsia="en-AU"/>
        </w:rPr>
        <w:t>The extent to which this increased investment in data preparation is warranted will depend upon factors including (i) the ability to communicate the outputs to decision makers and stakeholders, (ii) the likely risk associated with additional climate variability</w:t>
      </w:r>
      <w:r w:rsidRPr="00B30C42">
        <w:rPr>
          <w:lang w:eastAsia="en-AU"/>
        </w:rPr>
        <w:t xml:space="preserve"> </w:t>
      </w:r>
      <w:r>
        <w:rPr>
          <w:lang w:eastAsia="en-AU"/>
        </w:rPr>
        <w:t xml:space="preserve">for a given river or supply system and (iii) the ability to reasonably assess desired performance metrics using only the period covered by historical records (e.g. if minimum standards for a given application were to require assessment against say a </w:t>
      </w:r>
      <w:r w:rsidDel="0084051F">
        <w:rPr>
          <w:lang w:eastAsia="en-AU"/>
        </w:rPr>
        <w:t>1</w:t>
      </w:r>
      <w:r>
        <w:rPr>
          <w:lang w:eastAsia="en-AU"/>
        </w:rPr>
        <w:t xml:space="preserve">-in-1,000-year drought event, then historical records alone would be unable to reasonably assess performance against this metric). Further discussion of stochastic data preparation methods is provided in Section </w:t>
      </w:r>
      <w:r>
        <w:rPr>
          <w:lang w:eastAsia="en-AU"/>
        </w:rPr>
        <w:fldChar w:fldCharType="begin"/>
      </w:r>
      <w:r>
        <w:rPr>
          <w:lang w:eastAsia="en-AU"/>
        </w:rPr>
        <w:instrText xml:space="preserve"> REF _Ref42676168 \r \h </w:instrText>
      </w:r>
      <w:r>
        <w:rPr>
          <w:lang w:eastAsia="en-AU"/>
        </w:rPr>
      </w:r>
      <w:r>
        <w:rPr>
          <w:lang w:eastAsia="en-AU"/>
        </w:rPr>
        <w:fldChar w:fldCharType="separate"/>
      </w:r>
      <w:r>
        <w:rPr>
          <w:lang w:eastAsia="en-AU"/>
        </w:rPr>
        <w:t>5.4.3</w:t>
      </w:r>
      <w:r>
        <w:rPr>
          <w:lang w:eastAsia="en-AU"/>
        </w:rPr>
        <w:fldChar w:fldCharType="end"/>
      </w:r>
      <w:r>
        <w:rPr>
          <w:lang w:eastAsia="en-AU"/>
        </w:rPr>
        <w:t>.</w:t>
      </w:r>
    </w:p>
    <w:p w14:paraId="53A6A00B" w14:textId="77777777" w:rsidR="007B29DD" w:rsidRPr="007B29DD" w:rsidRDefault="007B29DD" w:rsidP="007B29DD">
      <w:pPr>
        <w:pStyle w:val="Heading1TopofPage"/>
        <w:numPr>
          <w:ilvl w:val="0"/>
          <w:numId w:val="5"/>
        </w:numPr>
        <w:tabs>
          <w:tab w:val="clear" w:pos="0"/>
        </w:tabs>
        <w:rPr>
          <w:color w:val="000000" w:themeColor="text1"/>
        </w:rPr>
      </w:pPr>
      <w:bookmarkStart w:id="124" w:name="_Toc38957426"/>
      <w:bookmarkStart w:id="125" w:name="_Ref39054404"/>
      <w:bookmarkStart w:id="126" w:name="_Ref42846222"/>
      <w:bookmarkStart w:id="127" w:name="_Toc43476450"/>
      <w:bookmarkStart w:id="128" w:name="_Toc44928693"/>
      <w:bookmarkStart w:id="129" w:name="_Toc51657965"/>
      <w:bookmarkStart w:id="130" w:name="_Toc53585870"/>
      <w:bookmarkStart w:id="131" w:name="_Toc57377121"/>
      <w:r w:rsidRPr="007B29DD">
        <w:rPr>
          <w:color w:val="000000" w:themeColor="text1"/>
        </w:rPr>
        <w:lastRenderedPageBreak/>
        <w:t>Observed Climate Change to Date</w:t>
      </w:r>
      <w:bookmarkEnd w:id="124"/>
      <w:bookmarkEnd w:id="125"/>
      <w:bookmarkEnd w:id="126"/>
      <w:bookmarkEnd w:id="127"/>
      <w:bookmarkEnd w:id="128"/>
      <w:bookmarkEnd w:id="129"/>
      <w:bookmarkEnd w:id="130"/>
      <w:bookmarkEnd w:id="131"/>
    </w:p>
    <w:p w14:paraId="3A56A994" w14:textId="77777777" w:rsidR="007B29DD" w:rsidRPr="007B29DD"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32" w:name="_Toc43476451"/>
      <w:bookmarkStart w:id="133" w:name="_Toc44928694"/>
      <w:bookmarkStart w:id="134" w:name="_Toc51657966"/>
      <w:bookmarkStart w:id="135" w:name="_Toc53585871"/>
      <w:bookmarkStart w:id="136" w:name="_Toc57377122"/>
      <w:r w:rsidRPr="007B29DD">
        <w:rPr>
          <w:b/>
          <w:bCs/>
          <w:color w:val="000000" w:themeColor="text1"/>
        </w:rPr>
        <w:t>Introduction</w:t>
      </w:r>
      <w:bookmarkEnd w:id="132"/>
      <w:bookmarkEnd w:id="133"/>
      <w:bookmarkEnd w:id="134"/>
      <w:bookmarkEnd w:id="135"/>
      <w:bookmarkEnd w:id="136"/>
    </w:p>
    <w:p w14:paraId="29B4559A" w14:textId="77777777" w:rsidR="007B29DD" w:rsidRDefault="007B29DD" w:rsidP="007B29DD">
      <w:pPr>
        <w:pStyle w:val="BodyText"/>
        <w:rPr>
          <w:lang w:eastAsia="en-AU"/>
        </w:rPr>
      </w:pPr>
      <w:r>
        <w:rPr>
          <w:lang w:eastAsia="en-AU"/>
        </w:rPr>
        <w:t>Victoria’s climate and hydrology has changed over recent decades. This section provides an overview of those changes to set the context for defining and interpreting Victoria’s climate change projections (Section </w:t>
      </w:r>
      <w:r>
        <w:rPr>
          <w:lang w:eastAsia="en-AU"/>
        </w:rPr>
        <w:fldChar w:fldCharType="begin"/>
      </w:r>
      <w:r>
        <w:rPr>
          <w:lang w:eastAsia="en-AU"/>
        </w:rPr>
        <w:instrText xml:space="preserve"> REF _Ref39391094 \r \h </w:instrText>
      </w:r>
      <w:r>
        <w:rPr>
          <w:lang w:eastAsia="en-AU"/>
        </w:rPr>
      </w:r>
      <w:r>
        <w:rPr>
          <w:lang w:eastAsia="en-AU"/>
        </w:rPr>
        <w:fldChar w:fldCharType="separate"/>
      </w:r>
      <w:r>
        <w:rPr>
          <w:lang w:eastAsia="en-AU"/>
        </w:rPr>
        <w:t>4</w:t>
      </w:r>
      <w:r>
        <w:rPr>
          <w:lang w:eastAsia="en-AU"/>
        </w:rPr>
        <w:fldChar w:fldCharType="end"/>
      </w:r>
      <w:r>
        <w:rPr>
          <w:lang w:eastAsia="en-AU"/>
        </w:rPr>
        <w:t xml:space="preserve">) and the methods for assessing climate change impacts on water supplies (Section </w:t>
      </w:r>
      <w:r>
        <w:rPr>
          <w:lang w:eastAsia="en-AU"/>
        </w:rPr>
        <w:fldChar w:fldCharType="begin"/>
      </w:r>
      <w:r>
        <w:rPr>
          <w:lang w:eastAsia="en-AU"/>
        </w:rPr>
        <w:instrText xml:space="preserve"> REF _Ref39391128 \r \h </w:instrText>
      </w:r>
      <w:r>
        <w:rPr>
          <w:lang w:eastAsia="en-AU"/>
        </w:rPr>
      </w:r>
      <w:r>
        <w:rPr>
          <w:lang w:eastAsia="en-AU"/>
        </w:rPr>
        <w:fldChar w:fldCharType="separate"/>
      </w:r>
      <w:r>
        <w:rPr>
          <w:lang w:eastAsia="en-AU"/>
        </w:rPr>
        <w:t>5</w:t>
      </w:r>
      <w:r>
        <w:rPr>
          <w:lang w:eastAsia="en-AU"/>
        </w:rPr>
        <w:fldChar w:fldCharType="end"/>
      </w:r>
      <w:r>
        <w:rPr>
          <w:lang w:eastAsia="en-AU"/>
        </w:rPr>
        <w:t>). It includes information about observed changes in global greenhouse gas emissions and global air temperature, observed changes in the regional influences on Victoria’s climate, observed changes in Victoria’s climatology (i.e. the type of rain-bearing and non-rain-bearing weather events), and observed changes in rainfall, runoff, evaporation and recharge.</w:t>
      </w:r>
    </w:p>
    <w:p w14:paraId="0644CFB0" w14:textId="46655D4E" w:rsidR="007B29DD" w:rsidRDefault="007B29DD" w:rsidP="007B29DD">
      <w:pPr>
        <w:pStyle w:val="BodyText"/>
        <w:rPr>
          <w:lang w:eastAsia="en-AU"/>
        </w:rPr>
      </w:pPr>
      <w:r>
        <w:rPr>
          <w:lang w:eastAsia="en-AU"/>
        </w:rPr>
        <w:t xml:space="preserve">More detailed information about observed climate change to date can be found in </w:t>
      </w:r>
      <w:r w:rsidRPr="00512537">
        <w:rPr>
          <w:i/>
          <w:iCs/>
          <w:lang w:eastAsia="en-AU"/>
        </w:rPr>
        <w:t>Victoria’s Climate Science Report 2019</w:t>
      </w:r>
      <w:r>
        <w:rPr>
          <w:lang w:eastAsia="en-AU"/>
        </w:rPr>
        <w:t xml:space="preserve"> (DELWP, 2019d), the </w:t>
      </w:r>
      <w:r w:rsidRPr="005F7CC3">
        <w:rPr>
          <w:i/>
          <w:lang w:eastAsia="en-AU"/>
        </w:rPr>
        <w:t xml:space="preserve">A </w:t>
      </w:r>
      <w:r>
        <w:rPr>
          <w:i/>
          <w:iCs/>
          <w:lang w:eastAsia="en-AU"/>
        </w:rPr>
        <w:t>S</w:t>
      </w:r>
      <w:r w:rsidRPr="005F7CC3">
        <w:rPr>
          <w:i/>
          <w:lang w:eastAsia="en-AU"/>
        </w:rPr>
        <w:t xml:space="preserve">ynthesis of </w:t>
      </w:r>
      <w:r>
        <w:rPr>
          <w:i/>
          <w:iCs/>
          <w:lang w:eastAsia="en-AU"/>
        </w:rPr>
        <w:t>F</w:t>
      </w:r>
      <w:r w:rsidRPr="005F7CC3">
        <w:rPr>
          <w:i/>
          <w:lang w:eastAsia="en-AU"/>
        </w:rPr>
        <w:t>indings from the Victorian Climate Initiative</w:t>
      </w:r>
      <w:r w:rsidRPr="002F6244" w:rsidDel="002F6244">
        <w:rPr>
          <w:lang w:eastAsia="en-AU"/>
        </w:rPr>
        <w:t xml:space="preserve"> </w:t>
      </w:r>
      <w:r>
        <w:rPr>
          <w:lang w:eastAsia="en-AU"/>
        </w:rPr>
        <w:t xml:space="preserve">(Hope et al., 2017) and VicWaCI’s research synthesis report, </w:t>
      </w:r>
      <w:r>
        <w:rPr>
          <w:i/>
          <w:iCs/>
          <w:lang w:eastAsia="en-AU"/>
        </w:rPr>
        <w:t>Victoria’s Water in a Changing Climate</w:t>
      </w:r>
      <w:r>
        <w:rPr>
          <w:lang w:eastAsia="en-AU"/>
        </w:rPr>
        <w:t xml:space="preserve"> (</w:t>
      </w:r>
      <w:r w:rsidR="00B167CD">
        <w:rPr>
          <w:lang w:eastAsia="en-AU"/>
        </w:rPr>
        <w:t xml:space="preserve">DELWP et al., </w:t>
      </w:r>
      <w:r w:rsidR="007D778E">
        <w:rPr>
          <w:lang w:eastAsia="en-AU"/>
        </w:rPr>
        <w:t>2020</w:t>
      </w:r>
      <w:r>
        <w:rPr>
          <w:lang w:eastAsia="en-AU"/>
        </w:rPr>
        <w:t>). These reports were the source of information for the following overview.</w:t>
      </w:r>
    </w:p>
    <w:p w14:paraId="18E04524"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37" w:name="_Toc43476452"/>
      <w:bookmarkStart w:id="138" w:name="_Toc44928695"/>
      <w:bookmarkStart w:id="139" w:name="_Toc51657967"/>
      <w:bookmarkStart w:id="140" w:name="_Toc53585872"/>
      <w:bookmarkStart w:id="141" w:name="_Toc57377123"/>
      <w:r w:rsidRPr="00306AF1">
        <w:rPr>
          <w:b/>
          <w:bCs/>
          <w:color w:val="000000" w:themeColor="text1"/>
        </w:rPr>
        <w:t>Observed global changes in emissions, greenhouse gas concentrations and air temperature</w:t>
      </w:r>
      <w:bookmarkEnd w:id="137"/>
      <w:bookmarkEnd w:id="138"/>
      <w:bookmarkEnd w:id="139"/>
      <w:bookmarkEnd w:id="140"/>
      <w:bookmarkEnd w:id="141"/>
    </w:p>
    <w:tbl>
      <w:tblPr>
        <w:tblStyle w:val="HighlightTable"/>
        <w:tblW w:w="0" w:type="auto"/>
        <w:tblLook w:val="04A0" w:firstRow="1" w:lastRow="0" w:firstColumn="1" w:lastColumn="0" w:noHBand="0" w:noVBand="1"/>
      </w:tblPr>
      <w:tblGrid>
        <w:gridCol w:w="9639"/>
      </w:tblGrid>
      <w:tr w:rsidR="007B29DD" w14:paraId="3A510FF6" w14:textId="77777777" w:rsidTr="00306AF1">
        <w:tc>
          <w:tcPr>
            <w:tcW w:w="9639" w:type="dxa"/>
            <w:hideMark/>
          </w:tcPr>
          <w:p w14:paraId="6EC94460" w14:textId="77777777" w:rsidR="007B29DD" w:rsidRDefault="007B29DD" w:rsidP="00306AF1">
            <w:pPr>
              <w:pStyle w:val="HighlightBoxText"/>
              <w:jc w:val="both"/>
            </w:pPr>
            <w:r w:rsidRPr="002F3BA7">
              <w:rPr>
                <w:color w:val="000000" w:themeColor="text1"/>
              </w:rPr>
              <w:t xml:space="preserve">Greenhouse gas emissions continue to increase, but the rate of increase is slowing. Greenhouse gas concentrations today are fundamentally different to pre-industrial concentrations, or anything over the last million years. This was taken into consideration when selecting climate reference periods for the guidelines. </w:t>
            </w:r>
          </w:p>
        </w:tc>
      </w:tr>
    </w:tbl>
    <w:p w14:paraId="52DE1839" w14:textId="77777777" w:rsidR="007B29DD" w:rsidRDefault="007B29DD" w:rsidP="007B29DD">
      <w:pPr>
        <w:pStyle w:val="BodyText"/>
        <w:spacing w:before="0"/>
      </w:pPr>
    </w:p>
    <w:p w14:paraId="2D5423F7" w14:textId="77777777" w:rsidR="007B29DD" w:rsidRDefault="007B29DD" w:rsidP="007B29DD">
      <w:pPr>
        <w:pStyle w:val="BodyText"/>
        <w:spacing w:before="0"/>
        <w:rPr>
          <w:lang w:eastAsia="en-AU"/>
        </w:rPr>
      </w:pPr>
      <w:r>
        <w:rPr>
          <w:lang w:eastAsia="en-AU"/>
        </w:rPr>
        <w:t xml:space="preserve">Global greenhouse gas emissions from fossil fuels have continued to increase over time; however, the rate of increase has been slowly reducing, as shown in </w:t>
      </w:r>
      <w:r>
        <w:rPr>
          <w:lang w:eastAsia="en-AU"/>
        </w:rPr>
        <w:fldChar w:fldCharType="begin"/>
      </w:r>
      <w:r>
        <w:rPr>
          <w:lang w:eastAsia="en-AU"/>
        </w:rPr>
        <w:instrText xml:space="preserve"> REF _Ref42846869 \h </w:instrText>
      </w:r>
      <w:r>
        <w:rPr>
          <w:lang w:eastAsia="en-AU"/>
        </w:rPr>
      </w:r>
      <w:r>
        <w:rPr>
          <w:lang w:eastAsia="en-AU"/>
        </w:rPr>
        <w:fldChar w:fldCharType="separate"/>
      </w:r>
      <w:r>
        <w:t xml:space="preserve">Figure </w:t>
      </w:r>
      <w:r>
        <w:rPr>
          <w:noProof/>
        </w:rPr>
        <w:t>5</w:t>
      </w:r>
      <w:r>
        <w:rPr>
          <w:lang w:eastAsia="en-AU"/>
        </w:rPr>
        <w:fldChar w:fldCharType="end"/>
      </w:r>
      <w:r>
        <w:rPr>
          <w:lang w:eastAsia="en-AU"/>
        </w:rPr>
        <w:t>. This is primarily due to slower growth in the use of coal (GCP, 2020). The Global Carbon Project (2020), which is a United Nations funded greenhouse gas emissions tracking project, estimates that emissions have increased on average by 0.9% per year from 2010-2018, compared to an average growth of 3.0% per year in the decade from 2000–2009.</w:t>
      </w:r>
    </w:p>
    <w:p w14:paraId="0FF48BBB" w14:textId="77777777" w:rsidR="007B29DD" w:rsidRDefault="007B29DD" w:rsidP="007B29DD">
      <w:pPr>
        <w:pStyle w:val="BodyText"/>
        <w:spacing w:after="0"/>
        <w:rPr>
          <w:lang w:eastAsia="en-AU"/>
        </w:rPr>
      </w:pPr>
      <w:r w:rsidRPr="008A128E">
        <w:rPr>
          <w:noProof/>
        </w:rPr>
        <w:t xml:space="preserve"> </w:t>
      </w:r>
      <w:r w:rsidRPr="008A128E">
        <w:rPr>
          <w:noProof/>
        </w:rPr>
        <w:drawing>
          <wp:inline distT="0" distB="0" distL="0" distR="0" wp14:anchorId="7493D41A" wp14:editId="72B31367">
            <wp:extent cx="6148977" cy="2819400"/>
            <wp:effectExtent l="19050" t="19050" r="23495" b="19050"/>
            <wp:docPr id="1311563972" name="Picture 1311563972" descr="Graph showing Recent Historical Growth in Carbon Dioxide Emissions. Beginning in 1999 with 25 GtCO2 per year, it shows a growth in emissions to 2019 above 35 GtCO2 per year. However, emissions grown in the last 10 years was slower than in the previous 10 years because of the slower growth of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207" r="28727" b="64700"/>
                    <a:stretch/>
                  </pic:blipFill>
                  <pic:spPr bwMode="auto">
                    <a:xfrm>
                      <a:off x="0" y="0"/>
                      <a:ext cx="6153823" cy="282162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3A145F9" w14:textId="77777777" w:rsidR="007B29DD" w:rsidRDefault="007B29DD" w:rsidP="007B29DD">
      <w:pPr>
        <w:pStyle w:val="Caption"/>
        <w:keepNext w:val="0"/>
        <w:spacing w:before="0"/>
      </w:pPr>
      <w:bookmarkStart w:id="142" w:name="_Ref42846869"/>
      <w:bookmarkStart w:id="143" w:name="_Toc43476572"/>
      <w:bookmarkStart w:id="144" w:name="_Toc44928817"/>
      <w:bookmarkStart w:id="145" w:name="_Toc51237481"/>
      <w:bookmarkStart w:id="146" w:name="_Toc53585996"/>
      <w:bookmarkStart w:id="147" w:name="_Toc57377247"/>
      <w:r>
        <w:t xml:space="preserve">Figure </w:t>
      </w:r>
      <w:r>
        <w:fldChar w:fldCharType="begin"/>
      </w:r>
      <w:r>
        <w:instrText>SEQ Figure \* ARABIC</w:instrText>
      </w:r>
      <w:r>
        <w:fldChar w:fldCharType="separate"/>
      </w:r>
      <w:r>
        <w:rPr>
          <w:noProof/>
        </w:rPr>
        <w:t>5</w:t>
      </w:r>
      <w:r>
        <w:fldChar w:fldCharType="end"/>
      </w:r>
      <w:bookmarkEnd w:id="142"/>
      <w:r w:rsidRPr="00D51117">
        <w:t xml:space="preserve"> </w:t>
      </w:r>
      <w:r>
        <w:t>Recent Historical Growth in Carbon Dioxide Emissions from Fossil Sources, as estimated by the Global Carbon Project (GCP, 2020)</w:t>
      </w:r>
      <w:bookmarkEnd w:id="143"/>
      <w:bookmarkEnd w:id="144"/>
      <w:bookmarkEnd w:id="145"/>
      <w:bookmarkEnd w:id="146"/>
      <w:bookmarkEnd w:id="147"/>
    </w:p>
    <w:p w14:paraId="4D062E68" w14:textId="77777777" w:rsidR="007B29DD" w:rsidRPr="00540F3D" w:rsidRDefault="007B29DD" w:rsidP="007B29DD">
      <w:pPr>
        <w:pStyle w:val="BodyText"/>
        <w:rPr>
          <w:lang w:eastAsia="en-AU"/>
        </w:rPr>
      </w:pPr>
    </w:p>
    <w:p w14:paraId="012F3A88" w14:textId="77777777" w:rsidR="007B29DD" w:rsidRDefault="007B29DD" w:rsidP="007B29DD">
      <w:pPr>
        <w:pStyle w:val="BodyText"/>
      </w:pPr>
      <w:r>
        <w:t xml:space="preserve">Greenhouse gas levels in the atmosphere today are fundamentally different to conditions experienced over the last million years, as illustrated by estimated atmospheric carbon dioxide concentrations derived from ice cores in </w:t>
      </w:r>
      <w:r>
        <w:fldChar w:fldCharType="begin"/>
      </w:r>
      <w:r>
        <w:instrText xml:space="preserve"> REF _Ref42846959 \h  \* MERGEFORMAT </w:instrText>
      </w:r>
      <w:r>
        <w:fldChar w:fldCharType="separate"/>
      </w:r>
      <w:r>
        <w:t xml:space="preserve">Figure </w:t>
      </w:r>
      <w:r>
        <w:rPr>
          <w:noProof/>
        </w:rPr>
        <w:t>6</w:t>
      </w:r>
      <w:r>
        <w:fldChar w:fldCharType="end"/>
      </w:r>
      <w:r>
        <w:t xml:space="preserve"> (NASA, 2020). Fluctuations in greenhouse gas concentrations do occur naturally over many decades; however, current </w:t>
      </w:r>
      <w:r>
        <w:lastRenderedPageBreak/>
        <w:t>rates of increase and current concentrations are both well outside of the range of estimated values over the last million years.</w:t>
      </w:r>
      <w:r w:rsidRPr="00372A55">
        <w:t xml:space="preserve"> </w:t>
      </w:r>
      <w:r>
        <w:t>Concentrations of other greenhouse gases, such as nitrous oxide and methane, have similarly increased.</w:t>
      </w:r>
    </w:p>
    <w:p w14:paraId="0BE5125B" w14:textId="77777777" w:rsidR="007B29DD" w:rsidRDefault="007B29DD" w:rsidP="007B29DD">
      <w:pPr>
        <w:pStyle w:val="BodyText"/>
      </w:pPr>
      <w:r>
        <w:t>Greenhouse gas emissions can be influenced by events from year to year. For example, the United Kingdom’s Met Office (2020) — the equivalent of the Bureau of Meteorology in the UK — forecast in early 2020 that 20% of the projected increase in carbon dioxide emissions in 2020 would be due to Australia’s bushfires of that year. Equally, forced lockdowns in many countries of the world during the COVID-19 pandemic have reduced emissions.</w:t>
      </w:r>
      <w:r w:rsidRPr="001537D2">
        <w:t xml:space="preserve"> </w:t>
      </w:r>
      <w:r w:rsidRPr="00617643">
        <w:t>Le Quéré</w:t>
      </w:r>
      <w:r>
        <w:t xml:space="preserve"> et al. (2020) found</w:t>
      </w:r>
      <w:r w:rsidRPr="001537D2">
        <w:t xml:space="preserve"> that global emissions at their peak reduction in April </w:t>
      </w:r>
      <w:r>
        <w:t xml:space="preserve">2020 </w:t>
      </w:r>
      <w:r w:rsidRPr="001537D2">
        <w:t xml:space="preserve">(17% below </w:t>
      </w:r>
      <w:r>
        <w:t xml:space="preserve">April </w:t>
      </w:r>
      <w:r w:rsidRPr="001537D2">
        <w:t>2019</w:t>
      </w:r>
      <w:r>
        <w:t xml:space="preserve"> value</w:t>
      </w:r>
      <w:r w:rsidRPr="001537D2">
        <w:t xml:space="preserve">) were similar to 2006 levels, and if emissions stayed at this level </w:t>
      </w:r>
      <w:r>
        <w:t xml:space="preserve">throughout lockdown, </w:t>
      </w:r>
      <w:r w:rsidRPr="001537D2">
        <w:t xml:space="preserve">the world would meet its Paris Agreement targets. However, </w:t>
      </w:r>
      <w:r w:rsidRPr="00617643">
        <w:t>Le Quéré</w:t>
      </w:r>
      <w:r>
        <w:t xml:space="preserve"> et al. (2020) </w:t>
      </w:r>
      <w:r w:rsidRPr="001537D2">
        <w:t>estimate the annual reduction in emissions in 2020 will be much smaller (4</w:t>
      </w:r>
      <w:r>
        <w:t>–</w:t>
      </w:r>
      <w:r w:rsidRPr="001537D2">
        <w:t>8% below 2019) and do</w:t>
      </w:r>
      <w:r>
        <w:t xml:space="preserve"> </w:t>
      </w:r>
      <w:r w:rsidRPr="001537D2">
        <w:t>n</w:t>
      </w:r>
      <w:r>
        <w:t>o</w:t>
      </w:r>
      <w:r w:rsidRPr="001537D2">
        <w:t>t believe the current reductions are likely to be sustained.</w:t>
      </w:r>
    </w:p>
    <w:p w14:paraId="6DFDE135" w14:textId="77777777" w:rsidR="007B29DD" w:rsidRDefault="007B29DD" w:rsidP="007B29DD">
      <w:pPr>
        <w:pStyle w:val="BodyText"/>
      </w:pPr>
    </w:p>
    <w:p w14:paraId="3FB5A3C7" w14:textId="77777777" w:rsidR="007B29DD" w:rsidRDefault="007B29DD" w:rsidP="007B29DD">
      <w:pPr>
        <w:pStyle w:val="BodyText"/>
        <w:keepNext/>
        <w:spacing w:after="0"/>
        <w:rPr>
          <w:lang w:eastAsia="en-AU"/>
        </w:rPr>
      </w:pPr>
      <w:r>
        <w:rPr>
          <w:noProof/>
        </w:rPr>
        <w:drawing>
          <wp:inline distT="0" distB="0" distL="0" distR="0" wp14:anchorId="49FED580" wp14:editId="323CB558">
            <wp:extent cx="5387362" cy="3487630"/>
            <wp:effectExtent l="19050" t="19050" r="22860" b="17780"/>
            <wp:docPr id="887471541" name="Picture 1311563975" descr="Graphic showing trends in global atmospheric carbon dioxide over the past 800,000 years showing high and low patterns through history but with a current level of CO2 parts per mission double what it was at its highest point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63975"/>
                    <pic:cNvPicPr/>
                  </pic:nvPicPr>
                  <pic:blipFill>
                    <a:blip r:embed="rId25">
                      <a:extLst>
                        <a:ext uri="{28A0092B-C50C-407E-A947-70E740481C1C}">
                          <a14:useLocalDpi xmlns:a14="http://schemas.microsoft.com/office/drawing/2010/main" val="0"/>
                        </a:ext>
                      </a:extLst>
                    </a:blip>
                    <a:stretch>
                      <a:fillRect/>
                    </a:stretch>
                  </pic:blipFill>
                  <pic:spPr>
                    <a:xfrm>
                      <a:off x="0" y="0"/>
                      <a:ext cx="5392219" cy="3490774"/>
                    </a:xfrm>
                    <a:prstGeom prst="rect">
                      <a:avLst/>
                    </a:prstGeom>
                    <a:ln>
                      <a:solidFill>
                        <a:schemeClr val="bg1">
                          <a:lumMod val="65000"/>
                        </a:schemeClr>
                      </a:solidFill>
                    </a:ln>
                  </pic:spPr>
                </pic:pic>
              </a:graphicData>
            </a:graphic>
          </wp:inline>
        </w:drawing>
      </w:r>
    </w:p>
    <w:p w14:paraId="3658F2B8" w14:textId="77777777" w:rsidR="007B29DD" w:rsidRDefault="007B29DD" w:rsidP="007B29DD">
      <w:pPr>
        <w:pStyle w:val="Caption"/>
        <w:keepNext w:val="0"/>
        <w:spacing w:before="0"/>
      </w:pPr>
      <w:bookmarkStart w:id="148" w:name="_Ref42846959"/>
      <w:bookmarkStart w:id="149" w:name="_Toc43476573"/>
      <w:bookmarkStart w:id="150" w:name="_Toc44928818"/>
      <w:bookmarkStart w:id="151" w:name="_Toc51237482"/>
      <w:bookmarkStart w:id="152" w:name="_Toc53585997"/>
      <w:bookmarkStart w:id="153" w:name="_Toc57377248"/>
      <w:r>
        <w:t xml:space="preserve">Figure </w:t>
      </w:r>
      <w:r>
        <w:fldChar w:fldCharType="begin"/>
      </w:r>
      <w:r>
        <w:instrText>SEQ Figure \* ARABIC</w:instrText>
      </w:r>
      <w:r>
        <w:fldChar w:fldCharType="separate"/>
      </w:r>
      <w:r>
        <w:rPr>
          <w:noProof/>
        </w:rPr>
        <w:t>6</w:t>
      </w:r>
      <w:r>
        <w:fldChar w:fldCharType="end"/>
      </w:r>
      <w:bookmarkEnd w:id="148"/>
      <w:r>
        <w:t xml:space="preserve"> Trends in global atmospheric carbon dioxide over the last 800,000 years (NASA, 2020)</w:t>
      </w:r>
      <w:bookmarkEnd w:id="149"/>
      <w:bookmarkEnd w:id="150"/>
      <w:bookmarkEnd w:id="151"/>
      <w:bookmarkEnd w:id="152"/>
      <w:bookmarkEnd w:id="153"/>
    </w:p>
    <w:p w14:paraId="0D644621" w14:textId="77777777" w:rsidR="007B29DD" w:rsidRDefault="007B29DD" w:rsidP="007B29DD">
      <w:pPr>
        <w:pStyle w:val="BodyText"/>
        <w:spacing w:after="0"/>
      </w:pPr>
    </w:p>
    <w:tbl>
      <w:tblPr>
        <w:tblStyle w:val="HighlightTable"/>
        <w:tblW w:w="0" w:type="auto"/>
        <w:tblLook w:val="04A0" w:firstRow="1" w:lastRow="0" w:firstColumn="1" w:lastColumn="0" w:noHBand="0" w:noVBand="1"/>
      </w:tblPr>
      <w:tblGrid>
        <w:gridCol w:w="9639"/>
      </w:tblGrid>
      <w:tr w:rsidR="007B29DD" w14:paraId="52636570" w14:textId="77777777" w:rsidTr="00306AF1">
        <w:tc>
          <w:tcPr>
            <w:tcW w:w="9639" w:type="dxa"/>
            <w:hideMark/>
          </w:tcPr>
          <w:p w14:paraId="5AE305D3" w14:textId="77777777" w:rsidR="007B29DD" w:rsidRDefault="007B29DD" w:rsidP="00306AF1">
            <w:pPr>
              <w:pStyle w:val="HighlightBoxText"/>
              <w:jc w:val="both"/>
            </w:pPr>
            <w:r w:rsidRPr="002F3BA7">
              <w:rPr>
                <w:color w:val="000000" w:themeColor="text1"/>
              </w:rPr>
              <w:t>The global mean temperature for 2019 was 1.1 </w:t>
            </w:r>
            <w:r w:rsidRPr="002F3BA7">
              <w:rPr>
                <w:color w:val="000000" w:themeColor="text1"/>
                <w:u w:val="single"/>
              </w:rPr>
              <w:t>+</w:t>
            </w:r>
            <w:r w:rsidRPr="002F3BA7">
              <w:rPr>
                <w:color w:val="000000" w:themeColor="text1"/>
              </w:rPr>
              <w:t xml:space="preserve"> 0.1 </w:t>
            </w:r>
            <w:r w:rsidRPr="002F3BA7">
              <w:rPr>
                <w:color w:val="000000" w:themeColor="text1"/>
                <w:vertAlign w:val="superscript"/>
              </w:rPr>
              <w:t>o</w:t>
            </w:r>
            <w:r w:rsidRPr="002F3BA7">
              <w:rPr>
                <w:color w:val="000000" w:themeColor="text1"/>
              </w:rPr>
              <w:t>C above pre-industrial (1850–1900) levels. Note that for subsequent chapters, projected changes are expressed relative to greenhouse gas concentrations in the year 1995 (the reference year for the global climate modelling), not pre-industrial levels.</w:t>
            </w:r>
          </w:p>
        </w:tc>
      </w:tr>
    </w:tbl>
    <w:p w14:paraId="4A376835" w14:textId="77777777" w:rsidR="007B29DD" w:rsidRDefault="007B29DD" w:rsidP="007B29DD">
      <w:pPr>
        <w:pStyle w:val="BodyText"/>
      </w:pPr>
    </w:p>
    <w:p w14:paraId="4AA59005" w14:textId="77777777" w:rsidR="007B29DD" w:rsidRDefault="007B29DD" w:rsidP="007B29DD">
      <w:pPr>
        <w:pStyle w:val="BodyText"/>
        <w:rPr>
          <w:lang w:eastAsia="en-AU"/>
        </w:rPr>
      </w:pPr>
      <w:r w:rsidRPr="007D25E8">
        <w:rPr>
          <w:lang w:eastAsia="en-AU"/>
        </w:rPr>
        <w:t xml:space="preserve">Global air temperature has been trending upwards since the start of the </w:t>
      </w:r>
      <w:r w:rsidRPr="00B535E6">
        <w:rPr>
          <w:lang w:eastAsia="en-AU"/>
        </w:rPr>
        <w:t>20th</w:t>
      </w:r>
      <w:r w:rsidRPr="007D25E8">
        <w:rPr>
          <w:lang w:eastAsia="en-AU"/>
        </w:rPr>
        <w:t xml:space="preserve"> century</w:t>
      </w:r>
      <w:r>
        <w:rPr>
          <w:lang w:eastAsia="en-AU"/>
        </w:rPr>
        <w:t>. The calendar year following the 2015–16 El Ni</w:t>
      </w:r>
      <w:r>
        <w:rPr>
          <w:rFonts w:cstheme="minorHAnsi"/>
          <w:lang w:eastAsia="en-AU"/>
        </w:rPr>
        <w:t>ñ</w:t>
      </w:r>
      <w:r>
        <w:rPr>
          <w:lang w:eastAsia="en-AU"/>
        </w:rPr>
        <w:t>o (2016) was</w:t>
      </w:r>
      <w:r w:rsidRPr="007D25E8">
        <w:rPr>
          <w:lang w:eastAsia="en-AU"/>
        </w:rPr>
        <w:t xml:space="preserve"> the hottest year on record</w:t>
      </w:r>
      <w:r>
        <w:rPr>
          <w:lang w:eastAsia="en-AU"/>
        </w:rPr>
        <w:t>.</w:t>
      </w:r>
      <w:r w:rsidDel="004C1521">
        <w:rPr>
          <w:lang w:eastAsia="en-AU"/>
        </w:rPr>
        <w:t xml:space="preserve"> </w:t>
      </w:r>
      <w:r>
        <w:rPr>
          <w:lang w:eastAsia="en-AU"/>
        </w:rPr>
        <w:t>Furthermore, most global climate datasets (up to the year 2019) indicate that 2019 was the second hottest year on record</w:t>
      </w:r>
      <w:r w:rsidRPr="007D25E8">
        <w:rPr>
          <w:lang w:eastAsia="en-AU"/>
        </w:rPr>
        <w:t xml:space="preserve"> (WMO, 20</w:t>
      </w:r>
      <w:r>
        <w:rPr>
          <w:lang w:eastAsia="en-AU"/>
        </w:rPr>
        <w:t>20</w:t>
      </w:r>
      <w:r w:rsidRPr="007D25E8">
        <w:rPr>
          <w:lang w:eastAsia="en-AU"/>
        </w:rPr>
        <w:t xml:space="preserve">). </w:t>
      </w:r>
      <w:r>
        <w:rPr>
          <w:lang w:eastAsia="en-AU"/>
        </w:rPr>
        <w:t>The global mean temperature for 2019 was 1.1 </w:t>
      </w:r>
      <w:r w:rsidRPr="007D25E8">
        <w:rPr>
          <w:u w:val="single"/>
          <w:lang w:eastAsia="en-AU"/>
        </w:rPr>
        <w:t>+</w:t>
      </w:r>
      <w:r w:rsidRPr="00F943D9">
        <w:rPr>
          <w:lang w:eastAsia="en-AU"/>
        </w:rPr>
        <w:t xml:space="preserve"> </w:t>
      </w:r>
      <w:r>
        <w:rPr>
          <w:lang w:eastAsia="en-AU"/>
        </w:rPr>
        <w:t xml:space="preserve">0.1 </w:t>
      </w:r>
      <w:r w:rsidRPr="007D25E8">
        <w:rPr>
          <w:vertAlign w:val="superscript"/>
          <w:lang w:eastAsia="en-AU"/>
        </w:rPr>
        <w:t>o</w:t>
      </w:r>
      <w:r>
        <w:rPr>
          <w:lang w:eastAsia="en-AU"/>
        </w:rPr>
        <w:t xml:space="preserve">C above pre-industrial (1850-1900) levels. Observations in Victoria are consistent with those at a global level (DELWP, 2019d). As shown in </w:t>
      </w:r>
      <w:r>
        <w:rPr>
          <w:lang w:eastAsia="en-AU"/>
        </w:rPr>
        <w:fldChar w:fldCharType="begin"/>
      </w:r>
      <w:r>
        <w:rPr>
          <w:lang w:eastAsia="en-AU"/>
        </w:rPr>
        <w:instrText xml:space="preserve"> REF _Ref42847053 \h </w:instrText>
      </w:r>
      <w:r>
        <w:rPr>
          <w:lang w:eastAsia="en-AU"/>
        </w:rPr>
      </w:r>
      <w:r>
        <w:rPr>
          <w:lang w:eastAsia="en-AU"/>
        </w:rPr>
        <w:fldChar w:fldCharType="separate"/>
      </w:r>
      <w:r>
        <w:t xml:space="preserve">Figure </w:t>
      </w:r>
      <w:r>
        <w:rPr>
          <w:noProof/>
        </w:rPr>
        <w:t>7</w:t>
      </w:r>
      <w:r>
        <w:rPr>
          <w:lang w:eastAsia="en-AU"/>
        </w:rPr>
        <w:fldChar w:fldCharType="end"/>
      </w:r>
      <w:r>
        <w:rPr>
          <w:lang w:eastAsia="en-AU"/>
        </w:rPr>
        <w:t>, m</w:t>
      </w:r>
      <w:r w:rsidRPr="007D25E8">
        <w:rPr>
          <w:lang w:eastAsia="en-AU"/>
        </w:rPr>
        <w:t xml:space="preserve">ost of this warming has occurred from </w:t>
      </w:r>
      <w:r>
        <w:rPr>
          <w:lang w:eastAsia="en-AU"/>
        </w:rPr>
        <w:t xml:space="preserve">the </w:t>
      </w:r>
      <w:r w:rsidRPr="007D25E8">
        <w:rPr>
          <w:lang w:eastAsia="en-AU"/>
        </w:rPr>
        <w:t>1970</w:t>
      </w:r>
      <w:r>
        <w:rPr>
          <w:lang w:eastAsia="en-AU"/>
        </w:rPr>
        <w:t>s</w:t>
      </w:r>
      <w:r w:rsidRPr="007D25E8">
        <w:rPr>
          <w:lang w:eastAsia="en-AU"/>
        </w:rPr>
        <w:t xml:space="preserve"> onwards</w:t>
      </w:r>
      <w:r>
        <w:rPr>
          <w:lang w:eastAsia="en-AU"/>
        </w:rPr>
        <w:t>.</w:t>
      </w:r>
      <w:r w:rsidRPr="00421BDC">
        <w:rPr>
          <w:lang w:eastAsia="en-AU"/>
        </w:rPr>
        <w:t xml:space="preserve"> </w:t>
      </w:r>
      <w:r>
        <w:rPr>
          <w:lang w:eastAsia="en-AU"/>
        </w:rPr>
        <w:t>In addition to increases in average air temperatures, the frequency of days of extreme heat has increased (DELWP, 2019d), with 24 sites around the State recording their hottest temperature on record in 2019 (BoM, 2020).</w:t>
      </w:r>
    </w:p>
    <w:p w14:paraId="4C92F6B1" w14:textId="77777777" w:rsidR="007B29DD" w:rsidRDefault="007B29DD" w:rsidP="007B29DD">
      <w:pPr>
        <w:pStyle w:val="BodyText"/>
        <w:spacing w:after="0"/>
        <w:rPr>
          <w:lang w:eastAsia="en-AU"/>
        </w:rPr>
      </w:pPr>
      <w:r>
        <w:rPr>
          <w:noProof/>
        </w:rPr>
        <w:lastRenderedPageBreak/>
        <w:drawing>
          <wp:inline distT="0" distB="0" distL="0" distR="0" wp14:anchorId="5D93A82A" wp14:editId="5D4E9911">
            <wp:extent cx="6120765" cy="3496310"/>
            <wp:effectExtent l="19050" t="19050" r="13335" b="27940"/>
            <wp:docPr id="1887617549" name="Picture 1311563976" descr="Graphic showing analysed datasets demonstrating an upward trend since 1850 of global annual temperature anoma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63976"/>
                    <pic:cNvPicPr/>
                  </pic:nvPicPr>
                  <pic:blipFill>
                    <a:blip r:embed="rId26">
                      <a:extLst>
                        <a:ext uri="{28A0092B-C50C-407E-A947-70E740481C1C}">
                          <a14:useLocalDpi xmlns:a14="http://schemas.microsoft.com/office/drawing/2010/main" val="0"/>
                        </a:ext>
                      </a:extLst>
                    </a:blip>
                    <a:stretch>
                      <a:fillRect/>
                    </a:stretch>
                  </pic:blipFill>
                  <pic:spPr>
                    <a:xfrm>
                      <a:off x="0" y="0"/>
                      <a:ext cx="6120765" cy="3496310"/>
                    </a:xfrm>
                    <a:prstGeom prst="rect">
                      <a:avLst/>
                    </a:prstGeom>
                    <a:ln>
                      <a:solidFill>
                        <a:schemeClr val="bg1">
                          <a:lumMod val="65000"/>
                        </a:schemeClr>
                      </a:solidFill>
                    </a:ln>
                  </pic:spPr>
                </pic:pic>
              </a:graphicData>
            </a:graphic>
          </wp:inline>
        </w:drawing>
      </w:r>
    </w:p>
    <w:p w14:paraId="3D0ECD33" w14:textId="77777777" w:rsidR="007B29DD" w:rsidRDefault="007B29DD" w:rsidP="007B29DD">
      <w:pPr>
        <w:pStyle w:val="Caption"/>
        <w:spacing w:before="0"/>
      </w:pPr>
      <w:bookmarkStart w:id="154" w:name="_Ref42847053"/>
      <w:bookmarkStart w:id="155" w:name="_Toc43476574"/>
      <w:bookmarkStart w:id="156" w:name="_Toc44928819"/>
      <w:bookmarkStart w:id="157" w:name="_Toc51237483"/>
      <w:bookmarkStart w:id="158" w:name="_Toc53585998"/>
      <w:bookmarkStart w:id="159" w:name="_Toc57377249"/>
      <w:r>
        <w:t xml:space="preserve">Figure </w:t>
      </w:r>
      <w:r>
        <w:fldChar w:fldCharType="begin"/>
      </w:r>
      <w:r>
        <w:instrText>SEQ Figure \* ARABIC</w:instrText>
      </w:r>
      <w:r>
        <w:fldChar w:fldCharType="separate"/>
      </w:r>
      <w:r>
        <w:rPr>
          <w:noProof/>
        </w:rPr>
        <w:t>7</w:t>
      </w:r>
      <w:r>
        <w:fldChar w:fldCharType="end"/>
      </w:r>
      <w:bookmarkEnd w:id="154"/>
      <w:r>
        <w:t xml:space="preserve"> Global annual temperature anomaly relative to pre-industrial (1850-1900) levels, from three observed and two re-analysed datasets (WMO, 2020)</w:t>
      </w:r>
      <w:bookmarkEnd w:id="155"/>
      <w:bookmarkEnd w:id="156"/>
      <w:bookmarkEnd w:id="157"/>
      <w:bookmarkEnd w:id="158"/>
      <w:bookmarkEnd w:id="159"/>
    </w:p>
    <w:p w14:paraId="7BE302C1"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0A9A0B36" w14:textId="77777777" w:rsidTr="00306AF1">
        <w:tc>
          <w:tcPr>
            <w:tcW w:w="9639" w:type="dxa"/>
            <w:hideMark/>
          </w:tcPr>
          <w:p w14:paraId="4EED8F2A" w14:textId="77777777" w:rsidR="007B29DD" w:rsidRDefault="007B29DD" w:rsidP="00306AF1">
            <w:pPr>
              <w:pStyle w:val="HighlightBoxText"/>
              <w:jc w:val="both"/>
            </w:pPr>
            <w:r w:rsidRPr="002F3BA7">
              <w:rPr>
                <w:color w:val="000000" w:themeColor="text1"/>
              </w:rPr>
              <w:t>Global and local air temperatures have increased historically as step changes. The identification of past step changes was an important consideration when establishing historic climate reference periods for the guidelines.</w:t>
            </w:r>
          </w:p>
        </w:tc>
      </w:tr>
    </w:tbl>
    <w:p w14:paraId="52ACDEFF" w14:textId="77777777" w:rsidR="007B29DD" w:rsidRDefault="007B29DD" w:rsidP="007B29DD">
      <w:pPr>
        <w:pStyle w:val="BodyText"/>
      </w:pPr>
    </w:p>
    <w:p w14:paraId="4CF3C84F" w14:textId="77777777" w:rsidR="007B29DD" w:rsidRDefault="007B29DD" w:rsidP="007B29DD">
      <w:pPr>
        <w:pStyle w:val="BodyText"/>
        <w:rPr>
          <w:lang w:eastAsia="en-AU"/>
        </w:rPr>
      </w:pPr>
      <w:r w:rsidRPr="00C94AFD">
        <w:rPr>
          <w:lang w:eastAsia="en-AU"/>
        </w:rPr>
        <w:t>Unlike the increases in greenhouse gas concentrations</w:t>
      </w:r>
      <w:r>
        <w:rPr>
          <w:lang w:eastAsia="en-AU"/>
        </w:rPr>
        <w:t xml:space="preserve"> (</w:t>
      </w:r>
      <w:r>
        <w:rPr>
          <w:lang w:eastAsia="en-AU"/>
        </w:rPr>
        <w:fldChar w:fldCharType="begin"/>
      </w:r>
      <w:r>
        <w:rPr>
          <w:lang w:eastAsia="en-AU"/>
        </w:rPr>
        <w:instrText xml:space="preserve"> REF _Ref42846959 \h </w:instrText>
      </w:r>
      <w:r>
        <w:rPr>
          <w:lang w:eastAsia="en-AU"/>
        </w:rPr>
      </w:r>
      <w:r>
        <w:rPr>
          <w:lang w:eastAsia="en-AU"/>
        </w:rPr>
        <w:fldChar w:fldCharType="separate"/>
      </w:r>
      <w:r>
        <w:t xml:space="preserve">Figure </w:t>
      </w:r>
      <w:r>
        <w:rPr>
          <w:noProof/>
        </w:rPr>
        <w:t>6</w:t>
      </w:r>
      <w:r>
        <w:rPr>
          <w:lang w:eastAsia="en-AU"/>
        </w:rPr>
        <w:fldChar w:fldCharType="end"/>
      </w:r>
      <w:r>
        <w:rPr>
          <w:lang w:eastAsia="en-AU"/>
        </w:rPr>
        <w:t>)</w:t>
      </w:r>
      <w:r w:rsidRPr="00C94AFD">
        <w:rPr>
          <w:lang w:eastAsia="en-AU"/>
        </w:rPr>
        <w:t xml:space="preserve">, temperature </w:t>
      </w:r>
      <w:r>
        <w:rPr>
          <w:lang w:eastAsia="en-AU"/>
        </w:rPr>
        <w:t>can be interpreted as exhibiting</w:t>
      </w:r>
      <w:r w:rsidRPr="00C94AFD">
        <w:rPr>
          <w:lang w:eastAsia="en-AU"/>
        </w:rPr>
        <w:t xml:space="preserve"> discrete periods of rapid warming (or steps) followed by periods of stable global temperatures</w:t>
      </w:r>
      <w:r>
        <w:rPr>
          <w:lang w:eastAsia="en-AU"/>
        </w:rPr>
        <w:t xml:space="preserve"> (</w:t>
      </w:r>
      <w:r>
        <w:rPr>
          <w:lang w:eastAsia="en-AU"/>
        </w:rPr>
        <w:fldChar w:fldCharType="begin"/>
      </w:r>
      <w:r>
        <w:rPr>
          <w:lang w:eastAsia="en-AU"/>
        </w:rPr>
        <w:instrText xml:space="preserve"> REF _Ref42847053 \h </w:instrText>
      </w:r>
      <w:r>
        <w:rPr>
          <w:lang w:eastAsia="en-AU"/>
        </w:rPr>
      </w:r>
      <w:r>
        <w:rPr>
          <w:lang w:eastAsia="en-AU"/>
        </w:rPr>
        <w:fldChar w:fldCharType="separate"/>
      </w:r>
      <w:r>
        <w:t xml:space="preserve">Figure </w:t>
      </w:r>
      <w:r>
        <w:rPr>
          <w:noProof/>
        </w:rPr>
        <w:t>7</w:t>
      </w:r>
      <w:r>
        <w:rPr>
          <w:lang w:eastAsia="en-AU"/>
        </w:rPr>
        <w:fldChar w:fldCharType="end"/>
      </w:r>
      <w:r>
        <w:rPr>
          <w:lang w:eastAsia="en-AU"/>
        </w:rPr>
        <w:t>)</w:t>
      </w:r>
      <w:r w:rsidRPr="00C94AFD">
        <w:rPr>
          <w:lang w:eastAsia="en-AU"/>
        </w:rPr>
        <w:t xml:space="preserve">. </w:t>
      </w:r>
      <w:r>
        <w:rPr>
          <w:lang w:eastAsia="en-AU"/>
        </w:rPr>
        <w:t>Observed step changes in temperature for the south-east Australian region include:</w:t>
      </w:r>
    </w:p>
    <w:p w14:paraId="3F585937" w14:textId="77777777" w:rsidR="007B29DD" w:rsidRDefault="007B29DD" w:rsidP="007B29DD">
      <w:pPr>
        <w:pStyle w:val="BodyText"/>
        <w:numPr>
          <w:ilvl w:val="0"/>
          <w:numId w:val="21"/>
        </w:numPr>
        <w:rPr>
          <w:lang w:eastAsia="en-AU"/>
        </w:rPr>
      </w:pPr>
      <w:r w:rsidRPr="4C198B8C">
        <w:rPr>
          <w:lang w:eastAsia="en-AU"/>
        </w:rPr>
        <w:t>Statistically significant step changes in temperature in 1968 for minimum temperature, and in 1973 and 1997 for maximum temperature (Jones, 2012; Jones and Ricketts, 2017)</w:t>
      </w:r>
      <w:r>
        <w:rPr>
          <w:lang w:eastAsia="en-AU"/>
        </w:rPr>
        <w:t>.</w:t>
      </w:r>
    </w:p>
    <w:p w14:paraId="3B6356A4" w14:textId="77777777" w:rsidR="007B29DD" w:rsidRDefault="007B29DD" w:rsidP="007B29DD">
      <w:pPr>
        <w:pStyle w:val="BodyText"/>
        <w:numPr>
          <w:ilvl w:val="0"/>
          <w:numId w:val="21"/>
        </w:numPr>
        <w:rPr>
          <w:lang w:eastAsia="en-AU"/>
        </w:rPr>
      </w:pPr>
      <w:r w:rsidRPr="4C198B8C">
        <w:rPr>
          <w:lang w:eastAsia="en-AU"/>
        </w:rPr>
        <w:t>Statistically significant step changes in the relationship between annual maximum and minimum temperature</w:t>
      </w:r>
      <w:r>
        <w:rPr>
          <w:lang w:eastAsia="en-AU"/>
        </w:rPr>
        <w:t xml:space="preserve"> in 1968, 1973 and 1997</w:t>
      </w:r>
      <w:r w:rsidRPr="4C198B8C">
        <w:rPr>
          <w:lang w:eastAsia="en-AU"/>
        </w:rPr>
        <w:t xml:space="preserve"> (Jones, 2012)</w:t>
      </w:r>
      <w:r>
        <w:rPr>
          <w:lang w:eastAsia="en-AU"/>
        </w:rPr>
        <w:t>.</w:t>
      </w:r>
    </w:p>
    <w:p w14:paraId="6CFFAC3D" w14:textId="77777777" w:rsidR="007B29DD" w:rsidRDefault="007B29DD" w:rsidP="007B29DD">
      <w:pPr>
        <w:pStyle w:val="BodyText"/>
        <w:numPr>
          <w:ilvl w:val="0"/>
          <w:numId w:val="21"/>
        </w:numPr>
        <w:rPr>
          <w:lang w:eastAsia="en-AU"/>
        </w:rPr>
      </w:pPr>
      <w:r w:rsidRPr="4C198B8C">
        <w:rPr>
          <w:lang w:eastAsia="en-AU"/>
        </w:rPr>
        <w:t>Statistically significant step changes in the relationship between annual maximum temperature and annual precipitation from 1968</w:t>
      </w:r>
      <w:r>
        <w:rPr>
          <w:lang w:eastAsia="en-AU"/>
        </w:rPr>
        <w:t>–</w:t>
      </w:r>
      <w:r w:rsidRPr="4C198B8C">
        <w:rPr>
          <w:lang w:eastAsia="en-AU"/>
        </w:rPr>
        <w:t>1973 (Jones, 2012).</w:t>
      </w:r>
    </w:p>
    <w:p w14:paraId="277F981F" w14:textId="77777777" w:rsidR="007B29DD" w:rsidRDefault="007B29DD" w:rsidP="007B29DD">
      <w:pPr>
        <w:pStyle w:val="BodyText"/>
        <w:rPr>
          <w:lang w:eastAsia="en-AU"/>
        </w:rPr>
      </w:pPr>
      <w:r>
        <w:rPr>
          <w:lang w:eastAsia="en-AU"/>
        </w:rPr>
        <w:t>According to Jones (2012) this behaviour is also evident in GCM outputs, with statistically significant step changes in the modelled climate variables being identified over historical periods. These step-like changes can arise when an underlying trend combines with natural year-to-year variability.</w:t>
      </w:r>
    </w:p>
    <w:p w14:paraId="64FBAFC1"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60" w:name="_Ref42702478"/>
      <w:bookmarkStart w:id="161" w:name="_Toc43476453"/>
      <w:bookmarkStart w:id="162" w:name="_Toc44928696"/>
      <w:bookmarkStart w:id="163" w:name="_Toc51657968"/>
      <w:bookmarkStart w:id="164" w:name="_Toc53585873"/>
      <w:bookmarkStart w:id="165" w:name="_Toc57377124"/>
      <w:r w:rsidRPr="00306AF1">
        <w:rPr>
          <w:b/>
          <w:bCs/>
          <w:color w:val="000000" w:themeColor="text1"/>
        </w:rPr>
        <w:t>Observed regional changes in climate influences and Victoria’s climatology</w:t>
      </w:r>
      <w:bookmarkEnd w:id="160"/>
      <w:bookmarkEnd w:id="161"/>
      <w:bookmarkEnd w:id="162"/>
      <w:bookmarkEnd w:id="163"/>
      <w:bookmarkEnd w:id="164"/>
      <w:bookmarkEnd w:id="165"/>
    </w:p>
    <w:p w14:paraId="26927ECB" w14:textId="77777777" w:rsidR="007B29DD" w:rsidRDefault="007B29DD" w:rsidP="007B29DD">
      <w:pPr>
        <w:pStyle w:val="BodyText"/>
      </w:pPr>
      <w:r w:rsidRPr="001E73F9">
        <w:rPr>
          <w:i/>
          <w:lang w:eastAsia="en-AU"/>
        </w:rPr>
        <w:t>Victoria’s Climate Science Report 2019</w:t>
      </w:r>
      <w:r>
        <w:rPr>
          <w:lang w:eastAsia="en-AU"/>
        </w:rPr>
        <w:t xml:space="preserve"> (DELWP, 2019d) describes the factors influencing Victoria’s climate and how our climate is shaped by different weather systems, seasonal influences and large-scale climate drivers. The complex interplay of these influences makes Victoria’s climate highly variable. </w:t>
      </w:r>
      <w:r>
        <w:t xml:space="preserve">At a continental scale, Australia’s climate is influenced by atmospheric circulation patterns that transfer excess heat from the tropics to the poles. At the southern end of the continent, Victoria’s climate is also influenced by circulation patterns around Antarctica. These circulation patterns are affected by changes in sea surface temperature, wind speeds and pressure in the Indian, Pacific and Southern Oceans (Risbey et al. 2009) and the upper atmosphere over Antarctica (Lim et al. 2019). The behaviour of </w:t>
      </w:r>
      <w:r>
        <w:lastRenderedPageBreak/>
        <w:t xml:space="preserve">these variables in each of these regions gives rise to the various climate indicators that can be used to forecast climate conditions in Victoria and to </w:t>
      </w:r>
      <w:r w:rsidRPr="007760DD">
        <w:t>understand</w:t>
      </w:r>
      <w:r>
        <w:t xml:space="preserve"> </w:t>
      </w:r>
      <w:r w:rsidDel="00282004">
        <w:t>longer</w:t>
      </w:r>
      <w:r>
        <w:t>-term climate variability, including the El Niño Southern Oscillation (ENSO), the Indian Ocean Dipole (IOD), the Southern Annular Mode (SAM), the Inter-decadal Pacific Oscillation (IPO) and the rare but important sudden stratospheric warmings as seen in 2019.</w:t>
      </w:r>
    </w:p>
    <w:p w14:paraId="5D16F900" w14:textId="77777777" w:rsidR="007B29DD" w:rsidRDefault="007B29DD" w:rsidP="007B29DD">
      <w:pPr>
        <w:pStyle w:val="BodyText"/>
      </w:pPr>
      <w:r>
        <w:rPr>
          <w:lang w:eastAsia="en-AU"/>
        </w:rPr>
        <w:t xml:space="preserve">Various changes in the influences on Victoria’s climate have been observed over recent decades. </w:t>
      </w:r>
      <w:r>
        <w:t>Changes that have been linked to global warming include (DELWP, 2019d):</w:t>
      </w:r>
    </w:p>
    <w:p w14:paraId="555B6B3C" w14:textId="77777777" w:rsidR="007B29DD" w:rsidRDefault="007B29DD" w:rsidP="007B29DD">
      <w:pPr>
        <w:pStyle w:val="BodyText"/>
        <w:numPr>
          <w:ilvl w:val="0"/>
          <w:numId w:val="22"/>
        </w:numPr>
      </w:pPr>
      <w:r>
        <w:t>A change in the storms that bring rainfall to Victoria in the cooler months of the year (Hope et al., 2015a; Pepler et al. 2020).</w:t>
      </w:r>
    </w:p>
    <w:p w14:paraId="2F2DCEC4" w14:textId="77777777" w:rsidR="007B29DD" w:rsidRDefault="007B29DD" w:rsidP="007B29DD">
      <w:pPr>
        <w:pStyle w:val="BodyText"/>
        <w:numPr>
          <w:ilvl w:val="0"/>
          <w:numId w:val="22"/>
        </w:numPr>
      </w:pPr>
      <w:r>
        <w:t>An intensification of the sub-tropical ridge that is linked to drier conditions over Victoria and has an influence on the amount of Victoria's rain associated with the mid-latitude storm track (Grose et al., 2015b).</w:t>
      </w:r>
    </w:p>
    <w:p w14:paraId="0B61F33F" w14:textId="77777777" w:rsidR="007B29DD" w:rsidRDefault="007B29DD" w:rsidP="007B29DD">
      <w:pPr>
        <w:pStyle w:val="BodyText"/>
        <w:numPr>
          <w:ilvl w:val="0"/>
          <w:numId w:val="22"/>
        </w:numPr>
      </w:pPr>
      <w:r>
        <w:t>An expansion of the Hadley Cell circulation pattern (Nguyen, 2015) that draws warm air from the tropics and delivers it closer to the poles. This expansion is possibly contributing enhanced summer rain (Hope et al., 2017).</w:t>
      </w:r>
    </w:p>
    <w:p w14:paraId="47BD7AA6" w14:textId="77777777" w:rsidR="007B29DD" w:rsidRDefault="007B29DD" w:rsidP="007B29DD">
      <w:pPr>
        <w:pStyle w:val="BodyText"/>
        <w:numPr>
          <w:ilvl w:val="0"/>
          <w:numId w:val="22"/>
        </w:numPr>
      </w:pPr>
      <w:r>
        <w:t>A trend towards a positive Southern Annular Mode (SAM) in winter that has contributed to reduced cool-season rainfall (Hope et al., 2017). SAM describes the north–south movement of the westerly wind belt that circles Antarctica.</w:t>
      </w:r>
    </w:p>
    <w:p w14:paraId="4B170613" w14:textId="77777777" w:rsidR="007B29DD" w:rsidRDefault="007B29DD" w:rsidP="007B29DD">
      <w:pPr>
        <w:pStyle w:val="BodyText"/>
      </w:pPr>
      <w:r>
        <w:t xml:space="preserve">The changes in these large-scale circulation patterns are not necessarily gradual. For example, the </w:t>
      </w:r>
      <w:r w:rsidRPr="007760DD">
        <w:t>expansion</w:t>
      </w:r>
      <w:r>
        <w:t xml:space="preserve"> of the Hadley Cell and associated sub-tropical ridge displayed “abrupt jumps following the major El Niño (ENSO) event of 1997-98 and the major volcanic eruption of Mt Pinatubo in 1991” (Hope et al., 2015b).</w:t>
      </w:r>
    </w:p>
    <w:p w14:paraId="4D50E397"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0276FFE7" w14:textId="77777777" w:rsidTr="00306AF1">
        <w:tc>
          <w:tcPr>
            <w:tcW w:w="9639" w:type="dxa"/>
            <w:hideMark/>
          </w:tcPr>
          <w:p w14:paraId="3337E5C8" w14:textId="77777777" w:rsidR="007B29DD" w:rsidRDefault="007B29DD" w:rsidP="00306AF1">
            <w:pPr>
              <w:pStyle w:val="HighlightBoxText"/>
              <w:jc w:val="both"/>
            </w:pPr>
            <w:r w:rsidRPr="002F3BA7">
              <w:rPr>
                <w:color w:val="000000" w:themeColor="text1"/>
              </w:rPr>
              <w:t>Observed changes in the regional influences on Victoria’s climate have contributed to observed changes in seasonal and annual rainfall and have been linked to global warming. By improving our understanding of these observed atmospheric changes through recent research, our understanding of both historical and projected climate change has improved.</w:t>
            </w:r>
          </w:p>
        </w:tc>
      </w:tr>
    </w:tbl>
    <w:p w14:paraId="2A43F705" w14:textId="77777777" w:rsidR="007B29DD" w:rsidRDefault="007B29DD" w:rsidP="007B29DD">
      <w:pPr>
        <w:pStyle w:val="BodyText"/>
      </w:pPr>
    </w:p>
    <w:p w14:paraId="0C6833D8"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66" w:name="_Ref42846720"/>
      <w:bookmarkStart w:id="167" w:name="_Toc43476454"/>
      <w:bookmarkStart w:id="168" w:name="_Toc44928697"/>
      <w:bookmarkStart w:id="169" w:name="_Toc51657969"/>
      <w:bookmarkStart w:id="170" w:name="_Toc53585874"/>
      <w:bookmarkStart w:id="171" w:name="_Toc57377125"/>
      <w:r w:rsidRPr="00306AF1">
        <w:rPr>
          <w:b/>
          <w:bCs/>
          <w:color w:val="000000" w:themeColor="text1"/>
        </w:rPr>
        <w:t>Observed local changes in air temperature, evaporation, rainfall, runoff and recharge</w:t>
      </w:r>
      <w:bookmarkEnd w:id="166"/>
      <w:bookmarkEnd w:id="167"/>
      <w:bookmarkEnd w:id="168"/>
      <w:bookmarkEnd w:id="169"/>
      <w:bookmarkEnd w:id="170"/>
      <w:bookmarkEnd w:id="171"/>
    </w:p>
    <w:p w14:paraId="1499925B" w14:textId="77777777" w:rsidR="007B29DD" w:rsidRDefault="007B29DD" w:rsidP="007B29DD">
      <w:pPr>
        <w:pStyle w:val="BodyText"/>
        <w:rPr>
          <w:lang w:eastAsia="en-AU"/>
        </w:rPr>
      </w:pPr>
      <w:r>
        <w:rPr>
          <w:lang w:eastAsia="en-AU"/>
        </w:rPr>
        <w:t>Changes in Victoria’s climate and water resources have been observed over recent decades. These changes are likely to be a combination of both anthropogenic climate change and climate variability which extends beyond that which has been previously observed. Key changes include:</w:t>
      </w:r>
    </w:p>
    <w:p w14:paraId="629058F7" w14:textId="77777777" w:rsidR="007B29DD" w:rsidRDefault="007B29DD" w:rsidP="007B29DD">
      <w:pPr>
        <w:pStyle w:val="BodyText"/>
        <w:numPr>
          <w:ilvl w:val="0"/>
          <w:numId w:val="21"/>
        </w:numPr>
        <w:rPr>
          <w:lang w:eastAsia="en-AU"/>
        </w:rPr>
      </w:pPr>
      <w:r w:rsidRPr="00C65E29">
        <w:rPr>
          <w:lang w:eastAsia="en-AU"/>
        </w:rPr>
        <w:t>Victoria's</w:t>
      </w:r>
      <w:r>
        <w:rPr>
          <w:b/>
          <w:bCs/>
          <w:lang w:eastAsia="en-AU"/>
        </w:rPr>
        <w:t xml:space="preserve"> a</w:t>
      </w:r>
      <w:r w:rsidRPr="4C198B8C">
        <w:rPr>
          <w:b/>
          <w:bCs/>
          <w:lang w:eastAsia="en-AU"/>
        </w:rPr>
        <w:t xml:space="preserve">nnual </w:t>
      </w:r>
      <w:r>
        <w:rPr>
          <w:b/>
          <w:bCs/>
          <w:lang w:eastAsia="en-AU"/>
        </w:rPr>
        <w:t xml:space="preserve">recorded </w:t>
      </w:r>
      <w:r w:rsidRPr="4C198B8C">
        <w:rPr>
          <w:b/>
          <w:bCs/>
          <w:lang w:eastAsia="en-AU"/>
        </w:rPr>
        <w:t xml:space="preserve">rainfall </w:t>
      </w:r>
      <w:r>
        <w:rPr>
          <w:lang w:eastAsia="en-AU"/>
        </w:rPr>
        <w:t>has seen a downward trend</w:t>
      </w:r>
      <w:r w:rsidRPr="4C198B8C">
        <w:rPr>
          <w:lang w:eastAsia="en-AU"/>
        </w:rPr>
        <w:t xml:space="preserve"> from the early 1900s to date, but </w:t>
      </w:r>
      <w:r>
        <w:rPr>
          <w:lang w:eastAsia="en-AU"/>
        </w:rPr>
        <w:t>it is</w:t>
      </w:r>
      <w:r w:rsidRPr="4C198B8C">
        <w:rPr>
          <w:lang w:eastAsia="en-AU"/>
        </w:rPr>
        <w:t xml:space="preserve"> not statistically significant over this period as a whole (Grose et al., 2015a; Timbal et al., 2016)</w:t>
      </w:r>
      <w:r>
        <w:rPr>
          <w:lang w:eastAsia="en-AU"/>
        </w:rPr>
        <w:t>.</w:t>
      </w:r>
    </w:p>
    <w:p w14:paraId="56B1E681" w14:textId="77777777" w:rsidR="007B29DD" w:rsidRDefault="007B29DD" w:rsidP="007B29DD">
      <w:pPr>
        <w:pStyle w:val="BodyText"/>
        <w:numPr>
          <w:ilvl w:val="0"/>
          <w:numId w:val="21"/>
        </w:numPr>
        <w:rPr>
          <w:lang w:eastAsia="en-AU"/>
        </w:rPr>
      </w:pPr>
      <w:r>
        <w:rPr>
          <w:lang w:eastAsia="en-AU"/>
        </w:rPr>
        <w:t xml:space="preserve">Over the past thirty years, there has been a decrease in </w:t>
      </w:r>
      <w:r w:rsidRPr="004B7A8C">
        <w:rPr>
          <w:b/>
          <w:bCs/>
          <w:lang w:eastAsia="en-AU"/>
        </w:rPr>
        <w:t>cool season rainfall</w:t>
      </w:r>
      <w:r>
        <w:rPr>
          <w:lang w:eastAsia="en-AU"/>
        </w:rPr>
        <w:t xml:space="preserve"> (defined as April to October for Victoria) (Timbal et al., 2016).</w:t>
      </w:r>
      <w:r w:rsidRPr="00E16E84">
        <w:rPr>
          <w:lang w:eastAsia="en-AU"/>
        </w:rPr>
        <w:t xml:space="preserve"> </w:t>
      </w:r>
      <w:r>
        <w:rPr>
          <w:lang w:eastAsia="en-AU"/>
        </w:rPr>
        <w:t xml:space="preserve">This is shown across Victoria in </w:t>
      </w:r>
      <w:r>
        <w:rPr>
          <w:lang w:eastAsia="en-AU"/>
        </w:rPr>
        <w:fldChar w:fldCharType="begin"/>
      </w:r>
      <w:r>
        <w:rPr>
          <w:lang w:eastAsia="en-AU"/>
        </w:rPr>
        <w:instrText xml:space="preserve"> REF _Ref42680257 \h </w:instrText>
      </w:r>
      <w:r>
        <w:rPr>
          <w:lang w:eastAsia="en-AU"/>
        </w:rPr>
      </w:r>
      <w:r>
        <w:rPr>
          <w:lang w:eastAsia="en-AU"/>
        </w:rPr>
        <w:fldChar w:fldCharType="separate"/>
      </w:r>
      <w:r>
        <w:t xml:space="preserve">Figure </w:t>
      </w:r>
      <w:r>
        <w:rPr>
          <w:noProof/>
        </w:rPr>
        <w:t>8</w:t>
      </w:r>
      <w:r>
        <w:rPr>
          <w:lang w:eastAsia="en-AU"/>
        </w:rPr>
        <w:fldChar w:fldCharType="end"/>
      </w:r>
      <w:r>
        <w:rPr>
          <w:lang w:eastAsia="en-AU"/>
        </w:rPr>
        <w:t xml:space="preserve">. This decrease has persisted after the end of the Millennium Drought, and is consistent with the observed changes in regional climate influences and Victoria’s climatology, previously described in Section </w:t>
      </w:r>
      <w:r>
        <w:rPr>
          <w:lang w:eastAsia="en-AU"/>
        </w:rPr>
        <w:fldChar w:fldCharType="begin"/>
      </w:r>
      <w:r>
        <w:rPr>
          <w:lang w:eastAsia="en-AU"/>
        </w:rPr>
        <w:instrText xml:space="preserve"> REF _Ref42702478 \r \h </w:instrText>
      </w:r>
      <w:r>
        <w:rPr>
          <w:lang w:eastAsia="en-AU"/>
        </w:rPr>
      </w:r>
      <w:r>
        <w:rPr>
          <w:lang w:eastAsia="en-AU"/>
        </w:rPr>
        <w:fldChar w:fldCharType="separate"/>
      </w:r>
      <w:r>
        <w:rPr>
          <w:lang w:eastAsia="en-AU"/>
        </w:rPr>
        <w:t>3.3</w:t>
      </w:r>
      <w:r>
        <w:rPr>
          <w:lang w:eastAsia="en-AU"/>
        </w:rPr>
        <w:fldChar w:fldCharType="end"/>
      </w:r>
      <w:r>
        <w:rPr>
          <w:lang w:eastAsia="en-AU"/>
        </w:rPr>
        <w:t>.</w:t>
      </w:r>
      <w:r w:rsidRPr="00F90080">
        <w:t xml:space="preserve"> </w:t>
      </w:r>
      <w:r>
        <w:rPr>
          <w:lang w:eastAsia="en-AU"/>
        </w:rPr>
        <w:t>Th</w:t>
      </w:r>
      <w:r w:rsidRPr="00F90080">
        <w:rPr>
          <w:lang w:eastAsia="en-AU"/>
        </w:rPr>
        <w:t xml:space="preserve">e chance of occurrence of </w:t>
      </w:r>
      <w:r>
        <w:rPr>
          <w:lang w:eastAsia="en-AU"/>
        </w:rPr>
        <w:t>the observed decline in</w:t>
      </w:r>
      <w:r w:rsidRPr="00F90080">
        <w:rPr>
          <w:lang w:eastAsia="en-AU"/>
        </w:rPr>
        <w:t xml:space="preserve"> </w:t>
      </w:r>
      <w:r>
        <w:rPr>
          <w:lang w:eastAsia="en-AU"/>
        </w:rPr>
        <w:t xml:space="preserve">cool season </w:t>
      </w:r>
      <w:r w:rsidRPr="00F90080">
        <w:rPr>
          <w:lang w:eastAsia="en-AU"/>
        </w:rPr>
        <w:t xml:space="preserve">rainfall </w:t>
      </w:r>
      <w:r>
        <w:rPr>
          <w:lang w:eastAsia="en-AU"/>
        </w:rPr>
        <w:t>for the post-1997 period</w:t>
      </w:r>
      <w:r w:rsidRPr="00F90080">
        <w:rPr>
          <w:lang w:eastAsia="en-AU"/>
        </w:rPr>
        <w:t xml:space="preserve"> due to natural internal climate variability alone is </w:t>
      </w:r>
      <w:r>
        <w:rPr>
          <w:lang w:eastAsia="en-AU"/>
        </w:rPr>
        <w:t>very unlikely (Rauniyar and Power 2020).</w:t>
      </w:r>
    </w:p>
    <w:p w14:paraId="01E4B67D" w14:textId="77777777" w:rsidR="007B29DD" w:rsidRDefault="007B29DD" w:rsidP="007B29DD">
      <w:pPr>
        <w:pStyle w:val="BodyText"/>
        <w:numPr>
          <w:ilvl w:val="0"/>
          <w:numId w:val="21"/>
        </w:numPr>
        <w:rPr>
          <w:lang w:eastAsia="en-AU"/>
        </w:rPr>
      </w:pPr>
      <w:r w:rsidRPr="004B7A8C">
        <w:rPr>
          <w:b/>
          <w:bCs/>
          <w:lang w:eastAsia="en-AU"/>
        </w:rPr>
        <w:t>Warm season rainfall</w:t>
      </w:r>
      <w:r>
        <w:rPr>
          <w:lang w:eastAsia="en-AU"/>
        </w:rPr>
        <w:t xml:space="preserve"> has declined in southern Victoria, and remained about the same or increased in central and northern Victoria over the past few decades (see </w:t>
      </w:r>
      <w:r>
        <w:rPr>
          <w:lang w:eastAsia="en-AU"/>
        </w:rPr>
        <w:fldChar w:fldCharType="begin"/>
      </w:r>
      <w:r>
        <w:rPr>
          <w:lang w:eastAsia="en-AU"/>
        </w:rPr>
        <w:instrText xml:space="preserve"> REF _Ref42680257 \h </w:instrText>
      </w:r>
      <w:r>
        <w:rPr>
          <w:lang w:eastAsia="en-AU"/>
        </w:rPr>
      </w:r>
      <w:r>
        <w:rPr>
          <w:lang w:eastAsia="en-AU"/>
        </w:rPr>
        <w:fldChar w:fldCharType="separate"/>
      </w:r>
      <w:r>
        <w:t xml:space="preserve">Figure </w:t>
      </w:r>
      <w:r>
        <w:rPr>
          <w:noProof/>
        </w:rPr>
        <w:t>8</w:t>
      </w:r>
      <w:r>
        <w:rPr>
          <w:lang w:eastAsia="en-AU"/>
        </w:rPr>
        <w:fldChar w:fldCharType="end"/>
      </w:r>
      <w:r>
        <w:rPr>
          <w:lang w:eastAsia="en-AU"/>
        </w:rPr>
        <w:t>).</w:t>
      </w:r>
    </w:p>
    <w:p w14:paraId="3E3981CC" w14:textId="77777777" w:rsidR="007B29DD" w:rsidRDefault="007B29DD" w:rsidP="007B29DD">
      <w:pPr>
        <w:pStyle w:val="BodyText"/>
        <w:numPr>
          <w:ilvl w:val="0"/>
          <w:numId w:val="21"/>
        </w:numPr>
      </w:pPr>
      <w:r w:rsidRPr="4C198B8C">
        <w:rPr>
          <w:lang w:eastAsia="en-AU"/>
        </w:rPr>
        <w:t xml:space="preserve">Across the state, there have been significant reductions in </w:t>
      </w:r>
      <w:r w:rsidRPr="00DC76FF">
        <w:rPr>
          <w:b/>
          <w:bCs/>
          <w:lang w:eastAsia="en-AU"/>
        </w:rPr>
        <w:t>annual streamflow</w:t>
      </w:r>
      <w:r w:rsidRPr="4C198B8C">
        <w:rPr>
          <w:lang w:eastAsia="en-AU"/>
        </w:rPr>
        <w:t xml:space="preserve"> over recent decades (DELWP, </w:t>
      </w:r>
      <w:r>
        <w:rPr>
          <w:lang w:eastAsia="en-AU"/>
        </w:rPr>
        <w:t>2019d</w:t>
      </w:r>
      <w:r w:rsidRPr="4C198B8C">
        <w:rPr>
          <w:lang w:eastAsia="en-AU"/>
        </w:rPr>
        <w:t>). An analysis conducted in the Victorian Climate Initiative (VicCI) (Hope et al., 2017) found that the declines varied between about 25% and 75% (1997–2014 compared to 1975–1997), with relative declines typically larger in western Victoria, and smaller in the alpine areas;</w:t>
      </w:r>
    </w:p>
    <w:p w14:paraId="3F354548" w14:textId="77777777" w:rsidR="007B29DD" w:rsidRDefault="007B29DD" w:rsidP="007B29DD">
      <w:pPr>
        <w:pStyle w:val="BodyText"/>
      </w:pPr>
    </w:p>
    <w:p w14:paraId="79AFA149" w14:textId="77777777" w:rsidR="007B29DD" w:rsidRPr="001B5F32" w:rsidRDefault="007B29DD" w:rsidP="00B31F39">
      <w:pPr>
        <w:pStyle w:val="BodyText"/>
        <w:spacing w:after="0"/>
        <w:jc w:val="both"/>
      </w:pPr>
      <w:r>
        <w:rPr>
          <w:noProof/>
        </w:rPr>
        <w:lastRenderedPageBreak/>
        <w:drawing>
          <wp:inline distT="0" distB="0" distL="0" distR="0" wp14:anchorId="1F9625EF" wp14:editId="64BDA86D">
            <wp:extent cx="6120765" cy="1624965"/>
            <wp:effectExtent l="19050" t="19050" r="13335" b="13335"/>
            <wp:docPr id="945704176" name="Picture 945704176" descr="Side-by-side maps showing observed rainfall in Victoria for the last 30 years that shows the majority of the state has experienced &quot;Below average&quot;, &quot;very much below average&quot; or &quot;lowest on record&quot; rainfalls in the cool season, but that some areas in northern Victoria have experience &quot;above average&quot;, &quot;very much above average&quot; or &quot;highest on record&quot; rainfall in the warm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4176" name="warm-cool-rainfall.png"/>
                    <pic:cNvPicPr/>
                  </pic:nvPicPr>
                  <pic:blipFill>
                    <a:blip r:embed="rId27">
                      <a:extLst>
                        <a:ext uri="{28A0092B-C50C-407E-A947-70E740481C1C}">
                          <a14:useLocalDpi xmlns:a14="http://schemas.microsoft.com/office/drawing/2010/main" val="0"/>
                        </a:ext>
                      </a:extLst>
                    </a:blip>
                    <a:stretch>
                      <a:fillRect/>
                    </a:stretch>
                  </pic:blipFill>
                  <pic:spPr>
                    <a:xfrm>
                      <a:off x="0" y="0"/>
                      <a:ext cx="6120765" cy="1624965"/>
                    </a:xfrm>
                    <a:prstGeom prst="rect">
                      <a:avLst/>
                    </a:prstGeom>
                    <a:noFill/>
                    <a:ln>
                      <a:solidFill>
                        <a:schemeClr val="bg1">
                          <a:lumMod val="65000"/>
                        </a:schemeClr>
                      </a:solidFill>
                    </a:ln>
                  </pic:spPr>
                </pic:pic>
              </a:graphicData>
            </a:graphic>
          </wp:inline>
        </w:drawing>
      </w:r>
    </w:p>
    <w:p w14:paraId="61CB6E52" w14:textId="77777777" w:rsidR="007B29DD" w:rsidRDefault="007B29DD" w:rsidP="007B29DD">
      <w:pPr>
        <w:pStyle w:val="Caption"/>
        <w:keepNext w:val="0"/>
        <w:spacing w:before="0"/>
      </w:pPr>
      <w:bookmarkStart w:id="172" w:name="_Ref42680257"/>
      <w:bookmarkStart w:id="173" w:name="_Toc43476575"/>
      <w:bookmarkStart w:id="174" w:name="_Toc44928820"/>
      <w:bookmarkStart w:id="175" w:name="_Toc51237484"/>
      <w:bookmarkStart w:id="176" w:name="_Toc53585999"/>
      <w:bookmarkStart w:id="177" w:name="_Toc57377250"/>
      <w:r>
        <w:t xml:space="preserve">Figure </w:t>
      </w:r>
      <w:r>
        <w:fldChar w:fldCharType="begin"/>
      </w:r>
      <w:r>
        <w:instrText>SEQ Figure \* ARABIC</w:instrText>
      </w:r>
      <w:r>
        <w:fldChar w:fldCharType="separate"/>
      </w:r>
      <w:r>
        <w:rPr>
          <w:noProof/>
        </w:rPr>
        <w:t>8</w:t>
      </w:r>
      <w:r>
        <w:fldChar w:fldCharType="end"/>
      </w:r>
      <w:bookmarkEnd w:id="172"/>
      <w:r>
        <w:t xml:space="preserve"> Observed rainfall in Victoria for the last 30 years (1989/90-2018/19) for the warm season (Nov-Mar) and cool season (Apr-Oct) relative to all other 30 year periods in the historical record (source: Bureau of Meteorology in DELWP (2019d).</w:t>
      </w:r>
      <w:bookmarkEnd w:id="173"/>
      <w:bookmarkEnd w:id="174"/>
      <w:bookmarkEnd w:id="175"/>
      <w:bookmarkEnd w:id="176"/>
      <w:bookmarkEnd w:id="177"/>
    </w:p>
    <w:p w14:paraId="545422EB" w14:textId="77777777" w:rsidR="007B29DD" w:rsidRPr="00DC76FF" w:rsidRDefault="007B29DD" w:rsidP="007B29DD">
      <w:pPr>
        <w:pStyle w:val="BodyText"/>
        <w:rPr>
          <w:lang w:eastAsia="en-AU"/>
        </w:rPr>
      </w:pPr>
    </w:p>
    <w:p w14:paraId="3ACC7720" w14:textId="77777777" w:rsidR="007B29DD" w:rsidRDefault="007B29DD" w:rsidP="007B29DD">
      <w:pPr>
        <w:pStyle w:val="BodyText"/>
        <w:numPr>
          <w:ilvl w:val="0"/>
          <w:numId w:val="21"/>
        </w:numPr>
        <w:rPr>
          <w:lang w:eastAsia="en-AU"/>
        </w:rPr>
      </w:pPr>
      <w:r>
        <w:t xml:space="preserve">Changes in annual rainfall are amplified when translated into changes in </w:t>
      </w:r>
      <w:r w:rsidRPr="4C198B8C">
        <w:rPr>
          <w:b/>
          <w:bCs/>
        </w:rPr>
        <w:t>catchment runoff</w:t>
      </w:r>
      <w:r>
        <w:t xml:space="preserve">. Historical declines in Victorian streamflows, particularly over the Millennium Drought, have been well documented (e.g. DELWP, 2019d). By way of example, </w:t>
      </w:r>
      <w:r>
        <w:fldChar w:fldCharType="begin"/>
      </w:r>
      <w:r>
        <w:instrText xml:space="preserve"> REF _Ref40367629 \h </w:instrText>
      </w:r>
      <w:r>
        <w:fldChar w:fldCharType="separate"/>
      </w:r>
      <w:r w:rsidRPr="00A4479F">
        <w:t xml:space="preserve">Figure </w:t>
      </w:r>
      <w:r>
        <w:rPr>
          <w:noProof/>
        </w:rPr>
        <w:t>9</w:t>
      </w:r>
      <w:r>
        <w:fldChar w:fldCharType="end"/>
      </w:r>
      <w:r>
        <w:t xml:space="preserve"> illustrates this for inflows to the GWMWater headworks, which is an area where streamflow declines have been greater than other parts of Victoria. Inflows into the GWMWater headworks since 1975 have been around 22% lower than the long-term average, and around 56% lower since 1997; only twice within the last twenty years has the long-term annual average inflow been exceeded in this storage system.</w:t>
      </w:r>
    </w:p>
    <w:p w14:paraId="5102D3BA" w14:textId="77777777" w:rsidR="007B29DD" w:rsidRDefault="007B29DD" w:rsidP="007B29DD">
      <w:pPr>
        <w:pStyle w:val="BodyText"/>
        <w:numPr>
          <w:ilvl w:val="0"/>
          <w:numId w:val="21"/>
        </w:numPr>
        <w:rPr>
          <w:lang w:eastAsia="en-AU"/>
        </w:rPr>
      </w:pPr>
      <w:r>
        <w:t xml:space="preserve">Many catchments in Victoria have exhibited </w:t>
      </w:r>
      <w:r w:rsidRPr="004B7A8C">
        <w:t>shifts in</w:t>
      </w:r>
      <w:r w:rsidRPr="004B7A8C">
        <w:rPr>
          <w:b/>
          <w:bCs/>
        </w:rPr>
        <w:t xml:space="preserve"> rainfall-runoff behaviour</w:t>
      </w:r>
      <w:r>
        <w:t xml:space="preserve"> during extended droughts such as the Millennium Drought </w:t>
      </w:r>
      <w:r>
        <w:rPr>
          <w:lang w:eastAsia="en-AU"/>
        </w:rPr>
        <w:t xml:space="preserve">(Saft et al., 2015; Saft et al., 2016; Fowler et al., 2016; Tan and Neal, 2018). That is, annual runoff is lower during and (in some cases) for many years after drought for a given annual rainfall. This issue is explained in further detail in Appendix B.9, with DELWP’s approach to addressing this issue for practitioners in Section </w:t>
      </w:r>
      <w:r>
        <w:rPr>
          <w:lang w:eastAsia="en-AU"/>
        </w:rPr>
        <w:fldChar w:fldCharType="begin"/>
      </w:r>
      <w:r>
        <w:rPr>
          <w:lang w:eastAsia="en-AU"/>
        </w:rPr>
        <w:instrText xml:space="preserve"> REF _Ref42703267 \r \h </w:instrText>
      </w:r>
      <w:r>
        <w:rPr>
          <w:lang w:eastAsia="en-AU"/>
        </w:rPr>
      </w:r>
      <w:r>
        <w:rPr>
          <w:lang w:eastAsia="en-AU"/>
        </w:rPr>
        <w:fldChar w:fldCharType="separate"/>
      </w:r>
      <w:r>
        <w:rPr>
          <w:lang w:eastAsia="en-AU"/>
        </w:rPr>
        <w:t>5.10.3</w:t>
      </w:r>
      <w:r>
        <w:rPr>
          <w:lang w:eastAsia="en-AU"/>
        </w:rPr>
        <w:fldChar w:fldCharType="end"/>
      </w:r>
      <w:r>
        <w:rPr>
          <w:lang w:eastAsia="en-AU"/>
        </w:rPr>
        <w:t>.</w:t>
      </w:r>
    </w:p>
    <w:p w14:paraId="74815CE3" w14:textId="77777777" w:rsidR="007B29DD" w:rsidRDefault="007B29DD" w:rsidP="007B29DD">
      <w:pPr>
        <w:pStyle w:val="BodyText"/>
        <w:numPr>
          <w:ilvl w:val="0"/>
          <w:numId w:val="21"/>
        </w:numPr>
        <w:rPr>
          <w:lang w:eastAsia="en-AU"/>
        </w:rPr>
      </w:pPr>
      <w:r w:rsidRPr="4C198B8C">
        <w:rPr>
          <w:b/>
          <w:bCs/>
          <w:lang w:eastAsia="en-AU"/>
        </w:rPr>
        <w:t>Peak hourly and peak daily rainfalls</w:t>
      </w:r>
      <w:r w:rsidRPr="4C198B8C">
        <w:rPr>
          <w:lang w:eastAsia="en-AU"/>
        </w:rPr>
        <w:t xml:space="preserve"> across Victoria have increased. For sub-daily durations, this rate of increase is higher than anticipated by increases in the water holding capacity of the atmosphere under higher temperatures (Guerreiro et al., 2018)</w:t>
      </w:r>
      <w:r>
        <w:rPr>
          <w:lang w:eastAsia="en-AU"/>
        </w:rPr>
        <w:t>.</w:t>
      </w:r>
    </w:p>
    <w:p w14:paraId="21D553E6" w14:textId="77777777" w:rsidR="007B29DD" w:rsidRDefault="007B29DD" w:rsidP="007B29DD">
      <w:pPr>
        <w:pStyle w:val="BodyText"/>
        <w:numPr>
          <w:ilvl w:val="0"/>
          <w:numId w:val="21"/>
        </w:numPr>
        <w:rPr>
          <w:lang w:eastAsia="en-AU"/>
        </w:rPr>
      </w:pPr>
      <w:r w:rsidRPr="4C198B8C">
        <w:rPr>
          <w:b/>
          <w:bCs/>
          <w:lang w:eastAsia="en-AU"/>
        </w:rPr>
        <w:t>Peak runoff</w:t>
      </w:r>
      <w:r w:rsidRPr="4C198B8C">
        <w:rPr>
          <w:lang w:eastAsia="en-AU"/>
        </w:rPr>
        <w:t xml:space="preserve"> may or may not have increased in any given catchment, depending on catchment size, level of urbanisation and the interplay between increases in peak rainfall and decreases in soil moisture (</w:t>
      </w:r>
      <w:r w:rsidRPr="00BB26A3">
        <w:rPr>
          <w:lang w:eastAsia="en-AU"/>
        </w:rPr>
        <w:t>due to lower average rainfall) for a given recurrence interval. Decreases in soil moisture tend to have had a greater influence on peak runoff in rural catchments up to around the 1 in 10-year average recurrence interval event, leading to lower peak flows for common flood events (Wasko</w:t>
      </w:r>
      <w:r w:rsidRPr="4C198B8C">
        <w:rPr>
          <w:lang w:eastAsia="en-AU"/>
        </w:rPr>
        <w:t xml:space="preserve"> and Nathan, 2019)</w:t>
      </w:r>
      <w:r>
        <w:rPr>
          <w:lang w:eastAsia="en-AU"/>
        </w:rPr>
        <w:t>. After about the 1 in 40-year threshold, increases in peak flows tend to resemble increases in rainfall intensities.</w:t>
      </w:r>
    </w:p>
    <w:p w14:paraId="10005388" w14:textId="77777777" w:rsidR="007B29DD" w:rsidRDefault="007B29DD" w:rsidP="007B29DD">
      <w:pPr>
        <w:pStyle w:val="BodyText"/>
        <w:numPr>
          <w:ilvl w:val="0"/>
          <w:numId w:val="21"/>
        </w:numPr>
        <w:rPr>
          <w:lang w:eastAsia="en-AU"/>
        </w:rPr>
      </w:pPr>
      <w:r w:rsidRPr="4C198B8C">
        <w:rPr>
          <w:b/>
          <w:bCs/>
          <w:lang w:eastAsia="en-AU"/>
        </w:rPr>
        <w:t>Pan evaporation</w:t>
      </w:r>
      <w:r w:rsidRPr="4C198B8C">
        <w:rPr>
          <w:lang w:eastAsia="en-AU"/>
        </w:rPr>
        <w:t xml:space="preserve"> data now indicates a stable or increasing trend across southern Australia due to increasing vapour pressure deficits (i.e. decreasing humidity) since the mid-1990s, consistent with increases in temperature and decreases in rainfall over this period (</w:t>
      </w:r>
      <w:r>
        <w:t>Stephens et al., 2018).</w:t>
      </w:r>
    </w:p>
    <w:p w14:paraId="77914BFD" w14:textId="77777777" w:rsidR="007B29DD" w:rsidRPr="001B5F32" w:rsidRDefault="007B29DD" w:rsidP="007B29DD">
      <w:pPr>
        <w:pStyle w:val="BodyText"/>
        <w:numPr>
          <w:ilvl w:val="0"/>
          <w:numId w:val="21"/>
        </w:numPr>
        <w:rPr>
          <w:lang w:eastAsia="en-AU"/>
        </w:rPr>
      </w:pPr>
      <w:r w:rsidRPr="01DBAFC7">
        <w:rPr>
          <w:lang w:eastAsia="en-AU"/>
        </w:rPr>
        <w:t xml:space="preserve">For groundwater systems, changes in </w:t>
      </w:r>
      <w:r w:rsidRPr="00DC76FF">
        <w:rPr>
          <w:b/>
          <w:bCs/>
          <w:lang w:eastAsia="en-AU"/>
        </w:rPr>
        <w:t>historical recharge</w:t>
      </w:r>
      <w:r w:rsidRPr="01DBAFC7">
        <w:rPr>
          <w:lang w:eastAsia="en-AU"/>
        </w:rPr>
        <w:t xml:space="preserve"> are influenced by local recharge mechanisms. Where there has been no observed groundwater level response to changes in rainfall over recent decades, direct recharge is very low to negligible. In aquifers connected to the surface, </w:t>
      </w:r>
      <w:r w:rsidRPr="00DC76FF">
        <w:rPr>
          <w:rFonts w:eastAsia="Arial"/>
        </w:rPr>
        <w:t>groundwater recharge is a ‘threshold’ process with a minimum amount of rainfall required to generate any recharge. Empirical evidence in some Victorian catchments indicates that approximately 350 mm/yr of rainfall is required for significant recharge to occur, with some studies suggesting minimum monthly or minimum daily thresholds for given minimum periods. Further information on the conceptual understanding of the impact of changes in rainfall on changes in recharge is provided in Appendix B.10.</w:t>
      </w:r>
    </w:p>
    <w:p w14:paraId="1C1D22F9" w14:textId="77777777" w:rsidR="007B29DD" w:rsidRDefault="007B29DD" w:rsidP="007B29DD">
      <w:pPr>
        <w:pStyle w:val="BodyText"/>
        <w:spacing w:after="0"/>
        <w:rPr>
          <w:lang w:eastAsia="en-AU"/>
        </w:rPr>
      </w:pPr>
      <w:r>
        <w:rPr>
          <w:noProof/>
        </w:rPr>
        <w:lastRenderedPageBreak/>
        <w:drawing>
          <wp:inline distT="0" distB="0" distL="0" distR="0" wp14:anchorId="71DA6D41" wp14:editId="39CA1D6B">
            <wp:extent cx="6088144" cy="3973996"/>
            <wp:effectExtent l="19050" t="19050" r="27305" b="26670"/>
            <wp:docPr id="593955263" name="Picture 361161700" descr="Graphic showing the 20-year moving average of inflow to Grampians Wimmera Mallee Water headworks storages from 1900 onwards with a reduction in inflows since 1975, and since 1997, relative to the long-term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61700"/>
                    <pic:cNvPicPr/>
                  </pic:nvPicPr>
                  <pic:blipFill>
                    <a:blip r:embed="rId28">
                      <a:extLst>
                        <a:ext uri="{28A0092B-C50C-407E-A947-70E740481C1C}">
                          <a14:useLocalDpi xmlns:a14="http://schemas.microsoft.com/office/drawing/2010/main" val="0"/>
                        </a:ext>
                      </a:extLst>
                    </a:blip>
                    <a:stretch>
                      <a:fillRect/>
                    </a:stretch>
                  </pic:blipFill>
                  <pic:spPr>
                    <a:xfrm>
                      <a:off x="0" y="0"/>
                      <a:ext cx="6088144" cy="3973996"/>
                    </a:xfrm>
                    <a:prstGeom prst="rect">
                      <a:avLst/>
                    </a:prstGeom>
                    <a:ln>
                      <a:solidFill>
                        <a:schemeClr val="bg1">
                          <a:lumMod val="65000"/>
                        </a:schemeClr>
                      </a:solidFill>
                    </a:ln>
                  </pic:spPr>
                </pic:pic>
              </a:graphicData>
            </a:graphic>
          </wp:inline>
        </w:drawing>
      </w:r>
    </w:p>
    <w:p w14:paraId="24D359E3" w14:textId="77777777" w:rsidR="007B29DD" w:rsidRDefault="007B29DD" w:rsidP="007B29DD">
      <w:pPr>
        <w:pStyle w:val="Caption"/>
        <w:spacing w:before="0"/>
      </w:pPr>
      <w:bookmarkStart w:id="178" w:name="_Ref40367629"/>
      <w:bookmarkStart w:id="179" w:name="_Toc43476576"/>
      <w:bookmarkStart w:id="180" w:name="_Toc44928821"/>
      <w:bookmarkStart w:id="181" w:name="_Toc51237485"/>
      <w:bookmarkStart w:id="182" w:name="_Toc53586000"/>
      <w:bookmarkStart w:id="183" w:name="_Toc57377251"/>
      <w:r w:rsidRPr="00A4479F">
        <w:t xml:space="preserve">Figure </w:t>
      </w:r>
      <w:r>
        <w:fldChar w:fldCharType="begin"/>
      </w:r>
      <w:r>
        <w:instrText>SEQ Figure \* ARABIC</w:instrText>
      </w:r>
      <w:r>
        <w:fldChar w:fldCharType="separate"/>
      </w:r>
      <w:r>
        <w:rPr>
          <w:noProof/>
        </w:rPr>
        <w:t>9</w:t>
      </w:r>
      <w:r>
        <w:fldChar w:fldCharType="end"/>
      </w:r>
      <w:bookmarkEnd w:id="178"/>
      <w:r w:rsidRPr="00A4479F">
        <w:t xml:space="preserve"> Annual inflows to GWMWater headworks storages (Source: Grampians Wimmera Mallee Water)</w:t>
      </w:r>
      <w:bookmarkEnd w:id="179"/>
      <w:bookmarkEnd w:id="180"/>
      <w:bookmarkEnd w:id="181"/>
      <w:bookmarkEnd w:id="182"/>
      <w:bookmarkEnd w:id="183"/>
    </w:p>
    <w:p w14:paraId="5B2C327A" w14:textId="77777777" w:rsidR="007B29DD" w:rsidRPr="00306AF1" w:rsidRDefault="007B29DD" w:rsidP="007B29DD">
      <w:pPr>
        <w:pStyle w:val="Heading1TopofPage"/>
        <w:numPr>
          <w:ilvl w:val="0"/>
          <w:numId w:val="5"/>
        </w:numPr>
        <w:tabs>
          <w:tab w:val="clear" w:pos="0"/>
        </w:tabs>
        <w:rPr>
          <w:b w:val="0"/>
          <w:bCs w:val="0"/>
          <w:color w:val="000000" w:themeColor="text1"/>
        </w:rPr>
      </w:pPr>
      <w:bookmarkStart w:id="184" w:name="_Ref39391094"/>
      <w:bookmarkStart w:id="185" w:name="_Ref39736145"/>
      <w:bookmarkStart w:id="186" w:name="_Toc43476455"/>
      <w:bookmarkStart w:id="187" w:name="_Toc44928698"/>
      <w:bookmarkStart w:id="188" w:name="_Toc51657970"/>
      <w:bookmarkStart w:id="189" w:name="_Toc53585875"/>
      <w:bookmarkStart w:id="190" w:name="_Toc57377126"/>
      <w:r w:rsidRPr="00306AF1">
        <w:rPr>
          <w:b w:val="0"/>
          <w:bCs w:val="0"/>
          <w:color w:val="000000" w:themeColor="text1"/>
        </w:rPr>
        <w:lastRenderedPageBreak/>
        <w:t>How the Future Climate Projections for Victoria</w:t>
      </w:r>
      <w:bookmarkEnd w:id="184"/>
      <w:r w:rsidRPr="00306AF1">
        <w:rPr>
          <w:b w:val="0"/>
          <w:bCs w:val="0"/>
          <w:color w:val="000000" w:themeColor="text1"/>
        </w:rPr>
        <w:t xml:space="preserve"> Were Developed</w:t>
      </w:r>
      <w:bookmarkEnd w:id="185"/>
      <w:bookmarkEnd w:id="186"/>
      <w:bookmarkEnd w:id="187"/>
      <w:bookmarkEnd w:id="188"/>
      <w:bookmarkEnd w:id="189"/>
      <w:bookmarkEnd w:id="190"/>
    </w:p>
    <w:p w14:paraId="49996A6E"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91" w:name="_Toc43476456"/>
      <w:bookmarkStart w:id="192" w:name="_Toc44928699"/>
      <w:bookmarkStart w:id="193" w:name="_Toc51657971"/>
      <w:bookmarkStart w:id="194" w:name="_Toc53585876"/>
      <w:bookmarkStart w:id="195" w:name="_Toc57377127"/>
      <w:r w:rsidRPr="00306AF1">
        <w:rPr>
          <w:b/>
          <w:bCs/>
          <w:color w:val="000000" w:themeColor="text1"/>
        </w:rPr>
        <w:t>Introduction</w:t>
      </w:r>
      <w:bookmarkEnd w:id="191"/>
      <w:bookmarkEnd w:id="192"/>
      <w:bookmarkEnd w:id="193"/>
      <w:bookmarkEnd w:id="194"/>
      <w:bookmarkEnd w:id="195"/>
    </w:p>
    <w:p w14:paraId="1D94DE52" w14:textId="77777777" w:rsidR="007B29DD" w:rsidRDefault="007B29DD" w:rsidP="007B29DD">
      <w:pPr>
        <w:pStyle w:val="CommentText"/>
      </w:pPr>
      <w:r>
        <w:t xml:space="preserve">Projections of runoff and related climate variables were prepared for Victoria’s river basins by CSIRO as part of the Victorian Climate Initiative (VicCI) (Potter et al, 2016), with supplementary projections available from the Victorian Climate Projections 2019 (VCP19) project (Clarke et al., 2019a). This chapter provides a brief overview of the modelling approach, including the emissions scenarios adopted, the downscaling approach, the selection of output parameters, and the distillation of the results into three representative climate change projections for each emissions scenario. To ensure appropriate use of these projections, key limitations in their applicability are also discussed. The final projection tables for each river basin in Victoria are subsequently presented in Section </w:t>
      </w:r>
      <w:r>
        <w:fldChar w:fldCharType="begin"/>
      </w:r>
      <w:r>
        <w:instrText xml:space="preserve"> REF _Ref39494043 \r \h </w:instrText>
      </w:r>
      <w:r>
        <w:fldChar w:fldCharType="separate"/>
      </w:r>
      <w:r>
        <w:t>5</w:t>
      </w:r>
      <w:r>
        <w:fldChar w:fldCharType="end"/>
      </w:r>
      <w:r>
        <w:t>.</w:t>
      </w:r>
    </w:p>
    <w:p w14:paraId="7321B9E4"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196" w:name="_Ref39746372"/>
      <w:bookmarkStart w:id="197" w:name="_Toc43476457"/>
      <w:bookmarkStart w:id="198" w:name="_Toc44928700"/>
      <w:bookmarkStart w:id="199" w:name="_Toc51657972"/>
      <w:bookmarkStart w:id="200" w:name="_Toc53585877"/>
      <w:bookmarkStart w:id="201" w:name="_Toc57377128"/>
      <w:r w:rsidRPr="00306AF1">
        <w:rPr>
          <w:b/>
          <w:bCs/>
          <w:color w:val="000000" w:themeColor="text1"/>
        </w:rPr>
        <w:t>Overview of climate modelling approaches</w:t>
      </w:r>
      <w:bookmarkEnd w:id="196"/>
      <w:bookmarkEnd w:id="197"/>
      <w:bookmarkEnd w:id="198"/>
      <w:bookmarkEnd w:id="199"/>
      <w:bookmarkEnd w:id="200"/>
      <w:bookmarkEnd w:id="201"/>
    </w:p>
    <w:p w14:paraId="6FE55251"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202" w:name="_Toc43476458"/>
      <w:bookmarkStart w:id="203" w:name="_Toc44928701"/>
      <w:bookmarkStart w:id="204" w:name="_Toc51657973"/>
      <w:bookmarkStart w:id="205" w:name="_Toc53585878"/>
      <w:bookmarkStart w:id="206" w:name="_Toc57377129"/>
      <w:r w:rsidRPr="00306AF1">
        <w:rPr>
          <w:b/>
          <w:bCs/>
          <w:color w:val="000000" w:themeColor="text1"/>
        </w:rPr>
        <w:t>Global climate modelling</w:t>
      </w:r>
      <w:bookmarkEnd w:id="202"/>
      <w:bookmarkEnd w:id="203"/>
      <w:bookmarkEnd w:id="204"/>
      <w:bookmarkEnd w:id="205"/>
      <w:bookmarkEnd w:id="206"/>
    </w:p>
    <w:p w14:paraId="4B93DC3F" w14:textId="77777777" w:rsidR="007B29DD" w:rsidRDefault="007B29DD" w:rsidP="007B29DD">
      <w:pPr>
        <w:pStyle w:val="BodyText"/>
        <w:rPr>
          <w:lang w:eastAsia="en-AU"/>
        </w:rPr>
      </w:pPr>
      <w:r>
        <w:rPr>
          <w:lang w:eastAsia="en-AU"/>
        </w:rPr>
        <w:t>The earth’s climate system is a highly complex set of interactions between not only the sun and the atmosphere, but also between the atmosphere and the oceans, the land surface, the land sub-surface, the natural environment and human activities. The Intergovernmental Panel on Climate Change (IPCC) last collated global climate model (GCM) results from research organisations around the world for its Fifth Assessment Report in 2014 (IPCC, 2015). This set of 42 GCMs is known as the CMIP5 suite of models. Since the publication of the Fifth Assessment Report, these models have been progressively refined and updated, with the assessment of the next round of model results (the CMIP6 suite of models) due for release by the IPCC from mid-2021 to mid-2022. These guidelines, published in 2020, utilise the CMIP5 model results.</w:t>
      </w:r>
    </w:p>
    <w:p w14:paraId="0275293E"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207" w:name="_Toc51657974"/>
      <w:bookmarkStart w:id="208" w:name="_Toc53585879"/>
      <w:bookmarkStart w:id="209" w:name="_Toc57377130"/>
      <w:r w:rsidRPr="00306AF1">
        <w:rPr>
          <w:b/>
          <w:bCs/>
          <w:color w:val="000000" w:themeColor="text1"/>
        </w:rPr>
        <w:t>Process for deriving climate change projections for the guidelines</w:t>
      </w:r>
      <w:bookmarkEnd w:id="207"/>
      <w:bookmarkEnd w:id="208"/>
      <w:bookmarkEnd w:id="209"/>
    </w:p>
    <w:p w14:paraId="63BBE685" w14:textId="77777777" w:rsidR="007B29DD" w:rsidRDefault="007B29DD" w:rsidP="007B29DD">
      <w:pPr>
        <w:pStyle w:val="BodyText"/>
        <w:rPr>
          <w:lang w:eastAsia="en-AU"/>
        </w:rPr>
      </w:pPr>
      <w:r>
        <w:rPr>
          <w:lang w:eastAsia="en-AU"/>
        </w:rPr>
        <w:t xml:space="preserve">The overall process for deriving climate change projections for the guidelines is illustrated in </w:t>
      </w:r>
      <w:r>
        <w:rPr>
          <w:lang w:eastAsia="en-AU"/>
        </w:rPr>
        <w:fldChar w:fldCharType="begin"/>
      </w:r>
      <w:r>
        <w:rPr>
          <w:lang w:eastAsia="en-AU"/>
        </w:rPr>
        <w:instrText xml:space="preserve"> REF _Ref39495912 \h </w:instrText>
      </w:r>
      <w:r>
        <w:rPr>
          <w:lang w:eastAsia="en-AU"/>
        </w:rPr>
      </w:r>
      <w:r>
        <w:rPr>
          <w:lang w:eastAsia="en-AU"/>
        </w:rPr>
        <w:fldChar w:fldCharType="separate"/>
      </w:r>
      <w:r>
        <w:t xml:space="preserve">Figure </w:t>
      </w:r>
      <w:r>
        <w:rPr>
          <w:noProof/>
        </w:rPr>
        <w:t>10</w:t>
      </w:r>
      <w:r>
        <w:rPr>
          <w:lang w:eastAsia="en-AU"/>
        </w:rPr>
        <w:fldChar w:fldCharType="end"/>
      </w:r>
      <w:r>
        <w:rPr>
          <w:lang w:eastAsia="en-AU"/>
        </w:rPr>
        <w:t>.</w:t>
      </w:r>
    </w:p>
    <w:p w14:paraId="3A876299" w14:textId="77777777" w:rsidR="007B29DD" w:rsidRDefault="007B29DD" w:rsidP="007B29DD">
      <w:pPr>
        <w:pStyle w:val="BodyText"/>
        <w:spacing w:after="0"/>
        <w:rPr>
          <w:lang w:eastAsia="en-AU"/>
        </w:rPr>
      </w:pPr>
      <w:r>
        <w:rPr>
          <w:noProof/>
          <w:lang w:eastAsia="en-AU"/>
        </w:rPr>
        <w:drawing>
          <wp:inline distT="0" distB="0" distL="0" distR="0" wp14:anchorId="47E3763C" wp14:editId="776A3D64">
            <wp:extent cx="6120663" cy="2797521"/>
            <wp:effectExtent l="0" t="0" r="0" b="3175"/>
            <wp:docPr id="945704181" name="Picture 945704181" descr="Infographic showing the process for deriving climate change projections for the guidelines.&#10;Stage 1: Future greenhouse gas emission scenarios&#10;Stage 2: changes in global climate, modelled by use of Global Climate Models&#10;Stage 3: Changes in regional rainfall, modelled by use of dynamical or statistical downscaling&#10;Stage 4: Changes in dominant hydrological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4181" name="climage-change-projections.jpg"/>
                    <pic:cNvPicPr/>
                  </pic:nvPicPr>
                  <pic:blipFill rotWithShape="1">
                    <a:blip r:embed="rId29" cstate="print">
                      <a:extLst>
                        <a:ext uri="{28A0092B-C50C-407E-A947-70E740481C1C}">
                          <a14:useLocalDpi xmlns:a14="http://schemas.microsoft.com/office/drawing/2010/main" val="0"/>
                        </a:ext>
                      </a:extLst>
                    </a:blip>
                    <a:srcRect t="6497" b="6210"/>
                    <a:stretch/>
                  </pic:blipFill>
                  <pic:spPr bwMode="auto">
                    <a:xfrm>
                      <a:off x="0" y="0"/>
                      <a:ext cx="6120765" cy="2797568"/>
                    </a:xfrm>
                    <a:prstGeom prst="rect">
                      <a:avLst/>
                    </a:prstGeom>
                    <a:ln>
                      <a:noFill/>
                    </a:ln>
                    <a:extLst>
                      <a:ext uri="{53640926-AAD7-44D8-BBD7-CCE9431645EC}">
                        <a14:shadowObscured xmlns:a14="http://schemas.microsoft.com/office/drawing/2010/main"/>
                      </a:ext>
                    </a:extLst>
                  </pic:spPr>
                </pic:pic>
              </a:graphicData>
            </a:graphic>
          </wp:inline>
        </w:drawing>
      </w:r>
    </w:p>
    <w:p w14:paraId="76DE4FBC" w14:textId="77777777" w:rsidR="007B29DD" w:rsidRDefault="007B29DD" w:rsidP="007B29DD">
      <w:pPr>
        <w:pStyle w:val="Caption"/>
        <w:spacing w:before="0"/>
      </w:pPr>
      <w:bookmarkStart w:id="210" w:name="_Ref39495912"/>
      <w:bookmarkStart w:id="211" w:name="_Toc43476577"/>
      <w:bookmarkStart w:id="212" w:name="_Toc44928822"/>
      <w:bookmarkStart w:id="213" w:name="_Toc51237486"/>
      <w:bookmarkStart w:id="214" w:name="_Toc53586001"/>
      <w:bookmarkStart w:id="215" w:name="_Toc57377252"/>
      <w:r>
        <w:t xml:space="preserve">Figure </w:t>
      </w:r>
      <w:r>
        <w:fldChar w:fldCharType="begin"/>
      </w:r>
      <w:r>
        <w:instrText>SEQ Figure \* ARABIC</w:instrText>
      </w:r>
      <w:r>
        <w:fldChar w:fldCharType="separate"/>
      </w:r>
      <w:r>
        <w:rPr>
          <w:noProof/>
        </w:rPr>
        <w:t>10</w:t>
      </w:r>
      <w:r>
        <w:fldChar w:fldCharType="end"/>
      </w:r>
      <w:bookmarkEnd w:id="210"/>
      <w:r>
        <w:t xml:space="preserve"> Overview of modelling process to derive climate change projections from global climate models (Potter et al., 2016)</w:t>
      </w:r>
      <w:bookmarkEnd w:id="211"/>
      <w:bookmarkEnd w:id="212"/>
      <w:bookmarkEnd w:id="213"/>
      <w:bookmarkEnd w:id="214"/>
      <w:bookmarkEnd w:id="215"/>
    </w:p>
    <w:p w14:paraId="49A5DC6D" w14:textId="77777777" w:rsidR="007B29DD" w:rsidRDefault="007B29DD" w:rsidP="007B29DD">
      <w:pPr>
        <w:pStyle w:val="BodyText"/>
        <w:rPr>
          <w:lang w:eastAsia="en-AU"/>
        </w:rPr>
      </w:pPr>
      <w:r>
        <w:rPr>
          <w:lang w:eastAsia="en-AU"/>
        </w:rPr>
        <w:t>The steps involved in this process are as follows:</w:t>
      </w:r>
    </w:p>
    <w:p w14:paraId="7B06289F" w14:textId="77777777" w:rsidR="007B29DD" w:rsidRPr="004277DC" w:rsidRDefault="007B29DD" w:rsidP="007B29DD">
      <w:pPr>
        <w:pStyle w:val="BodyText"/>
        <w:numPr>
          <w:ilvl w:val="0"/>
          <w:numId w:val="23"/>
        </w:numPr>
        <w:rPr>
          <w:lang w:eastAsia="en-AU"/>
        </w:rPr>
      </w:pPr>
      <w:r w:rsidRPr="004277DC">
        <w:rPr>
          <w:b/>
          <w:bCs/>
          <w:lang w:eastAsia="en-AU"/>
        </w:rPr>
        <w:t xml:space="preserve">Selection of reference climate period and future time slices: </w:t>
      </w:r>
      <w:r w:rsidRPr="004277DC">
        <w:rPr>
          <w:lang w:eastAsia="en-AU"/>
        </w:rPr>
        <w:t xml:space="preserve">The reference climate period </w:t>
      </w:r>
      <w:r>
        <w:rPr>
          <w:lang w:eastAsia="en-AU"/>
        </w:rPr>
        <w:t xml:space="preserve">for the global climate modelling </w:t>
      </w:r>
      <w:r w:rsidRPr="004277DC">
        <w:rPr>
          <w:lang w:eastAsia="en-AU"/>
        </w:rPr>
        <w:t>was a 20</w:t>
      </w:r>
      <w:r>
        <w:rPr>
          <w:lang w:eastAsia="en-AU"/>
        </w:rPr>
        <w:t>-</w:t>
      </w:r>
      <w:r w:rsidRPr="004277DC">
        <w:rPr>
          <w:lang w:eastAsia="en-AU"/>
        </w:rPr>
        <w:t>year climate window over the period 1986</w:t>
      </w:r>
      <w:r>
        <w:rPr>
          <w:lang w:eastAsia="en-AU"/>
        </w:rPr>
        <w:t>–</w:t>
      </w:r>
      <w:r w:rsidRPr="004277DC">
        <w:rPr>
          <w:lang w:eastAsia="en-AU"/>
        </w:rPr>
        <w:t xml:space="preserve">2005, consistent with the reference climate period adopted in the IPCC’s </w:t>
      </w:r>
      <w:r>
        <w:rPr>
          <w:lang w:eastAsia="en-AU"/>
        </w:rPr>
        <w:t>Fifth</w:t>
      </w:r>
      <w:r w:rsidRPr="004277DC">
        <w:rPr>
          <w:lang w:eastAsia="en-AU"/>
        </w:rPr>
        <w:t xml:space="preserve"> Assessment Report (IPCC, 2015). This period is centred on the year 1995. The two future time slices selected from the </w:t>
      </w:r>
      <w:r>
        <w:rPr>
          <w:lang w:eastAsia="en-AU"/>
        </w:rPr>
        <w:t>GCM</w:t>
      </w:r>
      <w:r w:rsidRPr="004277DC">
        <w:rPr>
          <w:lang w:eastAsia="en-AU"/>
        </w:rPr>
        <w:t>s were 20</w:t>
      </w:r>
      <w:r>
        <w:rPr>
          <w:lang w:eastAsia="en-AU"/>
        </w:rPr>
        <w:t>-</w:t>
      </w:r>
      <w:r w:rsidRPr="004277DC">
        <w:rPr>
          <w:lang w:eastAsia="en-AU"/>
        </w:rPr>
        <w:t xml:space="preserve">year climate windows </w:t>
      </w:r>
      <w:r>
        <w:rPr>
          <w:lang w:eastAsia="en-AU"/>
        </w:rPr>
        <w:t>centred on the</w:t>
      </w:r>
      <w:r w:rsidRPr="004277DC">
        <w:rPr>
          <w:lang w:eastAsia="en-AU"/>
        </w:rPr>
        <w:t xml:space="preserve"> </w:t>
      </w:r>
      <w:r>
        <w:rPr>
          <w:lang w:eastAsia="en-AU"/>
        </w:rPr>
        <w:t>y</w:t>
      </w:r>
      <w:r w:rsidRPr="004277DC">
        <w:rPr>
          <w:lang w:eastAsia="en-AU"/>
        </w:rPr>
        <w:t>ear 2040 (2031</w:t>
      </w:r>
      <w:r>
        <w:rPr>
          <w:lang w:eastAsia="en-AU"/>
        </w:rPr>
        <w:t>–</w:t>
      </w:r>
      <w:r w:rsidRPr="004277DC">
        <w:rPr>
          <w:lang w:eastAsia="en-AU"/>
        </w:rPr>
        <w:t xml:space="preserve">2050) and </w:t>
      </w:r>
      <w:r>
        <w:rPr>
          <w:lang w:eastAsia="en-AU"/>
        </w:rPr>
        <w:t>y</w:t>
      </w:r>
      <w:r w:rsidRPr="004277DC">
        <w:rPr>
          <w:lang w:eastAsia="en-AU"/>
        </w:rPr>
        <w:t>ear 2065 (2056</w:t>
      </w:r>
      <w:r>
        <w:rPr>
          <w:lang w:eastAsia="en-AU"/>
        </w:rPr>
        <w:t>–</w:t>
      </w:r>
      <w:r w:rsidRPr="004277DC">
        <w:rPr>
          <w:lang w:eastAsia="en-AU"/>
        </w:rPr>
        <w:t>2075).</w:t>
      </w:r>
      <w:r>
        <w:rPr>
          <w:lang w:eastAsia="en-AU"/>
        </w:rPr>
        <w:t xml:space="preserve"> These future periods were selected to provide an approximate 50-year planning horizon from 2015 onwards (the year these projections were developed), and an interim value to explore whether projection trajectories were non-linear.</w:t>
      </w:r>
    </w:p>
    <w:p w14:paraId="36515299" w14:textId="77777777" w:rsidR="007B29DD" w:rsidRPr="00615CFF" w:rsidRDefault="007B29DD" w:rsidP="007B29DD">
      <w:pPr>
        <w:pStyle w:val="BodyText"/>
        <w:numPr>
          <w:ilvl w:val="0"/>
          <w:numId w:val="23"/>
        </w:numPr>
        <w:rPr>
          <w:lang w:eastAsia="en-AU"/>
        </w:rPr>
      </w:pPr>
      <w:r w:rsidRPr="00615CFF">
        <w:rPr>
          <w:b/>
          <w:bCs/>
          <w:lang w:eastAsia="en-AU"/>
        </w:rPr>
        <w:lastRenderedPageBreak/>
        <w:t>Selection of an emissions scenario(s):</w:t>
      </w:r>
      <w:r w:rsidRPr="00615CFF">
        <w:rPr>
          <w:lang w:eastAsia="en-AU"/>
        </w:rPr>
        <w:t xml:space="preserve"> </w:t>
      </w:r>
      <w:r>
        <w:rPr>
          <w:lang w:eastAsia="en-AU"/>
        </w:rPr>
        <w:t>Representative Concentration Pathway (RCP)</w:t>
      </w:r>
      <w:r w:rsidRPr="00615CFF">
        <w:rPr>
          <w:lang w:eastAsia="en-AU"/>
        </w:rPr>
        <w:t xml:space="preserve"> scenarios represent plausible changes in</w:t>
      </w:r>
      <w:r>
        <w:rPr>
          <w:lang w:eastAsia="en-AU"/>
        </w:rPr>
        <w:t xml:space="preserve"> </w:t>
      </w:r>
      <w:r w:rsidRPr="00615CFF">
        <w:rPr>
          <w:lang w:eastAsia="en-AU"/>
        </w:rPr>
        <w:t xml:space="preserve">greenhouse gas and aerosol </w:t>
      </w:r>
      <w:r>
        <w:rPr>
          <w:lang w:eastAsia="en-AU"/>
        </w:rPr>
        <w:t xml:space="preserve">emissions and </w:t>
      </w:r>
      <w:r w:rsidRPr="00615CFF">
        <w:rPr>
          <w:lang w:eastAsia="en-AU"/>
        </w:rPr>
        <w:t>concentrations over time</w:t>
      </w:r>
      <w:r>
        <w:rPr>
          <w:lang w:eastAsia="en-AU"/>
        </w:rPr>
        <w:t>, as well as land use/land cover changes</w:t>
      </w:r>
      <w:r w:rsidRPr="00615CFF">
        <w:rPr>
          <w:lang w:eastAsia="en-AU"/>
        </w:rPr>
        <w:t xml:space="preserve">. </w:t>
      </w:r>
      <w:r>
        <w:rPr>
          <w:lang w:eastAsia="en-AU"/>
        </w:rPr>
        <w:t xml:space="preserve">For water supply planning, these guidelines recommend the use of the RCP8.5 scenario, with the RCP4.5 scenario available for testing the robustness of planning outcomes. </w:t>
      </w:r>
      <w:r w:rsidRPr="00615CFF">
        <w:rPr>
          <w:lang w:eastAsia="en-AU"/>
        </w:rPr>
        <w:t xml:space="preserve">The selection of emissions scenarios for the guidelines is discussed in further detail in Section </w:t>
      </w:r>
      <w:r w:rsidRPr="00615CFF">
        <w:rPr>
          <w:lang w:eastAsia="en-AU"/>
        </w:rPr>
        <w:fldChar w:fldCharType="begin"/>
      </w:r>
      <w:r w:rsidRPr="00615CFF">
        <w:rPr>
          <w:lang w:eastAsia="en-AU"/>
        </w:rPr>
        <w:instrText xml:space="preserve"> REF _Ref39500330 \r \h </w:instrText>
      </w:r>
      <w:r>
        <w:rPr>
          <w:lang w:eastAsia="en-AU"/>
        </w:rPr>
        <w:instrText xml:space="preserve"> \* MERGEFORMAT </w:instrText>
      </w:r>
      <w:r w:rsidRPr="00615CFF">
        <w:rPr>
          <w:lang w:eastAsia="en-AU"/>
        </w:rPr>
      </w:r>
      <w:r w:rsidRPr="00615CFF">
        <w:rPr>
          <w:lang w:eastAsia="en-AU"/>
        </w:rPr>
        <w:fldChar w:fldCharType="separate"/>
      </w:r>
      <w:r>
        <w:rPr>
          <w:lang w:eastAsia="en-AU"/>
        </w:rPr>
        <w:t>4.3</w:t>
      </w:r>
      <w:r w:rsidRPr="00615CFF">
        <w:rPr>
          <w:lang w:eastAsia="en-AU"/>
        </w:rPr>
        <w:fldChar w:fldCharType="end"/>
      </w:r>
      <w:r w:rsidRPr="00615CFF">
        <w:rPr>
          <w:lang w:eastAsia="en-AU"/>
        </w:rPr>
        <w:t>.</w:t>
      </w:r>
    </w:p>
    <w:p w14:paraId="68DA94B7" w14:textId="77777777" w:rsidR="007B29DD" w:rsidRPr="008953B2" w:rsidRDefault="007B29DD" w:rsidP="007B29DD">
      <w:pPr>
        <w:pStyle w:val="BodyText"/>
        <w:numPr>
          <w:ilvl w:val="0"/>
          <w:numId w:val="23"/>
        </w:numPr>
        <w:rPr>
          <w:lang w:eastAsia="en-AU"/>
        </w:rPr>
      </w:pPr>
      <w:r w:rsidRPr="00750B7D">
        <w:rPr>
          <w:b/>
          <w:bCs/>
          <w:lang w:eastAsia="en-AU"/>
        </w:rPr>
        <w:t>Selection of global climate models:</w:t>
      </w:r>
      <w:r w:rsidRPr="008953B2">
        <w:rPr>
          <w:lang w:eastAsia="en-AU"/>
        </w:rPr>
        <w:t xml:space="preserve"> The range of future climate conditions is derived from the 42 </w:t>
      </w:r>
      <w:r>
        <w:rPr>
          <w:lang w:eastAsia="en-AU"/>
        </w:rPr>
        <w:t>GCM</w:t>
      </w:r>
      <w:r w:rsidRPr="008953B2">
        <w:rPr>
          <w:lang w:eastAsia="en-AU"/>
        </w:rPr>
        <w:t xml:space="preserve">s (the </w:t>
      </w:r>
      <w:r>
        <w:rPr>
          <w:lang w:eastAsia="en-AU"/>
        </w:rPr>
        <w:t xml:space="preserve">CMIP5 </w:t>
      </w:r>
      <w:r w:rsidRPr="008953B2">
        <w:rPr>
          <w:lang w:eastAsia="en-AU"/>
        </w:rPr>
        <w:t xml:space="preserve">model ensemble) used in the IPCC’s </w:t>
      </w:r>
      <w:r>
        <w:rPr>
          <w:lang w:eastAsia="en-AU"/>
        </w:rPr>
        <w:t>Fifth</w:t>
      </w:r>
      <w:r w:rsidRPr="008953B2">
        <w:rPr>
          <w:lang w:eastAsia="en-AU"/>
        </w:rPr>
        <w:t xml:space="preserve"> Assessment Report (IPCC, 2015). All 42 models were included in the analysis after extensive consideration of alternative approaches to model choice and sampling.</w:t>
      </w:r>
      <w:r>
        <w:rPr>
          <w:lang w:eastAsia="en-AU"/>
        </w:rPr>
        <w:t xml:space="preserve"> This is discussed further in Section </w:t>
      </w:r>
      <w:r>
        <w:rPr>
          <w:lang w:eastAsia="en-AU"/>
        </w:rPr>
        <w:fldChar w:fldCharType="begin"/>
      </w:r>
      <w:r>
        <w:rPr>
          <w:lang w:eastAsia="en-AU"/>
        </w:rPr>
        <w:instrText xml:space="preserve"> REF _Ref39500534 \r \h </w:instrText>
      </w:r>
      <w:r>
        <w:rPr>
          <w:lang w:eastAsia="en-AU"/>
        </w:rPr>
      </w:r>
      <w:r>
        <w:rPr>
          <w:lang w:eastAsia="en-AU"/>
        </w:rPr>
        <w:fldChar w:fldCharType="separate"/>
      </w:r>
      <w:r>
        <w:rPr>
          <w:lang w:eastAsia="en-AU"/>
        </w:rPr>
        <w:t>4.4</w:t>
      </w:r>
      <w:r>
        <w:rPr>
          <w:lang w:eastAsia="en-AU"/>
        </w:rPr>
        <w:fldChar w:fldCharType="end"/>
      </w:r>
      <w:r>
        <w:rPr>
          <w:lang w:eastAsia="en-AU"/>
        </w:rPr>
        <w:t>.</w:t>
      </w:r>
    </w:p>
    <w:p w14:paraId="24882838" w14:textId="77777777" w:rsidR="007B29DD" w:rsidRPr="00BC6522" w:rsidRDefault="007B29DD" w:rsidP="007B29DD">
      <w:pPr>
        <w:pStyle w:val="BodyText"/>
        <w:numPr>
          <w:ilvl w:val="0"/>
          <w:numId w:val="23"/>
        </w:numPr>
        <w:rPr>
          <w:lang w:eastAsia="en-AU"/>
        </w:rPr>
      </w:pPr>
      <w:r w:rsidRPr="00750B7D">
        <w:rPr>
          <w:b/>
          <w:bCs/>
          <w:lang w:eastAsia="en-AU"/>
        </w:rPr>
        <w:t>Downscaling of GCM results:</w:t>
      </w:r>
      <w:r w:rsidRPr="001D092F">
        <w:rPr>
          <w:lang w:eastAsia="en-AU"/>
        </w:rPr>
        <w:t xml:space="preserve"> Downscaling provides projections at a finer resolution than that of the output of the GCMs (typical resolution in the order of 200 km x 200 km grid cells). Many techniques exist for this process</w:t>
      </w:r>
      <w:r>
        <w:rPr>
          <w:lang w:eastAsia="en-AU"/>
        </w:rPr>
        <w:t>,</w:t>
      </w:r>
      <w:r w:rsidRPr="001D092F">
        <w:rPr>
          <w:lang w:eastAsia="en-AU"/>
        </w:rPr>
        <w:t xml:space="preserve"> ranging from simple scaling to complex dynamical and statistical modelling. The empirical delta scaling method was adopted for the VicCI projections</w:t>
      </w:r>
      <w:r>
        <w:rPr>
          <w:lang w:eastAsia="en-AU"/>
        </w:rPr>
        <w:t xml:space="preserve"> in the guidelines</w:t>
      </w:r>
      <w:r w:rsidRPr="001D092F">
        <w:rPr>
          <w:lang w:eastAsia="en-AU"/>
        </w:rPr>
        <w:t xml:space="preserve"> because it is robust, computationally less complex than other methods</w:t>
      </w:r>
      <w:r>
        <w:rPr>
          <w:lang w:eastAsia="en-AU"/>
        </w:rPr>
        <w:t xml:space="preserve"> (allowing consideration of projections from the full range of 42 GCMs),</w:t>
      </w:r>
      <w:r w:rsidRPr="001D092F">
        <w:rPr>
          <w:lang w:eastAsia="en-AU"/>
        </w:rPr>
        <w:t xml:space="preserve"> and represents changes in average climate conditions </w:t>
      </w:r>
      <w:r w:rsidRPr="00FE184F">
        <w:rPr>
          <w:lang w:eastAsia="en-AU"/>
        </w:rPr>
        <w:t>well (Ekström, 2015). In this</w:t>
      </w:r>
      <w:r w:rsidRPr="001D092F">
        <w:rPr>
          <w:lang w:eastAsia="en-AU"/>
        </w:rPr>
        <w:t xml:space="preserve"> method, annual and seasonal scaling factors were derived based on output from the GCMs in the selected time periods (differences between future and current time period). For rainfall, a more complex daily scaling</w:t>
      </w:r>
      <w:r>
        <w:rPr>
          <w:lang w:eastAsia="en-AU"/>
        </w:rPr>
        <w:t>, which</w:t>
      </w:r>
      <w:r w:rsidRPr="001D092F">
        <w:rPr>
          <w:lang w:eastAsia="en-AU"/>
        </w:rPr>
        <w:t xml:space="preserve"> </w:t>
      </w:r>
      <w:r>
        <w:rPr>
          <w:lang w:eastAsia="en-AU"/>
        </w:rPr>
        <w:t>accounts for changes in the future daily rainfall distribution,</w:t>
      </w:r>
      <w:r w:rsidRPr="001D092F">
        <w:rPr>
          <w:lang w:eastAsia="en-AU"/>
        </w:rPr>
        <w:t xml:space="preserve"> was also implemented</w:t>
      </w:r>
      <w:r>
        <w:rPr>
          <w:lang w:eastAsia="en-AU"/>
        </w:rPr>
        <w:t>.</w:t>
      </w:r>
    </w:p>
    <w:p w14:paraId="167BA9DD" w14:textId="77777777" w:rsidR="007B29DD" w:rsidRPr="00D34EC6" w:rsidRDefault="007B29DD" w:rsidP="007B29DD">
      <w:pPr>
        <w:pStyle w:val="BodyText"/>
        <w:numPr>
          <w:ilvl w:val="0"/>
          <w:numId w:val="23"/>
        </w:numPr>
        <w:rPr>
          <w:lang w:eastAsia="en-AU"/>
        </w:rPr>
      </w:pPr>
      <w:r w:rsidRPr="00D34EC6">
        <w:rPr>
          <w:b/>
          <w:bCs/>
          <w:lang w:eastAsia="en-AU"/>
        </w:rPr>
        <w:t>Hydrological modelling:</w:t>
      </w:r>
      <w:r w:rsidRPr="00D34EC6">
        <w:rPr>
          <w:lang w:eastAsia="en-AU"/>
        </w:rPr>
        <w:t xml:space="preserve"> </w:t>
      </w:r>
      <w:r>
        <w:rPr>
          <w:lang w:eastAsia="en-AU"/>
        </w:rPr>
        <w:t xml:space="preserve">The </w:t>
      </w:r>
      <w:r w:rsidRPr="00D34EC6">
        <w:rPr>
          <w:lang w:eastAsia="en-AU"/>
        </w:rPr>
        <w:t>SIMHYD rainfall-runoff model w</w:t>
      </w:r>
      <w:r>
        <w:rPr>
          <w:lang w:eastAsia="en-AU"/>
        </w:rPr>
        <w:t>as</w:t>
      </w:r>
      <w:r w:rsidRPr="00D34EC6">
        <w:rPr>
          <w:lang w:eastAsia="en-AU"/>
        </w:rPr>
        <w:t xml:space="preserve"> calibrated to 90 unregulated river catchments across Victoria over the period 1975</w:t>
      </w:r>
      <w:r>
        <w:rPr>
          <w:lang w:eastAsia="en-AU"/>
        </w:rPr>
        <w:t>–</w:t>
      </w:r>
      <w:r w:rsidRPr="00D34EC6">
        <w:rPr>
          <w:lang w:eastAsia="en-AU"/>
        </w:rPr>
        <w:t>2014. A ‘nearest neighbour’ regionalisation method was used to obtain parameter sets for 5 km grid cells to simulate runoff across Victoria. Modelled future runoff (using the above future climate input) was then compared to the modelled historical runoff to estimate the change in future runoff.</w:t>
      </w:r>
    </w:p>
    <w:p w14:paraId="21303BA2" w14:textId="77777777" w:rsidR="007B29DD" w:rsidRPr="00866D04" w:rsidRDefault="007B29DD" w:rsidP="007B29DD">
      <w:pPr>
        <w:pStyle w:val="BodyText"/>
        <w:numPr>
          <w:ilvl w:val="0"/>
          <w:numId w:val="23"/>
        </w:numPr>
        <w:rPr>
          <w:lang w:eastAsia="en-AU"/>
        </w:rPr>
      </w:pPr>
      <w:r w:rsidRPr="00866D04">
        <w:rPr>
          <w:b/>
          <w:bCs/>
          <w:lang w:eastAsia="en-AU"/>
        </w:rPr>
        <w:t>Selection of low, medium and high climate change projections for each emissions scenario:</w:t>
      </w:r>
      <w:r w:rsidRPr="00866D04">
        <w:rPr>
          <w:lang w:eastAsia="en-AU"/>
        </w:rPr>
        <w:t xml:space="preserve"> The results from the GCMs with the 10</w:t>
      </w:r>
      <w:r w:rsidRPr="003178A9">
        <w:rPr>
          <w:lang w:eastAsia="en-AU"/>
        </w:rPr>
        <w:t>th</w:t>
      </w:r>
      <w:r w:rsidRPr="00866D04">
        <w:rPr>
          <w:lang w:eastAsia="en-AU"/>
        </w:rPr>
        <w:t xml:space="preserve"> percentile, median and 90</w:t>
      </w:r>
      <w:r w:rsidRPr="003178A9">
        <w:rPr>
          <w:lang w:eastAsia="en-AU"/>
        </w:rPr>
        <w:t>th</w:t>
      </w:r>
      <w:r w:rsidRPr="00866D04">
        <w:rPr>
          <w:lang w:eastAsia="en-AU"/>
        </w:rPr>
        <w:t xml:space="preserve"> percentile runoff response to the climate projections </w:t>
      </w:r>
      <w:r>
        <w:rPr>
          <w:lang w:eastAsia="en-AU"/>
        </w:rPr>
        <w:t>were</w:t>
      </w:r>
      <w:r w:rsidRPr="00866D04">
        <w:rPr>
          <w:lang w:eastAsia="en-AU"/>
        </w:rPr>
        <w:t xml:space="preserve"> selected in the guidelines to define the low, medium and high climate change scenarios. The median of the model ensemble is the result </w:t>
      </w:r>
      <w:r>
        <w:rPr>
          <w:lang w:eastAsia="en-AU"/>
        </w:rPr>
        <w:t>that</w:t>
      </w:r>
      <w:r w:rsidRPr="00866D04">
        <w:rPr>
          <w:lang w:eastAsia="en-AU"/>
        </w:rPr>
        <w:t xml:space="preserve"> is projected to be exceeded by 50% of the 42 </w:t>
      </w:r>
      <w:r>
        <w:rPr>
          <w:lang w:eastAsia="en-AU"/>
        </w:rPr>
        <w:t>GCM</w:t>
      </w:r>
      <w:r w:rsidRPr="00866D04">
        <w:rPr>
          <w:lang w:eastAsia="en-AU"/>
        </w:rPr>
        <w:t xml:space="preserve">s. The </w:t>
      </w:r>
      <w:r w:rsidRPr="003178A9">
        <w:rPr>
          <w:lang w:eastAsia="en-AU"/>
        </w:rPr>
        <w:t>90th</w:t>
      </w:r>
      <w:r w:rsidRPr="00866D04">
        <w:rPr>
          <w:lang w:eastAsia="en-AU"/>
        </w:rPr>
        <w:t xml:space="preserve"> percentile GCM result (high climate change) is drier than the 10</w:t>
      </w:r>
      <w:r w:rsidRPr="003178A9">
        <w:rPr>
          <w:lang w:eastAsia="en-AU"/>
        </w:rPr>
        <w:t>th</w:t>
      </w:r>
      <w:r w:rsidRPr="00866D04">
        <w:rPr>
          <w:lang w:eastAsia="en-AU"/>
        </w:rPr>
        <w:t xml:space="preserve"> percentile GCM result (low climate change). It is important to note that because the 10</w:t>
      </w:r>
      <w:r w:rsidRPr="003178A9">
        <w:rPr>
          <w:lang w:eastAsia="en-AU"/>
        </w:rPr>
        <w:t>th</w:t>
      </w:r>
      <w:r w:rsidRPr="00866D04">
        <w:rPr>
          <w:lang w:eastAsia="en-AU"/>
        </w:rPr>
        <w:t xml:space="preserve"> and 90</w:t>
      </w:r>
      <w:r w:rsidRPr="003178A9">
        <w:rPr>
          <w:lang w:eastAsia="en-AU"/>
        </w:rPr>
        <w:t>th</w:t>
      </w:r>
      <w:r w:rsidRPr="00866D04">
        <w:rPr>
          <w:lang w:eastAsia="en-AU"/>
        </w:rPr>
        <w:t xml:space="preserve"> percentiles have been used, there are a small number of GCMs that sit outside of the wet and dry range </w:t>
      </w:r>
      <w:r>
        <w:rPr>
          <w:lang w:eastAsia="en-AU"/>
        </w:rPr>
        <w:t>—</w:t>
      </w:r>
      <w:r w:rsidRPr="00866D04">
        <w:rPr>
          <w:lang w:eastAsia="en-AU"/>
        </w:rPr>
        <w:t xml:space="preserve"> so the future may be wetter or drier than the range covered by the low and high scenarios. </w:t>
      </w:r>
      <w:r>
        <w:rPr>
          <w:lang w:eastAsia="en-AU"/>
        </w:rPr>
        <w:t xml:space="preserve">There is also the possibility that our future might lie outside the modelled range due to limitations in the models, feedbacks that are not modelled, and low-likelihood high impact events such as a major meteorite strike or an on-going global pandemic. </w:t>
      </w:r>
      <w:r w:rsidRPr="00866D04">
        <w:rPr>
          <w:lang w:eastAsia="en-AU"/>
        </w:rPr>
        <w:t>These scenarios represent a low, medium and high climate change impact on water availability from climate dependent sources.</w:t>
      </w:r>
      <w:r w:rsidRPr="00E87C3F">
        <w:rPr>
          <w:lang w:eastAsia="en-AU"/>
        </w:rPr>
        <w:t xml:space="preserve"> </w:t>
      </w:r>
      <w:r>
        <w:rPr>
          <w:lang w:eastAsia="en-AU"/>
        </w:rPr>
        <w:t>Projections (10</w:t>
      </w:r>
      <w:r w:rsidRPr="003178A9">
        <w:rPr>
          <w:lang w:eastAsia="en-AU"/>
        </w:rPr>
        <w:t>th</w:t>
      </w:r>
      <w:r>
        <w:rPr>
          <w:lang w:eastAsia="en-AU"/>
        </w:rPr>
        <w:t>, 50</w:t>
      </w:r>
      <w:r w:rsidRPr="003178A9">
        <w:rPr>
          <w:lang w:eastAsia="en-AU"/>
        </w:rPr>
        <w:t>th</w:t>
      </w:r>
      <w:r>
        <w:rPr>
          <w:lang w:eastAsia="en-AU"/>
        </w:rPr>
        <w:t xml:space="preserve"> and 90</w:t>
      </w:r>
      <w:r w:rsidRPr="003178A9">
        <w:rPr>
          <w:lang w:eastAsia="en-AU"/>
        </w:rPr>
        <w:t>th</w:t>
      </w:r>
      <w:r>
        <w:rPr>
          <w:lang w:eastAsia="en-AU"/>
        </w:rPr>
        <w:t xml:space="preserve"> percentiles) can be drawn from different GCMs for different climate parameters and basins. This is discussed further in Section </w:t>
      </w:r>
      <w:r>
        <w:rPr>
          <w:lang w:eastAsia="en-AU"/>
        </w:rPr>
        <w:fldChar w:fldCharType="begin"/>
      </w:r>
      <w:r>
        <w:rPr>
          <w:lang w:eastAsia="en-AU"/>
        </w:rPr>
        <w:instrText xml:space="preserve"> REF _Ref51176665 \r \h </w:instrText>
      </w:r>
      <w:r>
        <w:rPr>
          <w:lang w:eastAsia="en-AU"/>
        </w:rPr>
      </w:r>
      <w:r>
        <w:rPr>
          <w:lang w:eastAsia="en-AU"/>
        </w:rPr>
        <w:fldChar w:fldCharType="separate"/>
      </w:r>
      <w:r>
        <w:rPr>
          <w:lang w:eastAsia="en-AU"/>
        </w:rPr>
        <w:t>5.6.2</w:t>
      </w:r>
      <w:r>
        <w:rPr>
          <w:lang w:eastAsia="en-AU"/>
        </w:rPr>
        <w:fldChar w:fldCharType="end"/>
      </w:r>
      <w:r>
        <w:rPr>
          <w:lang w:eastAsia="en-AU"/>
        </w:rPr>
        <w:t>.</w:t>
      </w:r>
    </w:p>
    <w:p w14:paraId="526C801B" w14:textId="77777777" w:rsidR="007B29DD" w:rsidRDefault="007B29DD" w:rsidP="007B29DD">
      <w:pPr>
        <w:pStyle w:val="BodyText"/>
        <w:numPr>
          <w:ilvl w:val="0"/>
          <w:numId w:val="23"/>
        </w:numPr>
        <w:rPr>
          <w:lang w:eastAsia="en-AU"/>
        </w:rPr>
      </w:pPr>
      <w:r w:rsidRPr="00B240C9">
        <w:rPr>
          <w:b/>
          <w:bCs/>
          <w:lang w:eastAsia="en-AU"/>
        </w:rPr>
        <w:t>Projected changes for each river basin in Victoria:</w:t>
      </w:r>
      <w:r w:rsidRPr="00866D04">
        <w:rPr>
          <w:lang w:eastAsia="en-AU"/>
        </w:rPr>
        <w:t xml:space="preserve"> Results are presented as </w:t>
      </w:r>
      <w:r>
        <w:rPr>
          <w:lang w:eastAsia="en-AU"/>
        </w:rPr>
        <w:t>s</w:t>
      </w:r>
      <w:r w:rsidRPr="00866D04">
        <w:rPr>
          <w:lang w:eastAsia="en-AU"/>
        </w:rPr>
        <w:t>tate</w:t>
      </w:r>
      <w:r>
        <w:rPr>
          <w:lang w:eastAsia="en-AU"/>
        </w:rPr>
        <w:t>-</w:t>
      </w:r>
      <w:r w:rsidRPr="00866D04">
        <w:rPr>
          <w:lang w:eastAsia="en-AU"/>
        </w:rPr>
        <w:t>wide maps and tables for each river basin in Victoria</w:t>
      </w:r>
      <w:r>
        <w:rPr>
          <w:lang w:eastAsia="en-AU"/>
        </w:rPr>
        <w:t xml:space="preserve"> in the relevant parts of Section </w:t>
      </w:r>
      <w:r>
        <w:rPr>
          <w:lang w:eastAsia="en-AU"/>
        </w:rPr>
        <w:fldChar w:fldCharType="begin"/>
      </w:r>
      <w:r>
        <w:rPr>
          <w:lang w:eastAsia="en-AU"/>
        </w:rPr>
        <w:instrText xml:space="preserve"> REF _Ref39648030 \r \h </w:instrText>
      </w:r>
      <w:r>
        <w:rPr>
          <w:lang w:eastAsia="en-AU"/>
        </w:rPr>
      </w:r>
      <w:r>
        <w:rPr>
          <w:lang w:eastAsia="en-AU"/>
        </w:rPr>
        <w:fldChar w:fldCharType="separate"/>
      </w:r>
      <w:r>
        <w:rPr>
          <w:lang w:eastAsia="en-AU"/>
        </w:rPr>
        <w:t>5</w:t>
      </w:r>
      <w:r>
        <w:rPr>
          <w:lang w:eastAsia="en-AU"/>
        </w:rPr>
        <w:fldChar w:fldCharType="end"/>
      </w:r>
      <w:r w:rsidRPr="00866D04">
        <w:rPr>
          <w:lang w:eastAsia="en-AU"/>
        </w:rPr>
        <w:t>.</w:t>
      </w:r>
    </w:p>
    <w:p w14:paraId="277B65E0"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4F7027E2" w14:textId="77777777" w:rsidTr="00306AF1">
        <w:tc>
          <w:tcPr>
            <w:tcW w:w="9639" w:type="dxa"/>
            <w:hideMark/>
          </w:tcPr>
          <w:p w14:paraId="44000297" w14:textId="77777777" w:rsidR="007B29DD" w:rsidRDefault="007B29DD" w:rsidP="00306AF1">
            <w:pPr>
              <w:pStyle w:val="HighlightBoxText"/>
              <w:jc w:val="both"/>
            </w:pPr>
            <w:r w:rsidRPr="002F3BA7">
              <w:rPr>
                <w:color w:val="000000" w:themeColor="text1"/>
              </w:rPr>
              <w:t>The VicCI projections are based on all 42 CMIP5 GCM results. GCM outputs have been downscaled using an empirical scaling method, except for runoff impacts, which have been calculated using rainfall-runoff modelling. The 10th, 50th and 90th percentile results are presented at a basin scale in these guidelines as low, medium and high climate change projections.</w:t>
            </w:r>
          </w:p>
        </w:tc>
      </w:tr>
    </w:tbl>
    <w:p w14:paraId="1CB6D874" w14:textId="77777777" w:rsidR="007B29DD" w:rsidRDefault="007B29DD" w:rsidP="007B29DD">
      <w:pPr>
        <w:pStyle w:val="BodyText"/>
      </w:pPr>
      <w:bookmarkStart w:id="216" w:name="_Toc42852450"/>
      <w:bookmarkStart w:id="217" w:name="_Toc42852451"/>
      <w:bookmarkStart w:id="218" w:name="_Ref39647873"/>
      <w:bookmarkStart w:id="219" w:name="_Ref39744840"/>
      <w:bookmarkEnd w:id="216"/>
      <w:bookmarkEnd w:id="217"/>
    </w:p>
    <w:p w14:paraId="2D9A9B54" w14:textId="77777777" w:rsidR="007B29DD" w:rsidRDefault="007B29DD" w:rsidP="007B29DD">
      <w:pPr>
        <w:pStyle w:val="Heading3"/>
        <w:numPr>
          <w:ilvl w:val="2"/>
          <w:numId w:val="5"/>
        </w:numPr>
        <w:tabs>
          <w:tab w:val="clear" w:pos="0"/>
          <w:tab w:val="left" w:pos="1418"/>
          <w:tab w:val="left" w:pos="1701"/>
          <w:tab w:val="left" w:pos="1985"/>
        </w:tabs>
        <w:spacing w:before="200" w:after="100" w:line="240" w:lineRule="exact"/>
      </w:pPr>
      <w:bookmarkStart w:id="220" w:name="_Toc43476459"/>
      <w:bookmarkStart w:id="221" w:name="_Ref44334672"/>
      <w:bookmarkStart w:id="222" w:name="_Ref44335559"/>
      <w:bookmarkStart w:id="223" w:name="_Ref44335579"/>
      <w:bookmarkStart w:id="224" w:name="_Toc44928702"/>
      <w:bookmarkStart w:id="225" w:name="_Toc51657975"/>
      <w:bookmarkStart w:id="226" w:name="_Toc53585880"/>
      <w:bookmarkStart w:id="227" w:name="_Toc57377131"/>
      <w:r>
        <w:t>Regional climate modelling</w:t>
      </w:r>
      <w:bookmarkEnd w:id="218"/>
      <w:r>
        <w:t xml:space="preserve"> (VCP19)</w:t>
      </w:r>
      <w:bookmarkEnd w:id="219"/>
      <w:bookmarkEnd w:id="220"/>
      <w:bookmarkEnd w:id="221"/>
      <w:bookmarkEnd w:id="222"/>
      <w:bookmarkEnd w:id="223"/>
      <w:bookmarkEnd w:id="224"/>
      <w:bookmarkEnd w:id="225"/>
      <w:bookmarkEnd w:id="226"/>
      <w:bookmarkEnd w:id="227"/>
    </w:p>
    <w:p w14:paraId="1F45C068" w14:textId="77777777" w:rsidR="007B29DD" w:rsidRDefault="007B29DD" w:rsidP="007B29DD">
      <w:pPr>
        <w:pStyle w:val="BodyText"/>
        <w:rPr>
          <w:bCs/>
          <w:lang w:eastAsia="en-AU"/>
        </w:rPr>
      </w:pPr>
      <w:r w:rsidRPr="0075288A">
        <w:rPr>
          <w:bCs/>
          <w:lang w:eastAsia="en-AU"/>
        </w:rPr>
        <w:t xml:space="preserve">High resolution </w:t>
      </w:r>
      <w:r>
        <w:rPr>
          <w:bCs/>
          <w:lang w:eastAsia="en-AU"/>
        </w:rPr>
        <w:t>stretched-grid</w:t>
      </w:r>
      <w:r w:rsidRPr="0075288A">
        <w:rPr>
          <w:bCs/>
          <w:lang w:eastAsia="en-AU"/>
        </w:rPr>
        <w:t xml:space="preserve"> </w:t>
      </w:r>
      <w:r>
        <w:rPr>
          <w:bCs/>
          <w:lang w:eastAsia="en-AU"/>
        </w:rPr>
        <w:t xml:space="preserve">climate modelling is an alternative downscaling technique to that adopted in the VicCI projections for the guidelines. This process, known as dynamic downscaling, involves running GCM outputs through a finer scale climate model that incorporates the influence of topography and coastlines on climate behaviour. This potentially has a number of benefits over the downscaling method used for the VicCI projections. These include </w:t>
      </w:r>
      <w:r>
        <w:rPr>
          <w:bCs/>
          <w:lang w:eastAsia="en-AU"/>
        </w:rPr>
        <w:lastRenderedPageBreak/>
        <w:t>capturing changes in variability in the projected climate, and a better understanding of local climate behaviour, particularly in alpine areas.</w:t>
      </w:r>
    </w:p>
    <w:p w14:paraId="51F315EB" w14:textId="77777777" w:rsidR="007B29DD" w:rsidRDefault="007B29DD" w:rsidP="007B29DD">
      <w:pPr>
        <w:pStyle w:val="BodyText"/>
        <w:rPr>
          <w:lang w:eastAsia="en-AU"/>
        </w:rPr>
      </w:pPr>
      <w:r w:rsidRPr="00BE401F">
        <w:t>The Victorian Climate Projections 2019</w:t>
      </w:r>
      <w:r>
        <w:t xml:space="preserve"> (VCP19) utilised the CSIRO Conformal Cubic Atmospheric Model (CCAM) to dynamically downscale projections to a 5 km resolution across Victoria. These projections </w:t>
      </w:r>
      <w:r w:rsidRPr="00BE401F">
        <w:t>were released in October 2019 (Clarke et al., 2019</w:t>
      </w:r>
      <w:r>
        <w:t>a</w:t>
      </w:r>
      <w:r w:rsidRPr="00BE401F">
        <w:t xml:space="preserve">). A primary justification for preparing the projections was to extend Victoria’s climate change projection information by utilising </w:t>
      </w:r>
      <w:r>
        <w:t>an</w:t>
      </w:r>
      <w:r w:rsidRPr="00BE401F">
        <w:t xml:space="preserve"> approach that was different to the downscaling approach used in the VicCI projection modelling. Other reasons for developing an alternative set of projections were to output additional climate parameters not directly related to water resources, and to potentially gain insights into climate projections at a local scale after considering the effects of local mountain ranges.</w:t>
      </w:r>
      <w:r w:rsidRPr="00BE401F">
        <w:rPr>
          <w:lang w:eastAsia="en-AU"/>
        </w:rPr>
        <w:t xml:space="preserve"> </w:t>
      </w:r>
      <w:r>
        <w:rPr>
          <w:lang w:eastAsia="en-AU"/>
        </w:rPr>
        <w:t xml:space="preserve">A brief comparison of the key features of VCP19 relative to the VicCI projections is presented in </w:t>
      </w:r>
      <w:r>
        <w:rPr>
          <w:lang w:eastAsia="en-AU"/>
        </w:rPr>
        <w:fldChar w:fldCharType="begin"/>
      </w:r>
      <w:r>
        <w:rPr>
          <w:lang w:eastAsia="en-AU"/>
        </w:rPr>
        <w:instrText xml:space="preserve"> REF _Ref22559075 \h </w:instrText>
      </w:r>
      <w:r>
        <w:rPr>
          <w:lang w:eastAsia="en-AU"/>
        </w:rPr>
      </w:r>
      <w:r>
        <w:rPr>
          <w:lang w:eastAsia="en-AU"/>
        </w:rPr>
        <w:fldChar w:fldCharType="separate"/>
      </w:r>
      <w:r>
        <w:t xml:space="preserve">Table </w:t>
      </w:r>
      <w:r>
        <w:rPr>
          <w:noProof/>
        </w:rPr>
        <w:t>1</w:t>
      </w:r>
      <w:r>
        <w:rPr>
          <w:lang w:eastAsia="en-AU"/>
        </w:rPr>
        <w:fldChar w:fldCharType="end"/>
      </w:r>
      <w:r>
        <w:rPr>
          <w:lang w:eastAsia="en-AU"/>
        </w:rPr>
        <w:t>. The key differences are:</w:t>
      </w:r>
    </w:p>
    <w:p w14:paraId="759CC4CA" w14:textId="77777777" w:rsidR="007B29DD" w:rsidRDefault="007B29DD" w:rsidP="007B29DD">
      <w:pPr>
        <w:pStyle w:val="BodyText"/>
        <w:numPr>
          <w:ilvl w:val="0"/>
          <w:numId w:val="21"/>
        </w:numPr>
        <w:rPr>
          <w:lang w:eastAsia="en-AU"/>
        </w:rPr>
      </w:pPr>
      <w:r w:rsidRPr="4C198B8C">
        <w:rPr>
          <w:lang w:eastAsia="en-AU"/>
        </w:rPr>
        <w:t xml:space="preserve">The VicCI projections present a range of outputs after considering the outputs from all 42 available CMIP5 GCMs, but the VCP19 projections only utilise </w:t>
      </w:r>
      <w:r>
        <w:rPr>
          <w:lang w:eastAsia="en-AU"/>
        </w:rPr>
        <w:t>six</w:t>
      </w:r>
      <w:r w:rsidRPr="4C198B8C">
        <w:rPr>
          <w:lang w:eastAsia="en-AU"/>
        </w:rPr>
        <w:t xml:space="preserve"> of those 42 GCMs</w:t>
      </w:r>
      <w:r>
        <w:rPr>
          <w:lang w:eastAsia="en-AU"/>
        </w:rPr>
        <w:t xml:space="preserve">. </w:t>
      </w:r>
      <w:r w:rsidRPr="0047081C">
        <w:rPr>
          <w:lang w:eastAsia="en-AU"/>
        </w:rPr>
        <w:t xml:space="preserve">These six GCMs </w:t>
      </w:r>
      <w:r>
        <w:rPr>
          <w:lang w:eastAsia="en-AU"/>
        </w:rPr>
        <w:t>were chosen to re</w:t>
      </w:r>
      <w:r w:rsidRPr="0047081C">
        <w:rPr>
          <w:lang w:eastAsia="en-AU"/>
        </w:rPr>
        <w:t xml:space="preserve">present </w:t>
      </w:r>
      <w:r>
        <w:rPr>
          <w:lang w:eastAsia="en-AU"/>
        </w:rPr>
        <w:t>a</w:t>
      </w:r>
      <w:r w:rsidRPr="0047081C">
        <w:rPr>
          <w:lang w:eastAsia="en-AU"/>
        </w:rPr>
        <w:t xml:space="preserve"> range of projected changes in temperature and rainfall</w:t>
      </w:r>
      <w:r>
        <w:rPr>
          <w:lang w:eastAsia="en-AU"/>
        </w:rPr>
        <w:t>,</w:t>
      </w:r>
      <w:r w:rsidRPr="0047081C">
        <w:rPr>
          <w:lang w:eastAsia="en-AU"/>
        </w:rPr>
        <w:t xml:space="preserve"> as well as </w:t>
      </w:r>
      <w:r>
        <w:rPr>
          <w:lang w:eastAsia="en-AU"/>
        </w:rPr>
        <w:t>having realistic representations of large-scale drivers of the Australian climate, but they do not cover the full range of available projections in each river basin, as explored further in Appendix B.2.1.</w:t>
      </w:r>
    </w:p>
    <w:p w14:paraId="1A367338" w14:textId="77777777" w:rsidR="007B29DD" w:rsidRPr="00BC6522" w:rsidRDefault="007B29DD" w:rsidP="007B29DD">
      <w:pPr>
        <w:pStyle w:val="BodyText"/>
        <w:numPr>
          <w:ilvl w:val="0"/>
          <w:numId w:val="21"/>
        </w:numPr>
        <w:rPr>
          <w:lang w:eastAsia="en-AU"/>
        </w:rPr>
      </w:pPr>
      <w:r w:rsidRPr="4C198B8C">
        <w:rPr>
          <w:lang w:eastAsia="en-AU"/>
        </w:rPr>
        <w:t>The VCP19 projections provide a range of other outputs not directly related to water supply impact assessment, in addition to those available from the VicCI projections</w:t>
      </w:r>
      <w:r>
        <w:rPr>
          <w:lang w:eastAsia="en-AU"/>
        </w:rPr>
        <w:t>.</w:t>
      </w:r>
    </w:p>
    <w:p w14:paraId="35EEEC4F" w14:textId="77777777" w:rsidR="007B29DD" w:rsidRDefault="007B29DD" w:rsidP="007B29DD">
      <w:pPr>
        <w:pStyle w:val="BodyText"/>
        <w:numPr>
          <w:ilvl w:val="0"/>
          <w:numId w:val="21"/>
        </w:numPr>
        <w:rPr>
          <w:lang w:eastAsia="en-AU"/>
        </w:rPr>
      </w:pPr>
      <w:r w:rsidRPr="4C198B8C">
        <w:rPr>
          <w:lang w:eastAsia="en-AU"/>
        </w:rPr>
        <w:t>The VCP19 projections represent changes in daily</w:t>
      </w:r>
      <w:r>
        <w:rPr>
          <w:lang w:eastAsia="en-AU"/>
        </w:rPr>
        <w:t>,</w:t>
      </w:r>
      <w:r w:rsidRPr="4C198B8C">
        <w:rPr>
          <w:lang w:eastAsia="en-AU"/>
        </w:rPr>
        <w:t xml:space="preserve"> monthly</w:t>
      </w:r>
      <w:r>
        <w:rPr>
          <w:lang w:eastAsia="en-AU"/>
        </w:rPr>
        <w:t>, seasonal and annual</w:t>
      </w:r>
      <w:r w:rsidRPr="4C198B8C">
        <w:rPr>
          <w:lang w:eastAsia="en-AU"/>
        </w:rPr>
        <w:t xml:space="preserve"> climate behaviour</w:t>
      </w:r>
      <w:r>
        <w:rPr>
          <w:lang w:eastAsia="en-AU"/>
        </w:rPr>
        <w:t xml:space="preserve"> and variability</w:t>
      </w:r>
      <w:r w:rsidRPr="4C198B8C">
        <w:rPr>
          <w:lang w:eastAsia="en-AU"/>
        </w:rPr>
        <w:t>, whereas the VicCI projections only present annual (and seasonal) projected changes</w:t>
      </w:r>
      <w:r>
        <w:rPr>
          <w:lang w:eastAsia="en-AU"/>
        </w:rPr>
        <w:t xml:space="preserve"> (although changes in the daily rainfall distribution are accounted for in the modelling).</w:t>
      </w:r>
    </w:p>
    <w:p w14:paraId="29EC58AF" w14:textId="77777777" w:rsidR="007B29DD" w:rsidRDefault="007B29DD" w:rsidP="007B29DD">
      <w:pPr>
        <w:pStyle w:val="BodyText"/>
        <w:numPr>
          <w:ilvl w:val="0"/>
          <w:numId w:val="21"/>
        </w:numPr>
        <w:rPr>
          <w:lang w:eastAsia="en-AU"/>
        </w:rPr>
      </w:pPr>
      <w:r w:rsidRPr="4C198B8C">
        <w:rPr>
          <w:lang w:eastAsia="en-AU"/>
        </w:rPr>
        <w:t>The VCP19 projections extend over a longer time period, up to 2090, given their potential use in other applications beyond a 50-year planning horizon, whereas the VicCI projections only extend to 2065.</w:t>
      </w:r>
    </w:p>
    <w:p w14:paraId="6B12FE13" w14:textId="77777777" w:rsidR="007B29DD" w:rsidRDefault="007B29DD" w:rsidP="007B29DD">
      <w:pPr>
        <w:pStyle w:val="Caption"/>
      </w:pPr>
      <w:bookmarkStart w:id="228" w:name="_Ref22559075"/>
      <w:bookmarkStart w:id="229" w:name="_Toc30425251"/>
      <w:bookmarkStart w:id="230" w:name="_Toc43476555"/>
      <w:bookmarkStart w:id="231" w:name="_Toc44928800"/>
      <w:bookmarkStart w:id="232" w:name="_Toc51237463"/>
      <w:bookmarkStart w:id="233" w:name="_Toc53585978"/>
      <w:bookmarkStart w:id="234" w:name="_Toc57377229"/>
      <w:r>
        <w:t xml:space="preserve">Table </w:t>
      </w:r>
      <w:r>
        <w:fldChar w:fldCharType="begin"/>
      </w:r>
      <w:r>
        <w:instrText>SEQ Table \* ARABIC</w:instrText>
      </w:r>
      <w:r>
        <w:fldChar w:fldCharType="separate"/>
      </w:r>
      <w:r>
        <w:rPr>
          <w:noProof/>
        </w:rPr>
        <w:t>1</w:t>
      </w:r>
      <w:r>
        <w:fldChar w:fldCharType="end"/>
      </w:r>
      <w:bookmarkEnd w:id="228"/>
      <w:r>
        <w:t xml:space="preserve"> Comparison of VCP19 and Victorian Climate Initiative (VicCI) Guideline Projections</w:t>
      </w:r>
      <w:bookmarkEnd w:id="229"/>
      <w:bookmarkEnd w:id="230"/>
      <w:bookmarkEnd w:id="231"/>
      <w:bookmarkEnd w:id="232"/>
      <w:bookmarkEnd w:id="233"/>
      <w:bookmarkEnd w:id="234"/>
    </w:p>
    <w:tbl>
      <w:tblPr>
        <w:tblStyle w:val="TableGrid"/>
        <w:tblW w:w="0" w:type="auto"/>
        <w:tblLook w:val="04A0" w:firstRow="1" w:lastRow="0" w:firstColumn="1" w:lastColumn="0" w:noHBand="0" w:noVBand="1"/>
      </w:tblPr>
      <w:tblGrid>
        <w:gridCol w:w="2410"/>
        <w:gridCol w:w="3686"/>
        <w:gridCol w:w="3543"/>
      </w:tblGrid>
      <w:tr w:rsidR="007B29DD" w14:paraId="2AE2868F" w14:textId="77777777" w:rsidTr="00997D4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shd w:val="clear" w:color="auto" w:fill="D0CECE" w:themeFill="background2" w:themeFillShade="E6"/>
          </w:tcPr>
          <w:p w14:paraId="52AA0A33" w14:textId="77777777" w:rsidR="007B29DD" w:rsidRPr="006E1945" w:rsidRDefault="007B29DD" w:rsidP="00306AF1">
            <w:pPr>
              <w:pStyle w:val="BodyText"/>
              <w:keepNext/>
              <w:jc w:val="center"/>
              <w:rPr>
                <w:b/>
              </w:rPr>
            </w:pPr>
            <w:r w:rsidRPr="006E1945">
              <w:rPr>
                <w:b/>
                <w:bCs/>
              </w:rPr>
              <w:t>Projection Feature</w:t>
            </w:r>
          </w:p>
        </w:tc>
        <w:tc>
          <w:tcPr>
            <w:tcW w:w="3686" w:type="dxa"/>
            <w:shd w:val="clear" w:color="auto" w:fill="D0CECE" w:themeFill="background2" w:themeFillShade="E6"/>
          </w:tcPr>
          <w:p w14:paraId="60562490" w14:textId="77777777" w:rsidR="007B29DD" w:rsidRPr="006E1945" w:rsidRDefault="007B29DD" w:rsidP="00306AF1">
            <w:pPr>
              <w:pStyle w:val="BodyText"/>
              <w:keepNext/>
              <w:jc w:val="center"/>
              <w:cnfStyle w:val="100000000000" w:firstRow="1" w:lastRow="0" w:firstColumn="0" w:lastColumn="0" w:oddVBand="0" w:evenVBand="0" w:oddHBand="0" w:evenHBand="0" w:firstRowFirstColumn="0" w:firstRowLastColumn="0" w:lastRowFirstColumn="0" w:lastRowLastColumn="0"/>
              <w:rPr>
                <w:b/>
              </w:rPr>
            </w:pPr>
            <w:r w:rsidRPr="006E1945">
              <w:rPr>
                <w:b/>
              </w:rPr>
              <w:t>VCP19</w:t>
            </w:r>
          </w:p>
        </w:tc>
        <w:tc>
          <w:tcPr>
            <w:tcW w:w="3543" w:type="dxa"/>
            <w:shd w:val="clear" w:color="auto" w:fill="D0CECE" w:themeFill="background2" w:themeFillShade="E6"/>
          </w:tcPr>
          <w:p w14:paraId="63C58093" w14:textId="77777777" w:rsidR="007B29DD" w:rsidRPr="006E1945" w:rsidRDefault="007B29DD" w:rsidP="00306AF1">
            <w:pPr>
              <w:pStyle w:val="BodyText"/>
              <w:keepNext/>
              <w:jc w:val="center"/>
              <w:cnfStyle w:val="100000000000" w:firstRow="1" w:lastRow="0" w:firstColumn="0" w:lastColumn="0" w:oddVBand="0" w:evenVBand="0" w:oddHBand="0" w:evenHBand="0" w:firstRowFirstColumn="0" w:firstRowLastColumn="0" w:lastRowFirstColumn="0" w:lastRowLastColumn="0"/>
              <w:rPr>
                <w:b/>
              </w:rPr>
            </w:pPr>
            <w:r w:rsidRPr="006E1945">
              <w:rPr>
                <w:b/>
              </w:rPr>
              <w:t>VicCI</w:t>
            </w:r>
          </w:p>
        </w:tc>
      </w:tr>
      <w:tr w:rsidR="007B29DD" w14:paraId="33E89A3A" w14:textId="77777777" w:rsidTr="00997D4A">
        <w:tc>
          <w:tcPr>
            <w:tcW w:w="2410" w:type="dxa"/>
          </w:tcPr>
          <w:p w14:paraId="4F50D8CA" w14:textId="77777777" w:rsidR="007B29DD" w:rsidRDefault="007B29DD" w:rsidP="00306AF1">
            <w:pPr>
              <w:pStyle w:val="BodyText"/>
              <w:keepNext/>
            </w:pPr>
            <w:r>
              <w:t>Global Climate Models</w:t>
            </w:r>
          </w:p>
        </w:tc>
        <w:tc>
          <w:tcPr>
            <w:tcW w:w="3686" w:type="dxa"/>
            <w:shd w:val="clear" w:color="auto" w:fill="D0CECE" w:themeFill="background2" w:themeFillShade="E6"/>
          </w:tcPr>
          <w:p w14:paraId="6B99AA1A" w14:textId="77777777" w:rsidR="007B29DD" w:rsidRDefault="007B29DD" w:rsidP="00306AF1">
            <w:pPr>
              <w:pStyle w:val="BodyText"/>
              <w:keepNext/>
              <w:jc w:val="center"/>
            </w:pPr>
            <w:r>
              <w:t>Subset of 6 GCMs from the suite of 42 CMIP5 GCMs.</w:t>
            </w:r>
          </w:p>
        </w:tc>
        <w:tc>
          <w:tcPr>
            <w:tcW w:w="3543" w:type="dxa"/>
          </w:tcPr>
          <w:p w14:paraId="011F96CB" w14:textId="77777777" w:rsidR="007B29DD" w:rsidRDefault="007B29DD" w:rsidP="00306AF1">
            <w:pPr>
              <w:pStyle w:val="BodyText"/>
              <w:keepNext/>
              <w:jc w:val="center"/>
            </w:pPr>
            <w:r w:rsidRPr="003178A9">
              <w:t>10th</w:t>
            </w:r>
            <w:r>
              <w:t xml:space="preserve">, </w:t>
            </w:r>
            <w:r w:rsidRPr="005E0E0D">
              <w:t>50th</w:t>
            </w:r>
            <w:r>
              <w:t xml:space="preserve"> and </w:t>
            </w:r>
            <w:r w:rsidRPr="003178A9">
              <w:t>90th</w:t>
            </w:r>
            <w:r>
              <w:t xml:space="preserve"> percentile projections from the suite of 42 CMIP5 GCMs.</w:t>
            </w:r>
          </w:p>
        </w:tc>
      </w:tr>
      <w:tr w:rsidR="007B29DD" w14:paraId="4A39C07F" w14:textId="77777777" w:rsidTr="00997D4A">
        <w:tc>
          <w:tcPr>
            <w:tcW w:w="2410" w:type="dxa"/>
          </w:tcPr>
          <w:p w14:paraId="7D716A8D" w14:textId="77777777" w:rsidR="007B29DD" w:rsidRDefault="007B29DD" w:rsidP="00306AF1">
            <w:pPr>
              <w:pStyle w:val="BodyText"/>
              <w:keepNext/>
            </w:pPr>
            <w:r>
              <w:t>Emissions Trajectories</w:t>
            </w:r>
          </w:p>
        </w:tc>
        <w:tc>
          <w:tcPr>
            <w:tcW w:w="3686" w:type="dxa"/>
            <w:shd w:val="clear" w:color="auto" w:fill="D0CECE" w:themeFill="background2" w:themeFillShade="E6"/>
          </w:tcPr>
          <w:p w14:paraId="03119382" w14:textId="77777777" w:rsidR="007B29DD" w:rsidRDefault="007B29DD" w:rsidP="00306AF1">
            <w:pPr>
              <w:pStyle w:val="BodyText"/>
              <w:keepNext/>
              <w:jc w:val="center"/>
            </w:pPr>
            <w:r>
              <w:t>RCP4.5, RCP8.5.</w:t>
            </w:r>
          </w:p>
        </w:tc>
        <w:tc>
          <w:tcPr>
            <w:tcW w:w="3543" w:type="dxa"/>
          </w:tcPr>
          <w:p w14:paraId="545489DD" w14:textId="77777777" w:rsidR="007B29DD" w:rsidRDefault="007B29DD" w:rsidP="00306AF1">
            <w:pPr>
              <w:pStyle w:val="BodyText"/>
              <w:keepNext/>
              <w:jc w:val="center"/>
            </w:pPr>
            <w:r>
              <w:t>RCP4.5, RCP8.5.</w:t>
            </w:r>
          </w:p>
        </w:tc>
      </w:tr>
      <w:tr w:rsidR="007B29DD" w14:paraId="47599FAD" w14:textId="77777777" w:rsidTr="00997D4A">
        <w:tc>
          <w:tcPr>
            <w:tcW w:w="2410" w:type="dxa"/>
          </w:tcPr>
          <w:p w14:paraId="249AB77B" w14:textId="77777777" w:rsidR="007B29DD" w:rsidRDefault="007B29DD" w:rsidP="00306AF1">
            <w:pPr>
              <w:pStyle w:val="BodyText"/>
              <w:keepNext/>
            </w:pPr>
            <w:r>
              <w:t>Downscaling and bias correction</w:t>
            </w:r>
          </w:p>
        </w:tc>
        <w:tc>
          <w:tcPr>
            <w:tcW w:w="3686" w:type="dxa"/>
            <w:shd w:val="clear" w:color="auto" w:fill="D0CECE" w:themeFill="background2" w:themeFillShade="E6"/>
          </w:tcPr>
          <w:p w14:paraId="5E7DC060" w14:textId="77777777" w:rsidR="007B29DD" w:rsidRDefault="007B29DD" w:rsidP="00306AF1">
            <w:pPr>
              <w:pStyle w:val="BodyText"/>
              <w:keepNext/>
              <w:jc w:val="center"/>
            </w:pPr>
            <w:r>
              <w:t>Downscaled to 5 km grids using a dynamic downscaling model. The VCP19 application-ready datasets apply percentile-percentile scaling to AWAP data from 1980–2010 for bias correction.</w:t>
            </w:r>
          </w:p>
        </w:tc>
        <w:tc>
          <w:tcPr>
            <w:tcW w:w="3543" w:type="dxa"/>
          </w:tcPr>
          <w:p w14:paraId="194A02C9" w14:textId="77777777" w:rsidR="007B29DD" w:rsidRDefault="007B29DD" w:rsidP="00306AF1">
            <w:pPr>
              <w:pStyle w:val="BodyText"/>
              <w:keepNext/>
              <w:jc w:val="center"/>
            </w:pPr>
            <w:r>
              <w:t>Statistical downscaling using empirical delta scaling.</w:t>
            </w:r>
          </w:p>
        </w:tc>
      </w:tr>
      <w:tr w:rsidR="007B29DD" w14:paraId="402E79D8" w14:textId="77777777" w:rsidTr="00997D4A">
        <w:tc>
          <w:tcPr>
            <w:tcW w:w="2410" w:type="dxa"/>
          </w:tcPr>
          <w:p w14:paraId="544F94B3" w14:textId="77777777" w:rsidR="007B29DD" w:rsidRDefault="007B29DD" w:rsidP="00306AF1">
            <w:pPr>
              <w:pStyle w:val="BodyText"/>
            </w:pPr>
            <w:r>
              <w:t>Parameters</w:t>
            </w:r>
          </w:p>
        </w:tc>
        <w:tc>
          <w:tcPr>
            <w:tcW w:w="3686" w:type="dxa"/>
            <w:shd w:val="clear" w:color="auto" w:fill="D0CECE" w:themeFill="background2" w:themeFillShade="E6"/>
          </w:tcPr>
          <w:p w14:paraId="0C08839A" w14:textId="77777777" w:rsidR="007B29DD" w:rsidRDefault="007B29DD" w:rsidP="00306AF1">
            <w:pPr>
              <w:pStyle w:val="BodyText"/>
              <w:jc w:val="center"/>
            </w:pPr>
            <w:r>
              <w:t>Mean, maximum and minimum air temperature (average and extreme), rainfall (average and extreme), relative humidity, potential evapotranspiration, wind speed, solar radiation and days above/below temperature thresholds.</w:t>
            </w:r>
          </w:p>
        </w:tc>
        <w:tc>
          <w:tcPr>
            <w:tcW w:w="3543" w:type="dxa"/>
          </w:tcPr>
          <w:p w14:paraId="3DAD65FD" w14:textId="77777777" w:rsidR="007B29DD" w:rsidRDefault="007B29DD" w:rsidP="00306AF1">
            <w:pPr>
              <w:pStyle w:val="BodyText"/>
              <w:jc w:val="center"/>
            </w:pPr>
            <w:r>
              <w:t>Average annual rainfall, average annual potential evapotranspiration, average annual temperature, average annual runoff, average annual recharge.</w:t>
            </w:r>
          </w:p>
        </w:tc>
      </w:tr>
      <w:tr w:rsidR="007B29DD" w14:paraId="71F41489" w14:textId="77777777" w:rsidTr="00997D4A">
        <w:tc>
          <w:tcPr>
            <w:tcW w:w="2410" w:type="dxa"/>
          </w:tcPr>
          <w:p w14:paraId="520532A0" w14:textId="77777777" w:rsidR="007B29DD" w:rsidRDefault="007B29DD" w:rsidP="00306AF1">
            <w:pPr>
              <w:pStyle w:val="BodyText"/>
            </w:pPr>
            <w:r>
              <w:t>Temporal scale</w:t>
            </w:r>
          </w:p>
        </w:tc>
        <w:tc>
          <w:tcPr>
            <w:tcW w:w="3686" w:type="dxa"/>
            <w:shd w:val="clear" w:color="auto" w:fill="D0CECE" w:themeFill="background2" w:themeFillShade="E6"/>
          </w:tcPr>
          <w:p w14:paraId="2C741831" w14:textId="77777777" w:rsidR="007B29DD" w:rsidRDefault="007B29DD" w:rsidP="00306AF1">
            <w:pPr>
              <w:pStyle w:val="BodyText"/>
              <w:jc w:val="center"/>
            </w:pPr>
            <w:r w:rsidRPr="00025282">
              <w:t xml:space="preserve">Time series </w:t>
            </w:r>
            <w:r>
              <w:t xml:space="preserve">of bias corrected </w:t>
            </w:r>
            <w:r w:rsidRPr="00025282">
              <w:t>data provided on a daily</w:t>
            </w:r>
            <w:r>
              <w:t>,</w:t>
            </w:r>
            <w:r w:rsidRPr="00025282">
              <w:t xml:space="preserve"> monthly</w:t>
            </w:r>
            <w:r>
              <w:t>,</w:t>
            </w:r>
            <w:r w:rsidRPr="00025282">
              <w:t xml:space="preserve"> </w:t>
            </w:r>
            <w:r>
              <w:t xml:space="preserve">seasonal and annual </w:t>
            </w:r>
            <w:r w:rsidRPr="00025282">
              <w:t>time step</w:t>
            </w:r>
            <w:r>
              <w:t xml:space="preserve"> in the application-ready datasets</w:t>
            </w:r>
            <w:r w:rsidRPr="00025282">
              <w:t xml:space="preserve">. </w:t>
            </w:r>
            <w:r>
              <w:t>Bias-corrected t</w:t>
            </w:r>
            <w:r w:rsidRPr="00025282">
              <w:t>ime slices</w:t>
            </w:r>
            <w:r>
              <w:t xml:space="preserve"> </w:t>
            </w:r>
            <w:r w:rsidRPr="00025282">
              <w:t>at year 2030, 2050</w:t>
            </w:r>
            <w:r>
              <w:t xml:space="preserve">, </w:t>
            </w:r>
            <w:r w:rsidRPr="00025282">
              <w:t>2070</w:t>
            </w:r>
            <w:r>
              <w:t xml:space="preserve"> and 2090</w:t>
            </w:r>
            <w:r w:rsidRPr="00025282">
              <w:t>.</w:t>
            </w:r>
            <w:r>
              <w:t xml:space="preserve"> Raw model outputs also available over simulation period from 1960 to 2100 for advanced users.</w:t>
            </w:r>
          </w:p>
        </w:tc>
        <w:tc>
          <w:tcPr>
            <w:tcW w:w="3543" w:type="dxa"/>
          </w:tcPr>
          <w:p w14:paraId="7CD0D123" w14:textId="77777777" w:rsidR="007B29DD" w:rsidRDefault="007B29DD" w:rsidP="00306AF1">
            <w:pPr>
              <w:pStyle w:val="BodyText"/>
              <w:jc w:val="center"/>
            </w:pPr>
            <w:r>
              <w:t>Data provided as average annual (and seasonal) projections. Time slices of change at year 2040 and 2065 relative to 1995.</w:t>
            </w:r>
          </w:p>
        </w:tc>
      </w:tr>
    </w:tbl>
    <w:p w14:paraId="3BC4D078" w14:textId="77777777" w:rsidR="007B29DD" w:rsidRDefault="007B29DD" w:rsidP="007B29DD">
      <w:pPr>
        <w:pStyle w:val="BodyText"/>
      </w:pPr>
    </w:p>
    <w:p w14:paraId="087E5973" w14:textId="77777777" w:rsidR="007B29DD" w:rsidRDefault="007B29DD" w:rsidP="007B29DD">
      <w:pPr>
        <w:pStyle w:val="BodyText"/>
        <w:rPr>
          <w:lang w:eastAsia="en-AU"/>
        </w:rPr>
      </w:pPr>
      <w:r>
        <w:rPr>
          <w:lang w:eastAsia="en-AU"/>
        </w:rPr>
        <w:lastRenderedPageBreak/>
        <w:t>When using the application-ready datasets available from VCP19, it is important to note that these datasets were bias-corrected using a percentile-percentile scaling method. That is, application-ready data was derived using a percentile-percentile scaling approach on a time-slice of observed data to reproduce the changes in the probability distribution projected by the CCAM simulations relative to the baseline period. Hence the application-ready datasets will still have, for example, the same number of rain days, and the same timing of extreme temperature days, as the observed data. The Climate Change in Australia website, which houses the VCP19 datasets, advises against using the raw outputs without applying bias correction.</w:t>
      </w:r>
    </w:p>
    <w:p w14:paraId="723A39AF" w14:textId="77777777" w:rsidR="007B29DD" w:rsidRDefault="007B29DD" w:rsidP="007B29DD">
      <w:pPr>
        <w:pStyle w:val="BodyText"/>
        <w:rPr>
          <w:bCs/>
          <w:lang w:eastAsia="en-AU"/>
        </w:rPr>
      </w:pPr>
      <w:r>
        <w:rPr>
          <w:bCs/>
          <w:lang w:eastAsia="en-AU"/>
        </w:rPr>
        <w:t>The VCP19 projections offer some additional insights into projected climate change behaviour in Victoria. Notably, these include projected enhanced drying on the western windward slopes of mountain ranges (notionally above 1,000 metres elevation) and the effect of climate change on urban heat islands. However, the VCP19 projections also have a number of shortcomings, such as a significant warm bias along the east coast of Victoria, poorer representation of mean sea level pressures than their host GCMs, and an over-estimation of wind speeds in winter for a given level of pressure (Clarke et al., 2019a).</w:t>
      </w:r>
    </w:p>
    <w:p w14:paraId="3EC3F585" w14:textId="77777777" w:rsidR="007B29DD" w:rsidRDefault="007B29DD" w:rsidP="007B29DD">
      <w:pPr>
        <w:pStyle w:val="BodyText"/>
        <w:keepNext/>
      </w:pPr>
    </w:p>
    <w:tbl>
      <w:tblPr>
        <w:tblStyle w:val="HighlightTable"/>
        <w:tblW w:w="0" w:type="auto"/>
        <w:tblLook w:val="04A0" w:firstRow="1" w:lastRow="0" w:firstColumn="1" w:lastColumn="0" w:noHBand="0" w:noVBand="1"/>
      </w:tblPr>
      <w:tblGrid>
        <w:gridCol w:w="9639"/>
      </w:tblGrid>
      <w:tr w:rsidR="007B29DD" w14:paraId="13310C27" w14:textId="77777777" w:rsidTr="00306AF1">
        <w:tc>
          <w:tcPr>
            <w:tcW w:w="9639" w:type="dxa"/>
            <w:hideMark/>
          </w:tcPr>
          <w:p w14:paraId="7EAECE66" w14:textId="77777777" w:rsidR="007B29DD" w:rsidRDefault="007B29DD" w:rsidP="00306AF1">
            <w:pPr>
              <w:pStyle w:val="HighlightBoxText"/>
              <w:keepNext/>
              <w:jc w:val="both"/>
            </w:pPr>
            <w:r w:rsidRPr="002F3BA7">
              <w:rPr>
                <w:color w:val="000000" w:themeColor="text1"/>
              </w:rPr>
              <w:t>These guidelines support the use of VCP19 projections to gain additional insights for specific water planning applications (e.g. in alpine areas and for examining projected changes in urban heat islands), and for use in sensitivity testing of streamflow characteristics or supply system performance to climate change projections at a very local (finer than river basin) scale or outside the range of VicCI projections.</w:t>
            </w:r>
          </w:p>
        </w:tc>
      </w:tr>
    </w:tbl>
    <w:p w14:paraId="5BABF9A0" w14:textId="77777777" w:rsidR="007B29DD" w:rsidRDefault="007B29DD" w:rsidP="007B29DD">
      <w:pPr>
        <w:pStyle w:val="BodyText"/>
      </w:pPr>
    </w:p>
    <w:p w14:paraId="6F945793" w14:textId="77777777" w:rsidR="007B29DD" w:rsidRDefault="007B29DD" w:rsidP="007B29DD">
      <w:pPr>
        <w:pStyle w:val="BodyText"/>
        <w:rPr>
          <w:bCs/>
          <w:lang w:eastAsia="en-AU"/>
        </w:rPr>
      </w:pPr>
      <w:r>
        <w:rPr>
          <w:bCs/>
          <w:lang w:eastAsia="en-AU"/>
        </w:rPr>
        <w:t xml:space="preserve">Other regional climate modelling results were also considered for their potential use in the guidelines but were not considered to offer significant benefits for most applications. </w:t>
      </w:r>
      <w:r>
        <w:rPr>
          <w:bCs/>
          <w:lang w:eastAsia="en-AU"/>
        </w:rPr>
        <w:fldChar w:fldCharType="begin"/>
      </w:r>
      <w:r>
        <w:rPr>
          <w:bCs/>
          <w:lang w:eastAsia="en-AU"/>
        </w:rPr>
        <w:instrText xml:space="preserve"> REF _Ref39853552 \r \h </w:instrText>
      </w:r>
      <w:r>
        <w:rPr>
          <w:bCs/>
          <w:lang w:eastAsia="en-AU"/>
        </w:rPr>
      </w:r>
      <w:r>
        <w:rPr>
          <w:bCs/>
          <w:lang w:eastAsia="en-AU"/>
        </w:rPr>
        <w:fldChar w:fldCharType="separate"/>
      </w:r>
      <w:r>
        <w:rPr>
          <w:bCs/>
          <w:lang w:eastAsia="en-AU"/>
        </w:rPr>
        <w:t>Appendix B</w:t>
      </w:r>
      <w:r>
        <w:rPr>
          <w:bCs/>
          <w:lang w:eastAsia="en-AU"/>
        </w:rPr>
        <w:fldChar w:fldCharType="end"/>
      </w:r>
      <w:r>
        <w:rPr>
          <w:bCs/>
          <w:lang w:eastAsia="en-AU"/>
        </w:rPr>
        <w:t>.2 provides further references for these other downscaled datasets and their potential use in additional stress testing of water supplies.</w:t>
      </w:r>
    </w:p>
    <w:p w14:paraId="28F0842F"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235" w:name="_Ref39500330"/>
      <w:bookmarkStart w:id="236" w:name="_Toc43476460"/>
      <w:bookmarkStart w:id="237" w:name="_Toc44928703"/>
      <w:bookmarkStart w:id="238" w:name="_Toc51657976"/>
      <w:bookmarkStart w:id="239" w:name="_Toc53585881"/>
      <w:bookmarkStart w:id="240" w:name="_Toc57377132"/>
      <w:r w:rsidRPr="00306AF1">
        <w:rPr>
          <w:b/>
          <w:bCs/>
          <w:color w:val="000000" w:themeColor="text1"/>
        </w:rPr>
        <w:t>Emissions scenarios and the Paris Agreement</w:t>
      </w:r>
      <w:bookmarkEnd w:id="235"/>
      <w:bookmarkEnd w:id="236"/>
      <w:bookmarkEnd w:id="237"/>
      <w:bookmarkEnd w:id="238"/>
      <w:bookmarkEnd w:id="239"/>
      <w:bookmarkEnd w:id="240"/>
    </w:p>
    <w:p w14:paraId="2E0BDA90" w14:textId="77777777" w:rsidR="007B29DD" w:rsidRDefault="007B29DD" w:rsidP="007B29DD">
      <w:pPr>
        <w:pStyle w:val="Heading4"/>
        <w:numPr>
          <w:ilvl w:val="3"/>
          <w:numId w:val="5"/>
        </w:numPr>
      </w:pPr>
      <w:r>
        <w:t>Introduction to Representative Concentration Pathways (RCPs)</w:t>
      </w:r>
    </w:p>
    <w:p w14:paraId="17CC97D6" w14:textId="77777777" w:rsidR="007B29DD" w:rsidRDefault="007B29DD" w:rsidP="007B29DD">
      <w:pPr>
        <w:pStyle w:val="BodyText"/>
        <w:rPr>
          <w:lang w:eastAsia="en-AU"/>
        </w:rPr>
      </w:pPr>
      <w:r>
        <w:rPr>
          <w:lang w:eastAsia="en-AU"/>
        </w:rPr>
        <w:t xml:space="preserve">A key input to GCMs are greenhouse gas concentrations scenarios, which are developed from scenarios of greenhouse gas, Antarctic ozone and aerosol emissions and concentrations over time, as well as land use/land cover changes. These factors provide the drivers for change in climate response in the models. </w:t>
      </w:r>
      <w:r w:rsidRPr="00A753B3">
        <w:rPr>
          <w:lang w:eastAsia="en-AU"/>
        </w:rPr>
        <w:t>The IPCC</w:t>
      </w:r>
      <w:r w:rsidRPr="00A753B3" w:rsidDel="009845B8">
        <w:rPr>
          <w:lang w:eastAsia="en-AU"/>
        </w:rPr>
        <w:t xml:space="preserve"> </w:t>
      </w:r>
      <w:r>
        <w:rPr>
          <w:lang w:eastAsia="en-AU"/>
        </w:rPr>
        <w:t>Fifth</w:t>
      </w:r>
      <w:r>
        <w:rPr>
          <w:vertAlign w:val="superscript"/>
          <w:lang w:eastAsia="en-AU"/>
        </w:rPr>
        <w:t xml:space="preserve"> </w:t>
      </w:r>
      <w:r w:rsidRPr="00A753B3">
        <w:rPr>
          <w:lang w:eastAsia="en-AU"/>
        </w:rPr>
        <w:t xml:space="preserve">Assessment Report provides four </w:t>
      </w:r>
      <w:r>
        <w:rPr>
          <w:lang w:eastAsia="en-AU"/>
        </w:rPr>
        <w:t xml:space="preserve">such </w:t>
      </w:r>
      <w:r w:rsidRPr="00A753B3">
        <w:rPr>
          <w:lang w:eastAsia="en-AU"/>
        </w:rPr>
        <w:t>scenarios</w:t>
      </w:r>
      <w:r>
        <w:rPr>
          <w:lang w:eastAsia="en-AU"/>
        </w:rPr>
        <w:t>, known as representative concentration pathways (RCPs) (IPCC, 2015)</w:t>
      </w:r>
      <w:r w:rsidRPr="00A753B3">
        <w:rPr>
          <w:lang w:eastAsia="en-AU"/>
        </w:rPr>
        <w:t xml:space="preserve">. </w:t>
      </w:r>
      <w:r>
        <w:t>For ease of communication, “emissions scenarios” is sometimes used within these guidelines to describe RCP scenarios.</w:t>
      </w:r>
    </w:p>
    <w:p w14:paraId="1EE9B833" w14:textId="77777777" w:rsidR="007B29DD" w:rsidRDefault="007B29DD" w:rsidP="007B29DD">
      <w:pPr>
        <w:pStyle w:val="BodyText"/>
      </w:pPr>
      <w:r>
        <w:t>RCP scenarios are labelled according to their assumed radiative forcing in the year 2100. For example, the RCP8.5 trajectory assumed a radiative forcing of 8.5 W/m</w:t>
      </w:r>
      <w:r w:rsidRPr="003414D7">
        <w:rPr>
          <w:vertAlign w:val="superscript"/>
        </w:rPr>
        <w:t>2</w:t>
      </w:r>
      <w:r>
        <w:t xml:space="preserve"> in the year 2100, while the RCP2.6 trajectory assumed a radiative forcing of 2.6 W/m</w:t>
      </w:r>
      <w:r w:rsidRPr="00BB0CD5">
        <w:rPr>
          <w:vertAlign w:val="superscript"/>
        </w:rPr>
        <w:t>2</w:t>
      </w:r>
      <w:r>
        <w:t xml:space="preserve"> in the year 2100. Recent (2019) radiative forcing is estimated to be approximately 2.6 W/m</w:t>
      </w:r>
      <w:r w:rsidRPr="00650D61">
        <w:rPr>
          <w:vertAlign w:val="superscript"/>
        </w:rPr>
        <w:t>2</w:t>
      </w:r>
      <w:r>
        <w:t xml:space="preserve"> (IPCC, 2018).</w:t>
      </w:r>
    </w:p>
    <w:p w14:paraId="074C2CA3" w14:textId="77777777" w:rsidR="007B29DD" w:rsidRDefault="007B29DD" w:rsidP="007B29DD">
      <w:pPr>
        <w:pStyle w:val="BodyText"/>
        <w:rPr>
          <w:lang w:eastAsia="en-AU"/>
        </w:rPr>
      </w:pPr>
      <w:r w:rsidRPr="00AA2AC8">
        <w:rPr>
          <w:lang w:eastAsia="en-AU"/>
        </w:rPr>
        <w:t>RCP8.5 is the highest concentration scenario of the four</w:t>
      </w:r>
      <w:r>
        <w:rPr>
          <w:lang w:eastAsia="en-AU"/>
        </w:rPr>
        <w:t xml:space="preserve"> RCP</w:t>
      </w:r>
      <w:r w:rsidRPr="00AA2AC8">
        <w:rPr>
          <w:lang w:eastAsia="en-AU"/>
        </w:rPr>
        <w:t xml:space="preserve"> scenarios available </w:t>
      </w:r>
      <w:r>
        <w:rPr>
          <w:lang w:eastAsia="en-AU"/>
        </w:rPr>
        <w:t>(</w:t>
      </w:r>
      <w:r>
        <w:rPr>
          <w:lang w:eastAsia="en-AU"/>
        </w:rPr>
        <w:fldChar w:fldCharType="begin"/>
      </w:r>
      <w:r>
        <w:rPr>
          <w:lang w:eastAsia="en-AU"/>
        </w:rPr>
        <w:instrText xml:space="preserve"> REF _Ref53048925 \h </w:instrText>
      </w:r>
      <w:r>
        <w:rPr>
          <w:lang w:eastAsia="en-AU"/>
        </w:rPr>
      </w:r>
      <w:r>
        <w:rPr>
          <w:lang w:eastAsia="en-AU"/>
        </w:rPr>
        <w:fldChar w:fldCharType="separate"/>
      </w:r>
      <w:r>
        <w:t xml:space="preserve">Figure </w:t>
      </w:r>
      <w:r>
        <w:rPr>
          <w:noProof/>
        </w:rPr>
        <w:t>11</w:t>
      </w:r>
      <w:r>
        <w:rPr>
          <w:lang w:eastAsia="en-AU"/>
        </w:rPr>
        <w:fldChar w:fldCharType="end"/>
      </w:r>
      <w:r>
        <w:rPr>
          <w:lang w:eastAsia="en-AU"/>
        </w:rPr>
        <w:t>). It</w:t>
      </w:r>
      <w:r w:rsidRPr="00AA2AC8">
        <w:rPr>
          <w:lang w:eastAsia="en-AU"/>
        </w:rPr>
        <w:t xml:space="preserve"> is broadly described by the IPCC as “a scenario with very high greenhouse gas emissions […] without additional efforts to constrain emissions” (IPCC, 2015).</w:t>
      </w:r>
      <w:r>
        <w:rPr>
          <w:lang w:eastAsia="en-AU"/>
        </w:rPr>
        <w:t xml:space="preserve"> RCP2.6 was described as a stringent mitigation scenario </w:t>
      </w:r>
      <w:r w:rsidRPr="002A336C">
        <w:rPr>
          <w:lang w:eastAsia="en-AU"/>
        </w:rPr>
        <w:t>that aims to keep global warming likely below 2°C above pre-industrial temperatures</w:t>
      </w:r>
      <w:r>
        <w:rPr>
          <w:lang w:eastAsia="en-AU"/>
        </w:rPr>
        <w:t xml:space="preserve">, while RCP4.5 and RCP6.0 are described as intermediate concentration scenarios between these two bookends. RCP2.6 is broadly consistent with the goals of the Paris Agreement (UNFCCC, 2016) to </w:t>
      </w:r>
      <w:r w:rsidRPr="009D115B">
        <w:rPr>
          <w:lang w:eastAsia="en-AU"/>
        </w:rPr>
        <w:t xml:space="preserve">hold the increase in global average temperature to well below 2°C above pre-industrial levels and </w:t>
      </w:r>
      <w:r>
        <w:rPr>
          <w:lang w:eastAsia="en-AU"/>
        </w:rPr>
        <w:t>also pursue</w:t>
      </w:r>
      <w:r w:rsidRPr="009D115B">
        <w:rPr>
          <w:lang w:eastAsia="en-AU"/>
        </w:rPr>
        <w:t xml:space="preserve"> efforts to limit the temperature increase to 1.5°C above pre-industrial levels</w:t>
      </w:r>
      <w:r>
        <w:rPr>
          <w:lang w:eastAsia="en-AU"/>
        </w:rPr>
        <w:t>.</w:t>
      </w:r>
    </w:p>
    <w:p w14:paraId="10590DDC" w14:textId="77777777" w:rsidR="007B29DD" w:rsidRDefault="007B29DD" w:rsidP="007B29DD">
      <w:pPr>
        <w:pStyle w:val="BodyText"/>
        <w:rPr>
          <w:lang w:eastAsia="en-AU"/>
        </w:rPr>
      </w:pPr>
      <w:r w:rsidRPr="003B6EA0">
        <w:rPr>
          <w:lang w:eastAsia="en-AU"/>
        </w:rPr>
        <w:t>Our understanding of climate change is continually improving, but the future climate remains uncertain. For this reason, Victorian water resource planning needs to consider a range of possible future climate conditions</w:t>
      </w:r>
      <w:r>
        <w:rPr>
          <w:lang w:eastAsia="en-AU"/>
        </w:rPr>
        <w:t>, reflecting a range of potential emissions trajectories</w:t>
      </w:r>
      <w:r w:rsidRPr="003B6EA0">
        <w:rPr>
          <w:lang w:eastAsia="en-AU"/>
        </w:rPr>
        <w:t>.</w:t>
      </w:r>
      <w:r>
        <w:rPr>
          <w:lang w:eastAsia="en-AU"/>
        </w:rPr>
        <w:t xml:space="preserve"> </w:t>
      </w:r>
      <w:r w:rsidRPr="001C2FA6">
        <w:rPr>
          <w:lang w:eastAsia="en-AU"/>
        </w:rPr>
        <w:t xml:space="preserve">From the four available </w:t>
      </w:r>
      <w:r>
        <w:rPr>
          <w:lang w:eastAsia="en-AU"/>
        </w:rPr>
        <w:t xml:space="preserve">RCP </w:t>
      </w:r>
      <w:r w:rsidRPr="001C2FA6">
        <w:rPr>
          <w:lang w:eastAsia="en-AU"/>
        </w:rPr>
        <w:t xml:space="preserve">scenarios presented in the IPCC’s </w:t>
      </w:r>
      <w:r>
        <w:rPr>
          <w:lang w:eastAsia="en-AU"/>
        </w:rPr>
        <w:t>Fifth</w:t>
      </w:r>
      <w:r w:rsidRPr="001C2FA6">
        <w:rPr>
          <w:lang w:eastAsia="en-AU"/>
        </w:rPr>
        <w:t xml:space="preserve"> Assessment Report, these guidelines have adopted</w:t>
      </w:r>
      <w:r>
        <w:rPr>
          <w:lang w:eastAsia="en-AU"/>
        </w:rPr>
        <w:t xml:space="preserve"> the</w:t>
      </w:r>
      <w:r w:rsidRPr="001C2FA6">
        <w:rPr>
          <w:lang w:eastAsia="en-AU"/>
        </w:rPr>
        <w:t xml:space="preserve"> RCP8.5 scenario</w:t>
      </w:r>
      <w:r>
        <w:rPr>
          <w:lang w:eastAsia="en-AU"/>
        </w:rPr>
        <w:t xml:space="preserve"> for water supply impact assessment</w:t>
      </w:r>
      <w:r w:rsidRPr="001C2FA6">
        <w:rPr>
          <w:lang w:eastAsia="en-AU"/>
        </w:rPr>
        <w:t xml:space="preserve">, with projections </w:t>
      </w:r>
      <w:r>
        <w:rPr>
          <w:lang w:eastAsia="en-AU"/>
        </w:rPr>
        <w:t xml:space="preserve">for the </w:t>
      </w:r>
      <w:r w:rsidRPr="001C2FA6">
        <w:rPr>
          <w:lang w:eastAsia="en-AU"/>
        </w:rPr>
        <w:t xml:space="preserve">RCP4.5 </w:t>
      </w:r>
      <w:r>
        <w:rPr>
          <w:lang w:eastAsia="en-AU"/>
        </w:rPr>
        <w:t xml:space="preserve">scenario provided </w:t>
      </w:r>
      <w:r w:rsidRPr="001C2FA6">
        <w:rPr>
          <w:lang w:eastAsia="en-AU"/>
        </w:rPr>
        <w:t xml:space="preserve">for </w:t>
      </w:r>
      <w:r>
        <w:rPr>
          <w:lang w:eastAsia="en-AU"/>
        </w:rPr>
        <w:t xml:space="preserve">optional </w:t>
      </w:r>
      <w:r w:rsidRPr="001C2FA6">
        <w:rPr>
          <w:lang w:eastAsia="en-AU"/>
        </w:rPr>
        <w:t>sensitivity testing.</w:t>
      </w:r>
    </w:p>
    <w:p w14:paraId="43755D94" w14:textId="77777777" w:rsidR="007B29DD" w:rsidRPr="004A5AA2" w:rsidRDefault="007B29DD" w:rsidP="007B29DD">
      <w:pPr>
        <w:pStyle w:val="BodyText"/>
        <w:spacing w:after="0"/>
      </w:pPr>
      <w:r w:rsidRPr="00643664">
        <w:rPr>
          <w:noProof/>
        </w:rPr>
        <w:lastRenderedPageBreak/>
        <w:drawing>
          <wp:inline distT="0" distB="0" distL="0" distR="0" wp14:anchorId="1807B329" wp14:editId="531E4209">
            <wp:extent cx="6028665" cy="3447453"/>
            <wp:effectExtent l="19050" t="19050" r="10795" b="19685"/>
            <wp:docPr id="945704161" name="Picture 945704161" descr="Graph showing temperature projections across the Murray-Darling basin using a variety of RCPs. They show an upward trend, some more severe than others (such as the RCP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3420" cy="3455891"/>
                    </a:xfrm>
                    <a:prstGeom prst="rect">
                      <a:avLst/>
                    </a:prstGeom>
                    <a:noFill/>
                    <a:ln>
                      <a:solidFill>
                        <a:schemeClr val="bg1">
                          <a:lumMod val="65000"/>
                        </a:schemeClr>
                      </a:solidFill>
                    </a:ln>
                  </pic:spPr>
                </pic:pic>
              </a:graphicData>
            </a:graphic>
          </wp:inline>
        </w:drawing>
      </w:r>
    </w:p>
    <w:p w14:paraId="0893DA80" w14:textId="77777777" w:rsidR="007B29DD" w:rsidRDefault="007B29DD" w:rsidP="007B29DD">
      <w:pPr>
        <w:pStyle w:val="Caption"/>
        <w:spacing w:before="0"/>
      </w:pPr>
      <w:bookmarkStart w:id="241" w:name="_Ref53048925"/>
      <w:bookmarkStart w:id="242" w:name="_Toc53586002"/>
      <w:bookmarkStart w:id="243" w:name="_Toc57377253"/>
      <w:r>
        <w:t xml:space="preserve">Figure </w:t>
      </w:r>
      <w:r>
        <w:fldChar w:fldCharType="begin"/>
      </w:r>
      <w:r>
        <w:instrText>SEQ Figure \* ARABIC</w:instrText>
      </w:r>
      <w:r>
        <w:fldChar w:fldCharType="separate"/>
      </w:r>
      <w:r>
        <w:rPr>
          <w:noProof/>
        </w:rPr>
        <w:t>11</w:t>
      </w:r>
      <w:r>
        <w:fldChar w:fldCharType="end"/>
      </w:r>
      <w:bookmarkEnd w:id="241"/>
      <w:r>
        <w:t xml:space="preserve"> Temperature </w:t>
      </w:r>
      <w:r w:rsidRPr="004A5AA2">
        <w:t>projections</w:t>
      </w:r>
      <w:r>
        <w:t xml:space="preserve"> across the whole of the Murray-Darling Basin (Potter et al., 2016). Observations are shown in blue with a </w:t>
      </w:r>
      <w:r w:rsidRPr="00A47EFF">
        <w:t>20-year trailing moving average</w:t>
      </w:r>
      <w:r>
        <w:t xml:space="preserve"> shown in black (</w:t>
      </w:r>
      <w:r w:rsidRPr="00A47EFF">
        <w:t>i.e. the last value of the black line represents the average of the last twenty years of the blue line</w:t>
      </w:r>
      <w:r>
        <w:t>).</w:t>
      </w:r>
      <w:bookmarkEnd w:id="242"/>
      <w:bookmarkEnd w:id="243"/>
    </w:p>
    <w:p w14:paraId="2B320AE9" w14:textId="77777777" w:rsidR="007B29DD" w:rsidRDefault="007B29DD" w:rsidP="007B29DD">
      <w:pPr>
        <w:pStyle w:val="BodyText"/>
        <w:rPr>
          <w:lang w:eastAsia="en-AU"/>
        </w:rPr>
      </w:pPr>
    </w:p>
    <w:p w14:paraId="39D95F24" w14:textId="77777777" w:rsidR="007B29DD" w:rsidRPr="00306AF1" w:rsidRDefault="007B29DD" w:rsidP="007B29DD">
      <w:pPr>
        <w:pStyle w:val="Heading4"/>
        <w:numPr>
          <w:ilvl w:val="3"/>
          <w:numId w:val="5"/>
        </w:numPr>
        <w:rPr>
          <w:i w:val="0"/>
          <w:iCs w:val="0"/>
        </w:rPr>
      </w:pPr>
      <w:r w:rsidRPr="00306AF1">
        <w:rPr>
          <w:i w:val="0"/>
          <w:iCs w:val="0"/>
        </w:rPr>
        <w:t>RCP8.5 scenario for water supply impact assessment</w:t>
      </w:r>
    </w:p>
    <w:p w14:paraId="6323C164" w14:textId="77777777" w:rsidR="007B29DD" w:rsidRDefault="007B29DD" w:rsidP="007B29DD">
      <w:pPr>
        <w:pStyle w:val="BodyText"/>
        <w:rPr>
          <w:lang w:eastAsia="en-AU"/>
        </w:rPr>
      </w:pPr>
      <w:r>
        <w:rPr>
          <w:lang w:eastAsia="en-AU"/>
        </w:rPr>
        <w:t>The following information was considered in adopting the RCP8.5 scenario for water supply impact assessment.</w:t>
      </w:r>
    </w:p>
    <w:p w14:paraId="6DBF06F2" w14:textId="77777777" w:rsidR="007B29DD" w:rsidRDefault="007B29DD" w:rsidP="007B29DD">
      <w:pPr>
        <w:pStyle w:val="BodyText"/>
        <w:numPr>
          <w:ilvl w:val="0"/>
          <w:numId w:val="21"/>
        </w:numPr>
        <w:rPr>
          <w:lang w:eastAsia="en-AU"/>
        </w:rPr>
      </w:pPr>
      <w:r>
        <w:rPr>
          <w:lang w:eastAsia="en-AU"/>
        </w:rPr>
        <w:t xml:space="preserve">Due to the lag in response between global greenhouse gas concentrations and the global temperature response, </w:t>
      </w:r>
      <w:r w:rsidRPr="00C657B9">
        <w:rPr>
          <w:b/>
          <w:bCs/>
          <w:lang w:eastAsia="en-AU"/>
        </w:rPr>
        <w:t xml:space="preserve">different emissions </w:t>
      </w:r>
      <w:r>
        <w:rPr>
          <w:b/>
          <w:bCs/>
          <w:lang w:eastAsia="en-AU"/>
        </w:rPr>
        <w:t>s</w:t>
      </w:r>
      <w:r w:rsidRPr="00C657B9">
        <w:rPr>
          <w:b/>
          <w:bCs/>
          <w:lang w:eastAsia="en-AU"/>
        </w:rPr>
        <w:t>cenarios do not result in substantially different temperature projections (and hence rainfall and runoff projections) over the near-term</w:t>
      </w:r>
      <w:r>
        <w:rPr>
          <w:lang w:eastAsia="en-AU"/>
        </w:rPr>
        <w:t xml:space="preserve">. For example, </w:t>
      </w:r>
      <w:r>
        <w:rPr>
          <w:lang w:eastAsia="en-AU"/>
        </w:rPr>
        <w:fldChar w:fldCharType="begin"/>
      </w:r>
      <w:r>
        <w:rPr>
          <w:lang w:eastAsia="en-AU"/>
        </w:rPr>
        <w:instrText xml:space="preserve"> REF _Ref53048925 \h </w:instrText>
      </w:r>
      <w:r>
        <w:rPr>
          <w:lang w:eastAsia="en-AU"/>
        </w:rPr>
      </w:r>
      <w:r>
        <w:rPr>
          <w:lang w:eastAsia="en-AU"/>
        </w:rPr>
        <w:fldChar w:fldCharType="separate"/>
      </w:r>
      <w:r>
        <w:t xml:space="preserve">Figure </w:t>
      </w:r>
      <w:r>
        <w:rPr>
          <w:noProof/>
        </w:rPr>
        <w:t>11</w:t>
      </w:r>
      <w:r>
        <w:rPr>
          <w:lang w:eastAsia="en-AU"/>
        </w:rPr>
        <w:fldChar w:fldCharType="end"/>
      </w:r>
      <w:r>
        <w:rPr>
          <w:lang w:eastAsia="en-AU"/>
        </w:rPr>
        <w:t xml:space="preserve"> indicates that all RCP scenarios generate a similar temperature response up to around 2030, in which case RCP8.5 is representative of all scenarios up to this point. </w:t>
      </w:r>
    </w:p>
    <w:p w14:paraId="547A6826" w14:textId="77777777" w:rsidR="007B29DD" w:rsidRDefault="007B29DD" w:rsidP="007B29DD">
      <w:pPr>
        <w:pStyle w:val="BodyText"/>
        <w:numPr>
          <w:ilvl w:val="0"/>
          <w:numId w:val="21"/>
        </w:numPr>
        <w:rPr>
          <w:lang w:eastAsia="en-AU"/>
        </w:rPr>
      </w:pPr>
      <w:r w:rsidRPr="4C198B8C">
        <w:rPr>
          <w:lang w:eastAsia="en-AU"/>
        </w:rPr>
        <w:t xml:space="preserve">The RCP8.5 scenario generates both the wettest and driest </w:t>
      </w:r>
      <w:r>
        <w:rPr>
          <w:lang w:eastAsia="en-AU"/>
        </w:rPr>
        <w:t xml:space="preserve">projections </w:t>
      </w:r>
      <w:r w:rsidRPr="4C198B8C">
        <w:rPr>
          <w:lang w:eastAsia="en-AU"/>
        </w:rPr>
        <w:t xml:space="preserve">for Victoria under the range of GCM results, and therefore </w:t>
      </w:r>
      <w:r w:rsidRPr="003C07BB">
        <w:rPr>
          <w:b/>
          <w:bCs/>
          <w:lang w:eastAsia="en-AU"/>
        </w:rPr>
        <w:t xml:space="preserve">encapsulates a broader range of both wet and dry outcomes </w:t>
      </w:r>
      <w:r w:rsidRPr="4C198B8C">
        <w:rPr>
          <w:lang w:eastAsia="en-AU"/>
        </w:rPr>
        <w:t>than other emissions scenarios for assessing the robustness of planning decisions (Potter et al., 2015)</w:t>
      </w:r>
      <w:r>
        <w:rPr>
          <w:lang w:eastAsia="en-AU"/>
        </w:rPr>
        <w:t>.</w:t>
      </w:r>
    </w:p>
    <w:p w14:paraId="76FA6BEB" w14:textId="77777777" w:rsidR="007B29DD" w:rsidRDefault="007B29DD" w:rsidP="007B29DD">
      <w:pPr>
        <w:pStyle w:val="BodyText"/>
        <w:numPr>
          <w:ilvl w:val="0"/>
          <w:numId w:val="21"/>
        </w:numPr>
        <w:rPr>
          <w:lang w:eastAsia="en-AU"/>
        </w:rPr>
      </w:pPr>
      <w:r w:rsidRPr="4C198B8C">
        <w:rPr>
          <w:lang w:eastAsia="en-AU"/>
        </w:rPr>
        <w:t>Depending on the parameter of interest, RCP8.5 ha</w:t>
      </w:r>
      <w:r>
        <w:rPr>
          <w:lang w:eastAsia="en-AU"/>
        </w:rPr>
        <w:t>s</w:t>
      </w:r>
      <w:r w:rsidRPr="4C198B8C">
        <w:rPr>
          <w:lang w:eastAsia="en-AU"/>
        </w:rPr>
        <w:t xml:space="preserve"> approximately </w:t>
      </w:r>
      <w:r w:rsidRPr="003C07BB">
        <w:rPr>
          <w:b/>
          <w:bCs/>
          <w:lang w:eastAsia="en-AU"/>
        </w:rPr>
        <w:t>double the number of GCM simulations</w:t>
      </w:r>
      <w:r w:rsidRPr="4C198B8C">
        <w:rPr>
          <w:lang w:eastAsia="en-AU"/>
        </w:rPr>
        <w:t xml:space="preserve"> available relative to RCP6.0 (CSIRO and Bureau of Meteorology, 2015) and will therefore capture a broader range of possible outcomes for the given emissions scenario</w:t>
      </w:r>
      <w:r>
        <w:rPr>
          <w:lang w:eastAsia="en-AU"/>
        </w:rPr>
        <w:t>.</w:t>
      </w:r>
    </w:p>
    <w:p w14:paraId="000B08B7" w14:textId="77777777" w:rsidR="007B29DD" w:rsidRDefault="007B29DD" w:rsidP="007B29DD">
      <w:pPr>
        <w:pStyle w:val="BodyText"/>
        <w:numPr>
          <w:ilvl w:val="0"/>
          <w:numId w:val="21"/>
        </w:numPr>
        <w:rPr>
          <w:lang w:eastAsia="en-AU"/>
        </w:rPr>
      </w:pPr>
      <w:r w:rsidRPr="4C198B8C">
        <w:rPr>
          <w:lang w:eastAsia="en-AU"/>
        </w:rPr>
        <w:t xml:space="preserve">When GCMs that perform </w:t>
      </w:r>
      <w:r>
        <w:rPr>
          <w:lang w:eastAsia="en-AU"/>
        </w:rPr>
        <w:t>less well</w:t>
      </w:r>
      <w:r w:rsidRPr="4C198B8C">
        <w:rPr>
          <w:lang w:eastAsia="en-AU"/>
        </w:rPr>
        <w:t xml:space="preserve"> over southern Australia (based on four particular model criteria) are excluded from modelling results, </w:t>
      </w:r>
      <w:r>
        <w:rPr>
          <w:lang w:eastAsia="en-AU"/>
        </w:rPr>
        <w:t>this</w:t>
      </w:r>
      <w:r w:rsidRPr="4C198B8C">
        <w:rPr>
          <w:lang w:eastAsia="en-AU"/>
        </w:rPr>
        <w:t xml:space="preserve"> tend</w:t>
      </w:r>
      <w:r>
        <w:rPr>
          <w:lang w:eastAsia="en-AU"/>
        </w:rPr>
        <w:t>s</w:t>
      </w:r>
      <w:r w:rsidRPr="4C198B8C">
        <w:rPr>
          <w:lang w:eastAsia="en-AU"/>
        </w:rPr>
        <w:t xml:space="preserve"> to remove the wettest projections, thereby increasing the likelihood of a drier climate future for Victoria relative to the full suite of results (Grose et al., 2017)</w:t>
      </w:r>
      <w:r>
        <w:rPr>
          <w:lang w:eastAsia="en-AU"/>
        </w:rPr>
        <w:t xml:space="preserve">. See also Section </w:t>
      </w:r>
      <w:r>
        <w:rPr>
          <w:lang w:eastAsia="en-AU"/>
        </w:rPr>
        <w:fldChar w:fldCharType="begin"/>
      </w:r>
      <w:r>
        <w:rPr>
          <w:lang w:eastAsia="en-AU"/>
        </w:rPr>
        <w:instrText xml:space="preserve"> REF _Ref39500534 \r \h </w:instrText>
      </w:r>
      <w:r>
        <w:rPr>
          <w:lang w:eastAsia="en-AU"/>
        </w:rPr>
      </w:r>
      <w:r>
        <w:rPr>
          <w:lang w:eastAsia="en-AU"/>
        </w:rPr>
        <w:fldChar w:fldCharType="separate"/>
      </w:r>
      <w:r>
        <w:rPr>
          <w:lang w:eastAsia="en-AU"/>
        </w:rPr>
        <w:t>4.4</w:t>
      </w:r>
      <w:r>
        <w:rPr>
          <w:lang w:eastAsia="en-AU"/>
        </w:rPr>
        <w:fldChar w:fldCharType="end"/>
      </w:r>
      <w:r>
        <w:rPr>
          <w:lang w:eastAsia="en-AU"/>
        </w:rPr>
        <w:t>.</w:t>
      </w:r>
    </w:p>
    <w:p w14:paraId="425A0F26" w14:textId="77777777" w:rsidR="007B29DD" w:rsidRPr="004A5AA2" w:rsidRDefault="007B29DD" w:rsidP="007B29DD">
      <w:pPr>
        <w:pStyle w:val="BodyText"/>
        <w:numPr>
          <w:ilvl w:val="0"/>
          <w:numId w:val="21"/>
        </w:numPr>
      </w:pPr>
      <w:r>
        <w:rPr>
          <w:lang w:eastAsia="en-AU"/>
        </w:rPr>
        <w:t xml:space="preserve">Since the mid-1990s, surface air temperature projections and wet season (Apr–Nov) rainfall projections for Victoria have both been tracking along the warmest and driest GCM projections (Clarke et al., 2019a; DELWP, 2019d), as shown in </w:t>
      </w:r>
      <w:r>
        <w:rPr>
          <w:lang w:eastAsia="en-AU"/>
        </w:rPr>
        <w:fldChar w:fldCharType="begin"/>
      </w:r>
      <w:r>
        <w:rPr>
          <w:lang w:eastAsia="en-AU"/>
        </w:rPr>
        <w:instrText xml:space="preserve"> REF _Ref39654906 \h </w:instrText>
      </w:r>
      <w:r>
        <w:rPr>
          <w:lang w:eastAsia="en-AU"/>
        </w:rPr>
      </w:r>
      <w:r>
        <w:rPr>
          <w:lang w:eastAsia="en-AU"/>
        </w:rPr>
        <w:fldChar w:fldCharType="separate"/>
      </w:r>
      <w:r>
        <w:t xml:space="preserve">Figure </w:t>
      </w:r>
      <w:r>
        <w:rPr>
          <w:noProof/>
        </w:rPr>
        <w:t>12</w:t>
      </w:r>
      <w:r>
        <w:rPr>
          <w:lang w:eastAsia="en-AU"/>
        </w:rPr>
        <w:fldChar w:fldCharType="end"/>
      </w:r>
      <w:r>
        <w:rPr>
          <w:lang w:eastAsia="en-AU"/>
        </w:rPr>
        <w:t>, notwithstanding the influence of natural climate variability over this period.</w:t>
      </w:r>
    </w:p>
    <w:p w14:paraId="14040744" w14:textId="77777777" w:rsidR="007B29DD" w:rsidRDefault="007B29DD" w:rsidP="007B29DD">
      <w:pPr>
        <w:pStyle w:val="BodyText"/>
        <w:numPr>
          <w:ilvl w:val="0"/>
          <w:numId w:val="21"/>
        </w:numPr>
        <w:rPr>
          <w:lang w:eastAsia="en-AU"/>
        </w:rPr>
      </w:pPr>
      <w:r w:rsidRPr="4C198B8C">
        <w:rPr>
          <w:lang w:eastAsia="en-AU"/>
        </w:rPr>
        <w:t xml:space="preserve">The VCP19 regional climate model projections suggest that projected temperature change could be higher than estimated in some GCMs, particularly </w:t>
      </w:r>
      <w:r>
        <w:rPr>
          <w:lang w:eastAsia="en-AU"/>
        </w:rPr>
        <w:t>over</w:t>
      </w:r>
      <w:r w:rsidRPr="4C198B8C">
        <w:rPr>
          <w:lang w:eastAsia="en-AU"/>
        </w:rPr>
        <w:t xml:space="preserve"> spring and summer, due to enhanced response of the land surface to drying compared to </w:t>
      </w:r>
      <w:r>
        <w:rPr>
          <w:lang w:eastAsia="en-AU"/>
        </w:rPr>
        <w:t xml:space="preserve">that in </w:t>
      </w:r>
      <w:r w:rsidRPr="4C198B8C">
        <w:rPr>
          <w:lang w:eastAsia="en-AU"/>
        </w:rPr>
        <w:t>low resolution GCMs (Clarke et al., 2019a)</w:t>
      </w:r>
      <w:r>
        <w:rPr>
          <w:lang w:eastAsia="en-AU"/>
        </w:rPr>
        <w:t>.</w:t>
      </w:r>
    </w:p>
    <w:p w14:paraId="79977060" w14:textId="77777777" w:rsidR="007B29DD" w:rsidRDefault="007B29DD" w:rsidP="007B29DD">
      <w:pPr>
        <w:pStyle w:val="BodyText"/>
        <w:numPr>
          <w:ilvl w:val="0"/>
          <w:numId w:val="21"/>
        </w:numPr>
        <w:rPr>
          <w:lang w:eastAsia="en-AU"/>
        </w:rPr>
      </w:pPr>
      <w:r w:rsidRPr="4C198B8C">
        <w:rPr>
          <w:lang w:eastAsia="en-AU"/>
        </w:rPr>
        <w:t xml:space="preserve">There is a possibility of climate change feedback loops that further enhance global warming </w:t>
      </w:r>
      <w:r>
        <w:rPr>
          <w:lang w:eastAsia="en-AU"/>
        </w:rPr>
        <w:t xml:space="preserve">and which </w:t>
      </w:r>
      <w:r w:rsidRPr="4C198B8C">
        <w:rPr>
          <w:lang w:eastAsia="en-AU"/>
        </w:rPr>
        <w:t xml:space="preserve">are not explicitly accounted for in the GCMs. The increasing frequency of major bushfires in Australia and its impact on global greenhouse gas </w:t>
      </w:r>
      <w:r>
        <w:rPr>
          <w:lang w:eastAsia="en-AU"/>
        </w:rPr>
        <w:t>emissions</w:t>
      </w:r>
      <w:r w:rsidRPr="4C198B8C">
        <w:rPr>
          <w:lang w:eastAsia="en-AU"/>
        </w:rPr>
        <w:t xml:space="preserve"> has been cited as one example of such a feedback loop (Mann, 2020)</w:t>
      </w:r>
      <w:r>
        <w:rPr>
          <w:lang w:eastAsia="en-AU"/>
        </w:rPr>
        <w:t>.</w:t>
      </w:r>
    </w:p>
    <w:p w14:paraId="41BF0750" w14:textId="77777777" w:rsidR="007B29DD" w:rsidRDefault="007B29DD" w:rsidP="007B29DD">
      <w:pPr>
        <w:pStyle w:val="BodyText"/>
        <w:numPr>
          <w:ilvl w:val="0"/>
          <w:numId w:val="21"/>
        </w:numPr>
        <w:rPr>
          <w:lang w:eastAsia="en-AU"/>
        </w:rPr>
      </w:pPr>
      <w:r w:rsidRPr="4C198B8C">
        <w:rPr>
          <w:lang w:eastAsia="en-AU"/>
        </w:rPr>
        <w:lastRenderedPageBreak/>
        <w:t>Whil</w:t>
      </w:r>
      <w:r>
        <w:rPr>
          <w:lang w:eastAsia="en-AU"/>
        </w:rPr>
        <w:t>e</w:t>
      </w:r>
      <w:r w:rsidRPr="4C198B8C">
        <w:rPr>
          <w:lang w:eastAsia="en-AU"/>
        </w:rPr>
        <w:t xml:space="preserve"> preliminary in nature, early indications from the raw results from the CMIP6 suite of global climate modelling suggests that </w:t>
      </w:r>
      <w:r>
        <w:rPr>
          <w:lang w:eastAsia="en-AU"/>
        </w:rPr>
        <w:t xml:space="preserve">some of </w:t>
      </w:r>
      <w:r w:rsidRPr="4C198B8C">
        <w:rPr>
          <w:lang w:eastAsia="en-AU"/>
        </w:rPr>
        <w:t>the updated models tend to be producing warmer outcomes than their equivalent CMIP5 versions (Hausfather, 2019), although the two sets of results may become consistent when the CMIP6 model outputs are constrained to better match observed warming to date (Tokarska et al., 2020).</w:t>
      </w:r>
    </w:p>
    <w:p w14:paraId="58886C64" w14:textId="77777777" w:rsidR="007B29DD" w:rsidRPr="00F71770" w:rsidRDefault="007B29DD" w:rsidP="007B29DD">
      <w:pPr>
        <w:pStyle w:val="BodyText"/>
      </w:pPr>
    </w:p>
    <w:p w14:paraId="04B31A7D" w14:textId="77777777" w:rsidR="007B29DD" w:rsidRDefault="007B29DD" w:rsidP="007B29DD">
      <w:pPr>
        <w:pStyle w:val="BodyText"/>
        <w:spacing w:after="0"/>
      </w:pPr>
      <w:r w:rsidRPr="00E254D4">
        <w:rPr>
          <w:noProof/>
        </w:rPr>
        <w:drawing>
          <wp:inline distT="0" distB="0" distL="0" distR="0" wp14:anchorId="57305171" wp14:editId="7C089FB7">
            <wp:extent cx="6383088" cy="1785331"/>
            <wp:effectExtent l="19050" t="19050" r="17780" b="24765"/>
            <wp:docPr id="61" name="Picture 61" descr="Side by side graphs showing observed annual temperature and rainfall from 1950 to today for Victoria, showing a increase in temperature and a decrease in rainfall consistent with climat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9317" cy="1787073"/>
                    </a:xfrm>
                    <a:prstGeom prst="rect">
                      <a:avLst/>
                    </a:prstGeom>
                    <a:noFill/>
                    <a:ln>
                      <a:solidFill>
                        <a:schemeClr val="bg1">
                          <a:lumMod val="65000"/>
                        </a:schemeClr>
                      </a:solidFill>
                    </a:ln>
                  </pic:spPr>
                </pic:pic>
              </a:graphicData>
            </a:graphic>
          </wp:inline>
        </w:drawing>
      </w:r>
    </w:p>
    <w:p w14:paraId="660BDEF0" w14:textId="77777777" w:rsidR="007B29DD" w:rsidRDefault="007B29DD" w:rsidP="007B29DD">
      <w:pPr>
        <w:pStyle w:val="Caption"/>
        <w:keepNext w:val="0"/>
        <w:spacing w:before="0"/>
      </w:pPr>
      <w:bookmarkStart w:id="244" w:name="_Ref39654906"/>
      <w:bookmarkStart w:id="245" w:name="_Toc43476579"/>
      <w:bookmarkStart w:id="246" w:name="_Toc44928824"/>
      <w:bookmarkStart w:id="247" w:name="_Toc51237488"/>
      <w:bookmarkStart w:id="248" w:name="_Toc53586003"/>
      <w:bookmarkStart w:id="249" w:name="_Toc57377254"/>
      <w:r>
        <w:t xml:space="preserve">Figure </w:t>
      </w:r>
      <w:r>
        <w:fldChar w:fldCharType="begin"/>
      </w:r>
      <w:r>
        <w:instrText>SEQ Figure \* ARABIC</w:instrText>
      </w:r>
      <w:r>
        <w:fldChar w:fldCharType="separate"/>
      </w:r>
      <w:r>
        <w:rPr>
          <w:noProof/>
        </w:rPr>
        <w:t>12</w:t>
      </w:r>
      <w:r>
        <w:fldChar w:fldCharType="end"/>
      </w:r>
      <w:bookmarkEnd w:id="244"/>
      <w:r>
        <w:t xml:space="preserve"> Comparison of observed annual temperature (left) and April to November rainfall (right) for Victoria relative to GCM projections (shaded area) for all emissions scenarios (DELWP, 2019d). Bold line is a running twenty-year average of observations.</w:t>
      </w:r>
      <w:bookmarkEnd w:id="245"/>
      <w:bookmarkEnd w:id="246"/>
      <w:bookmarkEnd w:id="247"/>
      <w:bookmarkEnd w:id="248"/>
      <w:bookmarkEnd w:id="249"/>
    </w:p>
    <w:p w14:paraId="7074797F" w14:textId="77777777" w:rsidR="007B29DD" w:rsidRPr="00072602"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4572D2D6" w14:textId="77777777" w:rsidTr="00306AF1">
        <w:tc>
          <w:tcPr>
            <w:tcW w:w="9639" w:type="dxa"/>
            <w:hideMark/>
          </w:tcPr>
          <w:p w14:paraId="3F65F4F3" w14:textId="77777777" w:rsidR="007B29DD" w:rsidRDefault="007B29DD" w:rsidP="00306AF1">
            <w:pPr>
              <w:pStyle w:val="HighlightBoxText"/>
              <w:jc w:val="both"/>
            </w:pPr>
            <w:r w:rsidRPr="002F3BA7">
              <w:rPr>
                <w:color w:val="000000" w:themeColor="text1"/>
              </w:rPr>
              <w:t>These guidelines adopt the RCP8.5 scenario for water supply impact assessment. The RCP8.5 scenario encapsulates a broad range of wet and dry projections, allowing for robust decision making, and is precautionary in nature, which is appropriate considering GCM uncertainty.</w:t>
            </w:r>
          </w:p>
        </w:tc>
      </w:tr>
    </w:tbl>
    <w:p w14:paraId="20AF797B" w14:textId="77777777" w:rsidR="007B29DD" w:rsidRPr="00306AF1" w:rsidRDefault="007B29DD" w:rsidP="007B29DD">
      <w:pPr>
        <w:pStyle w:val="Heading4"/>
        <w:numPr>
          <w:ilvl w:val="3"/>
          <w:numId w:val="5"/>
        </w:numPr>
        <w:rPr>
          <w:i w:val="0"/>
          <w:iCs w:val="0"/>
        </w:rPr>
      </w:pPr>
      <w:r w:rsidRPr="00306AF1">
        <w:rPr>
          <w:i w:val="0"/>
          <w:iCs w:val="0"/>
        </w:rPr>
        <w:t>RCP4.5 scenario for optional sensitivity testing</w:t>
      </w:r>
    </w:p>
    <w:p w14:paraId="06D43A9B" w14:textId="77777777" w:rsidR="007B29DD" w:rsidRDefault="007B29DD" w:rsidP="007B29DD">
      <w:pPr>
        <w:pStyle w:val="BodyText"/>
        <w:rPr>
          <w:lang w:eastAsia="en-AU"/>
        </w:rPr>
      </w:pPr>
      <w:r>
        <w:rPr>
          <w:lang w:eastAsia="en-AU"/>
        </w:rPr>
        <w:t>The following information was considered in recommending the RCP4.5 scenario for optional sensitivity testing:</w:t>
      </w:r>
    </w:p>
    <w:p w14:paraId="16D8F466" w14:textId="77777777" w:rsidR="007B29DD" w:rsidRDefault="007B29DD" w:rsidP="007B29DD">
      <w:pPr>
        <w:pStyle w:val="BodyText"/>
        <w:numPr>
          <w:ilvl w:val="0"/>
          <w:numId w:val="21"/>
        </w:numPr>
        <w:rPr>
          <w:lang w:eastAsia="en-AU"/>
        </w:rPr>
      </w:pPr>
      <w:r>
        <w:rPr>
          <w:lang w:eastAsia="en-AU"/>
        </w:rPr>
        <w:t>RCP4.5 generates a similar temperature response to RCP2.6 and RCP6.0 until around 2040 (and hence is representative of both achieving and not achieving the Paris Agreement targets). In some river basins of Victoria, the high climate change projections for rainfall for the year 2040 under RCP4.5 are greater than under RCP8.5, again re-enforcing that these two projections are not materially different up to the year 2040 in the context of GCM uncertainty. Up to around 2065, RCP4.5 generates a similar temperature response to RCP6.0 and is therefore representative of all available emissions scenarios involving moderate greenhouse gas mitigation.</w:t>
      </w:r>
    </w:p>
    <w:p w14:paraId="1C24A75A" w14:textId="77777777" w:rsidR="007B29DD" w:rsidRDefault="007B29DD" w:rsidP="007B29DD">
      <w:pPr>
        <w:pStyle w:val="BodyText"/>
        <w:numPr>
          <w:ilvl w:val="0"/>
          <w:numId w:val="21"/>
        </w:numPr>
        <w:rPr>
          <w:lang w:eastAsia="en-AU"/>
        </w:rPr>
      </w:pPr>
      <w:r w:rsidRPr="4C198B8C">
        <w:rPr>
          <w:lang w:eastAsia="en-AU"/>
        </w:rPr>
        <w:t xml:space="preserve">The only emissions </w:t>
      </w:r>
      <w:r>
        <w:rPr>
          <w:lang w:eastAsia="en-AU"/>
        </w:rPr>
        <w:t xml:space="preserve">trajectory </w:t>
      </w:r>
      <w:r w:rsidRPr="4C198B8C">
        <w:rPr>
          <w:lang w:eastAsia="en-AU"/>
        </w:rPr>
        <w:t>not covered by RCP4.5 and RCP8.5 is therefore for the period after 2040 under a scenario where the Paris Agreement targets are met by mid-century (i.e. without overshooting the target and coming back to it by the end of the 2</w:t>
      </w:r>
      <w:r w:rsidRPr="000A4318">
        <w:rPr>
          <w:lang w:eastAsia="en-AU"/>
        </w:rPr>
        <w:t>1st</w:t>
      </w:r>
      <w:r w:rsidRPr="4C198B8C">
        <w:rPr>
          <w:lang w:eastAsia="en-AU"/>
        </w:rPr>
        <w:t xml:space="preserve"> century). </w:t>
      </w:r>
      <w:r>
        <w:rPr>
          <w:lang w:eastAsia="en-AU"/>
        </w:rPr>
        <w:t>However, t</w:t>
      </w:r>
      <w:r w:rsidRPr="4C198B8C">
        <w:rPr>
          <w:lang w:eastAsia="en-AU"/>
        </w:rPr>
        <w:t>he United Nations Environment Programme</w:t>
      </w:r>
      <w:r>
        <w:rPr>
          <w:lang w:eastAsia="en-AU"/>
        </w:rPr>
        <w:t xml:space="preserve">’s </w:t>
      </w:r>
      <w:r w:rsidRPr="00D9238D">
        <w:rPr>
          <w:i/>
          <w:iCs/>
          <w:lang w:eastAsia="en-AU"/>
        </w:rPr>
        <w:t>Lessons from a decade of emissions gap assessments</w:t>
      </w:r>
      <w:r w:rsidRPr="4C198B8C">
        <w:rPr>
          <w:lang w:eastAsia="en-AU"/>
        </w:rPr>
        <w:t xml:space="preserve"> </w:t>
      </w:r>
      <w:r>
        <w:rPr>
          <w:lang w:eastAsia="en-AU"/>
        </w:rPr>
        <w:t xml:space="preserve">report </w:t>
      </w:r>
      <w:r w:rsidRPr="4C198B8C">
        <w:rPr>
          <w:lang w:eastAsia="en-AU"/>
        </w:rPr>
        <w:t xml:space="preserve">(Christensen and Olhoff, 2019) concluded that </w:t>
      </w:r>
      <w:r>
        <w:rPr>
          <w:lang w:eastAsia="en-AU"/>
        </w:rPr>
        <w:t xml:space="preserve">even </w:t>
      </w:r>
      <w:r w:rsidRPr="4C198B8C">
        <w:rPr>
          <w:lang w:eastAsia="en-AU"/>
        </w:rPr>
        <w:t>current commitments under the Paris Agreement</w:t>
      </w:r>
      <w:r>
        <w:rPr>
          <w:lang w:eastAsia="en-AU"/>
        </w:rPr>
        <w:t>, let alone actual progress towards their realisation,</w:t>
      </w:r>
      <w:r w:rsidRPr="4C198B8C">
        <w:rPr>
          <w:lang w:eastAsia="en-AU"/>
        </w:rPr>
        <w:t xml:space="preserve"> are insufficient to limit global warming to either 1.5</w:t>
      </w:r>
      <w:r w:rsidRPr="4C198B8C">
        <w:rPr>
          <w:vertAlign w:val="superscript"/>
          <w:lang w:eastAsia="en-AU"/>
        </w:rPr>
        <w:t>o</w:t>
      </w:r>
      <w:r w:rsidRPr="4C198B8C">
        <w:rPr>
          <w:lang w:eastAsia="en-AU"/>
        </w:rPr>
        <w:t>C or 2.0</w:t>
      </w:r>
      <w:r w:rsidRPr="4C198B8C">
        <w:rPr>
          <w:vertAlign w:val="superscript"/>
          <w:lang w:eastAsia="en-AU"/>
        </w:rPr>
        <w:t>o</w:t>
      </w:r>
      <w:r w:rsidRPr="4C198B8C">
        <w:rPr>
          <w:lang w:eastAsia="en-AU"/>
        </w:rPr>
        <w:t>C by the end of the 2</w:t>
      </w:r>
      <w:r w:rsidRPr="000A4318">
        <w:rPr>
          <w:lang w:eastAsia="en-AU"/>
        </w:rPr>
        <w:t>1st</w:t>
      </w:r>
      <w:r w:rsidRPr="4C198B8C">
        <w:rPr>
          <w:lang w:eastAsia="en-AU"/>
        </w:rPr>
        <w:t xml:space="preserve"> century.</w:t>
      </w:r>
    </w:p>
    <w:p w14:paraId="4534E74F" w14:textId="77777777" w:rsidR="007B29DD" w:rsidRDefault="007B29DD" w:rsidP="007B29DD">
      <w:pPr>
        <w:pStyle w:val="BodyText"/>
        <w:numPr>
          <w:ilvl w:val="0"/>
          <w:numId w:val="21"/>
        </w:numPr>
        <w:rPr>
          <w:lang w:eastAsia="en-AU"/>
        </w:rPr>
      </w:pPr>
      <w:r w:rsidRPr="4C198B8C">
        <w:rPr>
          <w:lang w:eastAsia="en-AU"/>
        </w:rPr>
        <w:t>Depending on the parameter of interest, RCP4.5 ha</w:t>
      </w:r>
      <w:r>
        <w:rPr>
          <w:lang w:eastAsia="en-AU"/>
        </w:rPr>
        <w:t>s</w:t>
      </w:r>
      <w:r w:rsidRPr="4C198B8C">
        <w:rPr>
          <w:lang w:eastAsia="en-AU"/>
        </w:rPr>
        <w:t xml:space="preserve"> approximately double the number of GCM simulations available relative to RCP2.6 and RCP6.0 (CSIRO and Bureau of Meteorology, 2015) and will therefore capture a broader range of possible outcomes for the given emissions scenario</w:t>
      </w:r>
      <w:r>
        <w:rPr>
          <w:lang w:eastAsia="en-AU"/>
        </w:rPr>
        <w:t>.</w:t>
      </w:r>
    </w:p>
    <w:p w14:paraId="199AA3B5" w14:textId="77777777" w:rsidR="007B29DD" w:rsidRPr="00260BA0"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46FEA44F" w14:textId="77777777" w:rsidTr="00306AF1">
        <w:tc>
          <w:tcPr>
            <w:tcW w:w="9639" w:type="dxa"/>
            <w:hideMark/>
          </w:tcPr>
          <w:p w14:paraId="5C8720B5" w14:textId="77777777" w:rsidR="007B29DD" w:rsidRDefault="007B29DD" w:rsidP="00306AF1">
            <w:pPr>
              <w:pStyle w:val="HighlightBoxText"/>
              <w:jc w:val="both"/>
            </w:pPr>
            <w:r w:rsidRPr="002F3BA7">
              <w:rPr>
                <w:color w:val="000000" w:themeColor="text1"/>
              </w:rPr>
              <w:t>These guidelines recommend the RCP4.5 scenario for optional sensitivity testing. The RCP4.5 scenario represents moderate rates of greenhouse gas emissions broadly consistent with greenhouse gas reduction commitments by the world’s governments, up to 2040.</w:t>
            </w:r>
          </w:p>
        </w:tc>
      </w:tr>
    </w:tbl>
    <w:p w14:paraId="31F23B66" w14:textId="77777777" w:rsidR="007B29DD" w:rsidRPr="00260BA0" w:rsidRDefault="007B29DD" w:rsidP="007B29DD">
      <w:pPr>
        <w:pStyle w:val="BodyText"/>
      </w:pPr>
    </w:p>
    <w:p w14:paraId="34DD8395"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rPr>
      </w:pPr>
      <w:bookmarkStart w:id="250" w:name="_Ref39500534"/>
      <w:bookmarkStart w:id="251" w:name="_Toc43476461"/>
      <w:bookmarkStart w:id="252" w:name="_Toc44928704"/>
      <w:bookmarkStart w:id="253" w:name="_Toc51657977"/>
      <w:bookmarkStart w:id="254" w:name="_Toc53585882"/>
      <w:bookmarkStart w:id="255" w:name="_Toc57377133"/>
      <w:r w:rsidRPr="00306AF1">
        <w:rPr>
          <w:b/>
          <w:bCs/>
          <w:color w:val="000000" w:themeColor="text1"/>
        </w:rPr>
        <w:t>Which global climate model is the best for Victoria?</w:t>
      </w:r>
      <w:bookmarkEnd w:id="250"/>
      <w:bookmarkEnd w:id="251"/>
      <w:bookmarkEnd w:id="252"/>
      <w:bookmarkEnd w:id="253"/>
      <w:bookmarkEnd w:id="254"/>
      <w:bookmarkEnd w:id="255"/>
    </w:p>
    <w:p w14:paraId="310DC891" w14:textId="77777777" w:rsidR="007B29DD" w:rsidRDefault="007B29DD" w:rsidP="007B29DD">
      <w:pPr>
        <w:pStyle w:val="BodyText"/>
        <w:rPr>
          <w:lang w:eastAsia="en-AU"/>
        </w:rPr>
      </w:pPr>
      <w:r>
        <w:rPr>
          <w:lang w:eastAsia="en-AU"/>
        </w:rPr>
        <w:t xml:space="preserve">Rainfall and runoff under current greenhouse gas concentrations could be either over- or under-estimated, depending on which GCM from the available ensemble is the most correct. While we know the historical temperature trajectory, it is difficult to separate the influence of historical climate variability and historical anthropogenic climate change on observed changes. If there were no natural climate variability since the mid-1990s, then </w:t>
      </w:r>
      <w:r>
        <w:rPr>
          <w:lang w:eastAsia="en-AU"/>
        </w:rPr>
        <w:fldChar w:fldCharType="begin"/>
      </w:r>
      <w:r>
        <w:rPr>
          <w:lang w:eastAsia="en-AU"/>
        </w:rPr>
        <w:instrText xml:space="preserve"> REF _Ref39654906 \h </w:instrText>
      </w:r>
      <w:r>
        <w:rPr>
          <w:lang w:eastAsia="en-AU"/>
        </w:rPr>
      </w:r>
      <w:r>
        <w:rPr>
          <w:lang w:eastAsia="en-AU"/>
        </w:rPr>
        <w:fldChar w:fldCharType="separate"/>
      </w:r>
      <w:r>
        <w:t xml:space="preserve">Figure </w:t>
      </w:r>
      <w:r>
        <w:rPr>
          <w:noProof/>
        </w:rPr>
        <w:t>12</w:t>
      </w:r>
      <w:r>
        <w:rPr>
          <w:lang w:eastAsia="en-AU"/>
        </w:rPr>
        <w:fldChar w:fldCharType="end"/>
      </w:r>
      <w:r>
        <w:rPr>
          <w:lang w:eastAsia="en-AU"/>
        </w:rPr>
        <w:t xml:space="preserve"> (in the previous section) would suggest that the models that generate the driest projections are the most accurate for Victoria. However, we know that Victoria’s climate is highly variable, and that the Millennium Drought, in large part, was a manifestation of that natural climate variability. This is because wetter years have occurred since the end of the Millennium Drought.</w:t>
      </w:r>
    </w:p>
    <w:p w14:paraId="78D4298E" w14:textId="77777777" w:rsidR="007B29DD" w:rsidRDefault="007B29DD" w:rsidP="007B29DD">
      <w:pPr>
        <w:pStyle w:val="BodyText"/>
        <w:rPr>
          <w:lang w:eastAsia="en-AU"/>
        </w:rPr>
      </w:pPr>
      <w:r w:rsidRPr="00541FE5">
        <w:rPr>
          <w:lang w:eastAsia="en-AU"/>
        </w:rPr>
        <w:t>Hope et al. (</w:t>
      </w:r>
      <w:r>
        <w:rPr>
          <w:lang w:eastAsia="en-AU"/>
        </w:rPr>
        <w:t>2016</w:t>
      </w:r>
      <w:r w:rsidRPr="00541FE5">
        <w:rPr>
          <w:lang w:eastAsia="en-AU"/>
        </w:rPr>
        <w:t>) reported on the evaluation of model performance of 41 GCMs based on a range of evaluation criteria includ</w:t>
      </w:r>
      <w:r>
        <w:rPr>
          <w:lang w:eastAsia="en-AU"/>
        </w:rPr>
        <w:t>ing</w:t>
      </w:r>
      <w:r w:rsidRPr="00541FE5">
        <w:rPr>
          <w:lang w:eastAsia="en-AU"/>
        </w:rPr>
        <w:t xml:space="preserve"> the ability of models to simulate current c</w:t>
      </w:r>
      <w:r>
        <w:rPr>
          <w:lang w:eastAsia="en-AU"/>
        </w:rPr>
        <w:t>l</w:t>
      </w:r>
      <w:r w:rsidRPr="00541FE5">
        <w:rPr>
          <w:lang w:eastAsia="en-AU"/>
        </w:rPr>
        <w:t xml:space="preserve">imate and to capture the behaviour of key climate influences. The analysis highlighted that models </w:t>
      </w:r>
      <w:r>
        <w:rPr>
          <w:lang w:eastAsia="en-AU"/>
        </w:rPr>
        <w:t>that</w:t>
      </w:r>
      <w:r w:rsidRPr="00541FE5">
        <w:rPr>
          <w:lang w:eastAsia="en-AU"/>
        </w:rPr>
        <w:t xml:space="preserve"> do well on some criteria do not necessarily do well on others and that there is no easy way to select a set of “best</w:t>
      </w:r>
      <w:r>
        <w:rPr>
          <w:lang w:eastAsia="en-AU"/>
        </w:rPr>
        <w:t>”</w:t>
      </w:r>
      <w:r w:rsidRPr="00541FE5">
        <w:rPr>
          <w:lang w:eastAsia="en-AU"/>
        </w:rPr>
        <w:t xml:space="preserve"> models</w:t>
      </w:r>
      <w:r>
        <w:rPr>
          <w:lang w:eastAsia="en-AU"/>
        </w:rPr>
        <w:t>.</w:t>
      </w:r>
      <w:r w:rsidRPr="00541FE5">
        <w:rPr>
          <w:lang w:eastAsia="en-AU"/>
        </w:rPr>
        <w:t xml:space="preserve"> </w:t>
      </w:r>
      <w:r>
        <w:rPr>
          <w:lang w:eastAsia="en-AU"/>
        </w:rPr>
        <w:t>A</w:t>
      </w:r>
      <w:r w:rsidRPr="00541FE5">
        <w:rPr>
          <w:lang w:eastAsia="en-AU"/>
        </w:rPr>
        <w:t>lthough there clearly are a number of models that are more consistently “poor” performers.</w:t>
      </w:r>
      <w:r>
        <w:rPr>
          <w:lang w:eastAsia="en-AU"/>
        </w:rPr>
        <w:t xml:space="preserve"> The systematic removal of poorly performing models has the potential to shift the ensemble projected rainfall mean.</w:t>
      </w:r>
    </w:p>
    <w:p w14:paraId="7E4B2657" w14:textId="77777777" w:rsidR="007B29DD" w:rsidRDefault="007B29DD" w:rsidP="007B29DD">
      <w:pPr>
        <w:pStyle w:val="BodyText"/>
        <w:rPr>
          <w:lang w:eastAsia="en-AU"/>
        </w:rPr>
      </w:pPr>
      <w:r>
        <w:rPr>
          <w:lang w:eastAsia="en-AU"/>
        </w:rPr>
        <w:t>Grose et al. (2017) reported that after excluding GCMs (from the suite of 42 GCMs) that clearly do not reflect four key changes in observed climate features since 1995 (e.g. sub-tropical jet stream behaviour, Southern Ocean storm track behaviour, etc.), projected rainfall increases for southern Australia by the end of the 2</w:t>
      </w:r>
      <w:r w:rsidRPr="000A4318">
        <w:rPr>
          <w:lang w:eastAsia="en-AU"/>
        </w:rPr>
        <w:t>1st</w:t>
      </w:r>
      <w:r>
        <w:rPr>
          <w:lang w:eastAsia="en-AU"/>
        </w:rPr>
        <w:t xml:space="preserve"> century are less likely than indicated by the whole GCM ensemble. Grose et al. (2017) also noted that because all of the currently utilised GCMs under-estimate the southward movement of the sub-tropical ridge of high pressure across Australia, all models may under-estimate the impact of anthropogenic forcing on projected drier rainfall conditions in southern Australia. Rauniyar and Power (2020) found that all these GCMs underestimate both interannual and decadal observed rainfall variability during the cool season. These conclusions suggest that the GCMs that project a drier future for Victoria are more likely to be accurate.</w:t>
      </w:r>
    </w:p>
    <w:p w14:paraId="240ADE41" w14:textId="77777777" w:rsidR="007B29DD" w:rsidRDefault="007B29DD" w:rsidP="007B29DD">
      <w:pPr>
        <w:pStyle w:val="BodyText"/>
        <w:rPr>
          <w:lang w:eastAsia="en-AU"/>
        </w:rPr>
      </w:pPr>
      <w:r>
        <w:rPr>
          <w:lang w:eastAsia="en-AU"/>
        </w:rPr>
        <w:t>These examples (Hope et al. 2016; Grose et al., 2017) and other examples within the literature (e.g. CSIRO and Bureau of Meteorology, 2015) highlight that different assessment criteria can lead to the exclusion of different models.</w:t>
      </w:r>
    </w:p>
    <w:p w14:paraId="4FFD26D3" w14:textId="77777777" w:rsidR="007B29DD" w:rsidRDefault="007B29DD" w:rsidP="007B29DD">
      <w:pPr>
        <w:pStyle w:val="BodyText"/>
        <w:rPr>
          <w:lang w:eastAsia="en-AU"/>
        </w:rPr>
      </w:pPr>
    </w:p>
    <w:tbl>
      <w:tblPr>
        <w:tblStyle w:val="HighlightTable"/>
        <w:tblW w:w="0" w:type="auto"/>
        <w:tblLook w:val="04A0" w:firstRow="1" w:lastRow="0" w:firstColumn="1" w:lastColumn="0" w:noHBand="0" w:noVBand="1"/>
      </w:tblPr>
      <w:tblGrid>
        <w:gridCol w:w="9639"/>
      </w:tblGrid>
      <w:tr w:rsidR="007B29DD" w14:paraId="208385F9" w14:textId="77777777" w:rsidTr="00306AF1">
        <w:tc>
          <w:tcPr>
            <w:tcW w:w="9639" w:type="dxa"/>
            <w:hideMark/>
          </w:tcPr>
          <w:p w14:paraId="3DC743DF" w14:textId="77777777" w:rsidR="007B29DD" w:rsidRDefault="007B29DD" w:rsidP="00306AF1">
            <w:pPr>
              <w:pStyle w:val="HighlightBoxText"/>
              <w:jc w:val="both"/>
            </w:pPr>
            <w:r w:rsidRPr="002F3BA7">
              <w:rPr>
                <w:color w:val="000000" w:themeColor="text1"/>
              </w:rPr>
              <w:t>We know that some GCMs represent the systems linked to Victoria's rainfall better than others. However, we don’t know which GCM is the most accurate, so the guidelines draw from all available 42 GCMs to present a range of climate change projections.</w:t>
            </w:r>
          </w:p>
        </w:tc>
      </w:tr>
    </w:tbl>
    <w:p w14:paraId="70B771A1" w14:textId="77777777" w:rsidR="007B29DD" w:rsidRDefault="007B29DD" w:rsidP="007B29DD">
      <w:pPr>
        <w:pStyle w:val="BodyText"/>
        <w:rPr>
          <w:lang w:eastAsia="en-AU"/>
        </w:rPr>
      </w:pPr>
    </w:p>
    <w:p w14:paraId="488F14F7"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256" w:name="_Ref42850670"/>
      <w:bookmarkStart w:id="257" w:name="_Toc43476462"/>
      <w:bookmarkStart w:id="258" w:name="_Ref44338450"/>
      <w:bookmarkStart w:id="259" w:name="_Toc44928705"/>
      <w:bookmarkStart w:id="260" w:name="_Toc51657978"/>
      <w:bookmarkStart w:id="261" w:name="_Toc53585883"/>
      <w:bookmarkStart w:id="262" w:name="_Toc57377134"/>
      <w:r w:rsidRPr="00306AF1">
        <w:rPr>
          <w:b/>
          <w:bCs/>
          <w:color w:val="000000" w:themeColor="text1"/>
        </w:rPr>
        <w:t>Seasonal versus annual global climate model projections</w:t>
      </w:r>
      <w:bookmarkEnd w:id="256"/>
      <w:bookmarkEnd w:id="257"/>
      <w:bookmarkEnd w:id="258"/>
      <w:bookmarkEnd w:id="259"/>
      <w:bookmarkEnd w:id="260"/>
      <w:bookmarkEnd w:id="261"/>
      <w:bookmarkEnd w:id="262"/>
    </w:p>
    <w:p w14:paraId="34241BBA" w14:textId="77777777" w:rsidR="007B29DD" w:rsidRDefault="007B29DD" w:rsidP="007B29DD">
      <w:pPr>
        <w:pStyle w:val="BodyText"/>
        <w:rPr>
          <w:lang w:eastAsia="en-AU"/>
        </w:rPr>
      </w:pPr>
      <w:r>
        <w:rPr>
          <w:lang w:eastAsia="en-AU"/>
        </w:rPr>
        <w:t xml:space="preserve">When considered in isolation from the projected annual changes in rainfall, seasonal changes in rainfall display a distinct spatial pattern, as shown in </w:t>
      </w:r>
      <w:r>
        <w:rPr>
          <w:lang w:eastAsia="en-AU"/>
        </w:rPr>
        <w:fldChar w:fldCharType="begin"/>
      </w:r>
      <w:r>
        <w:rPr>
          <w:lang w:eastAsia="en-AU"/>
        </w:rPr>
        <w:instrText xml:space="preserve"> REF _Ref39678115 \h </w:instrText>
      </w:r>
      <w:r>
        <w:rPr>
          <w:lang w:eastAsia="en-AU"/>
        </w:rPr>
      </w:r>
      <w:r>
        <w:rPr>
          <w:lang w:eastAsia="en-AU"/>
        </w:rPr>
        <w:fldChar w:fldCharType="separate"/>
      </w:r>
      <w:r>
        <w:t xml:space="preserve">Figure </w:t>
      </w:r>
      <w:r>
        <w:rPr>
          <w:noProof/>
        </w:rPr>
        <w:t>13</w:t>
      </w:r>
      <w:r>
        <w:rPr>
          <w:lang w:eastAsia="en-AU"/>
        </w:rPr>
        <w:fldChar w:fldCharType="end"/>
      </w:r>
      <w:r>
        <w:rPr>
          <w:lang w:eastAsia="en-AU"/>
        </w:rPr>
        <w:t>. This figure displays p</w:t>
      </w:r>
      <w:r w:rsidRPr="00BE6C26">
        <w:rPr>
          <w:lang w:eastAsia="en-AU"/>
        </w:rPr>
        <w:t>rojected 10</w:t>
      </w:r>
      <w:r w:rsidRPr="003178A9">
        <w:rPr>
          <w:lang w:eastAsia="en-AU"/>
        </w:rPr>
        <w:t>th</w:t>
      </w:r>
      <w:r w:rsidRPr="00BE6C26">
        <w:rPr>
          <w:lang w:eastAsia="en-AU"/>
        </w:rPr>
        <w:t>, 50</w:t>
      </w:r>
      <w:r w:rsidRPr="003178A9">
        <w:rPr>
          <w:lang w:eastAsia="en-AU"/>
        </w:rPr>
        <w:t>th</w:t>
      </w:r>
      <w:r w:rsidRPr="00BE6C26">
        <w:rPr>
          <w:lang w:eastAsia="en-AU"/>
        </w:rPr>
        <w:t xml:space="preserve"> and 90</w:t>
      </w:r>
      <w:r w:rsidRPr="003178A9">
        <w:rPr>
          <w:lang w:eastAsia="en-AU"/>
        </w:rPr>
        <w:t>th</w:t>
      </w:r>
      <w:r w:rsidRPr="00BE6C26">
        <w:rPr>
          <w:lang w:eastAsia="en-AU"/>
        </w:rPr>
        <w:t xml:space="preserve"> percentile cool and warm season changes across Victoria for RCP8.5 in the year 2065</w:t>
      </w:r>
      <w:r>
        <w:rPr>
          <w:lang w:eastAsia="en-AU"/>
        </w:rPr>
        <w:t>. These results are drawn from the full suite of 42 CMIP5 GCMs. Similar patterns are shown for the four seasons in Potter et al. (2016) for a wider range of time slices. Trends in projected changes in seasonal rainfall are further described in Hope et al. (2015a).</w:t>
      </w:r>
    </w:p>
    <w:p w14:paraId="684879CC" w14:textId="77777777" w:rsidR="007B29DD" w:rsidRDefault="007B29DD" w:rsidP="007B29DD">
      <w:pPr>
        <w:pStyle w:val="BodyText"/>
        <w:rPr>
          <w:lang w:eastAsia="en-AU"/>
        </w:rPr>
      </w:pPr>
      <w:r>
        <w:rPr>
          <w:lang w:eastAsia="en-AU"/>
        </w:rPr>
        <w:t xml:space="preserve">When the spread of projections for any given season is considered in relation to the other season(s) and the annual projections, it becomes apparent that there is no consistency in the magnitude (and in some cases the direction) of cool season changes relative to warm season changes. This is illustrated in </w:t>
      </w:r>
      <w:r>
        <w:rPr>
          <w:lang w:eastAsia="en-AU"/>
        </w:rPr>
        <w:fldChar w:fldCharType="begin"/>
      </w:r>
      <w:r>
        <w:rPr>
          <w:lang w:eastAsia="en-AU"/>
        </w:rPr>
        <w:instrText xml:space="preserve"> REF _Ref39678947 \h </w:instrText>
      </w:r>
      <w:r>
        <w:rPr>
          <w:lang w:eastAsia="en-AU"/>
        </w:rPr>
      </w:r>
      <w:r>
        <w:rPr>
          <w:lang w:eastAsia="en-AU"/>
        </w:rPr>
        <w:fldChar w:fldCharType="separate"/>
      </w:r>
      <w:r>
        <w:t xml:space="preserve">Figure </w:t>
      </w:r>
      <w:r>
        <w:rPr>
          <w:noProof/>
        </w:rPr>
        <w:t>14</w:t>
      </w:r>
      <w:r>
        <w:rPr>
          <w:lang w:eastAsia="en-AU"/>
        </w:rPr>
        <w:fldChar w:fldCharType="end"/>
      </w:r>
      <w:r>
        <w:rPr>
          <w:lang w:eastAsia="en-AU"/>
        </w:rPr>
        <w:t>, using the Werribee Basin as an example. In this figure, for models with a projected annual change similar to the median model estimate,</w:t>
      </w:r>
      <w:r w:rsidRPr="00D73666">
        <w:rPr>
          <w:lang w:eastAsia="en-AU"/>
        </w:rPr>
        <w:t xml:space="preserve"> </w:t>
      </w:r>
      <w:r>
        <w:rPr>
          <w:lang w:eastAsia="en-AU"/>
        </w:rPr>
        <w:t>it can be seen that the warm season change could be higher or lower than the annual change, depending on which model is selected. This is similarly the case for the 10</w:t>
      </w:r>
      <w:r w:rsidRPr="003178A9">
        <w:rPr>
          <w:lang w:eastAsia="en-AU"/>
        </w:rPr>
        <w:t>th</w:t>
      </w:r>
      <w:r>
        <w:rPr>
          <w:lang w:eastAsia="en-AU"/>
        </w:rPr>
        <w:t xml:space="preserve"> and 90</w:t>
      </w:r>
      <w:r w:rsidRPr="003178A9">
        <w:rPr>
          <w:lang w:eastAsia="en-AU"/>
        </w:rPr>
        <w:t>th</w:t>
      </w:r>
      <w:r>
        <w:rPr>
          <w:lang w:eastAsia="en-AU"/>
        </w:rPr>
        <w:t xml:space="preserve"> percentile annual changes. </w:t>
      </w:r>
      <w:r w:rsidRPr="00520624">
        <w:rPr>
          <w:lang w:eastAsia="en-AU"/>
        </w:rPr>
        <w:t>For Victoria, the cool season is assumed to run from April to October and the warm season is assumed to run from November to March.</w:t>
      </w:r>
    </w:p>
    <w:p w14:paraId="3F756F09" w14:textId="77777777" w:rsidR="007B29DD" w:rsidRDefault="007B29DD" w:rsidP="007B29DD">
      <w:pPr>
        <w:pStyle w:val="BodyText"/>
        <w:rPr>
          <w:lang w:eastAsia="en-AU"/>
        </w:rPr>
      </w:pPr>
      <w:r>
        <w:rPr>
          <w:lang w:eastAsia="en-AU"/>
        </w:rPr>
        <w:t>When considering whether to provide tables of seasonal rainfall projections in the guidelines, consistency with the annual projections was regarded as a high priority. This would ensure that any application of the seasonal projections would generate results that are consistent with those applied using the annual projections. It was found that this was not currently possible because:</w:t>
      </w:r>
    </w:p>
    <w:p w14:paraId="173183A4" w14:textId="77777777" w:rsidR="007B29DD" w:rsidRDefault="007B29DD" w:rsidP="007B29DD">
      <w:pPr>
        <w:pStyle w:val="BodyText"/>
        <w:numPr>
          <w:ilvl w:val="0"/>
          <w:numId w:val="21"/>
        </w:numPr>
        <w:rPr>
          <w:lang w:eastAsia="en-AU"/>
        </w:rPr>
      </w:pPr>
      <w:r w:rsidRPr="4C198B8C">
        <w:rPr>
          <w:lang w:eastAsia="en-AU"/>
        </w:rPr>
        <w:lastRenderedPageBreak/>
        <w:t>When selecting seasonal scaling factors independently of annual scaling factors, the 10</w:t>
      </w:r>
      <w:r w:rsidRPr="003178A9">
        <w:rPr>
          <w:lang w:eastAsia="en-AU"/>
        </w:rPr>
        <w:t>th</w:t>
      </w:r>
      <w:r w:rsidRPr="4C198B8C">
        <w:rPr>
          <w:lang w:eastAsia="en-AU"/>
        </w:rPr>
        <w:t xml:space="preserve"> percentile projection for each season is often sourced from a different GCM than that which generates the 10</w:t>
      </w:r>
      <w:r w:rsidRPr="003178A9">
        <w:rPr>
          <w:lang w:eastAsia="en-AU"/>
        </w:rPr>
        <w:t>th</w:t>
      </w:r>
      <w:r w:rsidRPr="4C198B8C">
        <w:rPr>
          <w:lang w:eastAsia="en-AU"/>
        </w:rPr>
        <w:t xml:space="preserve"> percentile annual projection. Similarly, when selecting seasonal scaling factors independently from each season, the 10</w:t>
      </w:r>
      <w:r w:rsidRPr="003178A9">
        <w:rPr>
          <w:lang w:eastAsia="en-AU"/>
        </w:rPr>
        <w:t>th</w:t>
      </w:r>
      <w:r w:rsidRPr="4C198B8C">
        <w:rPr>
          <w:lang w:eastAsia="en-AU"/>
        </w:rPr>
        <w:t xml:space="preserve"> percentile projection for one season is often sourced from a different GCM than that which generates the 10</w:t>
      </w:r>
      <w:r w:rsidRPr="003178A9">
        <w:rPr>
          <w:lang w:eastAsia="en-AU"/>
        </w:rPr>
        <w:t>th</w:t>
      </w:r>
      <w:r w:rsidRPr="4C198B8C">
        <w:rPr>
          <w:lang w:eastAsia="en-AU"/>
        </w:rPr>
        <w:t xml:space="preserve"> percentile projection in another season. </w:t>
      </w:r>
      <w:r>
        <w:rPr>
          <w:lang w:eastAsia="en-AU"/>
        </w:rPr>
        <w:t>Therefore</w:t>
      </w:r>
      <w:r w:rsidRPr="4C198B8C">
        <w:rPr>
          <w:lang w:eastAsia="en-AU"/>
        </w:rPr>
        <w:t>, adopting the 10</w:t>
      </w:r>
      <w:r w:rsidRPr="003178A9">
        <w:rPr>
          <w:lang w:eastAsia="en-AU"/>
        </w:rPr>
        <w:t>th</w:t>
      </w:r>
      <w:r w:rsidRPr="4C198B8C">
        <w:rPr>
          <w:lang w:eastAsia="en-AU"/>
        </w:rPr>
        <w:t xml:space="preserve"> and 90</w:t>
      </w:r>
      <w:r w:rsidRPr="003178A9">
        <w:rPr>
          <w:lang w:eastAsia="en-AU"/>
        </w:rPr>
        <w:t>th</w:t>
      </w:r>
      <w:r w:rsidRPr="4C198B8C">
        <w:rPr>
          <w:lang w:eastAsia="en-AU"/>
        </w:rPr>
        <w:t xml:space="preserve"> percentile seasonal projections would result in more extreme annual values when compared against the equivalent annual projection (but the median projection would be similar)</w:t>
      </w:r>
      <w:r>
        <w:rPr>
          <w:lang w:eastAsia="en-AU"/>
        </w:rPr>
        <w:t>.</w:t>
      </w:r>
    </w:p>
    <w:p w14:paraId="6193D61C" w14:textId="77777777" w:rsidR="007B29DD" w:rsidRDefault="007B29DD" w:rsidP="007B29DD">
      <w:pPr>
        <w:pStyle w:val="BodyText"/>
        <w:numPr>
          <w:ilvl w:val="0"/>
          <w:numId w:val="21"/>
        </w:numPr>
        <w:rPr>
          <w:lang w:eastAsia="en-AU"/>
        </w:rPr>
      </w:pPr>
      <w:r w:rsidRPr="4C198B8C">
        <w:rPr>
          <w:lang w:eastAsia="en-AU"/>
        </w:rPr>
        <w:t xml:space="preserve">When selecting seasonal scaling factors from models that generate the annual projected changes in any given river basin, the projected seasonal changes are not spatially consistent. </w:t>
      </w:r>
      <w:r>
        <w:rPr>
          <w:lang w:eastAsia="en-AU"/>
        </w:rPr>
        <w:t>T</w:t>
      </w:r>
      <w:r w:rsidRPr="4C198B8C">
        <w:rPr>
          <w:lang w:eastAsia="en-AU"/>
        </w:rPr>
        <w:t>his is because different GCMs can generate quite different seasonal changes, and the GCMs that generate the 10</w:t>
      </w:r>
      <w:r w:rsidRPr="003178A9">
        <w:rPr>
          <w:lang w:eastAsia="en-AU"/>
        </w:rPr>
        <w:t>th</w:t>
      </w:r>
      <w:r w:rsidRPr="4C198B8C">
        <w:rPr>
          <w:lang w:eastAsia="en-AU"/>
        </w:rPr>
        <w:t>, 50</w:t>
      </w:r>
      <w:r w:rsidRPr="003178A9">
        <w:rPr>
          <w:lang w:eastAsia="en-AU"/>
        </w:rPr>
        <w:t>th</w:t>
      </w:r>
      <w:r w:rsidRPr="4C198B8C">
        <w:rPr>
          <w:lang w:eastAsia="en-AU"/>
        </w:rPr>
        <w:t xml:space="preserve"> and 90</w:t>
      </w:r>
      <w:r w:rsidRPr="003178A9">
        <w:rPr>
          <w:lang w:eastAsia="en-AU"/>
        </w:rPr>
        <w:t>th</w:t>
      </w:r>
      <w:r w:rsidRPr="4C198B8C">
        <w:rPr>
          <w:lang w:eastAsia="en-AU"/>
        </w:rPr>
        <w:t xml:space="preserve"> percentile models can be different in each river basin</w:t>
      </w:r>
      <w:r>
        <w:rPr>
          <w:lang w:eastAsia="en-AU"/>
        </w:rPr>
        <w:t>.</w:t>
      </w:r>
    </w:p>
    <w:p w14:paraId="7F89DE76" w14:textId="77777777" w:rsidR="007B29DD" w:rsidRDefault="007B29DD" w:rsidP="007B29DD">
      <w:pPr>
        <w:pStyle w:val="BodyText"/>
        <w:numPr>
          <w:ilvl w:val="0"/>
          <w:numId w:val="21"/>
        </w:numPr>
        <w:rPr>
          <w:lang w:eastAsia="en-AU"/>
        </w:rPr>
      </w:pPr>
      <w:r w:rsidRPr="4C198B8C">
        <w:rPr>
          <w:lang w:eastAsia="en-AU"/>
        </w:rPr>
        <w:t>The seasonal scaling factors are not consistent in any given river basin for small tolerances in the projected annual change. That is, if say the GCM that generates the 85</w:t>
      </w:r>
      <w:r w:rsidRPr="003178A9">
        <w:rPr>
          <w:lang w:eastAsia="en-AU"/>
        </w:rPr>
        <w:t>th</w:t>
      </w:r>
      <w:r w:rsidRPr="4C198B8C">
        <w:rPr>
          <w:lang w:eastAsia="en-AU"/>
        </w:rPr>
        <w:t xml:space="preserve"> percentile annual change was adopted instead of the GCM that generates the 90</w:t>
      </w:r>
      <w:r w:rsidRPr="003178A9">
        <w:rPr>
          <w:lang w:eastAsia="en-AU"/>
        </w:rPr>
        <w:t>th</w:t>
      </w:r>
      <w:r w:rsidRPr="4C198B8C">
        <w:rPr>
          <w:lang w:eastAsia="en-AU"/>
        </w:rPr>
        <w:t xml:space="preserve"> percentile annual change, the projected seasonal changes from these two models could be quite different, despite having similar annual projected changes.</w:t>
      </w:r>
    </w:p>
    <w:p w14:paraId="67286374" w14:textId="77777777" w:rsidR="007B29DD" w:rsidRPr="0030621A" w:rsidRDefault="007B29DD" w:rsidP="007B29DD">
      <w:pPr>
        <w:pStyle w:val="BodyText"/>
      </w:pPr>
    </w:p>
    <w:p w14:paraId="137C4C75" w14:textId="77777777" w:rsidR="007B29DD" w:rsidRDefault="007B29DD" w:rsidP="007B29DD">
      <w:pPr>
        <w:pStyle w:val="BodyText"/>
        <w:spacing w:after="0"/>
        <w:rPr>
          <w:lang w:eastAsia="en-AU"/>
        </w:rPr>
      </w:pPr>
      <w:r>
        <w:rPr>
          <w:noProof/>
        </w:rPr>
        <w:drawing>
          <wp:inline distT="0" distB="0" distL="0" distR="0" wp14:anchorId="7198300C" wp14:editId="6693021E">
            <wp:extent cx="6192571" cy="4008794"/>
            <wp:effectExtent l="19050" t="19050" r="17780" b="10795"/>
            <wp:docPr id="630922238" name="Picture 361161701" descr="Infographic with maps of Victoria showing rainfall changes across a variety of projections from RCP8.5. 90th percentile shows a significant decrease, the median percentile shows a moderate decrease, and the 10th percentile shows a moderate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61701"/>
                    <pic:cNvPicPr/>
                  </pic:nvPicPr>
                  <pic:blipFill>
                    <a:blip r:embed="rId32">
                      <a:extLst>
                        <a:ext uri="{28A0092B-C50C-407E-A947-70E740481C1C}">
                          <a14:useLocalDpi xmlns:a14="http://schemas.microsoft.com/office/drawing/2010/main" val="0"/>
                        </a:ext>
                      </a:extLst>
                    </a:blip>
                    <a:stretch>
                      <a:fillRect/>
                    </a:stretch>
                  </pic:blipFill>
                  <pic:spPr>
                    <a:xfrm>
                      <a:off x="0" y="0"/>
                      <a:ext cx="6208785" cy="4019290"/>
                    </a:xfrm>
                    <a:prstGeom prst="rect">
                      <a:avLst/>
                    </a:prstGeom>
                    <a:ln>
                      <a:solidFill>
                        <a:schemeClr val="bg1">
                          <a:lumMod val="65000"/>
                        </a:schemeClr>
                      </a:solidFill>
                    </a:ln>
                  </pic:spPr>
                </pic:pic>
              </a:graphicData>
            </a:graphic>
          </wp:inline>
        </w:drawing>
      </w:r>
    </w:p>
    <w:p w14:paraId="228DECE3" w14:textId="77777777" w:rsidR="007B29DD" w:rsidRDefault="007B29DD" w:rsidP="007B29DD">
      <w:pPr>
        <w:pStyle w:val="Caption"/>
        <w:keepNext w:val="0"/>
        <w:spacing w:before="0"/>
      </w:pPr>
      <w:bookmarkStart w:id="263" w:name="_Ref39678115"/>
      <w:bookmarkStart w:id="264" w:name="_Toc43476580"/>
      <w:bookmarkStart w:id="265" w:name="_Toc44928825"/>
      <w:bookmarkStart w:id="266" w:name="_Toc51237489"/>
      <w:bookmarkStart w:id="267" w:name="_Toc53586004"/>
      <w:bookmarkStart w:id="268" w:name="_Toc57377255"/>
      <w:r>
        <w:t xml:space="preserve">Figure </w:t>
      </w:r>
      <w:r>
        <w:fldChar w:fldCharType="begin"/>
      </w:r>
      <w:r>
        <w:instrText>SEQ Figure \* ARABIC</w:instrText>
      </w:r>
      <w:r>
        <w:fldChar w:fldCharType="separate"/>
      </w:r>
      <w:r>
        <w:rPr>
          <w:noProof/>
        </w:rPr>
        <w:t>13</w:t>
      </w:r>
      <w:r>
        <w:fldChar w:fldCharType="end"/>
      </w:r>
      <w:bookmarkEnd w:id="263"/>
      <w:r>
        <w:t xml:space="preserve"> Projected 10</w:t>
      </w:r>
      <w:r w:rsidRPr="003178A9">
        <w:t>th</w:t>
      </w:r>
      <w:r>
        <w:t>, 50</w:t>
      </w:r>
      <w:r w:rsidRPr="003178A9">
        <w:t>th</w:t>
      </w:r>
      <w:r>
        <w:t xml:space="preserve"> and 90</w:t>
      </w:r>
      <w:r w:rsidRPr="003178A9">
        <w:t>th</w:t>
      </w:r>
      <w:r>
        <w:t xml:space="preserve"> percentile cool and warm season rainfall changes (% change from 1995 value) across Victoria for RCP8.5 in the year 2065 (source: CSIRO)</w:t>
      </w:r>
      <w:bookmarkEnd w:id="264"/>
      <w:bookmarkEnd w:id="265"/>
      <w:bookmarkEnd w:id="266"/>
      <w:bookmarkEnd w:id="267"/>
      <w:bookmarkEnd w:id="268"/>
    </w:p>
    <w:p w14:paraId="39C585C6" w14:textId="77777777" w:rsidR="007B29DD" w:rsidRDefault="007B29DD" w:rsidP="007B29DD">
      <w:pPr>
        <w:pStyle w:val="BodyText"/>
        <w:keepNext/>
        <w:spacing w:after="0"/>
        <w:rPr>
          <w:lang w:eastAsia="en-AU"/>
        </w:rPr>
      </w:pPr>
      <w:r>
        <w:rPr>
          <w:noProof/>
        </w:rPr>
        <w:lastRenderedPageBreak/>
        <w:drawing>
          <wp:inline distT="0" distB="0" distL="0" distR="0" wp14:anchorId="7CAFBDF4" wp14:editId="7FA46524">
            <wp:extent cx="6213012" cy="4055506"/>
            <wp:effectExtent l="19050" t="19050" r="16510" b="21590"/>
            <wp:docPr id="823677489" name="Picture 138" descr="This chart shows the annual, cool season and warm season rainfall change for the Werribee basin, RCP8.5 for the year 2065, for 42 Global Climate Models. The models are plot in order of highest positive change, to greatest negative change. The plot shows that, in terms of seasonal changes, there is no apparent trend in seasonal changes for Global climate Models exhibiting a similar annu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33">
                      <a:extLst>
                        <a:ext uri="{28A0092B-C50C-407E-A947-70E740481C1C}">
                          <a14:useLocalDpi xmlns:a14="http://schemas.microsoft.com/office/drawing/2010/main" val="0"/>
                        </a:ext>
                      </a:extLst>
                    </a:blip>
                    <a:stretch>
                      <a:fillRect/>
                    </a:stretch>
                  </pic:blipFill>
                  <pic:spPr>
                    <a:xfrm>
                      <a:off x="0" y="0"/>
                      <a:ext cx="6230287" cy="4066782"/>
                    </a:xfrm>
                    <a:prstGeom prst="rect">
                      <a:avLst/>
                    </a:prstGeom>
                    <a:ln>
                      <a:solidFill>
                        <a:schemeClr val="bg1">
                          <a:lumMod val="65000"/>
                        </a:schemeClr>
                      </a:solidFill>
                    </a:ln>
                  </pic:spPr>
                </pic:pic>
              </a:graphicData>
            </a:graphic>
          </wp:inline>
        </w:drawing>
      </w:r>
    </w:p>
    <w:p w14:paraId="69A9D771" w14:textId="77777777" w:rsidR="007B29DD" w:rsidRDefault="007B29DD" w:rsidP="007B29DD">
      <w:pPr>
        <w:pStyle w:val="Caption"/>
        <w:spacing w:before="0"/>
      </w:pPr>
      <w:bookmarkStart w:id="269" w:name="_Ref39678947"/>
      <w:bookmarkStart w:id="270" w:name="_Toc43476581"/>
      <w:bookmarkStart w:id="271" w:name="_Toc44928826"/>
      <w:bookmarkStart w:id="272" w:name="_Toc51237490"/>
      <w:bookmarkStart w:id="273" w:name="_Toc53586005"/>
      <w:bookmarkStart w:id="274" w:name="_Toc57377256"/>
      <w:r>
        <w:t xml:space="preserve">Figure </w:t>
      </w:r>
      <w:r>
        <w:fldChar w:fldCharType="begin"/>
      </w:r>
      <w:r>
        <w:instrText>SEQ Figure \* ARABIC</w:instrText>
      </w:r>
      <w:r>
        <w:fldChar w:fldCharType="separate"/>
      </w:r>
      <w:r>
        <w:rPr>
          <w:noProof/>
        </w:rPr>
        <w:t>14</w:t>
      </w:r>
      <w:r>
        <w:fldChar w:fldCharType="end"/>
      </w:r>
      <w:bookmarkEnd w:id="269"/>
      <w:r>
        <w:t xml:space="preserve"> Projected change in cool and warm season rainfall for the Werribee Basin by ranked global climate model, RCP8.5 for the year 2065 (Source: data provided by CSIRO in 2020, based on analysis for Potter et al, 2016).</w:t>
      </w:r>
      <w:bookmarkEnd w:id="270"/>
      <w:bookmarkEnd w:id="271"/>
      <w:bookmarkEnd w:id="272"/>
      <w:bookmarkEnd w:id="273"/>
      <w:bookmarkEnd w:id="274"/>
    </w:p>
    <w:p w14:paraId="33BAF413" w14:textId="77777777" w:rsidR="007B29DD" w:rsidRPr="00672FB4" w:rsidRDefault="007B29DD" w:rsidP="007B29DD">
      <w:pPr>
        <w:pStyle w:val="BodyText"/>
        <w:rPr>
          <w:lang w:eastAsia="en-AU"/>
        </w:rPr>
      </w:pPr>
    </w:p>
    <w:p w14:paraId="26325791" w14:textId="77777777" w:rsidR="007B29DD" w:rsidRDefault="007B29DD" w:rsidP="007B29DD">
      <w:pPr>
        <w:pStyle w:val="BodyText"/>
        <w:rPr>
          <w:lang w:eastAsia="en-AU"/>
        </w:rPr>
      </w:pPr>
      <w:r>
        <w:rPr>
          <w:lang w:eastAsia="en-AU"/>
        </w:rPr>
        <w:t xml:space="preserve">In consideration of the above,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 xml:space="preserve">.6.2 provide seasonal scaling factors for testing the </w:t>
      </w:r>
      <w:r w:rsidRPr="005F0C56">
        <w:rPr>
          <w:b/>
          <w:bCs/>
          <w:lang w:eastAsia="en-AU"/>
        </w:rPr>
        <w:t>sensitivity</w:t>
      </w:r>
      <w:r>
        <w:rPr>
          <w:lang w:eastAsia="en-AU"/>
        </w:rPr>
        <w:t xml:space="preserve"> of the impact assessment to potential seasonal changes in climate.</w:t>
      </w:r>
    </w:p>
    <w:p w14:paraId="74562745" w14:textId="77777777" w:rsidR="007B29DD" w:rsidRPr="009D3BD6" w:rsidRDefault="007B29DD" w:rsidP="007B29DD">
      <w:pPr>
        <w:pStyle w:val="BodyText"/>
        <w:rPr>
          <w:lang w:eastAsia="en-AU"/>
        </w:rPr>
      </w:pPr>
      <w:r>
        <w:rPr>
          <w:lang w:eastAsia="en-AU"/>
        </w:rPr>
        <w:t>The consistency of seasonal and annual projections will be revisited when the next round of global climate modelling results (CMIP6) are released.</w:t>
      </w:r>
    </w:p>
    <w:p w14:paraId="282D7ADA"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275" w:name="_Toc43476463"/>
      <w:bookmarkStart w:id="276" w:name="_Toc44928706"/>
      <w:bookmarkStart w:id="277" w:name="_Toc51657979"/>
      <w:bookmarkStart w:id="278" w:name="_Toc53585884"/>
      <w:bookmarkStart w:id="279" w:name="_Toc57377135"/>
      <w:r w:rsidRPr="00306AF1">
        <w:rPr>
          <w:b/>
          <w:bCs/>
          <w:color w:val="000000" w:themeColor="text1"/>
        </w:rPr>
        <w:t>Spatial resolution of GCM projections</w:t>
      </w:r>
      <w:bookmarkEnd w:id="275"/>
      <w:bookmarkEnd w:id="276"/>
      <w:bookmarkEnd w:id="277"/>
      <w:bookmarkEnd w:id="278"/>
      <w:bookmarkEnd w:id="279"/>
    </w:p>
    <w:p w14:paraId="73CECF8A" w14:textId="77777777" w:rsidR="007B29DD" w:rsidRDefault="007B29DD" w:rsidP="007B29DD">
      <w:pPr>
        <w:pStyle w:val="BodyText"/>
      </w:pPr>
      <w:r>
        <w:t>Projected changes in climate and runoff are provided in these guidelines for each Victorian river basin. They are considered appropriate for use at this scale for water supply planning purposes in most Victorian water supply systems. This spatial resolution of the adjustment factors may be considered too coarse for some applications. However, the use of finer scale information may</w:t>
      </w:r>
      <w:r w:rsidDel="00D74DE6">
        <w:t xml:space="preserve"> </w:t>
      </w:r>
      <w:r>
        <w:t xml:space="preserve">imply false precision in its accuracy, as indicated in the </w:t>
      </w:r>
      <w:r w:rsidRPr="00EF44F9">
        <w:rPr>
          <w:i/>
        </w:rPr>
        <w:t>Victorian Climate Initiative Annual Report 2014</w:t>
      </w:r>
      <w:r w:rsidRPr="00EF44F9">
        <w:rPr>
          <w:i/>
          <w:iCs/>
        </w:rPr>
        <w:t>-</w:t>
      </w:r>
      <w:r w:rsidRPr="00EF44F9">
        <w:rPr>
          <w:i/>
        </w:rPr>
        <w:t>15</w:t>
      </w:r>
      <w:r>
        <w:t>, which concluded that (Hope et al., 2015b):</w:t>
      </w:r>
    </w:p>
    <w:p w14:paraId="5FFCD2DF" w14:textId="5DD78DBA" w:rsidR="007B29DD" w:rsidRPr="00C77C1D" w:rsidRDefault="007B29DD" w:rsidP="007B29DD">
      <w:pPr>
        <w:spacing w:before="60" w:after="120"/>
        <w:ind w:left="709"/>
        <w:rPr>
          <w:i/>
        </w:rPr>
      </w:pPr>
      <w:r w:rsidRPr="00C77C1D">
        <w:rPr>
          <w:i/>
        </w:rPr>
        <w:t>“When conducting impact studies, users should recognise that the apparent precision in currently available relatively fine-resolution (in time and space) data sets does not necessarily imply a ‘better’ answer, but rather only provides one realisation of all possible outcomes.”</w:t>
      </w:r>
    </w:p>
    <w:p w14:paraId="0132AB07" w14:textId="7487DF74" w:rsidR="007B29DD" w:rsidRDefault="007B29DD" w:rsidP="007B29DD">
      <w:pPr>
        <w:pStyle w:val="BodyText"/>
      </w:pPr>
      <w:r>
        <w:t xml:space="preserve">If finer spatial resolution in the GCM projections is desired by practitioners for a given application, two options are available. These include (i) processing the VicCI downscaled projections, which are available at a 5 km by 5 km grid size, for your area of interest or (ii) processing the bias corrected VCP19 application-ready datasets, which are also available at 5 km by 5 km grids, for your area of interest. Both options potentially involve significant additional processing time and expense, relative to utilising the readily available information at a river basin scale in the guidelines. Preliminary details on the opportunities and challenges in bias correcting VCP19 outputs for hydrological applications, and comparison of rainfall and hydrologically modelled runoff projections with VCP19 against the VicCI projections, can be found in </w:t>
      </w:r>
      <w:r w:rsidRPr="00C760CE">
        <w:t>the VicWaCI</w:t>
      </w:r>
      <w:r>
        <w:t>’s</w:t>
      </w:r>
      <w:r w:rsidRPr="00C760CE">
        <w:t xml:space="preserve"> </w:t>
      </w:r>
      <w:r>
        <w:rPr>
          <w:i/>
          <w:iCs/>
        </w:rPr>
        <w:t xml:space="preserve">Victoria’s Water in a Changing Climate </w:t>
      </w:r>
      <w:r>
        <w:t xml:space="preserve">report </w:t>
      </w:r>
      <w:r w:rsidRPr="00C760CE">
        <w:t>(</w:t>
      </w:r>
      <w:r w:rsidR="00DD2C7E">
        <w:t xml:space="preserve">DELWP et al., </w:t>
      </w:r>
      <w:r w:rsidR="00ED4B0A">
        <w:t>2020</w:t>
      </w:r>
      <w:r w:rsidRPr="00C760CE">
        <w:t>)</w:t>
      </w:r>
      <w:r w:rsidRPr="00C760CE" w:rsidDel="00FD4607">
        <w:t xml:space="preserve">, </w:t>
      </w:r>
      <w:r>
        <w:t>Potter et al. (2020) and Charles et al. (2020).</w:t>
      </w:r>
    </w:p>
    <w:p w14:paraId="0FD7E23E" w14:textId="77777777" w:rsidR="007B29DD" w:rsidRDefault="007B29DD" w:rsidP="007B29DD">
      <w:pPr>
        <w:pStyle w:val="BodyText"/>
      </w:pPr>
      <w:r>
        <w:t xml:space="preserve">As noted </w:t>
      </w:r>
      <w:r w:rsidRPr="00546559">
        <w:t xml:space="preserve">previously in Section </w:t>
      </w:r>
      <w:r w:rsidRPr="00546559">
        <w:fldChar w:fldCharType="begin"/>
      </w:r>
      <w:r w:rsidRPr="00546559">
        <w:instrText xml:space="preserve"> REF _Ref44335559 \r \h </w:instrText>
      </w:r>
      <w:r>
        <w:instrText xml:space="preserve"> \* MERGEFORMAT </w:instrText>
      </w:r>
      <w:r w:rsidRPr="00546559">
        <w:fldChar w:fldCharType="separate"/>
      </w:r>
      <w:r>
        <w:t>4.2.3</w:t>
      </w:r>
      <w:r w:rsidRPr="00546559">
        <w:fldChar w:fldCharType="end"/>
      </w:r>
      <w:r w:rsidRPr="00546559">
        <w:t>, the VCP19 projections are only available for a subset of six GCMs, so would still need to be interpreted in the context</w:t>
      </w:r>
      <w:r>
        <w:t xml:space="preserve"> of the broader suite of GCM model results. Further guidance on how climate change adjustment factors can be generated for regions other than river basins is provided in </w:t>
      </w:r>
      <w:r>
        <w:fldChar w:fldCharType="begin"/>
      </w:r>
      <w:r>
        <w:instrText xml:space="preserve"> REF _Ref39853552 \r \h </w:instrText>
      </w:r>
      <w:r>
        <w:fldChar w:fldCharType="separate"/>
      </w:r>
      <w:r>
        <w:t>Appendix B</w:t>
      </w:r>
      <w:r>
        <w:fldChar w:fldCharType="end"/>
      </w:r>
      <w:r>
        <w:t>.3.</w:t>
      </w:r>
    </w:p>
    <w:p w14:paraId="680F2EED"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280" w:name="_Toc43476464"/>
      <w:bookmarkStart w:id="281" w:name="_Toc44928707"/>
      <w:bookmarkStart w:id="282" w:name="_Toc51657980"/>
      <w:bookmarkStart w:id="283" w:name="_Toc53585885"/>
      <w:bookmarkStart w:id="284" w:name="_Toc57377136"/>
      <w:r w:rsidRPr="00306AF1">
        <w:rPr>
          <w:b/>
          <w:bCs/>
          <w:color w:val="000000" w:themeColor="text1"/>
        </w:rPr>
        <w:lastRenderedPageBreak/>
        <w:t>Selection of output parameters</w:t>
      </w:r>
      <w:bookmarkEnd w:id="280"/>
      <w:bookmarkEnd w:id="281"/>
      <w:bookmarkEnd w:id="282"/>
      <w:bookmarkEnd w:id="283"/>
      <w:bookmarkEnd w:id="284"/>
    </w:p>
    <w:p w14:paraId="29882D9A" w14:textId="77777777" w:rsidR="007B29DD" w:rsidRDefault="007B29DD" w:rsidP="007B29DD">
      <w:pPr>
        <w:pStyle w:val="BodyText"/>
        <w:rPr>
          <w:lang w:eastAsia="en-AU"/>
        </w:rPr>
      </w:pPr>
      <w:r>
        <w:rPr>
          <w:lang w:eastAsia="en-AU"/>
        </w:rPr>
        <w:t xml:space="preserve">Parameters output from the VicCI climate change projections for use in these guidelines were average annual temperature, average annual potential evapotranspiration, and average annual rainfall, with downscaled outputs run through </w:t>
      </w:r>
      <w:r w:rsidRPr="00025D98">
        <w:rPr>
          <w:lang w:eastAsia="en-AU"/>
        </w:rPr>
        <w:t xml:space="preserve">rainfall-runoff models to project changes in average annual runoff. Projected changes in groundwater recharge are </w:t>
      </w:r>
      <w:r w:rsidRPr="00352746">
        <w:t>inferred from projected changes in rainfall and runoff</w:t>
      </w:r>
      <w:r w:rsidRPr="00025D98">
        <w:rPr>
          <w:lang w:eastAsia="en-AU"/>
        </w:rPr>
        <w:t>. These datasets have been selected because they are the datasets of most direct relevance to water supply and river</w:t>
      </w:r>
      <w:r>
        <w:rPr>
          <w:lang w:eastAsia="en-AU"/>
        </w:rPr>
        <w:t xml:space="preserve"> system behaviour.</w:t>
      </w:r>
    </w:p>
    <w:p w14:paraId="684A3387" w14:textId="77777777" w:rsidR="007B29DD" w:rsidRPr="00A82AFB" w:rsidRDefault="007B29DD" w:rsidP="007B29DD">
      <w:pPr>
        <w:pStyle w:val="BodyText"/>
        <w:rPr>
          <w:lang w:eastAsia="en-AU"/>
        </w:rPr>
      </w:pPr>
      <w:r>
        <w:rPr>
          <w:lang w:eastAsia="en-AU"/>
        </w:rPr>
        <w:t xml:space="preserve">A range of other datasets are available from the VCP19 downscaled datasets, as previously listed in </w:t>
      </w:r>
      <w:r>
        <w:rPr>
          <w:lang w:eastAsia="en-AU"/>
        </w:rPr>
        <w:fldChar w:fldCharType="begin"/>
      </w:r>
      <w:r>
        <w:rPr>
          <w:lang w:eastAsia="en-AU"/>
        </w:rPr>
        <w:instrText xml:space="preserve"> REF _Ref22559075 \h </w:instrText>
      </w:r>
      <w:r>
        <w:rPr>
          <w:lang w:eastAsia="en-AU"/>
        </w:rPr>
      </w:r>
      <w:r>
        <w:rPr>
          <w:lang w:eastAsia="en-AU"/>
        </w:rPr>
        <w:fldChar w:fldCharType="separate"/>
      </w:r>
      <w:r>
        <w:t xml:space="preserve">Table </w:t>
      </w:r>
      <w:r>
        <w:rPr>
          <w:noProof/>
        </w:rPr>
        <w:t>1</w:t>
      </w:r>
      <w:r>
        <w:rPr>
          <w:lang w:eastAsia="en-AU"/>
        </w:rPr>
        <w:fldChar w:fldCharType="end"/>
      </w:r>
      <w:r>
        <w:rPr>
          <w:lang w:eastAsia="en-AU"/>
        </w:rPr>
        <w:t xml:space="preserve"> </w:t>
      </w:r>
      <w:r w:rsidRPr="00546559">
        <w:rPr>
          <w:lang w:eastAsia="en-AU"/>
        </w:rPr>
        <w:t xml:space="preserve">in Section </w:t>
      </w:r>
      <w:r w:rsidRPr="00546559">
        <w:rPr>
          <w:lang w:eastAsia="en-AU"/>
        </w:rPr>
        <w:fldChar w:fldCharType="begin"/>
      </w:r>
      <w:r w:rsidRPr="00546559">
        <w:rPr>
          <w:lang w:eastAsia="en-AU"/>
        </w:rPr>
        <w:instrText xml:space="preserve"> REF _Ref44335579 \r \h </w:instrText>
      </w:r>
      <w:r>
        <w:rPr>
          <w:lang w:eastAsia="en-AU"/>
        </w:rPr>
        <w:instrText xml:space="preserve"> \* MERGEFORMAT </w:instrText>
      </w:r>
      <w:r w:rsidRPr="00546559">
        <w:rPr>
          <w:lang w:eastAsia="en-AU"/>
        </w:rPr>
      </w:r>
      <w:r w:rsidRPr="00546559">
        <w:rPr>
          <w:lang w:eastAsia="en-AU"/>
        </w:rPr>
        <w:fldChar w:fldCharType="separate"/>
      </w:r>
      <w:r>
        <w:rPr>
          <w:lang w:eastAsia="en-AU"/>
        </w:rPr>
        <w:t>4.2.3</w:t>
      </w:r>
      <w:r w:rsidRPr="00546559">
        <w:rPr>
          <w:lang w:eastAsia="en-AU"/>
        </w:rPr>
        <w:fldChar w:fldCharType="end"/>
      </w:r>
      <w:r>
        <w:rPr>
          <w:lang w:eastAsia="en-AU"/>
        </w:rPr>
        <w:t>,</w:t>
      </w:r>
      <w:r w:rsidRPr="00546559" w:rsidDel="0001544F">
        <w:rPr>
          <w:lang w:eastAsia="en-AU"/>
        </w:rPr>
        <w:t xml:space="preserve"> </w:t>
      </w:r>
      <w:r>
        <w:rPr>
          <w:lang w:eastAsia="en-AU"/>
        </w:rPr>
        <w:t>which</w:t>
      </w:r>
      <w:r w:rsidRPr="00546559">
        <w:rPr>
          <w:lang w:eastAsia="en-AU"/>
        </w:rPr>
        <w:t xml:space="preserve"> may</w:t>
      </w:r>
      <w:r>
        <w:rPr>
          <w:lang w:eastAsia="en-AU"/>
        </w:rPr>
        <w:t xml:space="preserve"> be useful for niche applications. For example, days with air temperature above and below particular thresholds could be useful for the management of peak daily demands in water supply distribution systems, or for asset protection.</w:t>
      </w:r>
    </w:p>
    <w:p w14:paraId="01A79FEF"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285" w:name="_Ref39916314"/>
      <w:bookmarkStart w:id="286" w:name="_Toc43476465"/>
      <w:bookmarkStart w:id="287" w:name="_Toc44928708"/>
      <w:bookmarkStart w:id="288" w:name="_Toc51657981"/>
      <w:bookmarkStart w:id="289" w:name="_Toc53585886"/>
      <w:bookmarkStart w:id="290" w:name="_Toc57377137"/>
      <w:r w:rsidRPr="00306AF1">
        <w:rPr>
          <w:b/>
          <w:bCs/>
          <w:color w:val="000000" w:themeColor="text1"/>
        </w:rPr>
        <w:t>Global climate model limitations</w:t>
      </w:r>
      <w:bookmarkEnd w:id="285"/>
      <w:bookmarkEnd w:id="286"/>
      <w:bookmarkEnd w:id="287"/>
      <w:bookmarkEnd w:id="288"/>
      <w:bookmarkEnd w:id="289"/>
      <w:bookmarkEnd w:id="290"/>
    </w:p>
    <w:p w14:paraId="16AF37CB" w14:textId="77777777" w:rsidR="007B29DD" w:rsidRDefault="007B29DD" w:rsidP="007B29DD">
      <w:pPr>
        <w:pStyle w:val="BodyText"/>
        <w:rPr>
          <w:lang w:eastAsia="en-AU"/>
        </w:rPr>
      </w:pPr>
      <w:r>
        <w:rPr>
          <w:lang w:eastAsia="en-AU"/>
        </w:rPr>
        <w:t>GCMs are the best tools available for projecting changes in climate resulting from increases in greenhouse gas concentrations. There is a high level of confidence associated with GCM projections of increases in temperature; however, the level of confidence about the nature and magnitude of projected changes decreases for other variables (rainfall, potential evapotranspiration and runoff), and at finer temporal and spatial scales.</w:t>
      </w:r>
    </w:p>
    <w:p w14:paraId="5AFC216A" w14:textId="77777777" w:rsidR="007B29DD" w:rsidRDefault="007B29DD" w:rsidP="007B29DD">
      <w:pPr>
        <w:pStyle w:val="BodyText"/>
        <w:rPr>
          <w:lang w:eastAsia="en-AU"/>
        </w:rPr>
      </w:pPr>
      <w:r>
        <w:rPr>
          <w:lang w:eastAsia="en-AU"/>
        </w:rPr>
        <w:t xml:space="preserve">As stated in Section </w:t>
      </w:r>
      <w:r>
        <w:rPr>
          <w:lang w:eastAsia="en-AU"/>
        </w:rPr>
        <w:fldChar w:fldCharType="begin"/>
      </w:r>
      <w:r>
        <w:rPr>
          <w:lang w:eastAsia="en-AU"/>
        </w:rPr>
        <w:instrText xml:space="preserve"> REF _Ref39746372 \r \h </w:instrText>
      </w:r>
      <w:r>
        <w:rPr>
          <w:lang w:eastAsia="en-AU"/>
        </w:rPr>
      </w:r>
      <w:r>
        <w:rPr>
          <w:lang w:eastAsia="en-AU"/>
        </w:rPr>
        <w:fldChar w:fldCharType="separate"/>
      </w:r>
      <w:r>
        <w:rPr>
          <w:lang w:eastAsia="en-AU"/>
        </w:rPr>
        <w:t>4.2</w:t>
      </w:r>
      <w:r>
        <w:rPr>
          <w:lang w:eastAsia="en-AU"/>
        </w:rPr>
        <w:fldChar w:fldCharType="end"/>
      </w:r>
      <w:r>
        <w:rPr>
          <w:lang w:eastAsia="en-AU"/>
        </w:rPr>
        <w:t xml:space="preserve"> and in the associated technical report (Potter et al., 2016), there are a number of assumptions made throughout the modelling process that can generate significant uncertainties in the estimation of future impacts on the regional climate under increased greenhouse gas concentrations. These uncertainties are partly captured in the use of three GCM projections (10</w:t>
      </w:r>
      <w:r w:rsidRPr="003178A9">
        <w:t>th</w:t>
      </w:r>
      <w:r>
        <w:rPr>
          <w:lang w:eastAsia="en-AU"/>
        </w:rPr>
        <w:t xml:space="preserve"> percentile, median and </w:t>
      </w:r>
      <w:r w:rsidRPr="005E0E0D">
        <w:rPr>
          <w:lang w:eastAsia="en-AU"/>
        </w:rPr>
        <w:t>90</w:t>
      </w:r>
      <w:r w:rsidRPr="005E0E0D">
        <w:t>th</w:t>
      </w:r>
      <w:r>
        <w:rPr>
          <w:lang w:eastAsia="en-AU"/>
        </w:rPr>
        <w:t xml:space="preserve"> percentile) from the ensemble of 42 models.</w:t>
      </w:r>
    </w:p>
    <w:p w14:paraId="159ACD78" w14:textId="77777777" w:rsidR="007B29DD" w:rsidRDefault="007B29DD" w:rsidP="007B29DD">
      <w:pPr>
        <w:pStyle w:val="BodyText"/>
        <w:rPr>
          <w:lang w:eastAsia="en-AU"/>
        </w:rPr>
      </w:pPr>
      <w:r>
        <w:rPr>
          <w:lang w:eastAsia="en-AU"/>
        </w:rPr>
        <w:t>The most significant sources of uncertainty in the preparation of global climate modelling results are:</w:t>
      </w:r>
    </w:p>
    <w:p w14:paraId="6EC92A3D" w14:textId="77777777" w:rsidR="007B29DD" w:rsidRDefault="007B29DD" w:rsidP="007B29DD">
      <w:pPr>
        <w:pStyle w:val="BodyText"/>
        <w:numPr>
          <w:ilvl w:val="0"/>
          <w:numId w:val="22"/>
        </w:numPr>
        <w:rPr>
          <w:lang w:eastAsia="en-AU"/>
        </w:rPr>
      </w:pPr>
      <w:r>
        <w:rPr>
          <w:lang w:eastAsia="en-AU"/>
        </w:rPr>
        <w:t>Uncertainty about how emissions may change into the future. These values depend on many socio-economic factors as well as the feedbacks in bio-physical systems.</w:t>
      </w:r>
    </w:p>
    <w:p w14:paraId="36666876" w14:textId="77777777" w:rsidR="007B29DD" w:rsidRDefault="007B29DD" w:rsidP="007B29DD">
      <w:pPr>
        <w:pStyle w:val="BodyText"/>
        <w:numPr>
          <w:ilvl w:val="0"/>
          <w:numId w:val="22"/>
        </w:numPr>
        <w:rPr>
          <w:lang w:eastAsia="en-AU"/>
        </w:rPr>
      </w:pPr>
      <w:r>
        <w:rPr>
          <w:lang w:eastAsia="en-AU"/>
        </w:rPr>
        <w:t xml:space="preserve">Uncertainty in the representation of climate processes in the GCMs. The 42 GCMs are all considered plausible futures. Shortcomings in all models occur at finer temporal scales, as illustrated when examining seasonal projections. A handful of GCMs perform poorly in some aspects of modelling at a regional scale, as listed </w:t>
      </w:r>
      <w:r w:rsidRPr="00AC2FAC">
        <w:rPr>
          <w:lang w:eastAsia="en-AU"/>
        </w:rPr>
        <w:t>in Grose et al. (2015a), Timbal et al. (2015, 2016)</w:t>
      </w:r>
      <w:r>
        <w:rPr>
          <w:lang w:eastAsia="en-AU"/>
        </w:rPr>
        <w:t>, Hope et al. (2016)</w:t>
      </w:r>
      <w:r w:rsidRPr="00AC2FAC">
        <w:rPr>
          <w:lang w:eastAsia="en-AU"/>
        </w:rPr>
        <w:t xml:space="preserve"> and</w:t>
      </w:r>
      <w:r>
        <w:rPr>
          <w:lang w:eastAsia="en-AU"/>
        </w:rPr>
        <w:t xml:space="preserve"> Grose et al. (2017).</w:t>
      </w:r>
    </w:p>
    <w:p w14:paraId="11C24BEA" w14:textId="77777777" w:rsidR="007B29DD" w:rsidRDefault="007B29DD" w:rsidP="007B29DD">
      <w:pPr>
        <w:pStyle w:val="BodyText"/>
        <w:numPr>
          <w:ilvl w:val="0"/>
          <w:numId w:val="22"/>
        </w:numPr>
        <w:rPr>
          <w:lang w:eastAsia="en-AU"/>
        </w:rPr>
      </w:pPr>
      <w:r>
        <w:rPr>
          <w:lang w:eastAsia="en-AU"/>
        </w:rPr>
        <w:t xml:space="preserve">Uncertainty in the downscaling process. The GCMs operate at coarse spatial scales (typically in the order of 200 km x 200 km grid cells) and downscaling is required to represent these coarse scale climate changes locally. Many different downscaling methods exist with different capabilities of adding regional detail to the coarser resolution GCM output. Thus, different downscaling methods can result in differences in the magnitude of changes projected locally. </w:t>
      </w:r>
    </w:p>
    <w:p w14:paraId="65E709B3" w14:textId="77777777" w:rsidR="007B29DD" w:rsidRDefault="007B29DD" w:rsidP="007B29DD">
      <w:pPr>
        <w:pStyle w:val="BodyText"/>
        <w:numPr>
          <w:ilvl w:val="0"/>
          <w:numId w:val="22"/>
        </w:numPr>
        <w:rPr>
          <w:lang w:eastAsia="en-AU"/>
        </w:rPr>
      </w:pPr>
      <w:r>
        <w:rPr>
          <w:lang w:eastAsia="en-AU"/>
        </w:rPr>
        <w:t>Bias correction methods used to prepare GCM or downscaled output for use by rainfall-runoff models can introduce further uncertainties.</w:t>
      </w:r>
    </w:p>
    <w:p w14:paraId="6B6C12FB" w14:textId="77777777" w:rsidR="007B29DD" w:rsidRDefault="007B29DD" w:rsidP="007B29DD">
      <w:pPr>
        <w:pStyle w:val="BodyText"/>
        <w:numPr>
          <w:ilvl w:val="0"/>
          <w:numId w:val="22"/>
        </w:numPr>
        <w:rPr>
          <w:lang w:eastAsia="en-AU"/>
        </w:rPr>
      </w:pPr>
      <w:r>
        <w:rPr>
          <w:lang w:eastAsia="en-AU"/>
        </w:rPr>
        <w:t>Uncertainty in the rainfall-runoff modelling process, including calibration uncertainty, the transposition of rainfall-runoff models to ungauged areas, and the potential for bias in rainfall-runoff models when applied outside of their range of calibrated conditions.</w:t>
      </w:r>
    </w:p>
    <w:p w14:paraId="2C212A29" w14:textId="77777777" w:rsidR="007B29DD" w:rsidRDefault="007B29DD" w:rsidP="007B29DD">
      <w:pPr>
        <w:pStyle w:val="BodyText"/>
        <w:rPr>
          <w:lang w:eastAsia="en-AU"/>
        </w:rPr>
      </w:pPr>
      <w:r w:rsidRPr="00AC2FAC">
        <w:rPr>
          <w:lang w:eastAsia="en-AU"/>
        </w:rPr>
        <w:t>Grose et al. (2015a) and Timbal et al. (2015)</w:t>
      </w:r>
      <w:r>
        <w:rPr>
          <w:lang w:eastAsia="en-AU"/>
        </w:rPr>
        <w:t xml:space="preserve"> assessed the level of confidence of a given modelled change in climate conditions from the GCMs. This level of confidence was based on the rating method used in the IPCC’s Fifth Assessment Report, whereby confidence in a projected change is based on the type, amount, quality and consistency of different lines of evidence (which can be process understanding, theory, model output or expert judgement). The confidence ratings are described as being low, medium, high or very high. The level of confidence is summarised in </w:t>
      </w:r>
      <w:r>
        <w:rPr>
          <w:lang w:eastAsia="en-AU"/>
        </w:rPr>
        <w:fldChar w:fldCharType="begin"/>
      </w:r>
      <w:r>
        <w:rPr>
          <w:lang w:eastAsia="en-AU"/>
        </w:rPr>
        <w:instrText xml:space="preserve"> REF _Ref39746682 \h </w:instrText>
      </w:r>
      <w:r>
        <w:rPr>
          <w:lang w:eastAsia="en-AU"/>
        </w:rPr>
      </w:r>
      <w:r>
        <w:rPr>
          <w:lang w:eastAsia="en-AU"/>
        </w:rPr>
        <w:fldChar w:fldCharType="separate"/>
      </w:r>
      <w:r>
        <w:t xml:space="preserve">Table </w:t>
      </w:r>
      <w:r>
        <w:rPr>
          <w:noProof/>
        </w:rPr>
        <w:t>2</w:t>
      </w:r>
      <w:r>
        <w:rPr>
          <w:lang w:eastAsia="en-AU"/>
        </w:rPr>
        <w:fldChar w:fldCharType="end"/>
      </w:r>
      <w:r>
        <w:rPr>
          <w:lang w:eastAsia="en-AU"/>
        </w:rPr>
        <w:t>, with an emphasis on the level of confidence associated with projected within-year climate change.</w:t>
      </w:r>
    </w:p>
    <w:p w14:paraId="0F5B2DDB" w14:textId="77777777" w:rsidR="007B29DD" w:rsidRDefault="007B29DD" w:rsidP="007B29DD">
      <w:pPr>
        <w:pStyle w:val="Caption"/>
      </w:pPr>
      <w:bookmarkStart w:id="291" w:name="_Ref39746682"/>
      <w:bookmarkStart w:id="292" w:name="_Toc43476556"/>
      <w:bookmarkStart w:id="293" w:name="_Toc44928801"/>
      <w:bookmarkStart w:id="294" w:name="_Toc51237464"/>
      <w:bookmarkStart w:id="295" w:name="_Toc53585979"/>
      <w:bookmarkStart w:id="296" w:name="_Toc57377230"/>
      <w:r>
        <w:lastRenderedPageBreak/>
        <w:t xml:space="preserve">Table </w:t>
      </w:r>
      <w:r>
        <w:fldChar w:fldCharType="begin"/>
      </w:r>
      <w:r>
        <w:instrText>SEQ Table \* ARABIC</w:instrText>
      </w:r>
      <w:r>
        <w:fldChar w:fldCharType="separate"/>
      </w:r>
      <w:r>
        <w:rPr>
          <w:noProof/>
        </w:rPr>
        <w:t>2</w:t>
      </w:r>
      <w:r>
        <w:fldChar w:fldCharType="end"/>
      </w:r>
      <w:bookmarkEnd w:id="291"/>
      <w:r>
        <w:t xml:space="preserve"> </w:t>
      </w:r>
      <w:r w:rsidRPr="00F60DB1">
        <w:t>Level of confidence in seasonal and daily time step changes in climate from global climate models</w:t>
      </w:r>
      <w:r>
        <w:t xml:space="preserve"> (GCMs), for water resource planning applications (adapted from </w:t>
      </w:r>
      <w:r w:rsidRPr="002D01A1">
        <w:t>Grose et al. (2015a) and Timbal et al. (2015)</w:t>
      </w:r>
      <w:r>
        <w:t>)</w:t>
      </w:r>
      <w:bookmarkEnd w:id="292"/>
      <w:bookmarkEnd w:id="293"/>
      <w:bookmarkEnd w:id="294"/>
      <w:bookmarkEnd w:id="295"/>
      <w:bookmarkEnd w:id="296"/>
    </w:p>
    <w:tbl>
      <w:tblPr>
        <w:tblStyle w:val="TableGrid"/>
        <w:tblW w:w="0" w:type="auto"/>
        <w:tblLook w:val="04A0" w:firstRow="1" w:lastRow="0" w:firstColumn="1" w:lastColumn="0" w:noHBand="0" w:noVBand="1"/>
      </w:tblPr>
      <w:tblGrid>
        <w:gridCol w:w="3544"/>
        <w:gridCol w:w="2234"/>
        <w:gridCol w:w="3861"/>
      </w:tblGrid>
      <w:tr w:rsidR="007B29DD" w14:paraId="700BCB31" w14:textId="77777777" w:rsidTr="00AD42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4" w:type="dxa"/>
            <w:shd w:val="clear" w:color="auto" w:fill="D0CECE" w:themeFill="background2" w:themeFillShade="E6"/>
          </w:tcPr>
          <w:p w14:paraId="37FADE8F" w14:textId="77777777" w:rsidR="007B29DD" w:rsidRPr="00CD7B73" w:rsidRDefault="007B29DD" w:rsidP="00306AF1">
            <w:pPr>
              <w:keepNext/>
              <w:jc w:val="center"/>
              <w:rPr>
                <w:b/>
              </w:rPr>
            </w:pPr>
            <w:r w:rsidRPr="00CD7B73">
              <w:rPr>
                <w:b/>
              </w:rPr>
              <w:t>Modelled</w:t>
            </w:r>
            <w:r>
              <w:rPr>
                <w:b/>
              </w:rPr>
              <w:t xml:space="preserve"> seasonal or daily time step</w:t>
            </w:r>
            <w:r w:rsidRPr="00CD7B73">
              <w:rPr>
                <w:b/>
              </w:rPr>
              <w:t xml:space="preserve"> climate change</w:t>
            </w:r>
          </w:p>
        </w:tc>
        <w:tc>
          <w:tcPr>
            <w:tcW w:w="2234" w:type="dxa"/>
            <w:shd w:val="clear" w:color="auto" w:fill="D0CECE" w:themeFill="background2" w:themeFillShade="E6"/>
          </w:tcPr>
          <w:p w14:paraId="2E38F00A" w14:textId="77777777" w:rsidR="007B29DD" w:rsidRPr="00CD7B73" w:rsidRDefault="007B29DD" w:rsidP="00306AF1">
            <w:pPr>
              <w:keepNext/>
              <w:jc w:val="center"/>
              <w:cnfStyle w:val="100000000000" w:firstRow="1" w:lastRow="0" w:firstColumn="0" w:lastColumn="0" w:oddVBand="0" w:evenVBand="0" w:oddHBand="0" w:evenHBand="0" w:firstRowFirstColumn="0" w:firstRowLastColumn="0" w:lastRowFirstColumn="0" w:lastRowLastColumn="0"/>
              <w:rPr>
                <w:b/>
              </w:rPr>
            </w:pPr>
            <w:r w:rsidRPr="00CD7B73">
              <w:rPr>
                <w:b/>
              </w:rPr>
              <w:t>Level of confidence</w:t>
            </w:r>
            <w:r>
              <w:rPr>
                <w:b/>
              </w:rPr>
              <w:t xml:space="preserve"> that this change will occur</w:t>
            </w:r>
          </w:p>
        </w:tc>
        <w:tc>
          <w:tcPr>
            <w:tcW w:w="3861" w:type="dxa"/>
            <w:shd w:val="clear" w:color="auto" w:fill="D0CECE" w:themeFill="background2" w:themeFillShade="E6"/>
          </w:tcPr>
          <w:p w14:paraId="595D6C2C" w14:textId="77777777" w:rsidR="007B29DD" w:rsidRDefault="007B29DD" w:rsidP="00306AF1">
            <w:pPr>
              <w:keepNext/>
              <w:jc w:val="center"/>
              <w:cnfStyle w:val="100000000000" w:firstRow="1" w:lastRow="0" w:firstColumn="0" w:lastColumn="0" w:oddVBand="0" w:evenVBand="0" w:oddHBand="0" w:evenHBand="0" w:firstRowFirstColumn="0" w:firstRowLastColumn="0" w:lastRowFirstColumn="0" w:lastRowLastColumn="0"/>
              <w:rPr>
                <w:rFonts w:cs="Arial"/>
                <w:b/>
                <w:bCs/>
                <w:kern w:val="32"/>
                <w:szCs w:val="32"/>
              </w:rPr>
            </w:pPr>
            <w:r w:rsidRPr="00CD7B73">
              <w:rPr>
                <w:b/>
              </w:rPr>
              <w:t>Comments</w:t>
            </w:r>
          </w:p>
        </w:tc>
      </w:tr>
      <w:tr w:rsidR="007B29DD" w14:paraId="3B83B963" w14:textId="77777777" w:rsidTr="00306AF1">
        <w:tc>
          <w:tcPr>
            <w:tcW w:w="3544" w:type="dxa"/>
          </w:tcPr>
          <w:p w14:paraId="0F7F16A2" w14:textId="77777777" w:rsidR="007B29DD" w:rsidRDefault="007B29DD" w:rsidP="00306AF1">
            <w:pPr>
              <w:keepNext/>
            </w:pPr>
            <w:r>
              <w:t>Increase in the temperature reached on the hottest days, the frequency of hot days and the duration of warm spells.</w:t>
            </w:r>
          </w:p>
        </w:tc>
        <w:tc>
          <w:tcPr>
            <w:tcW w:w="2234" w:type="dxa"/>
          </w:tcPr>
          <w:p w14:paraId="1993F3D6" w14:textId="77777777" w:rsidR="007B29DD" w:rsidRDefault="007B29DD" w:rsidP="00306AF1">
            <w:pPr>
              <w:keepNext/>
              <w:jc w:val="center"/>
            </w:pPr>
            <w:r>
              <w:t>Very High</w:t>
            </w:r>
          </w:p>
        </w:tc>
        <w:tc>
          <w:tcPr>
            <w:tcW w:w="3861" w:type="dxa"/>
          </w:tcPr>
          <w:p w14:paraId="5BFE07F2" w14:textId="77777777" w:rsidR="007B29DD" w:rsidRDefault="007B29DD" w:rsidP="00306AF1">
            <w:pPr>
              <w:keepNext/>
            </w:pPr>
            <w:r>
              <w:t>Confidence in the magnitude of the temperature increase, particularly at a local scale, is low.</w:t>
            </w:r>
          </w:p>
        </w:tc>
      </w:tr>
      <w:tr w:rsidR="007B29DD" w14:paraId="7FD17F2D" w14:textId="77777777" w:rsidTr="00306AF1">
        <w:tc>
          <w:tcPr>
            <w:tcW w:w="3544" w:type="dxa"/>
          </w:tcPr>
          <w:p w14:paraId="476BE913" w14:textId="77777777" w:rsidR="007B29DD" w:rsidRDefault="007B29DD" w:rsidP="00306AF1">
            <w:pPr>
              <w:keepNext/>
            </w:pPr>
            <w:r>
              <w:t>Increase in potential evaporation rates in all seasons.</w:t>
            </w:r>
          </w:p>
        </w:tc>
        <w:tc>
          <w:tcPr>
            <w:tcW w:w="2234" w:type="dxa"/>
          </w:tcPr>
          <w:p w14:paraId="11D95D24" w14:textId="77777777" w:rsidR="007B29DD" w:rsidRDefault="007B29DD" w:rsidP="00306AF1">
            <w:pPr>
              <w:keepNext/>
              <w:jc w:val="center"/>
            </w:pPr>
            <w:r w:rsidRPr="004C305B">
              <w:t>High</w:t>
            </w:r>
            <w:r>
              <w:t xml:space="preserve"> with regard to direction of change, but medium confidence in magnitude of the change</w:t>
            </w:r>
          </w:p>
        </w:tc>
        <w:tc>
          <w:tcPr>
            <w:tcW w:w="3861" w:type="dxa"/>
          </w:tcPr>
          <w:p w14:paraId="5AD6DC62" w14:textId="77777777" w:rsidR="007B29DD" w:rsidRDefault="007B29DD" w:rsidP="00306AF1">
            <w:pPr>
              <w:keepNext/>
            </w:pPr>
            <w:r>
              <w:t>P</w:t>
            </w:r>
            <w:r w:rsidRPr="000E6797">
              <w:t>otential for increases in the short</w:t>
            </w:r>
            <w:r>
              <w:t>-</w:t>
            </w:r>
            <w:r w:rsidRPr="000E6797">
              <w:t>term in frosts/frost risk with cool, clear nights</w:t>
            </w:r>
            <w:r>
              <w:t xml:space="preserve"> (DELWP, 2019d).</w:t>
            </w:r>
          </w:p>
        </w:tc>
      </w:tr>
      <w:tr w:rsidR="007B29DD" w14:paraId="1CE304EC" w14:textId="77777777" w:rsidTr="00306AF1">
        <w:tc>
          <w:tcPr>
            <w:tcW w:w="3544" w:type="dxa"/>
          </w:tcPr>
          <w:p w14:paraId="2308F0EA" w14:textId="77777777" w:rsidR="007B29DD" w:rsidRDefault="007B29DD" w:rsidP="00306AF1">
            <w:pPr>
              <w:keepNext/>
            </w:pPr>
            <w:r>
              <w:t>Decrease in the frequency of frost-risk days.</w:t>
            </w:r>
          </w:p>
        </w:tc>
        <w:tc>
          <w:tcPr>
            <w:tcW w:w="2234" w:type="dxa"/>
          </w:tcPr>
          <w:p w14:paraId="290EF562" w14:textId="77777777" w:rsidR="007B29DD" w:rsidRDefault="007B29DD" w:rsidP="00306AF1">
            <w:pPr>
              <w:keepNext/>
              <w:jc w:val="center"/>
            </w:pPr>
            <w:r>
              <w:t>High</w:t>
            </w:r>
          </w:p>
        </w:tc>
        <w:tc>
          <w:tcPr>
            <w:tcW w:w="3861" w:type="dxa"/>
          </w:tcPr>
          <w:p w14:paraId="3DE8892B" w14:textId="77777777" w:rsidR="007B29DD" w:rsidRDefault="007B29DD" w:rsidP="00306AF1">
            <w:pPr>
              <w:keepNext/>
            </w:pPr>
          </w:p>
        </w:tc>
      </w:tr>
      <w:tr w:rsidR="007B29DD" w14:paraId="6E52AA35" w14:textId="77777777" w:rsidTr="00306AF1">
        <w:tc>
          <w:tcPr>
            <w:tcW w:w="3544" w:type="dxa"/>
          </w:tcPr>
          <w:p w14:paraId="4C40A474" w14:textId="77777777" w:rsidR="007B29DD" w:rsidRDefault="007B29DD" w:rsidP="00306AF1">
            <w:pPr>
              <w:keepNext/>
            </w:pPr>
            <w:r>
              <w:t>Rainfall decreases in winter and spring.</w:t>
            </w:r>
          </w:p>
        </w:tc>
        <w:tc>
          <w:tcPr>
            <w:tcW w:w="2234" w:type="dxa"/>
          </w:tcPr>
          <w:p w14:paraId="66F1E45C" w14:textId="77777777" w:rsidR="007B29DD" w:rsidRDefault="007B29DD" w:rsidP="00306AF1">
            <w:pPr>
              <w:keepNext/>
              <w:jc w:val="center"/>
            </w:pPr>
            <w:r>
              <w:t>High</w:t>
            </w:r>
          </w:p>
        </w:tc>
        <w:tc>
          <w:tcPr>
            <w:tcW w:w="3861" w:type="dxa"/>
          </w:tcPr>
          <w:p w14:paraId="68D27EAD" w14:textId="77777777" w:rsidR="007B29DD" w:rsidRDefault="007B29DD" w:rsidP="00306AF1">
            <w:pPr>
              <w:keepNext/>
            </w:pPr>
            <w:r>
              <w:t>Hope et al. (2015b) states that, “there are a number of reasons to expect that projected cool season rainfall deficits may be under-estimated by current climate models, particularly for the winter months”, notably that the models, “do not capture the magnitude of the observed trends in the sub-tropical ridge” that are associated with cool season rainfall changes in Victoria.</w:t>
            </w:r>
          </w:p>
        </w:tc>
      </w:tr>
      <w:tr w:rsidR="007B29DD" w14:paraId="09E251A5" w14:textId="77777777" w:rsidTr="00306AF1">
        <w:tc>
          <w:tcPr>
            <w:tcW w:w="3544" w:type="dxa"/>
          </w:tcPr>
          <w:p w14:paraId="74589AA7" w14:textId="77777777" w:rsidR="007B29DD" w:rsidRDefault="007B29DD" w:rsidP="00306AF1">
            <w:pPr>
              <w:keepNext/>
            </w:pPr>
            <w:r>
              <w:t>Little change in autumn rainfall.</w:t>
            </w:r>
          </w:p>
        </w:tc>
        <w:tc>
          <w:tcPr>
            <w:tcW w:w="2234" w:type="dxa"/>
          </w:tcPr>
          <w:p w14:paraId="0631EBFD" w14:textId="77777777" w:rsidR="007B29DD" w:rsidRDefault="007B29DD" w:rsidP="00306AF1">
            <w:pPr>
              <w:keepNext/>
              <w:jc w:val="center"/>
            </w:pPr>
            <w:r>
              <w:t>Low for southern Victoria</w:t>
            </w:r>
          </w:p>
        </w:tc>
        <w:tc>
          <w:tcPr>
            <w:tcW w:w="3861" w:type="dxa"/>
          </w:tcPr>
          <w:p w14:paraId="4436EB01" w14:textId="77777777" w:rsidR="007B29DD" w:rsidRDefault="007B29DD" w:rsidP="00306AF1">
            <w:pPr>
              <w:keepNext/>
            </w:pPr>
            <w:r>
              <w:t>Grose et al. (2015a) states that substantial decreases in autumn rainfall are also plausible. Timbal et al. (2015) does not specifically comment on the level of confidence in changes in autumn rainfall for northern Victoria.</w:t>
            </w:r>
          </w:p>
        </w:tc>
      </w:tr>
      <w:tr w:rsidR="007B29DD" w14:paraId="7739AE5C" w14:textId="77777777" w:rsidTr="00306AF1">
        <w:tc>
          <w:tcPr>
            <w:tcW w:w="3544" w:type="dxa"/>
          </w:tcPr>
          <w:p w14:paraId="4A62D6F8" w14:textId="77777777" w:rsidR="007B29DD" w:rsidRDefault="007B29DD" w:rsidP="00306AF1">
            <w:pPr>
              <w:keepNext/>
            </w:pPr>
            <w:r>
              <w:t>Intensity of heavy rainfall events will increase.</w:t>
            </w:r>
          </w:p>
        </w:tc>
        <w:tc>
          <w:tcPr>
            <w:tcW w:w="2234" w:type="dxa"/>
          </w:tcPr>
          <w:p w14:paraId="4CDDD27E" w14:textId="77777777" w:rsidR="007B29DD" w:rsidRDefault="007B29DD" w:rsidP="00306AF1">
            <w:pPr>
              <w:keepNext/>
              <w:jc w:val="center"/>
            </w:pPr>
            <w:r>
              <w:t>High with regard to direction of change, but medium confidence in the magnitude of the change</w:t>
            </w:r>
          </w:p>
        </w:tc>
        <w:tc>
          <w:tcPr>
            <w:tcW w:w="3861" w:type="dxa"/>
          </w:tcPr>
          <w:p w14:paraId="74E102EA" w14:textId="77777777" w:rsidR="007B29DD" w:rsidRDefault="007B29DD" w:rsidP="00306AF1">
            <w:pPr>
              <w:keepNext/>
            </w:pPr>
            <w:r>
              <w:t>The magnitude of the change cannot reliably be projected as some smaller scale processes associated with extreme events are not well represented by GCMs.</w:t>
            </w:r>
          </w:p>
        </w:tc>
      </w:tr>
      <w:tr w:rsidR="007B29DD" w14:paraId="4603F4F6" w14:textId="77777777" w:rsidTr="00306AF1">
        <w:tc>
          <w:tcPr>
            <w:tcW w:w="3544" w:type="dxa"/>
          </w:tcPr>
          <w:p w14:paraId="7AE2FA3A" w14:textId="77777777" w:rsidR="007B29DD" w:rsidRDefault="007B29DD" w:rsidP="00306AF1">
            <w:r>
              <w:t>Time spent in drought (rainfall deficiencies) will increase over the course of the 2</w:t>
            </w:r>
            <w:r w:rsidRPr="000A4318">
              <w:t>1st</w:t>
            </w:r>
            <w:r>
              <w:t xml:space="preserve"> century and the frequency and duration of extreme droughts will increase.</w:t>
            </w:r>
          </w:p>
        </w:tc>
        <w:tc>
          <w:tcPr>
            <w:tcW w:w="2234" w:type="dxa"/>
          </w:tcPr>
          <w:p w14:paraId="70A6782E" w14:textId="77777777" w:rsidR="007B29DD" w:rsidRDefault="007B29DD" w:rsidP="00306AF1">
            <w:pPr>
              <w:jc w:val="center"/>
            </w:pPr>
            <w:r>
              <w:t>Medium</w:t>
            </w:r>
          </w:p>
        </w:tc>
        <w:tc>
          <w:tcPr>
            <w:tcW w:w="3861" w:type="dxa"/>
          </w:tcPr>
          <w:p w14:paraId="3D5D7951" w14:textId="77777777" w:rsidR="007B29DD" w:rsidRDefault="007B29DD" w:rsidP="00306AF1">
            <w:r>
              <w:t>Hope et al. (2015b) states drought durations in the GCM outputs over the 2</w:t>
            </w:r>
            <w:r w:rsidRPr="000A4318">
              <w:t>1st</w:t>
            </w:r>
            <w:r>
              <w:t xml:space="preserve"> century are all shorter than the Millennium Drought.</w:t>
            </w:r>
          </w:p>
        </w:tc>
      </w:tr>
    </w:tbl>
    <w:p w14:paraId="20D967B9" w14:textId="77777777" w:rsidR="007B29DD" w:rsidRDefault="007B29DD" w:rsidP="007B29DD">
      <w:pPr>
        <w:pStyle w:val="BodyText"/>
        <w:rPr>
          <w:lang w:eastAsia="en-AU"/>
        </w:rPr>
      </w:pPr>
    </w:p>
    <w:p w14:paraId="4F6CDC54" w14:textId="77777777" w:rsidR="007B29DD" w:rsidRPr="00863DC1" w:rsidRDefault="007B29DD" w:rsidP="007B29DD">
      <w:pPr>
        <w:pStyle w:val="BodyText"/>
      </w:pPr>
      <w:r>
        <w:rPr>
          <w:lang w:eastAsia="en-AU"/>
        </w:rPr>
        <w:t xml:space="preserve">Of relevance to water resource planning in Victoria are projected changes to prolonged droughts such as the Millennium Drought, which recently tested the state’s water supply system performance. When looking at modelled future long-duration </w:t>
      </w:r>
      <w:r w:rsidRPr="00863DC1">
        <w:t>droughts, Hope et al. (2015b) note that the Millennium Drought recorded 121 months without any ‘wet’ months, and that GCMs</w:t>
      </w:r>
      <w:r>
        <w:t>,</w:t>
      </w:r>
      <w:r w:rsidRPr="00863DC1">
        <w:t xml:space="preserve"> “do not capture spells of this duration; nor do they indicate any likely change in frequency of these prolonged no 'very wet' month spells over the coming century.”</w:t>
      </w:r>
    </w:p>
    <w:p w14:paraId="1E4D5E3B" w14:textId="77777777" w:rsidR="007B29DD" w:rsidRDefault="007B29DD" w:rsidP="007B29DD">
      <w:pPr>
        <w:pStyle w:val="BodyText"/>
        <w:rPr>
          <w:lang w:eastAsia="en-AU"/>
        </w:rPr>
      </w:pPr>
      <w:r w:rsidRPr="00863DC1">
        <w:t>Projected changes at a daily time step are dependent upon the downscaling technique applied. The spatial downscaling technique applied by</w:t>
      </w:r>
      <w:r>
        <w:rPr>
          <w:lang w:eastAsia="en-AU"/>
        </w:rPr>
        <w:t xml:space="preserve"> CSIRO for these guidelines (Potter et al., 2016) has the advantage that it is robust, computationally less complex than other methods, and represents changes in average climate conditions well (</w:t>
      </w:r>
      <w:r w:rsidRPr="00AC2FAC">
        <w:rPr>
          <w:lang w:eastAsia="en-AU"/>
        </w:rPr>
        <w:t>Ekström, 2015</w:t>
      </w:r>
      <w:r>
        <w:rPr>
          <w:lang w:eastAsia="en-AU"/>
        </w:rPr>
        <w:t>). However, because it involves scaling a historical dataset, it assumes no changes to the number or sequencing of rain days under future climate change.</w:t>
      </w:r>
    </w:p>
    <w:p w14:paraId="1924BD80" w14:textId="77777777" w:rsidR="007B29DD" w:rsidRPr="00863DC1" w:rsidRDefault="007B29DD" w:rsidP="007B29DD">
      <w:pPr>
        <w:pStyle w:val="BodyText"/>
      </w:pPr>
      <w:r>
        <w:rPr>
          <w:lang w:eastAsia="en-AU"/>
        </w:rPr>
        <w:t>With respect to projected daily and seasonal changes, this overview of model limitations makes the following conclusions:</w:t>
      </w:r>
    </w:p>
    <w:p w14:paraId="31869697" w14:textId="77777777" w:rsidR="007B29DD" w:rsidRDefault="007B29DD" w:rsidP="007B29DD">
      <w:pPr>
        <w:pStyle w:val="ListBullet"/>
      </w:pPr>
      <w:r>
        <w:t>The projected changes reasonably reflect changes in rainfall intensity identified in the GCMs, particularly the increase in intensity for higher rainfall events. However, there is still a wide range of uncertainty in the projected changes from the GCMs.</w:t>
      </w:r>
    </w:p>
    <w:p w14:paraId="134BF673" w14:textId="77777777" w:rsidR="007B29DD" w:rsidRDefault="007B29DD" w:rsidP="007B29DD">
      <w:pPr>
        <w:pStyle w:val="ListBullet"/>
      </w:pPr>
      <w:r>
        <w:t>The projected changes do not reflect changes in the number of rain days and/or their sequencing, which</w:t>
      </w:r>
      <w:r w:rsidDel="0062400C">
        <w:t xml:space="preserve"> </w:t>
      </w:r>
      <w:r>
        <w:t>can be important for understanding changes to within-year drought severity and duration and multi-year drought and variability.</w:t>
      </w:r>
    </w:p>
    <w:p w14:paraId="643A5A37" w14:textId="77777777" w:rsidR="007B29DD" w:rsidRDefault="007B29DD" w:rsidP="007B29DD">
      <w:pPr>
        <w:pStyle w:val="ListBullet"/>
      </w:pPr>
      <w:r>
        <w:t xml:space="preserve">There is considerable variance in seasonal rainfall projections for any given annual rainfall projection. The magnitude of changes in cool season (Apr–Oct) rainfall may be under-estimated (since GCMs tend to </w:t>
      </w:r>
      <w:r>
        <w:lastRenderedPageBreak/>
        <w:t>underestimate trends in key climate influences relative to recent observations) and the projected negligible change in autumn rainfall does not match the significant declines recently observed.</w:t>
      </w:r>
    </w:p>
    <w:p w14:paraId="2DA3D1EA" w14:textId="77777777" w:rsidR="007B29DD" w:rsidRDefault="007B29DD" w:rsidP="007B29DD">
      <w:pPr>
        <w:pStyle w:val="BodyText"/>
        <w:rPr>
          <w:lang w:eastAsia="en-AU"/>
        </w:rPr>
      </w:pPr>
      <w:r>
        <w:rPr>
          <w:lang w:eastAsia="en-AU"/>
        </w:rPr>
        <w:t>It is important to re-iterate that the modelling approach used by CSIRO utilises the latest GCM results and utilises them to create locally relevant information in a robust manner that has been peer reviewed. Model limitations reflect the considerable challenges faced by climate scientists and hydrologists in making projections about our future climate and water availability. These limitations of the model projections need to be recognised during their application. In the case of within-year climate changes, the model projections do not yet provide all the information needed by water resource managers in Victoria at a suitable level of confidence.</w:t>
      </w:r>
    </w:p>
    <w:p w14:paraId="00B8C0FF" w14:textId="77777777" w:rsidR="007B29DD" w:rsidRDefault="007B29DD" w:rsidP="007B29DD">
      <w:pPr>
        <w:pStyle w:val="BodyText"/>
        <w:rPr>
          <w:lang w:eastAsia="en-AU"/>
        </w:rPr>
      </w:pPr>
    </w:p>
    <w:tbl>
      <w:tblPr>
        <w:tblStyle w:val="HighlightTable"/>
        <w:tblW w:w="0" w:type="auto"/>
        <w:tblLook w:val="04A0" w:firstRow="1" w:lastRow="0" w:firstColumn="1" w:lastColumn="0" w:noHBand="0" w:noVBand="1"/>
      </w:tblPr>
      <w:tblGrid>
        <w:gridCol w:w="9639"/>
      </w:tblGrid>
      <w:tr w:rsidR="007B29DD" w14:paraId="4454129A" w14:textId="77777777" w:rsidTr="00306AF1">
        <w:tc>
          <w:tcPr>
            <w:tcW w:w="9639" w:type="dxa"/>
            <w:hideMark/>
          </w:tcPr>
          <w:p w14:paraId="4AD0B8F3" w14:textId="77777777" w:rsidR="007B29DD" w:rsidRDefault="007B29DD" w:rsidP="00306AF1">
            <w:pPr>
              <w:pStyle w:val="HighlightBoxText"/>
              <w:jc w:val="both"/>
            </w:pPr>
            <w:r w:rsidRPr="002F3BA7">
              <w:rPr>
                <w:color w:val="000000" w:themeColor="text1"/>
              </w:rPr>
              <w:t>GCMs are the best tools available for projecting changes in climate resulting from increases in greenhouse gas concentrations. There is a high degree of confidence in projected annual changes in near-surface air temperature and potential evapotranspiration; however, greater uncertainty exists for the projection of rainfall.</w:t>
            </w:r>
          </w:p>
        </w:tc>
      </w:tr>
    </w:tbl>
    <w:p w14:paraId="685A7875" w14:textId="77777777" w:rsidR="007B29DD" w:rsidRPr="009F394D" w:rsidRDefault="007B29DD" w:rsidP="007B29DD">
      <w:pPr>
        <w:pStyle w:val="BodyText"/>
        <w:rPr>
          <w:lang w:eastAsia="en-AU"/>
        </w:rPr>
      </w:pPr>
    </w:p>
    <w:p w14:paraId="71CC0A86" w14:textId="77777777" w:rsidR="007B29DD" w:rsidRPr="00306AF1" w:rsidRDefault="007B29DD" w:rsidP="007B29DD">
      <w:pPr>
        <w:pStyle w:val="Heading1TopofPage"/>
        <w:numPr>
          <w:ilvl w:val="0"/>
          <w:numId w:val="5"/>
        </w:numPr>
        <w:tabs>
          <w:tab w:val="clear" w:pos="0"/>
        </w:tabs>
        <w:rPr>
          <w:color w:val="000000" w:themeColor="text1"/>
        </w:rPr>
      </w:pPr>
      <w:bookmarkStart w:id="297" w:name="_Toc38957428"/>
      <w:bookmarkStart w:id="298" w:name="_Ref39391128"/>
      <w:bookmarkStart w:id="299" w:name="_Ref39494023"/>
      <w:bookmarkStart w:id="300" w:name="_Ref39494034"/>
      <w:bookmarkStart w:id="301" w:name="_Ref39494038"/>
      <w:bookmarkStart w:id="302" w:name="_Ref39494043"/>
      <w:bookmarkStart w:id="303" w:name="_Ref39648030"/>
      <w:bookmarkStart w:id="304" w:name="_Ref39736159"/>
      <w:bookmarkStart w:id="305" w:name="_Ref42784237"/>
      <w:bookmarkStart w:id="306" w:name="_Toc43476466"/>
      <w:bookmarkStart w:id="307" w:name="_Toc44928709"/>
      <w:bookmarkStart w:id="308" w:name="_Toc51657982"/>
      <w:bookmarkStart w:id="309" w:name="_Toc53585887"/>
      <w:bookmarkStart w:id="310" w:name="_Toc57377138"/>
      <w:r w:rsidRPr="00306AF1">
        <w:rPr>
          <w:color w:val="000000" w:themeColor="text1"/>
        </w:rPr>
        <w:lastRenderedPageBreak/>
        <w:t>Climate Change Impact Assessment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3BBCB7B5"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311" w:name="_Toc43476467"/>
      <w:bookmarkStart w:id="312" w:name="_Toc44928710"/>
      <w:bookmarkStart w:id="313" w:name="_Toc51657983"/>
      <w:bookmarkStart w:id="314" w:name="_Toc53585888"/>
      <w:bookmarkStart w:id="315" w:name="_Toc57377139"/>
      <w:r w:rsidRPr="00306AF1">
        <w:rPr>
          <w:b/>
          <w:bCs/>
          <w:color w:val="000000" w:themeColor="text1"/>
        </w:rPr>
        <w:t>Introduction</w:t>
      </w:r>
      <w:bookmarkEnd w:id="311"/>
      <w:bookmarkEnd w:id="312"/>
      <w:bookmarkEnd w:id="313"/>
      <w:bookmarkEnd w:id="314"/>
      <w:bookmarkEnd w:id="315"/>
    </w:p>
    <w:p w14:paraId="51E06C80" w14:textId="77777777" w:rsidR="007B29DD" w:rsidRDefault="007B29DD" w:rsidP="007B29DD">
      <w:pPr>
        <w:pStyle w:val="BodyText"/>
        <w:rPr>
          <w:lang w:eastAsia="en-AU"/>
        </w:rPr>
      </w:pPr>
      <w:r>
        <w:rPr>
          <w:lang w:eastAsia="en-AU"/>
        </w:rPr>
        <w:t xml:space="preserve">This section presents the procedures and reference information for assessing the impact of climate change on water availability and demands. This guidance is applicable to water supply systems and river systems at local and regional scales. An overview of the impact assessment process is presented in </w:t>
      </w:r>
      <w:r>
        <w:rPr>
          <w:lang w:eastAsia="en-AU"/>
        </w:rPr>
        <w:fldChar w:fldCharType="begin"/>
      </w:r>
      <w:r>
        <w:rPr>
          <w:lang w:eastAsia="en-AU"/>
        </w:rPr>
        <w:instrText xml:space="preserve"> REF _Ref39822221 \h </w:instrText>
      </w:r>
      <w:r>
        <w:rPr>
          <w:lang w:eastAsia="en-AU"/>
        </w:rPr>
      </w:r>
      <w:r>
        <w:rPr>
          <w:lang w:eastAsia="en-AU"/>
        </w:rPr>
        <w:fldChar w:fldCharType="separate"/>
      </w:r>
      <w:r>
        <w:t xml:space="preserve">Figure </w:t>
      </w:r>
      <w:r>
        <w:rPr>
          <w:noProof/>
        </w:rPr>
        <w:t>15</w:t>
      </w:r>
      <w:r>
        <w:rPr>
          <w:lang w:eastAsia="en-AU"/>
        </w:rPr>
        <w:fldChar w:fldCharType="end"/>
      </w:r>
      <w:r>
        <w:rPr>
          <w:lang w:eastAsia="en-AU"/>
        </w:rPr>
        <w:t>.</w:t>
      </w:r>
    </w:p>
    <w:p w14:paraId="29AF4ADC" w14:textId="77777777" w:rsidR="007B29DD" w:rsidRDefault="007B29DD" w:rsidP="007B29DD">
      <w:pPr>
        <w:pStyle w:val="BodyText"/>
        <w:rPr>
          <w:lang w:eastAsia="en-AU"/>
        </w:rPr>
      </w:pPr>
    </w:p>
    <w:p w14:paraId="44D7A407" w14:textId="77777777" w:rsidR="007B29DD" w:rsidRDefault="007B29DD" w:rsidP="007B29DD">
      <w:pPr>
        <w:pStyle w:val="BodyText"/>
        <w:spacing w:after="0"/>
        <w:rPr>
          <w:lang w:eastAsia="en-AU"/>
        </w:rPr>
      </w:pPr>
      <w:r>
        <w:rPr>
          <w:noProof/>
        </w:rPr>
        <w:drawing>
          <wp:inline distT="0" distB="0" distL="0" distR="0" wp14:anchorId="047C2C56" wp14:editId="00D95517">
            <wp:extent cx="6227416" cy="7296148"/>
            <wp:effectExtent l="19050" t="19050" r="21590" b="19685"/>
            <wp:docPr id="945704172" name="Picture 945704172" descr="An overview of the impact assessment process:&#10;A: Creating reference period conditions:&#10;One: Select your climate reference periods (Section 5.3) – Post-1975 for near-term and long-term assessments plus post-1997 to allow for possibility of more rapid climate change to date.&#10;Two: Extern your climate reference periods (Section 5.4) – Historical data scaling or stochastic data generation.&#10;B: Selecting, understanding and working with the climate change scenarios:&#10;Three: Select your climate change scenario(s) (Section 5.5) – RCP8.5 plus projection of post-1997 historic climate reference period. Option to test robustness under milder RCP4.5 scenario.&#10;Four: Understand projection uncertainly (section 5.6) – Consider the implications of high, medium and low projections representing global climate model uncertainty for the given RCP scenario(s)&#10;Five: Interpolate and extrapolate projections (section 5.6.3) – Methods to interpolate between 1995, 2040 and 2065, and to extrapolate beyond 2065.&#10;C: Source and apply the climate change scaling factors:&#10;Six: Source and apply tabulated projections (Sections 5.7 to 5.13) – Tables and associated methods for projecting temperature, potential evapotranspiration, rainfall, runoff, recharge and demands under climate change.&#10;Seven: Special considerations (section 5.14 to 5.15) – these apply for alpine areas and bushfire prone areas.&#10;D: Interpret the climate change scenario outcomes:&#10;Eight: Interpret the outcomes (Section 6) – Examine outcomes and consider need for additional sensitive/stress testing to address near-term decision risks.&#10;E: Optional sensitivity or stress testing:&#10;Nine: Optional sensitivity testing (Sections 6.4 and Appendix B) – Tables, information sources and techniques for option sensitivity or stres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72"/>
                    <pic:cNvPicPr/>
                  </pic:nvPicPr>
                  <pic:blipFill>
                    <a:blip r:embed="rId34">
                      <a:extLst>
                        <a:ext uri="{28A0092B-C50C-407E-A947-70E740481C1C}">
                          <a14:useLocalDpi xmlns:a14="http://schemas.microsoft.com/office/drawing/2010/main" val="0"/>
                        </a:ext>
                      </a:extLst>
                    </a:blip>
                    <a:stretch>
                      <a:fillRect/>
                    </a:stretch>
                  </pic:blipFill>
                  <pic:spPr>
                    <a:xfrm>
                      <a:off x="0" y="0"/>
                      <a:ext cx="6227416" cy="7296148"/>
                    </a:xfrm>
                    <a:prstGeom prst="rect">
                      <a:avLst/>
                    </a:prstGeom>
                    <a:ln>
                      <a:solidFill>
                        <a:schemeClr val="bg1">
                          <a:lumMod val="65000"/>
                        </a:schemeClr>
                      </a:solidFill>
                    </a:ln>
                  </pic:spPr>
                </pic:pic>
              </a:graphicData>
            </a:graphic>
          </wp:inline>
        </w:drawing>
      </w:r>
    </w:p>
    <w:p w14:paraId="1FBC6CAC" w14:textId="77777777" w:rsidR="007B29DD" w:rsidRPr="003308C9" w:rsidRDefault="007B29DD" w:rsidP="007B29DD">
      <w:pPr>
        <w:pStyle w:val="Caption"/>
        <w:keepNext w:val="0"/>
        <w:spacing w:before="0"/>
      </w:pPr>
      <w:bookmarkStart w:id="316" w:name="_Ref39822221"/>
      <w:bookmarkStart w:id="317" w:name="_Toc43476582"/>
      <w:bookmarkStart w:id="318" w:name="_Toc44928827"/>
      <w:bookmarkStart w:id="319" w:name="_Toc51237491"/>
      <w:bookmarkStart w:id="320" w:name="_Toc53586006"/>
      <w:bookmarkStart w:id="321" w:name="_Toc57377257"/>
      <w:r>
        <w:t xml:space="preserve">Figure </w:t>
      </w:r>
      <w:r>
        <w:fldChar w:fldCharType="begin"/>
      </w:r>
      <w:r>
        <w:instrText>SEQ Figure \* ARABIC</w:instrText>
      </w:r>
      <w:r>
        <w:fldChar w:fldCharType="separate"/>
      </w:r>
      <w:r>
        <w:rPr>
          <w:noProof/>
        </w:rPr>
        <w:t>15</w:t>
      </w:r>
      <w:r>
        <w:fldChar w:fldCharType="end"/>
      </w:r>
      <w:bookmarkEnd w:id="316"/>
      <w:r>
        <w:t xml:space="preserve"> Overview of impact assessment process</w:t>
      </w:r>
      <w:bookmarkEnd w:id="317"/>
      <w:bookmarkEnd w:id="318"/>
      <w:bookmarkEnd w:id="319"/>
      <w:bookmarkEnd w:id="320"/>
      <w:bookmarkEnd w:id="321"/>
    </w:p>
    <w:p w14:paraId="1AA1CAF1"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322" w:name="_Toc51657984"/>
      <w:bookmarkStart w:id="323" w:name="_Toc53585889"/>
      <w:bookmarkStart w:id="324" w:name="_Toc57377140"/>
      <w:bookmarkStart w:id="325" w:name="_Toc38957429"/>
      <w:bookmarkStart w:id="326" w:name="_Ref39736043"/>
      <w:bookmarkStart w:id="327" w:name="_Ref39906503"/>
      <w:bookmarkStart w:id="328" w:name="_Toc43476468"/>
      <w:bookmarkStart w:id="329" w:name="_Toc44928711"/>
      <w:r w:rsidRPr="00306AF1">
        <w:rPr>
          <w:b/>
          <w:bCs/>
          <w:color w:val="000000" w:themeColor="text1"/>
        </w:rPr>
        <w:lastRenderedPageBreak/>
        <w:t>Overview of climate reference periods and climate change scenarios</w:t>
      </w:r>
      <w:bookmarkEnd w:id="322"/>
      <w:bookmarkEnd w:id="323"/>
      <w:bookmarkEnd w:id="324"/>
    </w:p>
    <w:p w14:paraId="4BF34BD4" w14:textId="77777777" w:rsidR="007B29DD" w:rsidRDefault="007B29DD" w:rsidP="007B29DD">
      <w:pPr>
        <w:pStyle w:val="BodyText"/>
        <w:spacing w:before="0"/>
        <w:rPr>
          <w:lang w:eastAsia="en-AU"/>
        </w:rPr>
      </w:pPr>
      <w:r>
        <w:rPr>
          <w:lang w:eastAsia="en-AU"/>
        </w:rPr>
        <w:t>When describing the various reference periods and scenarios presented in these guidelines, the following labelling has been adopted.</w:t>
      </w:r>
    </w:p>
    <w:p w14:paraId="4FB0DA68" w14:textId="77777777" w:rsidR="007B29DD" w:rsidRDefault="007B29DD" w:rsidP="007B29DD">
      <w:pPr>
        <w:pStyle w:val="BodyText"/>
        <w:spacing w:before="0"/>
        <w:rPr>
          <w:lang w:eastAsia="en-AU"/>
        </w:rPr>
      </w:pPr>
      <w:r>
        <w:rPr>
          <w:lang w:eastAsia="en-AU"/>
        </w:rPr>
        <w:t xml:space="preserve">If assessing river or supply system behaviour under observed conditions, </w:t>
      </w:r>
      <w:r w:rsidRPr="00431501">
        <w:rPr>
          <w:b/>
          <w:bCs/>
          <w:lang w:eastAsia="en-AU"/>
        </w:rPr>
        <w:t xml:space="preserve">two historic climate </w:t>
      </w:r>
      <w:r>
        <w:rPr>
          <w:b/>
          <w:bCs/>
          <w:lang w:eastAsia="en-AU"/>
        </w:rPr>
        <w:t>reference periods</w:t>
      </w:r>
      <w:r>
        <w:rPr>
          <w:lang w:eastAsia="en-AU"/>
        </w:rPr>
        <w:t xml:space="preserve"> should be adopted, namely:</w:t>
      </w:r>
    </w:p>
    <w:p w14:paraId="4EB7B22E" w14:textId="77777777" w:rsidR="007B29DD" w:rsidRDefault="007B29DD" w:rsidP="007B29DD">
      <w:pPr>
        <w:pStyle w:val="BodyText"/>
        <w:numPr>
          <w:ilvl w:val="0"/>
          <w:numId w:val="21"/>
        </w:numPr>
        <w:spacing w:before="0"/>
        <w:rPr>
          <w:lang w:eastAsia="en-AU"/>
        </w:rPr>
      </w:pPr>
      <w:r w:rsidRPr="4C198B8C">
        <w:rPr>
          <w:lang w:eastAsia="en-AU"/>
        </w:rPr>
        <w:t xml:space="preserve">A post-1975 historic climate </w:t>
      </w:r>
      <w:r>
        <w:rPr>
          <w:lang w:eastAsia="en-AU"/>
        </w:rPr>
        <w:t>reference period.</w:t>
      </w:r>
    </w:p>
    <w:p w14:paraId="783B65D9" w14:textId="77777777" w:rsidR="007B29DD" w:rsidRDefault="007B29DD" w:rsidP="007B29DD">
      <w:pPr>
        <w:pStyle w:val="BodyText"/>
        <w:numPr>
          <w:ilvl w:val="0"/>
          <w:numId w:val="21"/>
        </w:numPr>
        <w:spacing w:before="0"/>
        <w:rPr>
          <w:lang w:eastAsia="en-AU"/>
        </w:rPr>
      </w:pPr>
      <w:r w:rsidRPr="4C198B8C">
        <w:rPr>
          <w:lang w:eastAsia="en-AU"/>
        </w:rPr>
        <w:t xml:space="preserve">A post-1997 historic climate </w:t>
      </w:r>
      <w:r>
        <w:rPr>
          <w:lang w:eastAsia="en-AU"/>
        </w:rPr>
        <w:t>reference period</w:t>
      </w:r>
      <w:r w:rsidRPr="4C198B8C">
        <w:rPr>
          <w:lang w:eastAsia="en-AU"/>
        </w:rPr>
        <w:t>.</w:t>
      </w:r>
    </w:p>
    <w:p w14:paraId="19BF3F8E" w14:textId="77777777" w:rsidR="007B29DD" w:rsidRDefault="007B29DD" w:rsidP="007B29DD">
      <w:pPr>
        <w:pStyle w:val="BodyText"/>
        <w:spacing w:before="0"/>
        <w:rPr>
          <w:lang w:eastAsia="en-AU"/>
        </w:rPr>
      </w:pPr>
      <w:r>
        <w:rPr>
          <w:lang w:eastAsia="en-AU"/>
        </w:rPr>
        <w:t>These historic climate reference periods can be used (if desired) to communicate streamflow characteristics and supply system performance under historic climate conditions, including historic greenhouse gas concentrations.</w:t>
      </w:r>
    </w:p>
    <w:p w14:paraId="58F5D8AA" w14:textId="77777777" w:rsidR="007B29DD" w:rsidRDefault="007B29DD" w:rsidP="007B29DD">
      <w:pPr>
        <w:pStyle w:val="BodyText"/>
        <w:spacing w:before="0"/>
        <w:rPr>
          <w:lang w:eastAsia="en-AU"/>
        </w:rPr>
      </w:pPr>
      <w:r>
        <w:rPr>
          <w:lang w:eastAsia="en-AU"/>
        </w:rPr>
        <w:t>If representing river or supply system behaviour under a plausible range of current and future conditions,</w:t>
      </w:r>
      <w:r w:rsidRPr="007C5D3E">
        <w:rPr>
          <w:lang w:eastAsia="en-AU"/>
        </w:rPr>
        <w:t xml:space="preserve"> several</w:t>
      </w:r>
      <w:r w:rsidRPr="00431501">
        <w:rPr>
          <w:b/>
          <w:bCs/>
          <w:lang w:eastAsia="en-AU"/>
        </w:rPr>
        <w:t xml:space="preserve"> climate </w:t>
      </w:r>
      <w:r>
        <w:rPr>
          <w:b/>
          <w:bCs/>
          <w:lang w:eastAsia="en-AU"/>
        </w:rPr>
        <w:t>change scenarios</w:t>
      </w:r>
      <w:r>
        <w:rPr>
          <w:lang w:eastAsia="en-AU"/>
        </w:rPr>
        <w:t xml:space="preserve"> can be used, namely:</w:t>
      </w:r>
    </w:p>
    <w:p w14:paraId="6A85E6CB" w14:textId="77777777" w:rsidR="007B29DD" w:rsidRDefault="007B29DD" w:rsidP="007B29DD">
      <w:pPr>
        <w:pStyle w:val="BodyText"/>
        <w:numPr>
          <w:ilvl w:val="0"/>
          <w:numId w:val="21"/>
        </w:numPr>
        <w:spacing w:before="0"/>
        <w:rPr>
          <w:lang w:eastAsia="en-AU"/>
        </w:rPr>
      </w:pPr>
      <w:r>
        <w:rPr>
          <w:lang w:eastAsia="en-AU"/>
        </w:rPr>
        <w:t xml:space="preserve">Low, Medium and High climate change scenarios, which are projected from the </w:t>
      </w:r>
      <w:r w:rsidRPr="4C198B8C">
        <w:rPr>
          <w:lang w:eastAsia="en-AU"/>
        </w:rPr>
        <w:t>post-1975 historic climate</w:t>
      </w:r>
      <w:r>
        <w:rPr>
          <w:lang w:eastAsia="en-AU"/>
        </w:rPr>
        <w:t xml:space="preserve"> reference period, with the projected changes commencing from 1995.</w:t>
      </w:r>
    </w:p>
    <w:p w14:paraId="2DF3EF4F" w14:textId="77777777" w:rsidR="007B29DD" w:rsidRDefault="007B29DD" w:rsidP="007B29DD">
      <w:pPr>
        <w:pStyle w:val="BodyText"/>
        <w:numPr>
          <w:ilvl w:val="0"/>
          <w:numId w:val="21"/>
        </w:numPr>
        <w:spacing w:before="0"/>
        <w:rPr>
          <w:lang w:eastAsia="en-AU"/>
        </w:rPr>
      </w:pPr>
      <w:r>
        <w:rPr>
          <w:lang w:eastAsia="en-AU"/>
        </w:rPr>
        <w:t xml:space="preserve">Post-1997 step climate change scenario, which is projected as a continuation of the </w:t>
      </w:r>
      <w:r w:rsidRPr="4C198B8C">
        <w:rPr>
          <w:lang w:eastAsia="en-AU"/>
        </w:rPr>
        <w:t>post-1997 historic climate</w:t>
      </w:r>
      <w:r>
        <w:rPr>
          <w:lang w:eastAsia="en-AU"/>
        </w:rPr>
        <w:t xml:space="preserve"> reference period</w:t>
      </w:r>
      <w:r w:rsidRPr="4C198B8C">
        <w:rPr>
          <w:lang w:eastAsia="en-AU"/>
        </w:rPr>
        <w:t>.</w:t>
      </w:r>
    </w:p>
    <w:p w14:paraId="02308351" w14:textId="77777777" w:rsidR="007B29DD" w:rsidRDefault="007B29DD" w:rsidP="007B29DD">
      <w:pPr>
        <w:pStyle w:val="BodyText"/>
        <w:spacing w:before="0"/>
        <w:rPr>
          <w:lang w:eastAsia="en-AU"/>
        </w:rPr>
      </w:pPr>
      <w:r>
        <w:rPr>
          <w:lang w:eastAsia="en-AU"/>
        </w:rPr>
        <w:t>Using 2020 as an example, application of the above approach means that the current river or supply system behaviour is expressed as a range under projected climate change scenarios at 2020. This range reflects the uncertainty in climate change modelling in the context of a non-stationary climate.</w:t>
      </w:r>
    </w:p>
    <w:p w14:paraId="1A2A7732" w14:textId="77777777" w:rsidR="007B29DD" w:rsidRDefault="007B29DD" w:rsidP="007B29DD">
      <w:pPr>
        <w:pStyle w:val="BodyText"/>
        <w:spacing w:before="0"/>
        <w:rPr>
          <w:lang w:eastAsia="en-AU"/>
        </w:rPr>
      </w:pPr>
      <w:r>
        <w:rPr>
          <w:lang w:eastAsia="en-AU"/>
        </w:rPr>
        <w:t xml:space="preserve">The above concepts are illustrated by </w:t>
      </w:r>
      <w:r>
        <w:rPr>
          <w:lang w:eastAsia="en-AU"/>
        </w:rPr>
        <w:fldChar w:fldCharType="begin"/>
      </w:r>
      <w:r>
        <w:rPr>
          <w:lang w:eastAsia="en-AU"/>
        </w:rPr>
        <w:instrText xml:space="preserve"> REF _Ref49931167 \h </w:instrText>
      </w:r>
      <w:r>
        <w:rPr>
          <w:lang w:eastAsia="en-AU"/>
        </w:rPr>
      </w:r>
      <w:r>
        <w:rPr>
          <w:lang w:eastAsia="en-AU"/>
        </w:rPr>
        <w:fldChar w:fldCharType="separate"/>
      </w:r>
      <w:r>
        <w:t xml:space="preserve">Figure </w:t>
      </w:r>
      <w:r>
        <w:rPr>
          <w:noProof/>
        </w:rPr>
        <w:t>16</w:t>
      </w:r>
      <w:r>
        <w:rPr>
          <w:lang w:eastAsia="en-AU"/>
        </w:rPr>
        <w:fldChar w:fldCharType="end"/>
      </w:r>
      <w:r>
        <w:rPr>
          <w:lang w:eastAsia="en-AU"/>
        </w:rPr>
        <w:t xml:space="preserve">, which depicts historic annual streamflow and climate change projections applied to average annual streamflow. The historic climate reference periods are described further in Section </w:t>
      </w:r>
      <w:r>
        <w:rPr>
          <w:lang w:eastAsia="en-AU"/>
        </w:rPr>
        <w:fldChar w:fldCharType="begin"/>
      </w:r>
      <w:r>
        <w:rPr>
          <w:lang w:eastAsia="en-AU"/>
        </w:rPr>
        <w:instrText xml:space="preserve"> REF _Ref49781472 \r \h </w:instrText>
      </w:r>
      <w:r>
        <w:rPr>
          <w:lang w:eastAsia="en-AU"/>
        </w:rPr>
      </w:r>
      <w:r>
        <w:rPr>
          <w:lang w:eastAsia="en-AU"/>
        </w:rPr>
        <w:fldChar w:fldCharType="separate"/>
      </w:r>
      <w:r>
        <w:rPr>
          <w:lang w:eastAsia="en-AU"/>
        </w:rPr>
        <w:t>5.3</w:t>
      </w:r>
      <w:r>
        <w:rPr>
          <w:lang w:eastAsia="en-AU"/>
        </w:rPr>
        <w:fldChar w:fldCharType="end"/>
      </w:r>
      <w:r>
        <w:rPr>
          <w:lang w:eastAsia="en-AU"/>
        </w:rPr>
        <w:t xml:space="preserve"> and the climate change scenarios are described further in Section </w:t>
      </w:r>
      <w:r>
        <w:rPr>
          <w:lang w:eastAsia="en-AU"/>
        </w:rPr>
        <w:fldChar w:fldCharType="begin"/>
      </w:r>
      <w:r>
        <w:rPr>
          <w:lang w:eastAsia="en-AU"/>
        </w:rPr>
        <w:instrText xml:space="preserve"> REF _Ref49785382 \r \h </w:instrText>
      </w:r>
      <w:r>
        <w:rPr>
          <w:lang w:eastAsia="en-AU"/>
        </w:rPr>
      </w:r>
      <w:r>
        <w:rPr>
          <w:lang w:eastAsia="en-AU"/>
        </w:rPr>
        <w:fldChar w:fldCharType="separate"/>
      </w:r>
      <w:r>
        <w:rPr>
          <w:lang w:eastAsia="en-AU"/>
        </w:rPr>
        <w:t>5.6</w:t>
      </w:r>
      <w:r>
        <w:rPr>
          <w:lang w:eastAsia="en-AU"/>
        </w:rPr>
        <w:fldChar w:fldCharType="end"/>
      </w:r>
      <w:r>
        <w:rPr>
          <w:lang w:eastAsia="en-AU"/>
        </w:rPr>
        <w:t>.</w:t>
      </w:r>
    </w:p>
    <w:p w14:paraId="6A2B788E" w14:textId="77777777" w:rsidR="007B29DD" w:rsidRDefault="007B29DD" w:rsidP="007B29DD">
      <w:pPr>
        <w:pStyle w:val="BodyText"/>
        <w:spacing w:before="0"/>
        <w:rPr>
          <w:lang w:eastAsia="en-AU"/>
        </w:rPr>
      </w:pPr>
    </w:p>
    <w:p w14:paraId="20BCC3B1" w14:textId="77777777" w:rsidR="007B29DD" w:rsidRDefault="007B29DD" w:rsidP="007B29DD">
      <w:pPr>
        <w:pStyle w:val="BodyText"/>
        <w:spacing w:before="0" w:after="0"/>
        <w:rPr>
          <w:lang w:eastAsia="en-AU"/>
        </w:rPr>
      </w:pPr>
      <w:r>
        <w:rPr>
          <w:noProof/>
        </w:rPr>
        <w:drawing>
          <wp:inline distT="0" distB="0" distL="0" distR="0" wp14:anchorId="468A04D1" wp14:editId="691F27FC">
            <wp:extent cx="6245948" cy="4084885"/>
            <wp:effectExtent l="19050" t="19050" r="21590" b="11430"/>
            <wp:docPr id="945704164" name="Picture 945704164" descr="Graphic of Arkins Creek West Branch at Wyelangata showing historic annual streamflow and projected streamflow under low, medium and high climate change scenarios. Graph shows a downward trend on all from 2040. The Post-1997 Step Climate Change Scenario is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50950" cy="4088156"/>
                    </a:xfrm>
                    <a:prstGeom prst="rect">
                      <a:avLst/>
                    </a:prstGeom>
                    <a:ln>
                      <a:solidFill>
                        <a:schemeClr val="bg1">
                          <a:lumMod val="65000"/>
                        </a:schemeClr>
                      </a:solidFill>
                    </a:ln>
                  </pic:spPr>
                </pic:pic>
              </a:graphicData>
            </a:graphic>
          </wp:inline>
        </w:drawing>
      </w:r>
    </w:p>
    <w:p w14:paraId="04AC2A8E" w14:textId="77777777" w:rsidR="007B29DD" w:rsidRDefault="007B29DD" w:rsidP="007B29DD">
      <w:pPr>
        <w:pStyle w:val="Caption"/>
        <w:spacing w:before="0"/>
      </w:pPr>
      <w:bookmarkStart w:id="330" w:name="_Ref49931167"/>
      <w:bookmarkStart w:id="331" w:name="_Ref49931164"/>
      <w:bookmarkStart w:id="332" w:name="_Toc51237492"/>
      <w:bookmarkStart w:id="333" w:name="_Toc53586007"/>
      <w:bookmarkStart w:id="334" w:name="_Toc57377258"/>
      <w:r>
        <w:t xml:space="preserve">Figure </w:t>
      </w:r>
      <w:r>
        <w:fldChar w:fldCharType="begin"/>
      </w:r>
      <w:r>
        <w:instrText>SEQ Figure \* ARABIC</w:instrText>
      </w:r>
      <w:r>
        <w:fldChar w:fldCharType="separate"/>
      </w:r>
      <w:r>
        <w:rPr>
          <w:noProof/>
        </w:rPr>
        <w:t>16</w:t>
      </w:r>
      <w:r>
        <w:fldChar w:fldCharType="end"/>
      </w:r>
      <w:bookmarkEnd w:id="330"/>
      <w:r>
        <w:t xml:space="preserve"> Example application of climate reference period and climate change scenario nomenclature illustrating projected changes in average streamflow conditions at a streamflow monitoring site in the Otway Coast Basin.</w:t>
      </w:r>
      <w:bookmarkEnd w:id="331"/>
      <w:bookmarkEnd w:id="332"/>
      <w:bookmarkEnd w:id="333"/>
      <w:bookmarkEnd w:id="334"/>
    </w:p>
    <w:p w14:paraId="5BE9477A" w14:textId="77777777" w:rsidR="007B29DD" w:rsidRPr="004071E2" w:rsidRDefault="007B29DD" w:rsidP="007B29DD">
      <w:pPr>
        <w:pStyle w:val="BodyText"/>
        <w:rPr>
          <w:lang w:eastAsia="en-AU"/>
        </w:rPr>
      </w:pPr>
    </w:p>
    <w:p w14:paraId="1F67EE83"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335" w:name="_Ref49781472"/>
      <w:bookmarkStart w:id="336" w:name="_Toc51657985"/>
      <w:bookmarkStart w:id="337" w:name="_Ref52195410"/>
      <w:bookmarkStart w:id="338" w:name="_Toc53585890"/>
      <w:bookmarkStart w:id="339" w:name="_Toc57377141"/>
      <w:r w:rsidRPr="00306AF1">
        <w:rPr>
          <w:b/>
          <w:bCs/>
          <w:color w:val="000000" w:themeColor="text1"/>
        </w:rPr>
        <w:lastRenderedPageBreak/>
        <w:t xml:space="preserve">Develop your historic climate </w:t>
      </w:r>
      <w:bookmarkEnd w:id="325"/>
      <w:bookmarkEnd w:id="326"/>
      <w:bookmarkEnd w:id="327"/>
      <w:bookmarkEnd w:id="328"/>
      <w:bookmarkEnd w:id="329"/>
      <w:bookmarkEnd w:id="335"/>
      <w:r w:rsidRPr="00306AF1">
        <w:rPr>
          <w:b/>
          <w:bCs/>
          <w:color w:val="000000" w:themeColor="text1"/>
        </w:rPr>
        <w:t>reference period datasets</w:t>
      </w:r>
      <w:bookmarkEnd w:id="336"/>
      <w:bookmarkEnd w:id="337"/>
      <w:bookmarkEnd w:id="338"/>
      <w:bookmarkEnd w:id="339"/>
    </w:p>
    <w:p w14:paraId="7135CD3C"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340" w:name="_Toc43476469"/>
      <w:bookmarkStart w:id="341" w:name="_Toc44928712"/>
      <w:bookmarkStart w:id="342" w:name="_Toc51657986"/>
      <w:bookmarkStart w:id="343" w:name="_Toc53585891"/>
      <w:bookmarkStart w:id="344" w:name="_Toc57377142"/>
      <w:r w:rsidRPr="00306AF1">
        <w:rPr>
          <w:b/>
          <w:bCs/>
          <w:color w:val="000000" w:themeColor="text1"/>
        </w:rPr>
        <w:t>Why are climate reference periods important?</w:t>
      </w:r>
      <w:bookmarkEnd w:id="340"/>
      <w:bookmarkEnd w:id="341"/>
      <w:bookmarkEnd w:id="342"/>
      <w:bookmarkEnd w:id="343"/>
      <w:bookmarkEnd w:id="344"/>
    </w:p>
    <w:p w14:paraId="380F7919" w14:textId="77777777" w:rsidR="007B29DD" w:rsidRDefault="007B29DD" w:rsidP="007B29DD">
      <w:pPr>
        <w:pStyle w:val="BodyText"/>
        <w:rPr>
          <w:lang w:eastAsia="en-AU"/>
        </w:rPr>
      </w:pPr>
      <w:r>
        <w:rPr>
          <w:lang w:eastAsia="en-AU"/>
        </w:rPr>
        <w:t>Climate reference periods provide a reference point from which to project climate change impacts.</w:t>
      </w:r>
      <w:r w:rsidRPr="00975D1C">
        <w:t xml:space="preserve"> </w:t>
      </w:r>
      <w:r>
        <w:rPr>
          <w:lang w:eastAsia="en-AU"/>
        </w:rPr>
        <w:t>C</w:t>
      </w:r>
      <w:r w:rsidRPr="00975D1C">
        <w:rPr>
          <w:lang w:eastAsia="en-AU"/>
        </w:rPr>
        <w:t xml:space="preserve">limate </w:t>
      </w:r>
      <w:r>
        <w:rPr>
          <w:lang w:eastAsia="en-AU"/>
        </w:rPr>
        <w:t>reference periods</w:t>
      </w:r>
      <w:r w:rsidRPr="00975D1C">
        <w:rPr>
          <w:lang w:eastAsia="en-AU"/>
        </w:rPr>
        <w:t xml:space="preserve"> </w:t>
      </w:r>
      <w:r>
        <w:rPr>
          <w:lang w:eastAsia="en-AU"/>
        </w:rPr>
        <w:t xml:space="preserve">are required </w:t>
      </w:r>
      <w:r w:rsidRPr="00975D1C">
        <w:rPr>
          <w:lang w:eastAsia="en-AU"/>
        </w:rPr>
        <w:t xml:space="preserve">to present an understanding of </w:t>
      </w:r>
      <w:r>
        <w:rPr>
          <w:lang w:eastAsia="en-AU"/>
        </w:rPr>
        <w:t xml:space="preserve">historic and </w:t>
      </w:r>
      <w:r w:rsidRPr="00975D1C">
        <w:rPr>
          <w:lang w:eastAsia="en-AU"/>
        </w:rPr>
        <w:t xml:space="preserve">current </w:t>
      </w:r>
      <w:r w:rsidRPr="003357A7">
        <w:rPr>
          <w:lang w:eastAsia="en-AU"/>
        </w:rPr>
        <w:t>river or supply system behaviour</w:t>
      </w:r>
      <w:r>
        <w:rPr>
          <w:lang w:eastAsia="en-AU"/>
        </w:rPr>
        <w:t>,</w:t>
      </w:r>
      <w:r w:rsidRPr="003357A7">
        <w:rPr>
          <w:lang w:eastAsia="en-AU"/>
        </w:rPr>
        <w:t xml:space="preserve"> </w:t>
      </w:r>
      <w:r>
        <w:rPr>
          <w:lang w:eastAsia="en-AU"/>
        </w:rPr>
        <w:t>and are</w:t>
      </w:r>
      <w:r w:rsidRPr="00975D1C">
        <w:rPr>
          <w:lang w:eastAsia="en-AU"/>
        </w:rPr>
        <w:t xml:space="preserve"> important for accounting purposes when comparing available resources</w:t>
      </w:r>
      <w:r>
        <w:rPr>
          <w:lang w:eastAsia="en-AU"/>
        </w:rPr>
        <w:t xml:space="preserve"> over time, across different climate change scenarios and</w:t>
      </w:r>
      <w:r w:rsidRPr="00975D1C">
        <w:rPr>
          <w:lang w:eastAsia="en-AU"/>
        </w:rPr>
        <w:t xml:space="preserve"> across different parts of Victoria.</w:t>
      </w:r>
    </w:p>
    <w:p w14:paraId="44A58920"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345" w:name="_Toc43476470"/>
      <w:bookmarkStart w:id="346" w:name="_Toc44928713"/>
      <w:bookmarkStart w:id="347" w:name="_Toc51657987"/>
      <w:bookmarkStart w:id="348" w:name="_Toc53585892"/>
      <w:bookmarkStart w:id="349" w:name="_Toc57377143"/>
      <w:r w:rsidRPr="00306AF1">
        <w:rPr>
          <w:b/>
          <w:bCs/>
          <w:color w:val="000000" w:themeColor="text1"/>
        </w:rPr>
        <w:t>How the climate reference periods were selected for the guidelines</w:t>
      </w:r>
      <w:bookmarkEnd w:id="345"/>
      <w:bookmarkEnd w:id="346"/>
      <w:bookmarkEnd w:id="347"/>
      <w:bookmarkEnd w:id="348"/>
      <w:bookmarkEnd w:id="349"/>
    </w:p>
    <w:p w14:paraId="1D8A70AF" w14:textId="77777777" w:rsidR="007B29DD" w:rsidRDefault="007B29DD" w:rsidP="007B29DD">
      <w:pPr>
        <w:pStyle w:val="BodyText"/>
      </w:pPr>
      <w:r>
        <w:t>The selection of a suitable climate reference period(s) is a trade-off between being long enough to capture natural climate variability (droughts, floods and everything in between), but short enough to avoid the confounding effects of trends over the reference period, such as those driven by changes in greenhouse gas concentrations. The desired characteristics of a climate reference period are:</w:t>
      </w:r>
    </w:p>
    <w:p w14:paraId="6311BE2B" w14:textId="77777777" w:rsidR="007B29DD" w:rsidRDefault="007B29DD" w:rsidP="007B29DD">
      <w:pPr>
        <w:pStyle w:val="ListParagraph"/>
        <w:numPr>
          <w:ilvl w:val="0"/>
          <w:numId w:val="26"/>
        </w:numPr>
        <w:spacing w:after="200" w:line="276" w:lineRule="auto"/>
      </w:pPr>
      <w:r>
        <w:t>It includes a wide range of natural climate variability.</w:t>
      </w:r>
    </w:p>
    <w:p w14:paraId="3AB9543C" w14:textId="77777777" w:rsidR="007B29DD" w:rsidRPr="0061772E" w:rsidRDefault="007B29DD" w:rsidP="007B29DD">
      <w:pPr>
        <w:pStyle w:val="ListParagraph"/>
        <w:numPr>
          <w:ilvl w:val="0"/>
          <w:numId w:val="26"/>
        </w:numPr>
        <w:spacing w:after="0" w:line="276" w:lineRule="auto"/>
        <w:ind w:left="714" w:hanging="357"/>
      </w:pPr>
      <w:r>
        <w:t>It is reasonably stationary with respect to greenhouse gas induced climate change.</w:t>
      </w:r>
    </w:p>
    <w:p w14:paraId="72E148C0" w14:textId="77777777" w:rsidR="007B29DD" w:rsidRDefault="007B29DD" w:rsidP="007B29DD">
      <w:pPr>
        <w:pStyle w:val="BodyText"/>
        <w:numPr>
          <w:ilvl w:val="0"/>
          <w:numId w:val="26"/>
        </w:numPr>
        <w:spacing w:before="0"/>
        <w:ind w:left="714" w:hanging="357"/>
        <w:rPr>
          <w:lang w:eastAsia="en-AU"/>
        </w:rPr>
      </w:pPr>
      <w:r>
        <w:t>It is comparable across supply systems and river basins.</w:t>
      </w:r>
    </w:p>
    <w:p w14:paraId="47B0EE7A" w14:textId="77777777" w:rsidR="007B29DD" w:rsidRDefault="007B29DD" w:rsidP="007B29DD">
      <w:pPr>
        <w:pStyle w:val="BodyText"/>
        <w:spacing w:before="0"/>
        <w:rPr>
          <w:lang w:eastAsia="en-AU"/>
        </w:rPr>
      </w:pPr>
      <w:r>
        <w:rPr>
          <w:lang w:eastAsia="en-AU"/>
        </w:rPr>
        <w:t>A range of factors were considered when selecting climate reference periods. These included the availability of observed climate and hydrology data, the variability of that observed data, the presence of trends and steps in the observed data, the availability of suitable paleoclimate information, and the likely minimum requirements for procedures that can extend the reference period to incorporate more climate variability. DELWP also consulted with Water Corporations and research scientists on this issue.</w:t>
      </w:r>
    </w:p>
    <w:p w14:paraId="69B99A8E"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350" w:name="_Ref44489867"/>
      <w:bookmarkStart w:id="351" w:name="_Toc44928716"/>
      <w:bookmarkStart w:id="352" w:name="_Toc51657988"/>
      <w:bookmarkStart w:id="353" w:name="_Toc53585893"/>
      <w:bookmarkStart w:id="354" w:name="_Toc57377144"/>
      <w:r w:rsidRPr="00306AF1">
        <w:rPr>
          <w:b/>
          <w:bCs/>
          <w:color w:val="000000" w:themeColor="text1"/>
        </w:rPr>
        <w:t>Historic climate reference periods (post-1975 and post-1997)</w:t>
      </w:r>
      <w:bookmarkEnd w:id="350"/>
      <w:bookmarkEnd w:id="351"/>
      <w:bookmarkEnd w:id="352"/>
      <w:bookmarkEnd w:id="353"/>
      <w:bookmarkEnd w:id="354"/>
    </w:p>
    <w:p w14:paraId="106B2A6E" w14:textId="77777777" w:rsidR="007B29DD" w:rsidRDefault="007B29DD" w:rsidP="007B29DD">
      <w:pPr>
        <w:pStyle w:val="BodyText"/>
        <w:spacing w:before="0"/>
        <w:rPr>
          <w:lang w:eastAsia="en-AU"/>
        </w:rPr>
      </w:pPr>
      <w:r>
        <w:rPr>
          <w:lang w:eastAsia="en-AU"/>
        </w:rPr>
        <w:t>The purpose of the historic climate reference periods is to enable (i) the generation of estimates of historic climate and water availability under historic greenhouse gas concentrations and (ii) the generation of current and future climate scenarios. These reference periods are simply the historic climate record over the period July 1975 (or July 1997) to June of the most recent year of available data. The most recent year of available data should ideally extend to the current year, or to within a few years of the current year where it is not feasible to obtain or extend the historic climate record to the current year.</w:t>
      </w:r>
    </w:p>
    <w:p w14:paraId="7A478690" w14:textId="77777777" w:rsidR="007B29DD" w:rsidRDefault="007B29DD" w:rsidP="007B29DD">
      <w:pPr>
        <w:pStyle w:val="BodyText"/>
        <w:spacing w:before="0"/>
        <w:rPr>
          <w:lang w:eastAsia="en-AU"/>
        </w:rPr>
      </w:pPr>
    </w:p>
    <w:tbl>
      <w:tblPr>
        <w:tblStyle w:val="HighlightTable"/>
        <w:tblW w:w="0" w:type="auto"/>
        <w:tblLook w:val="04A0" w:firstRow="1" w:lastRow="0" w:firstColumn="1" w:lastColumn="0" w:noHBand="0" w:noVBand="1"/>
      </w:tblPr>
      <w:tblGrid>
        <w:gridCol w:w="9639"/>
      </w:tblGrid>
      <w:tr w:rsidR="007B29DD" w14:paraId="62CCF2FA" w14:textId="77777777" w:rsidTr="00306AF1">
        <w:tc>
          <w:tcPr>
            <w:tcW w:w="9639" w:type="dxa"/>
            <w:hideMark/>
          </w:tcPr>
          <w:p w14:paraId="250242E4" w14:textId="77777777" w:rsidR="007B29DD" w:rsidRPr="003B5FFF" w:rsidRDefault="007B29DD" w:rsidP="00306AF1">
            <w:pPr>
              <w:pStyle w:val="HighlightBoxText"/>
              <w:jc w:val="both"/>
            </w:pPr>
            <w:r w:rsidRPr="002F3BA7">
              <w:rPr>
                <w:color w:val="000000" w:themeColor="text1"/>
              </w:rPr>
              <w:t>The historic climate reference periods are simply the historic climate record over the period July 1975 (or July 1997) to June of the most recent year of available record.</w:t>
            </w:r>
          </w:p>
        </w:tc>
      </w:tr>
    </w:tbl>
    <w:p w14:paraId="6B924BF7" w14:textId="77777777" w:rsidR="007B29DD" w:rsidRDefault="007B29DD" w:rsidP="007B29DD">
      <w:pPr>
        <w:pStyle w:val="BodyText"/>
        <w:spacing w:before="0"/>
        <w:rPr>
          <w:lang w:eastAsia="en-AU"/>
        </w:rPr>
      </w:pPr>
    </w:p>
    <w:p w14:paraId="66793931"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rPr>
      </w:pPr>
      <w:bookmarkStart w:id="355" w:name="_Ref49780246"/>
      <w:bookmarkStart w:id="356" w:name="_Toc51657989"/>
      <w:bookmarkStart w:id="357" w:name="_Toc53585894"/>
      <w:bookmarkStart w:id="358" w:name="_Toc57377145"/>
      <w:r w:rsidRPr="00306AF1">
        <w:rPr>
          <w:b/>
          <w:bCs/>
          <w:color w:val="000000" w:themeColor="text1"/>
        </w:rPr>
        <w:t xml:space="preserve">Rationale for selecting the post-1975 historic climate </w:t>
      </w:r>
      <w:bookmarkEnd w:id="355"/>
      <w:r w:rsidRPr="00306AF1">
        <w:rPr>
          <w:b/>
          <w:bCs/>
          <w:color w:val="000000" w:themeColor="text1"/>
        </w:rPr>
        <w:t>reference period</w:t>
      </w:r>
      <w:bookmarkEnd w:id="356"/>
      <w:bookmarkEnd w:id="357"/>
      <w:bookmarkEnd w:id="358"/>
    </w:p>
    <w:p w14:paraId="5393ED62" w14:textId="77777777" w:rsidR="007B29DD" w:rsidRDefault="007B29DD" w:rsidP="007B29DD">
      <w:pPr>
        <w:pStyle w:val="BodyText"/>
        <w:rPr>
          <w:lang w:eastAsia="en-AU"/>
        </w:rPr>
      </w:pPr>
      <w:r>
        <w:rPr>
          <w:lang w:eastAsia="en-AU"/>
        </w:rPr>
        <w:t>The rationale for selecting the post-1975 historic climate reference period for use in these guidelines was:</w:t>
      </w:r>
    </w:p>
    <w:p w14:paraId="6D06A79C" w14:textId="77777777" w:rsidR="007B29DD" w:rsidRPr="003D22A9" w:rsidRDefault="007B29DD" w:rsidP="007B29DD">
      <w:pPr>
        <w:pStyle w:val="ListParagraph"/>
        <w:numPr>
          <w:ilvl w:val="0"/>
          <w:numId w:val="26"/>
        </w:numPr>
        <w:spacing w:after="200" w:line="276" w:lineRule="auto"/>
        <w:rPr>
          <w:sz w:val="20"/>
          <w:szCs w:val="20"/>
        </w:rPr>
      </w:pPr>
      <w:r w:rsidRPr="003D22A9">
        <w:rPr>
          <w:b/>
          <w:bCs/>
          <w:sz w:val="20"/>
          <w:szCs w:val="20"/>
        </w:rPr>
        <w:t>It incorporates a wide range of natural climate variability</w:t>
      </w:r>
      <w:r w:rsidRPr="003D22A9">
        <w:rPr>
          <w:sz w:val="20"/>
          <w:szCs w:val="20"/>
        </w:rPr>
        <w:t>, including the Millennium Drought, the 1982–83 drought and several relatively wet years.</w:t>
      </w:r>
    </w:p>
    <w:p w14:paraId="3358F1CD" w14:textId="77777777" w:rsidR="007B29DD" w:rsidRPr="003D22A9" w:rsidRDefault="007B29DD" w:rsidP="007B29DD">
      <w:pPr>
        <w:pStyle w:val="ListParagraph"/>
        <w:numPr>
          <w:ilvl w:val="0"/>
          <w:numId w:val="26"/>
        </w:numPr>
        <w:spacing w:after="200" w:line="276" w:lineRule="auto"/>
        <w:rPr>
          <w:sz w:val="20"/>
          <w:szCs w:val="20"/>
        </w:rPr>
      </w:pPr>
      <w:r w:rsidRPr="003D22A9">
        <w:rPr>
          <w:b/>
          <w:bCs/>
          <w:sz w:val="20"/>
          <w:szCs w:val="20"/>
        </w:rPr>
        <w:t>It is long enough to reasonably apply data extension techniques,</w:t>
      </w:r>
      <w:r w:rsidRPr="003D22A9">
        <w:rPr>
          <w:sz w:val="20"/>
          <w:szCs w:val="20"/>
        </w:rPr>
        <w:t xml:space="preserve"> such as historical data scaling or stochastic data generation, that can incorporate greater natural climate variability.</w:t>
      </w:r>
    </w:p>
    <w:p w14:paraId="76410F20" w14:textId="77777777" w:rsidR="007B29DD" w:rsidRPr="003D22A9" w:rsidRDefault="007B29DD" w:rsidP="007B29DD">
      <w:pPr>
        <w:pStyle w:val="ListParagraph"/>
        <w:numPr>
          <w:ilvl w:val="0"/>
          <w:numId w:val="26"/>
        </w:numPr>
        <w:spacing w:after="200" w:line="276" w:lineRule="auto"/>
        <w:rPr>
          <w:sz w:val="20"/>
          <w:szCs w:val="20"/>
        </w:rPr>
      </w:pPr>
      <w:r w:rsidRPr="003D22A9">
        <w:rPr>
          <w:b/>
          <w:bCs/>
          <w:sz w:val="20"/>
          <w:szCs w:val="20"/>
        </w:rPr>
        <w:t>It aligns with the reference periods adopted by CSIRO when estimating the projected changes in temperature, rainfall, potential evaporation and runoff from global climate models</w:t>
      </w:r>
      <w:r w:rsidRPr="003D22A9">
        <w:rPr>
          <w:sz w:val="20"/>
          <w:szCs w:val="20"/>
        </w:rPr>
        <w:t>. It is noted that CSIRO (Potter et al., 2016) utilised periods centred on 1995 (1986-2005 for GCM scaling and 1975-2014 for runoff estimation) based on available data at the time. The reference period being adopted in the 2020 guidelines differs marginally from this (i.e. it is centred on ~1998) because of the additional data available since 2014. However, the arguments presented by CSIRO in choosing their post-1975 reference period for runoff estimation remain valid despite the availability of additional data. CSIRO (Potter et al., 2016) argued that their adoption of a post-1975 reference period was appropriate because:</w:t>
      </w:r>
    </w:p>
    <w:p w14:paraId="38EE2DAB" w14:textId="77777777" w:rsidR="007B29DD" w:rsidRPr="003D22A9" w:rsidRDefault="007B29DD" w:rsidP="007B29DD">
      <w:pPr>
        <w:pStyle w:val="ListParagraph"/>
        <w:numPr>
          <w:ilvl w:val="1"/>
          <w:numId w:val="26"/>
        </w:numPr>
        <w:spacing w:after="200" w:line="276" w:lineRule="auto"/>
        <w:rPr>
          <w:sz w:val="20"/>
          <w:szCs w:val="20"/>
        </w:rPr>
      </w:pPr>
      <w:r w:rsidRPr="003D22A9">
        <w:rPr>
          <w:sz w:val="20"/>
          <w:szCs w:val="20"/>
        </w:rPr>
        <w:lastRenderedPageBreak/>
        <w:t>It is consistent with World Meteorological Organisation conventions of a 30-year reference period, but with an additional 10 years to take into account Victoria’s greater climate variability relative to other areas of the world in similar climate zones.</w:t>
      </w:r>
    </w:p>
    <w:p w14:paraId="245ADA74" w14:textId="77777777" w:rsidR="007B29DD" w:rsidRPr="003D22A9" w:rsidRDefault="007B29DD" w:rsidP="007B29DD">
      <w:pPr>
        <w:pStyle w:val="ListParagraph"/>
        <w:numPr>
          <w:ilvl w:val="1"/>
          <w:numId w:val="26"/>
        </w:numPr>
        <w:spacing w:after="200" w:line="276" w:lineRule="auto"/>
        <w:rPr>
          <w:sz w:val="20"/>
          <w:szCs w:val="20"/>
        </w:rPr>
      </w:pPr>
      <w:r w:rsidRPr="003D22A9">
        <w:rPr>
          <w:sz w:val="20"/>
          <w:szCs w:val="20"/>
        </w:rPr>
        <w:t>It is centred around the same year (1995) as the reference period used in the downscaling of future climate changes from the GCMs, but was extended from 20 years to 40 years for the same reasons above.</w:t>
      </w:r>
    </w:p>
    <w:p w14:paraId="4C7B6C1B" w14:textId="77777777" w:rsidR="007B29DD" w:rsidRPr="003D22A9" w:rsidRDefault="007B29DD" w:rsidP="007B29DD">
      <w:pPr>
        <w:pStyle w:val="ListParagraph"/>
        <w:numPr>
          <w:ilvl w:val="1"/>
          <w:numId w:val="26"/>
        </w:numPr>
        <w:spacing w:after="200" w:line="276" w:lineRule="auto"/>
        <w:rPr>
          <w:sz w:val="20"/>
          <w:szCs w:val="20"/>
        </w:rPr>
      </w:pPr>
      <w:r w:rsidRPr="003D22A9">
        <w:rPr>
          <w:sz w:val="20"/>
          <w:szCs w:val="20"/>
        </w:rPr>
        <w:t>It aligns with the period used for rainfall-runoff model calibration for the hydrologic models used to estimate projected changes in runoff. This period was selected because it was considered reasonably stationary with respect to land use and water resource management changes.</w:t>
      </w:r>
    </w:p>
    <w:p w14:paraId="35EF2B17" w14:textId="77777777" w:rsidR="007B29DD" w:rsidRPr="003D22A9" w:rsidRDefault="007B29DD" w:rsidP="007B29DD">
      <w:pPr>
        <w:pStyle w:val="ListParagraph"/>
        <w:numPr>
          <w:ilvl w:val="1"/>
          <w:numId w:val="26"/>
        </w:numPr>
        <w:spacing w:after="200" w:line="276" w:lineRule="auto"/>
        <w:rPr>
          <w:sz w:val="20"/>
          <w:szCs w:val="20"/>
        </w:rPr>
      </w:pPr>
      <w:r w:rsidRPr="003D22A9">
        <w:rPr>
          <w:sz w:val="20"/>
          <w:szCs w:val="20"/>
        </w:rPr>
        <w:t xml:space="preserve">It recognises SEACI and VicCI research findings that highlighted how key climate influences for Victoria have changed since the first half of the </w:t>
      </w:r>
      <w:r w:rsidRPr="00B535E6">
        <w:rPr>
          <w:sz w:val="20"/>
          <w:szCs w:val="20"/>
        </w:rPr>
        <w:t>20th</w:t>
      </w:r>
      <w:r w:rsidRPr="003D22A9">
        <w:rPr>
          <w:sz w:val="20"/>
          <w:szCs w:val="20"/>
        </w:rPr>
        <w:t xml:space="preserve"> century. This has now been further reinforced by VicWaCI research.</w:t>
      </w:r>
    </w:p>
    <w:p w14:paraId="3354DEAF" w14:textId="77777777" w:rsidR="007B29DD" w:rsidRPr="003D22A9" w:rsidRDefault="007B29DD" w:rsidP="007B29DD">
      <w:pPr>
        <w:pStyle w:val="ListParagraph"/>
        <w:numPr>
          <w:ilvl w:val="0"/>
          <w:numId w:val="26"/>
        </w:numPr>
        <w:spacing w:after="200" w:line="276" w:lineRule="auto"/>
        <w:rPr>
          <w:sz w:val="20"/>
          <w:szCs w:val="20"/>
        </w:rPr>
      </w:pPr>
      <w:r w:rsidRPr="003D22A9">
        <w:rPr>
          <w:b/>
          <w:bCs/>
          <w:sz w:val="20"/>
          <w:szCs w:val="20"/>
        </w:rPr>
        <w:t xml:space="preserve">The start date is broadly consistent with observed step changes in climate behaviour </w:t>
      </w:r>
      <w:r w:rsidRPr="003D22A9">
        <w:rPr>
          <w:sz w:val="20"/>
          <w:szCs w:val="20"/>
        </w:rPr>
        <w:t>in the 1970s</w:t>
      </w:r>
      <w:r w:rsidRPr="003D22A9">
        <w:rPr>
          <w:b/>
          <w:bCs/>
          <w:sz w:val="20"/>
          <w:szCs w:val="20"/>
        </w:rPr>
        <w:t>,</w:t>
      </w:r>
      <w:r w:rsidRPr="003D22A9">
        <w:rPr>
          <w:sz w:val="20"/>
          <w:szCs w:val="20"/>
        </w:rPr>
        <w:t xml:space="preserve"> particularly temperature (Jones, 2012; Jones and Ricketts, 2017), noting, however, that statistically significant step changes have also been detected in the late 1990s.</w:t>
      </w:r>
    </w:p>
    <w:p w14:paraId="59EFA46F" w14:textId="77777777" w:rsidR="007B29DD" w:rsidRPr="003D22A9" w:rsidRDefault="007B29DD" w:rsidP="007B29DD">
      <w:pPr>
        <w:pStyle w:val="ListParagraph"/>
        <w:numPr>
          <w:ilvl w:val="0"/>
          <w:numId w:val="26"/>
        </w:numPr>
        <w:spacing w:after="200" w:line="276" w:lineRule="auto"/>
        <w:rPr>
          <w:sz w:val="20"/>
          <w:szCs w:val="20"/>
        </w:rPr>
      </w:pPr>
      <w:r w:rsidRPr="003D22A9">
        <w:rPr>
          <w:b/>
          <w:bCs/>
          <w:sz w:val="20"/>
          <w:szCs w:val="20"/>
        </w:rPr>
        <w:t>It is consistent with recent research by the Bureau of Meteorology</w:t>
      </w:r>
      <w:r w:rsidRPr="003D22A9">
        <w:rPr>
          <w:sz w:val="20"/>
          <w:szCs w:val="20"/>
        </w:rPr>
        <w:t xml:space="preserve"> (Rauniyar and Power, 2020) that has used GCMs to assess the relative contribution of anthropogenic climate change to Victoria’s observed cool season rainfall decline since the late 1990s.</w:t>
      </w:r>
    </w:p>
    <w:p w14:paraId="59840D64" w14:textId="77777777" w:rsidR="007B29DD" w:rsidRDefault="007B29DD" w:rsidP="00306AF1">
      <w:pPr>
        <w:pStyle w:val="BodyText"/>
      </w:pPr>
      <w:r>
        <w:t xml:space="preserve">On this last point, the Bureau of Meteorology’s research (Rauniyar and Power, 2020) is concluding that approximately 20% of the observed cool season rainfall decline in Victoria over recent decades was attributable to external forcing, which includes the impact of greenhouse gas emissions. This value (20%) represents the average of the median rainfall changes under three RCP scenarios (i.e., RCP8.5, RCP4.5, RCP2.6) which consist of 105 GCMs runs in total. The inter-quartile range of results (i.e. the </w:t>
      </w:r>
      <w:r w:rsidRPr="0089606A">
        <w:t>25th</w:t>
      </w:r>
      <w:r>
        <w:t xml:space="preserve"> and 75</w:t>
      </w:r>
      <w:r w:rsidRPr="003D4DAD">
        <w:rPr>
          <w:vertAlign w:val="superscript"/>
        </w:rPr>
        <w:t>th</w:t>
      </w:r>
      <w:r>
        <w:t xml:space="preserve"> percentile model projections) indicated an attribution from external forcing of 40% to -4%</w:t>
      </w:r>
      <w:r>
        <w:rPr>
          <w:rStyle w:val="FootnoteReference"/>
        </w:rPr>
        <w:footnoteReference w:id="2"/>
      </w:r>
      <w:r>
        <w:t xml:space="preserve"> of observed cool season rainfall decline in Victoria. This suggests that the majority (at least 75%) of GCMs estimate that climate variability has been a stronger driver of the observed drying from the late 1990s to date than anthropogenic climate change. The Bureau of Meteorology noted the caveats on these results, namely that the GCMs upon which they rely have a strong tendency to under-estimate observed drying in Victoria, and that there is a wide range of uncertainty in quantifying the effects of external forcing on Victoria’s observed cool season rainfall decline. However, taking the GCMs at face value, and after discussion with a range of climate scientists across different research organisations, it was concluded by those research scientists that a post-1975 climate baseline would be more consistent with those global climate modelling results than a shorter (post-1997) baseline, for the purposes of long-term climate change projections to 2040 and beyond.</w:t>
      </w:r>
      <w:r w:rsidRPr="003D4DAD">
        <w:t xml:space="preserve"> </w:t>
      </w:r>
    </w:p>
    <w:p w14:paraId="3A0291B7" w14:textId="77777777" w:rsidR="007B29DD" w:rsidRPr="00065190" w:rsidRDefault="007B29DD" w:rsidP="007B29DD">
      <w:pPr>
        <w:pStyle w:val="BodyText"/>
        <w:rPr>
          <w:lang w:eastAsia="en-AU"/>
        </w:rPr>
      </w:pPr>
    </w:p>
    <w:tbl>
      <w:tblPr>
        <w:tblStyle w:val="HighlightTable"/>
        <w:tblW w:w="0" w:type="auto"/>
        <w:tblLook w:val="04A0" w:firstRow="1" w:lastRow="0" w:firstColumn="1" w:lastColumn="0" w:noHBand="0" w:noVBand="1"/>
      </w:tblPr>
      <w:tblGrid>
        <w:gridCol w:w="9639"/>
      </w:tblGrid>
      <w:tr w:rsidR="007B29DD" w14:paraId="12F8C4EC" w14:textId="77777777" w:rsidTr="00306AF1">
        <w:tc>
          <w:tcPr>
            <w:tcW w:w="9639" w:type="dxa"/>
            <w:hideMark/>
          </w:tcPr>
          <w:p w14:paraId="0F9CF1E6" w14:textId="77777777" w:rsidR="007B29DD" w:rsidRPr="001E7A61" w:rsidRDefault="007B29DD" w:rsidP="00306AF1">
            <w:pPr>
              <w:pStyle w:val="HighlightBoxText"/>
              <w:jc w:val="both"/>
            </w:pPr>
            <w:r w:rsidRPr="002F3BA7">
              <w:rPr>
                <w:color w:val="000000" w:themeColor="text1"/>
              </w:rPr>
              <w:t>The post-1975 historic climate reference period incorporates ~45 years of climate variability. GCM-derived projections can be applied to the post-1975 historic climate reference period to represent future climate change scenarios.</w:t>
            </w:r>
          </w:p>
        </w:tc>
      </w:tr>
    </w:tbl>
    <w:p w14:paraId="6CA74655" w14:textId="77777777" w:rsidR="007B29DD" w:rsidRDefault="007B29DD" w:rsidP="007B29DD">
      <w:pPr>
        <w:spacing w:after="200" w:line="276" w:lineRule="auto"/>
      </w:pPr>
    </w:p>
    <w:p w14:paraId="68421859" w14:textId="77777777" w:rsidR="007B29DD" w:rsidRDefault="007B29DD" w:rsidP="007B29DD">
      <w:pPr>
        <w:pStyle w:val="BodyText"/>
      </w:pPr>
      <w:r>
        <w:t>In selecting this historic climate reference period at the current time, it is recognised that Victoria’s climate is changing, and that this reference period will need to be reviewed in subsequent revisions to the guidelines over the next decade.</w:t>
      </w:r>
    </w:p>
    <w:p w14:paraId="4AACF6B5"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359" w:name="_Toc43476473"/>
      <w:bookmarkStart w:id="360" w:name="_Ref44489429"/>
      <w:bookmarkStart w:id="361" w:name="_Ref44490000"/>
      <w:bookmarkStart w:id="362" w:name="_Toc44928718"/>
      <w:bookmarkStart w:id="363" w:name="_Toc51657990"/>
      <w:bookmarkStart w:id="364" w:name="_Toc53585895"/>
      <w:bookmarkStart w:id="365" w:name="_Toc57377146"/>
      <w:r w:rsidRPr="00306AF1">
        <w:rPr>
          <w:b/>
          <w:bCs/>
          <w:color w:val="000000" w:themeColor="text1"/>
        </w:rPr>
        <w:t xml:space="preserve">Rationale for selecting the post-1997 historic climate </w:t>
      </w:r>
      <w:bookmarkEnd w:id="359"/>
      <w:bookmarkEnd w:id="360"/>
      <w:bookmarkEnd w:id="361"/>
      <w:bookmarkEnd w:id="362"/>
      <w:r w:rsidRPr="00306AF1">
        <w:rPr>
          <w:b/>
          <w:bCs/>
          <w:color w:val="000000" w:themeColor="text1"/>
        </w:rPr>
        <w:t>reference period</w:t>
      </w:r>
      <w:bookmarkEnd w:id="363"/>
      <w:bookmarkEnd w:id="364"/>
      <w:bookmarkEnd w:id="365"/>
    </w:p>
    <w:p w14:paraId="68815891" w14:textId="77777777" w:rsidR="007B29DD" w:rsidRDefault="007B29DD" w:rsidP="007B29DD">
      <w:pPr>
        <w:pStyle w:val="BodyText"/>
      </w:pPr>
      <w:r>
        <w:t>The previous section outlined the rationale for the selection of</w:t>
      </w:r>
      <w:r w:rsidRPr="0085190C">
        <w:t xml:space="preserve"> </w:t>
      </w:r>
      <w:r>
        <w:t>the post-1975 historic climate reference period</w:t>
      </w:r>
      <w:r w:rsidRPr="0085190C">
        <w:t xml:space="preserve"> </w:t>
      </w:r>
      <w:r>
        <w:t>for representing</w:t>
      </w:r>
      <w:r w:rsidRPr="0085190C">
        <w:t xml:space="preserve"> </w:t>
      </w:r>
      <w:r>
        <w:t xml:space="preserve">historic </w:t>
      </w:r>
      <w:r w:rsidRPr="0085190C">
        <w:t>river or supply system behaviour</w:t>
      </w:r>
      <w:r>
        <w:t xml:space="preserve">. This section outlines the second approach, called the </w:t>
      </w:r>
      <w:r w:rsidRPr="00A05E3D">
        <w:rPr>
          <w:b/>
          <w:bCs/>
        </w:rPr>
        <w:t xml:space="preserve">post-1997 </w:t>
      </w:r>
      <w:r>
        <w:rPr>
          <w:b/>
          <w:bCs/>
        </w:rPr>
        <w:t xml:space="preserve">historic </w:t>
      </w:r>
      <w:r w:rsidRPr="00A05E3D">
        <w:rPr>
          <w:b/>
          <w:bCs/>
        </w:rPr>
        <w:t xml:space="preserve">climate </w:t>
      </w:r>
      <w:r>
        <w:rPr>
          <w:b/>
          <w:bCs/>
        </w:rPr>
        <w:t>reference period</w:t>
      </w:r>
      <w:r>
        <w:t xml:space="preserve">, which assumes </w:t>
      </w:r>
      <w:r w:rsidRPr="0073426D">
        <w:t xml:space="preserve">that the dry conditions experienced since 1997 </w:t>
      </w:r>
      <w:r>
        <w:t>represent</w:t>
      </w:r>
      <w:r w:rsidRPr="0073426D">
        <w:t xml:space="preserve"> a permanent </w:t>
      </w:r>
      <w:r>
        <w:t>step-</w:t>
      </w:r>
      <w:r w:rsidRPr="0073426D">
        <w:t>change in climate</w:t>
      </w:r>
      <w:r>
        <w:t xml:space="preserve"> from that experienced prior to 1997</w:t>
      </w:r>
      <w:r w:rsidRPr="0085190C">
        <w:t>.</w:t>
      </w:r>
      <w:r>
        <w:t xml:space="preserve"> </w:t>
      </w:r>
      <w:r>
        <w:rPr>
          <w:lang w:eastAsia="en-AU"/>
        </w:rPr>
        <w:t xml:space="preserve">It allows </w:t>
      </w:r>
      <w:r>
        <w:t>for the possibility that a step change in climate has already occurred in 1997</w:t>
      </w:r>
      <w:r>
        <w:rPr>
          <w:lang w:eastAsia="en-AU"/>
        </w:rPr>
        <w:t>.</w:t>
      </w:r>
    </w:p>
    <w:p w14:paraId="452F9236" w14:textId="77777777" w:rsidR="007B29DD" w:rsidRDefault="007B29DD" w:rsidP="007B29DD">
      <w:pPr>
        <w:pStyle w:val="BodyText"/>
      </w:pPr>
      <w:r>
        <w:rPr>
          <w:lang w:eastAsia="en-AU"/>
        </w:rPr>
        <w:lastRenderedPageBreak/>
        <w:t xml:space="preserve">Climate conditions in Victoria have on average been much drier since 1997 than over the long-term. As discussed in Section </w:t>
      </w:r>
      <w:r>
        <w:rPr>
          <w:lang w:eastAsia="en-AU"/>
        </w:rPr>
        <w:fldChar w:fldCharType="begin"/>
      </w:r>
      <w:r>
        <w:rPr>
          <w:lang w:eastAsia="en-AU"/>
        </w:rPr>
        <w:instrText xml:space="preserve"> REF _Ref49780246 \r \h </w:instrText>
      </w:r>
      <w:r>
        <w:rPr>
          <w:lang w:eastAsia="en-AU"/>
        </w:rPr>
      </w:r>
      <w:r>
        <w:rPr>
          <w:lang w:eastAsia="en-AU"/>
        </w:rPr>
        <w:fldChar w:fldCharType="separate"/>
      </w:r>
      <w:r>
        <w:rPr>
          <w:lang w:eastAsia="en-AU"/>
        </w:rPr>
        <w:t>5.3.4</w:t>
      </w:r>
      <w:r>
        <w:rPr>
          <w:lang w:eastAsia="en-AU"/>
        </w:rPr>
        <w:fldChar w:fldCharType="end"/>
      </w:r>
      <w:r>
        <w:rPr>
          <w:lang w:eastAsia="en-AU"/>
        </w:rPr>
        <w:t>, o</w:t>
      </w:r>
      <w:r>
        <w:t>ur current best advice from climate scientists suggests that the majority (at least 75%) of GCMs estimate that climate variability has been a stronger driver of the observed cool season drying in Victoria from the 1990s to date than anthropogenic climate change (Rauniyar and Power, 2020). However, it is still</w:t>
      </w:r>
      <w:r w:rsidDel="00E92C12">
        <w:t xml:space="preserve"> </w:t>
      </w:r>
      <w:r>
        <w:t>possible, as projected by a minority of GCMs, that these observed rainfall declines are predominantly attributable to anthropogenic climate change and could therefore represent a permanent shift in Victoria’s climate. This viewpoint is supported by the identification of statistically significant step changes in global and southern hemisphere temperature occurring in or around 1997 (Jones, 2012; Jones and Ricketts, 2017). While currently considered less likely, it is nevertheless prudent to plan for the possibility that a step change in climate has already occurred in 1997. This is especially important for near-term applications but is also relevant for long-term planning until such time as the high climate change projection becomes drier than post-1997 conditions.</w:t>
      </w:r>
    </w:p>
    <w:p w14:paraId="4D08EBCC" w14:textId="77777777" w:rsidR="007B29DD" w:rsidRPr="00065190" w:rsidRDefault="007B29DD" w:rsidP="007B29DD">
      <w:pPr>
        <w:pStyle w:val="BodyText"/>
        <w:rPr>
          <w:lang w:eastAsia="en-AU"/>
        </w:rPr>
      </w:pPr>
    </w:p>
    <w:tbl>
      <w:tblPr>
        <w:tblStyle w:val="HighlightTable"/>
        <w:tblW w:w="0" w:type="auto"/>
        <w:tblLook w:val="04A0" w:firstRow="1" w:lastRow="0" w:firstColumn="1" w:lastColumn="0" w:noHBand="0" w:noVBand="1"/>
      </w:tblPr>
      <w:tblGrid>
        <w:gridCol w:w="9639"/>
      </w:tblGrid>
      <w:tr w:rsidR="007B29DD" w14:paraId="5155E996" w14:textId="77777777" w:rsidTr="00306AF1">
        <w:tc>
          <w:tcPr>
            <w:tcW w:w="9639" w:type="dxa"/>
            <w:hideMark/>
          </w:tcPr>
          <w:p w14:paraId="6A4AC434" w14:textId="77777777" w:rsidR="007B29DD" w:rsidRPr="00025185" w:rsidRDefault="007B29DD" w:rsidP="00306AF1">
            <w:pPr>
              <w:pStyle w:val="HighlightBoxText"/>
              <w:jc w:val="both"/>
            </w:pPr>
            <w:r w:rsidRPr="002F3BA7">
              <w:rPr>
                <w:color w:val="000000" w:themeColor="text1"/>
              </w:rPr>
              <w:t>The post-1997 historic climate reference period allows for the possibility that climate change has occurred earlier than projected by most global climate models.</w:t>
            </w:r>
          </w:p>
        </w:tc>
      </w:tr>
    </w:tbl>
    <w:p w14:paraId="67EF1281" w14:textId="77777777" w:rsidR="007B29DD" w:rsidRDefault="007B29DD" w:rsidP="007B29DD">
      <w:pPr>
        <w:pStyle w:val="BodyText"/>
        <w:rPr>
          <w:lang w:eastAsia="en-AU"/>
        </w:rPr>
      </w:pPr>
    </w:p>
    <w:p w14:paraId="59A5D819" w14:textId="77777777" w:rsidR="007B29DD" w:rsidRDefault="007B29DD" w:rsidP="007B29DD">
      <w:pPr>
        <w:pStyle w:val="BodyText"/>
      </w:pPr>
      <w:r>
        <w:t xml:space="preserve">As the period since 1997 includes less than 30 years of data, it does not include some of the multi-year variability likely to be experienced in Victoria’s climate in the long-term. In order to incorporate this variability, if needed for the given application, the post-1997 historic climate reference period can be extended using the extension techniques outlined in Section </w:t>
      </w:r>
      <w:r>
        <w:fldChar w:fldCharType="begin"/>
      </w:r>
      <w:r>
        <w:instrText xml:space="preserve"> REF _Ref39851141 \r \h </w:instrText>
      </w:r>
      <w:r>
        <w:fldChar w:fldCharType="separate"/>
      </w:r>
      <w:r>
        <w:t>5.4</w:t>
      </w:r>
      <w:r>
        <w:fldChar w:fldCharType="end"/>
      </w:r>
      <w:r>
        <w:t>. These extension techniques will be less reliable when using a reference period shorter than 30 years, such as the post-1997 period.</w:t>
      </w:r>
    </w:p>
    <w:p w14:paraId="4A600CE0"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366" w:name="_Toc44341162"/>
      <w:bookmarkStart w:id="367" w:name="_Toc44421107"/>
      <w:bookmarkStart w:id="368" w:name="_Toc44429517"/>
      <w:bookmarkStart w:id="369" w:name="_Toc44435279"/>
      <w:bookmarkStart w:id="370" w:name="_Toc44341163"/>
      <w:bookmarkStart w:id="371" w:name="_Toc44421108"/>
      <w:bookmarkStart w:id="372" w:name="_Toc44429518"/>
      <w:bookmarkStart w:id="373" w:name="_Toc44435280"/>
      <w:bookmarkStart w:id="374" w:name="_Toc42852467"/>
      <w:bookmarkStart w:id="375" w:name="_Toc42852468"/>
      <w:bookmarkStart w:id="376" w:name="_Toc42852469"/>
      <w:bookmarkStart w:id="377" w:name="_Toc42852472"/>
      <w:bookmarkStart w:id="378" w:name="_Toc42852475"/>
      <w:bookmarkStart w:id="379" w:name="_Toc42852476"/>
      <w:bookmarkStart w:id="380" w:name="_Ref39906364"/>
      <w:bookmarkStart w:id="381" w:name="_Toc43476474"/>
      <w:bookmarkStart w:id="382" w:name="_Toc44928719"/>
      <w:bookmarkStart w:id="383" w:name="_Toc51657991"/>
      <w:bookmarkStart w:id="384" w:name="_Toc53585896"/>
      <w:bookmarkStart w:id="385" w:name="_Toc57377147"/>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306AF1">
        <w:rPr>
          <w:b/>
          <w:bCs/>
          <w:color w:val="000000" w:themeColor="text1"/>
        </w:rPr>
        <w:t>Event sampling for near-term drought, extreme event and operational planning</w:t>
      </w:r>
      <w:bookmarkEnd w:id="380"/>
      <w:bookmarkEnd w:id="381"/>
      <w:bookmarkEnd w:id="382"/>
      <w:bookmarkEnd w:id="383"/>
      <w:bookmarkEnd w:id="384"/>
      <w:bookmarkEnd w:id="385"/>
    </w:p>
    <w:p w14:paraId="61DAC663" w14:textId="77777777" w:rsidR="007B29DD" w:rsidRDefault="007B29DD" w:rsidP="007B29DD">
      <w:pPr>
        <w:pStyle w:val="BodyText"/>
        <w:rPr>
          <w:lang w:eastAsia="en-AU"/>
        </w:rPr>
      </w:pPr>
      <w:r>
        <w:rPr>
          <w:lang w:eastAsia="en-AU"/>
        </w:rPr>
        <w:t xml:space="preserve">Operational planning decisions are typically focussed on streamflow characteristics and supply system performance over the next week through to the next season or year, and for some systems, up to the next few years. Operational planning decisions are often tested using a sample of climate and runoff events spanning these durations. For most operational planning activities, sampling climate and runoff events from either the post-1975 or post-1997 historic climate reference period will be suitable. This approach of sampling from these reference periods has the advantage that these datasets are easy to prepare and communicate. The decision to sample from either or both of the post-1997 and post-1975 historic climate reference periods should be based on the desirable range of climate conditions under which decisions are to be tested, and should consider the risks of adopting events from only one versus the other reference period for the given application. </w:t>
      </w:r>
    </w:p>
    <w:p w14:paraId="20F9BC14" w14:textId="77777777" w:rsidR="007B29DD" w:rsidRDefault="007B29DD" w:rsidP="007B29DD">
      <w:pPr>
        <w:pStyle w:val="BodyText"/>
        <w:rPr>
          <w:lang w:eastAsia="en-AU"/>
        </w:rPr>
      </w:pPr>
      <w:r>
        <w:rPr>
          <w:lang w:eastAsia="en-AU"/>
        </w:rPr>
        <w:t>For drought and extreme event planning, the historical instrumental record is quite short when considering these events of low historical likelihood. For example, it is possible that a drought could occur over the near-term that is more severe (in terms of magnitude of the rainfall deficit and/or its duration) than that which has occurred historically (Verdon-Kidd and Kiem, 2009), irrespective of whether this is driven by increased greenhouse gas concentrations or natural climate variability. Such a situation occurred during the Millennium Drought.</w:t>
      </w:r>
    </w:p>
    <w:p w14:paraId="27B10543" w14:textId="77777777" w:rsidR="007B29DD" w:rsidRDefault="007B29DD" w:rsidP="007B29DD">
      <w:pPr>
        <w:pStyle w:val="BodyText"/>
        <w:rPr>
          <w:lang w:eastAsia="en-AU"/>
        </w:rPr>
      </w:pPr>
      <w:r>
        <w:rPr>
          <w:lang w:eastAsia="en-AU"/>
        </w:rPr>
        <w:t>There is only medium confidence in the projected changes to drought duration and severity from the GCMs and this confidence decreases for extreme drought events. For example, in the 2</w:t>
      </w:r>
      <w:r w:rsidRPr="000A4318">
        <w:rPr>
          <w:lang w:eastAsia="en-AU"/>
        </w:rPr>
        <w:t>1st</w:t>
      </w:r>
      <w:r>
        <w:rPr>
          <w:lang w:eastAsia="en-AU"/>
        </w:rPr>
        <w:t xml:space="preserve"> century under increased greenhouse gas concentrations, none of the raw GCM outputs anticipate a drought duration near to or longer than the Millennium Drought (Hope et al., 2015b). If the GCMs do not replicate extreme drought events, then any projected changes in the duration of individual droughts of a given likelihood that are derived from the GCMs, and applied to historical drought events like the Millennium Drought, would only be applied with a low degree of confidence. This application of time series outputs from the GCMs to adjust historical drought duration is therefore not recommended by these guidelines.</w:t>
      </w:r>
    </w:p>
    <w:p w14:paraId="4D23A572" w14:textId="77777777" w:rsidR="007B29DD" w:rsidRDefault="007B29DD" w:rsidP="007B29DD">
      <w:pPr>
        <w:pStyle w:val="BodyText"/>
        <w:rPr>
          <w:lang w:eastAsia="en-AU"/>
        </w:rPr>
      </w:pPr>
      <w:r>
        <w:rPr>
          <w:lang w:eastAsia="en-AU"/>
        </w:rPr>
        <w:t xml:space="preserve">It is possible to apply GCM projections (interpolating between 1995 and 2040 to the current year) to the post-1975 or post-1997 climate reference period for operational, drought and extreme event planning (as per the guidance for long-term planning in Section </w:t>
      </w:r>
      <w:r>
        <w:rPr>
          <w:lang w:eastAsia="en-AU"/>
        </w:rPr>
        <w:fldChar w:fldCharType="begin"/>
      </w:r>
      <w:r>
        <w:rPr>
          <w:lang w:eastAsia="en-AU"/>
        </w:rPr>
        <w:instrText xml:space="preserve"> REF _Ref49785382 \r \h </w:instrText>
      </w:r>
      <w:r>
        <w:rPr>
          <w:lang w:eastAsia="en-AU"/>
        </w:rPr>
      </w:r>
      <w:r>
        <w:rPr>
          <w:lang w:eastAsia="en-AU"/>
        </w:rPr>
        <w:fldChar w:fldCharType="separate"/>
      </w:r>
      <w:r>
        <w:rPr>
          <w:lang w:eastAsia="en-AU"/>
        </w:rPr>
        <w:t>5.6</w:t>
      </w:r>
      <w:r>
        <w:rPr>
          <w:lang w:eastAsia="en-AU"/>
        </w:rPr>
        <w:fldChar w:fldCharType="end"/>
      </w:r>
      <w:r>
        <w:rPr>
          <w:lang w:eastAsia="en-AU"/>
        </w:rPr>
        <w:t>). This would have the advantage, under the high climate change projection, of generating drought events that are more severe than those that occurred historically. It would also ensure consistency in assumptions with long-term planning applications. However, the level of complexity in generating, applying and communicating outcomes from the high, medium and low projections to the year 2020 for operational, drought and extreme event planning purposes is considered unwarranted, given the availability of other more transparent and defensible alternatives discussed below.</w:t>
      </w:r>
    </w:p>
    <w:p w14:paraId="6B8ED28A" w14:textId="77777777" w:rsidR="007B29DD" w:rsidRDefault="007B29DD" w:rsidP="007B29DD">
      <w:pPr>
        <w:pStyle w:val="BodyText"/>
      </w:pPr>
      <w:r>
        <w:rPr>
          <w:lang w:eastAsia="en-AU"/>
        </w:rPr>
        <w:lastRenderedPageBreak/>
        <w:t xml:space="preserve">There are various techniques available to generate synthetic droughts that are more severe than the worst drought on record. This can include stochastic data generation, as applied for setting very high levels of security for water supplies in some of Australia’s capital </w:t>
      </w:r>
      <w:r w:rsidRPr="00A21E7A">
        <w:rPr>
          <w:lang w:eastAsia="en-AU"/>
        </w:rPr>
        <w:t>cities (e</w:t>
      </w:r>
      <w:r>
        <w:rPr>
          <w:lang w:eastAsia="en-AU"/>
        </w:rPr>
        <w:t xml:space="preserve">.g. Seqwater, 2017) or, more simply, can involve historical sampling (with or without replacement) from the historical record, as is currently adopted by many Water Corporations. This </w:t>
      </w:r>
      <w:r w:rsidRPr="00460A85">
        <w:t>involves scenarios such as running the 2006</w:t>
      </w:r>
      <w:r>
        <w:t>–</w:t>
      </w:r>
      <w:r w:rsidRPr="00460A85">
        <w:t xml:space="preserve">07 drought year back to back or running the three driest years from the Millennium Drought back to back. This sampling preserves the within-year characteristics of a real drought event but rearranges each year to meet the scenario objectives of generating a hypothetical multi-year event that is less likely (but more severe) than the Millennium Drought. This is illustrated in </w:t>
      </w:r>
      <w:r w:rsidRPr="00460A85">
        <w:fldChar w:fldCharType="begin"/>
      </w:r>
      <w:r w:rsidRPr="00460A85">
        <w:instrText xml:space="preserve"> REF _Ref39852489 \h </w:instrText>
      </w:r>
      <w:r>
        <w:instrText xml:space="preserve"> \* MERGEFORMAT </w:instrText>
      </w:r>
      <w:r w:rsidRPr="00460A85">
        <w:fldChar w:fldCharType="separate"/>
      </w:r>
      <w:r>
        <w:t>Figure 17</w:t>
      </w:r>
      <w:r w:rsidRPr="00460A85">
        <w:fldChar w:fldCharType="end"/>
      </w:r>
      <w:r w:rsidRPr="00460A85">
        <w:t>. In this figure, the extent to which different drought events are sampled and re-shuffled should reflect the organisation’s perceived level of risk for the given application. However, the principle of testing the critical functions of river systems and supply systems to the possibility of droughts worse than the worst drought on record remains.</w:t>
      </w:r>
    </w:p>
    <w:p w14:paraId="612FE6F3" w14:textId="77777777" w:rsidR="007B29DD" w:rsidRDefault="007B29DD" w:rsidP="007B29DD">
      <w:pPr>
        <w:pStyle w:val="BodyText"/>
      </w:pPr>
    </w:p>
    <w:p w14:paraId="05BBEAFF" w14:textId="77777777" w:rsidR="007B29DD" w:rsidRDefault="007B29DD" w:rsidP="007B29DD">
      <w:pPr>
        <w:keepNext/>
      </w:pPr>
      <w:r>
        <w:rPr>
          <w:noProof/>
        </w:rPr>
        <w:drawing>
          <wp:inline distT="0" distB="0" distL="0" distR="0" wp14:anchorId="4B845867" wp14:editId="65682D8F">
            <wp:extent cx="6174360" cy="4256314"/>
            <wp:effectExtent l="19050" t="19050" r="17145" b="11430"/>
            <wp:docPr id="945704167" name="Picture 945704167" descr="Infographic showing approaches for consideration of additional scenarios under increasing climate change vulnerability and risk for the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7276" cy="4272111"/>
                    </a:xfrm>
                    <a:prstGeom prst="rect">
                      <a:avLst/>
                    </a:prstGeom>
                    <a:ln>
                      <a:solidFill>
                        <a:schemeClr val="bg1">
                          <a:lumMod val="65000"/>
                        </a:schemeClr>
                      </a:solidFill>
                    </a:ln>
                  </pic:spPr>
                </pic:pic>
              </a:graphicData>
            </a:graphic>
          </wp:inline>
        </w:drawing>
      </w:r>
    </w:p>
    <w:p w14:paraId="1532EFA3" w14:textId="77777777" w:rsidR="007B29DD" w:rsidRDefault="007B29DD" w:rsidP="007B29DD">
      <w:pPr>
        <w:pStyle w:val="Caption"/>
        <w:keepNext w:val="0"/>
        <w:spacing w:before="0"/>
      </w:pPr>
      <w:bookmarkStart w:id="386" w:name="_Ref39852489"/>
      <w:bookmarkStart w:id="387" w:name="_Toc43476586"/>
      <w:bookmarkStart w:id="388" w:name="_Toc44928830"/>
      <w:bookmarkStart w:id="389" w:name="_Toc51237493"/>
      <w:bookmarkStart w:id="390" w:name="_Toc53586008"/>
      <w:bookmarkStart w:id="391" w:name="_Toc57377259"/>
      <w:r>
        <w:t xml:space="preserve">Figure </w:t>
      </w:r>
      <w:r>
        <w:fldChar w:fldCharType="begin"/>
      </w:r>
      <w:r>
        <w:instrText>SEQ Figure \* ARABIC</w:instrText>
      </w:r>
      <w:r>
        <w:fldChar w:fldCharType="separate"/>
      </w:r>
      <w:r>
        <w:rPr>
          <w:noProof/>
        </w:rPr>
        <w:t>17</w:t>
      </w:r>
      <w:r>
        <w:fldChar w:fldCharType="end"/>
      </w:r>
      <w:bookmarkEnd w:id="386"/>
      <w:r>
        <w:t xml:space="preserve"> Operational, drought and extreme event sampling consistent with the climate change guidance</w:t>
      </w:r>
      <w:bookmarkEnd w:id="387"/>
      <w:bookmarkEnd w:id="388"/>
      <w:bookmarkEnd w:id="389"/>
      <w:bookmarkEnd w:id="390"/>
      <w:bookmarkEnd w:id="391"/>
    </w:p>
    <w:p w14:paraId="5E200021" w14:textId="77777777" w:rsidR="007B29DD" w:rsidRPr="00964369" w:rsidRDefault="007B29DD" w:rsidP="007B29DD">
      <w:pPr>
        <w:pStyle w:val="BodyText"/>
        <w:rPr>
          <w:lang w:eastAsia="en-AU"/>
        </w:rPr>
      </w:pPr>
    </w:p>
    <w:p w14:paraId="0CB1C982" w14:textId="77777777" w:rsidR="007B29DD" w:rsidRPr="00460A85" w:rsidRDefault="007B29DD" w:rsidP="007B29DD">
      <w:pPr>
        <w:pStyle w:val="BodyText"/>
      </w:pPr>
      <w:r w:rsidRPr="00460A85">
        <w:t xml:space="preserve">In addition to historical sampling, climate analogues from other parts of Australia can also be used, particularly for narratives around potential climate change, as discussed further in </w:t>
      </w:r>
      <w:r w:rsidRPr="00460A85">
        <w:fldChar w:fldCharType="begin"/>
      </w:r>
      <w:r w:rsidRPr="00460A85">
        <w:instrText xml:space="preserve"> REF _Ref39853552 \r \h </w:instrText>
      </w:r>
      <w:r>
        <w:instrText xml:space="preserve"> \* MERGEFORMAT </w:instrText>
      </w:r>
      <w:r w:rsidRPr="00460A85">
        <w:fldChar w:fldCharType="separate"/>
      </w:r>
      <w:r>
        <w:t>Appendix B</w:t>
      </w:r>
      <w:r w:rsidRPr="00460A85">
        <w:fldChar w:fldCharType="end"/>
      </w:r>
      <w:r w:rsidRPr="00460A85">
        <w:t>.4. The use of climate analogues is considered a lower priority approach than both stochastic data generation and historic sampling from at-site drought events.</w:t>
      </w:r>
    </w:p>
    <w:p w14:paraId="1B8C39B3" w14:textId="77777777" w:rsidR="007B29DD" w:rsidRDefault="007B29DD" w:rsidP="007B29DD">
      <w:pPr>
        <w:pStyle w:val="BodyText"/>
      </w:pPr>
      <w:r w:rsidRPr="00460A85">
        <w:t xml:space="preserve">There may be exceptions to this process for smaller supply systems with less than 12 months of available storage capacity. For these supply systems, changes to within-year drought duration (and severity) are more important for testing supply system resilience than changes to multi-year drought duration. In this case, scaling or otherwise extending within-year historical drought events, including years in the Millennium Drought, is considered appropriate </w:t>
      </w:r>
      <w:r>
        <w:t xml:space="preserve">if </w:t>
      </w:r>
      <w:r w:rsidRPr="00460A85">
        <w:t xml:space="preserve">the higher degree of uncertainty in this process is acknowledged. This form of stress testing is discussed in further detail in </w:t>
      </w:r>
      <w:r w:rsidRPr="00460A85">
        <w:fldChar w:fldCharType="begin"/>
      </w:r>
      <w:r w:rsidRPr="00460A85">
        <w:instrText xml:space="preserve"> REF _Ref39853552 \r \h </w:instrText>
      </w:r>
      <w:r>
        <w:instrText xml:space="preserve"> \* MERGEFORMAT </w:instrText>
      </w:r>
      <w:r w:rsidRPr="00460A85">
        <w:fldChar w:fldCharType="separate"/>
      </w:r>
      <w:r>
        <w:t>Appendix B</w:t>
      </w:r>
      <w:r w:rsidRPr="00460A85">
        <w:fldChar w:fldCharType="end"/>
      </w:r>
      <w:r w:rsidRPr="00460A85">
        <w:t>.6.1.</w:t>
      </w:r>
    </w:p>
    <w:p w14:paraId="6D8E47B7"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392" w:name="_Toc38957432"/>
      <w:bookmarkStart w:id="393" w:name="_Ref39736086"/>
      <w:bookmarkStart w:id="394" w:name="_Ref39851141"/>
      <w:bookmarkStart w:id="395" w:name="_Ref39906480"/>
      <w:bookmarkStart w:id="396" w:name="_Toc43476475"/>
      <w:bookmarkStart w:id="397" w:name="_Toc44928720"/>
      <w:bookmarkStart w:id="398" w:name="_Toc51657992"/>
      <w:bookmarkStart w:id="399" w:name="_Toc53585897"/>
      <w:bookmarkStart w:id="400" w:name="_Toc57377148"/>
      <w:r w:rsidRPr="00306AF1">
        <w:rPr>
          <w:b/>
          <w:bCs/>
          <w:color w:val="000000" w:themeColor="text1"/>
        </w:rPr>
        <w:lastRenderedPageBreak/>
        <w:t>Extend your climate reference period datasets</w:t>
      </w:r>
      <w:bookmarkEnd w:id="392"/>
      <w:bookmarkEnd w:id="393"/>
      <w:bookmarkEnd w:id="394"/>
      <w:bookmarkEnd w:id="395"/>
      <w:bookmarkEnd w:id="396"/>
      <w:bookmarkEnd w:id="397"/>
      <w:bookmarkEnd w:id="398"/>
      <w:bookmarkEnd w:id="399"/>
      <w:bookmarkEnd w:id="400"/>
    </w:p>
    <w:p w14:paraId="06622075"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401" w:name="_Toc43476476"/>
      <w:bookmarkStart w:id="402" w:name="_Toc44928721"/>
      <w:bookmarkStart w:id="403" w:name="_Toc51657993"/>
      <w:bookmarkStart w:id="404" w:name="_Toc53585898"/>
      <w:bookmarkStart w:id="405" w:name="_Toc57377149"/>
      <w:r w:rsidRPr="00306AF1">
        <w:rPr>
          <w:b/>
          <w:bCs/>
          <w:color w:val="000000" w:themeColor="text1"/>
        </w:rPr>
        <w:t>Introduction</w:t>
      </w:r>
      <w:bookmarkEnd w:id="401"/>
      <w:bookmarkEnd w:id="402"/>
      <w:bookmarkEnd w:id="403"/>
      <w:bookmarkEnd w:id="404"/>
      <w:bookmarkEnd w:id="405"/>
    </w:p>
    <w:p w14:paraId="7D83EE69" w14:textId="77777777" w:rsidR="007B29DD" w:rsidRDefault="007B29DD" w:rsidP="007B29DD">
      <w:pPr>
        <w:pStyle w:val="BodyText"/>
        <w:rPr>
          <w:lang w:eastAsia="en-AU"/>
        </w:rPr>
      </w:pPr>
      <w:r>
        <w:rPr>
          <w:lang w:eastAsia="en-AU"/>
        </w:rPr>
        <w:t>Victoria’s climate is highly variable and it is therefore arguable whether an historic record spanning 20–25 years (in the case of a post-1997 historic climate reference period) or 45–50 years</w:t>
      </w:r>
      <w:r w:rsidDel="004C0EB2">
        <w:rPr>
          <w:lang w:eastAsia="en-AU"/>
        </w:rPr>
        <w:t xml:space="preserve"> </w:t>
      </w:r>
      <w:r>
        <w:rPr>
          <w:lang w:eastAsia="en-AU"/>
        </w:rPr>
        <w:t xml:space="preserve">(in the case of a post-1975 historic climate reference period) contain sufficient climate variability to reasonably assess water availability under a representative range of wet, dry and average conditions. Two techniques are presented below to enable the extension of the historic climate reference period to incorporate more climate variability than observed over that period — namely historical data scaling and stochastic data generation. No single approach is recommended over the other. Historical data scaling requires less effort to apply and interpret than stochastic data generation and takes full advantage of available historical climate and streamflow records, which in Victoria can extend back to the early </w:t>
      </w:r>
      <w:r w:rsidRPr="00B535E6">
        <w:rPr>
          <w:lang w:eastAsia="en-AU"/>
        </w:rPr>
        <w:t>20th</w:t>
      </w:r>
      <w:r>
        <w:rPr>
          <w:lang w:eastAsia="en-AU"/>
        </w:rPr>
        <w:t xml:space="preserve"> and late </w:t>
      </w:r>
      <w:r w:rsidRPr="00B535E6">
        <w:rPr>
          <w:lang w:eastAsia="en-AU"/>
        </w:rPr>
        <w:t>19th</w:t>
      </w:r>
      <w:r>
        <w:rPr>
          <w:lang w:eastAsia="en-AU"/>
        </w:rPr>
        <w:t xml:space="preserve"> century (Ashcroft et al. 2019). Stochastic data generation, while considerably more complex, has specific advantages in its ability to preserve more of the unique characteristics of the reference period, such as the daily persistence of rainfall, and can create a much wider range of annual rainfall and streamflow sequencing by use of statistical methods. This latter benefit means that it is suitable for generating extreme drought events beyond the notional 1 in </w:t>
      </w:r>
      <w:r w:rsidDel="004C0EB2">
        <w:rPr>
          <w:lang w:eastAsia="en-AU"/>
        </w:rPr>
        <w:t>200</w:t>
      </w:r>
      <w:r>
        <w:rPr>
          <w:lang w:eastAsia="en-AU"/>
        </w:rPr>
        <w:t>-year events possible using historical data scaling (i.e. typically up to around a 1 in 10,000-year drought event).</w:t>
      </w:r>
    </w:p>
    <w:p w14:paraId="495E1E0B" w14:textId="77777777" w:rsidR="007B29DD" w:rsidRPr="00527E89" w:rsidRDefault="007B29DD" w:rsidP="007B29DD">
      <w:pPr>
        <w:pStyle w:val="BodyText"/>
        <w:rPr>
          <w:lang w:eastAsia="en-AU"/>
        </w:rPr>
      </w:pPr>
      <w:r>
        <w:rPr>
          <w:lang w:eastAsia="en-AU"/>
        </w:rPr>
        <w:t xml:space="preserve">Paleoclimate reconstructions for rainfall and streamflow have been utilised in some other Australian states to extend reference climate and streamflow datasets with additional climate variability. As noted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.5, unlike some other states, paleoclimate proxy records for Victoria are not suitable for generating paleoclimate reconstructions of adequate quality for application in Victoria.</w:t>
      </w:r>
    </w:p>
    <w:p w14:paraId="3AB3550D"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406" w:name="_Toc51657994"/>
      <w:bookmarkStart w:id="407" w:name="_Ref53145727"/>
      <w:bookmarkStart w:id="408" w:name="_Toc53585899"/>
      <w:bookmarkStart w:id="409" w:name="_Toc57377150"/>
      <w:r w:rsidRPr="00306AF1">
        <w:rPr>
          <w:b/>
          <w:bCs/>
          <w:color w:val="000000" w:themeColor="text1"/>
        </w:rPr>
        <w:t>Historical data scaling</w:t>
      </w:r>
      <w:bookmarkEnd w:id="406"/>
      <w:bookmarkEnd w:id="407"/>
      <w:bookmarkEnd w:id="408"/>
      <w:bookmarkEnd w:id="409"/>
    </w:p>
    <w:p w14:paraId="0CD2B163" w14:textId="77777777" w:rsidR="007B29DD" w:rsidRDefault="007B29DD" w:rsidP="007B29DD">
      <w:pPr>
        <w:pStyle w:val="BodyText"/>
        <w:rPr>
          <w:lang w:eastAsia="en-AU"/>
        </w:rPr>
      </w:pPr>
      <w:r w:rsidRPr="00112398">
        <w:rPr>
          <w:lang w:eastAsia="en-AU"/>
        </w:rPr>
        <w:t>Historical data scaling is a simple technique to adjust historical data so that it has similar exceedance properties to a shorter reference period, such as the post-1975 or the post-1997 reference period. The recommended approach for these guidelines involves deriving average values for each interval (decile/percentile) of probability exceedance for both the reference period and the earlier historical data. The historical record prior to the reference period (e.g. pre-1975 flow) is then factored by the ratio of the average values in each period (e.g. post- and pre-1975) for the decile in which each value is located. The streamflow transformation tool within the utilities menu of the REALM modelling software automates this calculation for a given input streamflow time series (DELWP, 2008 &amp; 2015). In recent years, a significant amount of water resource modelling has transitioned from using REALM to using eWater Source. The REALM streamflow transformation tool was initially ported with identical functionality to eWater Source (DELWP, 2019</w:t>
      </w:r>
      <w:r>
        <w:rPr>
          <w:lang w:eastAsia="en-AU"/>
        </w:rPr>
        <w:t>e</w:t>
      </w:r>
      <w:r w:rsidRPr="00112398">
        <w:rPr>
          <w:lang w:eastAsia="en-AU"/>
        </w:rPr>
        <w:t xml:space="preserve">) and is available through the eWater Source community plugin library. To coincide with recommendations of these </w:t>
      </w:r>
      <w:r>
        <w:rPr>
          <w:lang w:eastAsia="en-AU"/>
        </w:rPr>
        <w:t>g</w:t>
      </w:r>
      <w:r w:rsidRPr="00112398">
        <w:rPr>
          <w:lang w:eastAsia="en-AU"/>
        </w:rPr>
        <w:t>uidelines</w:t>
      </w:r>
      <w:r>
        <w:rPr>
          <w:lang w:eastAsia="en-AU"/>
        </w:rPr>
        <w:t>,</w:t>
      </w:r>
      <w:r w:rsidRPr="00112398">
        <w:rPr>
          <w:lang w:eastAsia="en-AU"/>
        </w:rPr>
        <w:t xml:space="preserve"> DELWP has released a new version of the plugin in eWater Source re-named to the Hydroclimate Data Transformation Plugin (DELWP, 2020</w:t>
      </w:r>
      <w:r>
        <w:rPr>
          <w:lang w:eastAsia="en-AU"/>
        </w:rPr>
        <w:t>c</w:t>
      </w:r>
      <w:r w:rsidRPr="00112398">
        <w:rPr>
          <w:lang w:eastAsia="en-AU"/>
        </w:rPr>
        <w:t>). This updated plugin offers the original streamflow transformation tool functionality as well as historical data seasonal flow duration curve (FDC) scaling and climate change projection transformations. This scaling can be applied to streamflow, rainfall, evaporation or temperature.</w:t>
      </w:r>
    </w:p>
    <w:p w14:paraId="09EBD864" w14:textId="77777777" w:rsidR="007B29DD" w:rsidRDefault="007B29DD" w:rsidP="007B29DD">
      <w:pPr>
        <w:pStyle w:val="BodyText"/>
        <w:rPr>
          <w:lang w:eastAsia="en-AU"/>
        </w:rPr>
      </w:pPr>
      <w:r>
        <w:rPr>
          <w:lang w:eastAsia="en-AU"/>
        </w:rPr>
        <w:t xml:space="preserve">Given the observed changes in cool season versus warm season rainfall noted throughout these guidelines, it would be advantageous to undertake flow duration curve decile scaling on individual seasons (either spring/summer/autumn/winter or cool/warm season), particularly when applying to the post-1997 reference period. The REALM utility tool and eWater Source plugin do not currently allow exceedance curve decile scaling on individual seasons, so datasets would need to be separated into their respective seasons prior to input into the REALM utility tool, and then combined again once the scaling has been completed. Such an approach </w:t>
      </w:r>
      <w:r w:rsidRPr="00EA766B">
        <w:rPr>
          <w:lang w:eastAsia="en-AU"/>
        </w:rPr>
        <w:t xml:space="preserve">would allow </w:t>
      </w:r>
      <w:r>
        <w:rPr>
          <w:lang w:eastAsia="en-AU"/>
        </w:rPr>
        <w:t>W</w:t>
      </w:r>
      <w:r w:rsidRPr="00EA766B">
        <w:rPr>
          <w:lang w:eastAsia="en-AU"/>
        </w:rPr>
        <w:t xml:space="preserve">ater </w:t>
      </w:r>
      <w:r>
        <w:rPr>
          <w:lang w:eastAsia="en-AU"/>
        </w:rPr>
        <w:t>C</w:t>
      </w:r>
      <w:r w:rsidRPr="00EA766B">
        <w:rPr>
          <w:lang w:eastAsia="en-AU"/>
        </w:rPr>
        <w:t xml:space="preserve">orporations to consider potential increases in intense warm season rainfall in the post-1997 </w:t>
      </w:r>
      <w:r>
        <w:rPr>
          <w:lang w:eastAsia="en-AU"/>
        </w:rPr>
        <w:t>reference period</w:t>
      </w:r>
      <w:r w:rsidRPr="00EA766B">
        <w:rPr>
          <w:lang w:eastAsia="en-AU"/>
        </w:rPr>
        <w:t>, as well as the cool season rainfall declines that are more pronounced than what is observed</w:t>
      </w:r>
      <w:r>
        <w:rPr>
          <w:lang w:eastAsia="en-AU"/>
        </w:rPr>
        <w:t xml:space="preserve"> at an annual time step.</w:t>
      </w:r>
    </w:p>
    <w:p w14:paraId="37D93B5C" w14:textId="77777777" w:rsidR="007B29DD" w:rsidRDefault="007B29DD" w:rsidP="007B29DD"/>
    <w:tbl>
      <w:tblPr>
        <w:tblStyle w:val="HighlightTable"/>
        <w:tblW w:w="0" w:type="auto"/>
        <w:tblLook w:val="04A0" w:firstRow="1" w:lastRow="0" w:firstColumn="1" w:lastColumn="0" w:noHBand="0" w:noVBand="1"/>
      </w:tblPr>
      <w:tblGrid>
        <w:gridCol w:w="9639"/>
      </w:tblGrid>
      <w:tr w:rsidR="007B29DD" w14:paraId="2833D915" w14:textId="77777777" w:rsidTr="00306AF1">
        <w:tc>
          <w:tcPr>
            <w:tcW w:w="9639" w:type="dxa"/>
            <w:hideMark/>
          </w:tcPr>
          <w:p w14:paraId="23C719C1" w14:textId="77777777" w:rsidR="007B29DD" w:rsidRPr="00025185" w:rsidRDefault="007B29DD" w:rsidP="00306AF1">
            <w:pPr>
              <w:pStyle w:val="HighlightBoxText"/>
              <w:jc w:val="both"/>
            </w:pPr>
            <w:r w:rsidRPr="002F3BA7">
              <w:rPr>
                <w:color w:val="000000" w:themeColor="text1"/>
              </w:rPr>
              <w:t>Historical data scaling should be applied seasonally rather than annually. Either cool/warm season or spring/summer/autumn/winter scaling are suitable, with a preference for a consistent approach to be adopted regionally. This may require communication across organisations with shared water resources.</w:t>
            </w:r>
          </w:p>
        </w:tc>
      </w:tr>
    </w:tbl>
    <w:p w14:paraId="681BB78B" w14:textId="77777777" w:rsidR="007B29DD" w:rsidRDefault="007B29DD" w:rsidP="007B29DD"/>
    <w:p w14:paraId="0A5D4330" w14:textId="77777777" w:rsidR="007B29DD" w:rsidRDefault="007B29DD" w:rsidP="007B29DD">
      <w:pPr>
        <w:pStyle w:val="BodyText"/>
        <w:rPr>
          <w:lang w:eastAsia="en-AU"/>
        </w:rPr>
      </w:pPr>
      <w:r>
        <w:rPr>
          <w:lang w:eastAsia="en-AU"/>
        </w:rPr>
        <w:t xml:space="preserve">Any historical data scaling technique has the potential to create discontinuities in daily time series data. When applying the scaling to deciles using all months of data, discontinuities can occur at the boundary of each decile. For </w:t>
      </w:r>
      <w:r>
        <w:rPr>
          <w:lang w:eastAsia="en-AU"/>
        </w:rPr>
        <w:lastRenderedPageBreak/>
        <w:t>example, with respect to streamflow data, if a baseflow recession passes through a decile boundary, it could result in a step jump up or down for daily flows either side of that boundary. Similarly, when separate flow duration curves are utilised for each season, there is an additional potential for discontinuity from one season to the next (e.g. from the last day of the warm season to the first day of the cool season). The implications of adopting flow duration curve scaling for particular applications should therefore be checked by examining the factored time series output relative to the intended use of that output. This issue is unlikely to arise for monthly time step data, where discontinuities from month to month are unlikely to be evident.</w:t>
      </w:r>
    </w:p>
    <w:p w14:paraId="36E74D4C" w14:textId="77777777" w:rsidR="007B29DD" w:rsidRDefault="007B29DD" w:rsidP="007B29DD">
      <w:pPr>
        <w:pStyle w:val="BodyText"/>
        <w:rPr>
          <w:lang w:eastAsia="en-AU"/>
        </w:rPr>
      </w:pPr>
      <w:r>
        <w:rPr>
          <w:lang w:eastAsia="en-AU"/>
        </w:rPr>
        <w:t>Hydrology and Risk Consulting (HARC, 2020) undertook an analysis of the potential for the scaling of historical data to introduce data anomalies in 150 datasets across Victoria. From this analysis it was concluded that:</w:t>
      </w:r>
    </w:p>
    <w:p w14:paraId="628D33AD" w14:textId="77777777" w:rsidR="007B29DD" w:rsidRDefault="007B29DD" w:rsidP="007B29DD">
      <w:pPr>
        <w:pStyle w:val="BodyText"/>
        <w:numPr>
          <w:ilvl w:val="0"/>
          <w:numId w:val="21"/>
        </w:numPr>
        <w:rPr>
          <w:lang w:eastAsia="en-AU"/>
        </w:rPr>
      </w:pPr>
      <w:r w:rsidRPr="4C198B8C">
        <w:rPr>
          <w:lang w:eastAsia="en-AU"/>
        </w:rPr>
        <w:t>Inconsistent scaling factors across adjacent deciles occurred in less than 5% of datasets</w:t>
      </w:r>
      <w:r>
        <w:rPr>
          <w:lang w:eastAsia="en-AU"/>
        </w:rPr>
        <w:t>.</w:t>
      </w:r>
    </w:p>
    <w:p w14:paraId="5E04503C" w14:textId="1EAF664A" w:rsidR="007B29DD" w:rsidRDefault="007B29DD" w:rsidP="007B29DD">
      <w:pPr>
        <w:pStyle w:val="BodyText"/>
        <w:numPr>
          <w:ilvl w:val="0"/>
          <w:numId w:val="21"/>
        </w:numPr>
        <w:rPr>
          <w:lang w:eastAsia="en-AU"/>
        </w:rPr>
      </w:pPr>
      <w:r w:rsidRPr="4C198B8C">
        <w:rPr>
          <w:lang w:eastAsia="en-AU"/>
        </w:rPr>
        <w:t xml:space="preserve">It was not uncommon for high, low or the majority of </w:t>
      </w:r>
      <w:r>
        <w:rPr>
          <w:lang w:eastAsia="en-AU"/>
        </w:rPr>
        <w:t>historical</w:t>
      </w:r>
      <w:r w:rsidRPr="4C198B8C">
        <w:rPr>
          <w:lang w:eastAsia="en-AU"/>
        </w:rPr>
        <w:t xml:space="preserve"> streamflows to increase after scaling (e.g. low flows increased in 26% of datasets). The frequency with which this occurred was much lower when using a </w:t>
      </w:r>
      <w:r w:rsidR="0064669B">
        <w:rPr>
          <w:lang w:eastAsia="en-AU"/>
        </w:rPr>
        <w:t>post</w:t>
      </w:r>
      <w:r w:rsidRPr="4C198B8C">
        <w:rPr>
          <w:lang w:eastAsia="en-AU"/>
        </w:rPr>
        <w:t xml:space="preserve">-1997 </w:t>
      </w:r>
      <w:r w:rsidR="0064669B">
        <w:rPr>
          <w:lang w:eastAsia="en-AU"/>
        </w:rPr>
        <w:t xml:space="preserve">historic climate </w:t>
      </w:r>
      <w:r>
        <w:rPr>
          <w:lang w:eastAsia="en-AU"/>
        </w:rPr>
        <w:t>reference period</w:t>
      </w:r>
      <w:r w:rsidRPr="4C198B8C">
        <w:rPr>
          <w:lang w:eastAsia="en-AU"/>
        </w:rPr>
        <w:t xml:space="preserve">, relative to a </w:t>
      </w:r>
      <w:r w:rsidR="0064669B">
        <w:rPr>
          <w:lang w:eastAsia="en-AU"/>
        </w:rPr>
        <w:t>post</w:t>
      </w:r>
      <w:r w:rsidRPr="4C198B8C">
        <w:rPr>
          <w:lang w:eastAsia="en-AU"/>
        </w:rPr>
        <w:t xml:space="preserve">-1975 </w:t>
      </w:r>
      <w:r w:rsidR="00C25E20">
        <w:rPr>
          <w:lang w:eastAsia="en-AU"/>
        </w:rPr>
        <w:t xml:space="preserve">historic climate </w:t>
      </w:r>
      <w:r>
        <w:rPr>
          <w:lang w:eastAsia="en-AU"/>
        </w:rPr>
        <w:t>reference period</w:t>
      </w:r>
      <w:r w:rsidRPr="4C198B8C">
        <w:rPr>
          <w:lang w:eastAsia="en-AU"/>
        </w:rPr>
        <w:t>.</w:t>
      </w:r>
    </w:p>
    <w:p w14:paraId="6686E636" w14:textId="77777777" w:rsidR="007B29DD" w:rsidRDefault="007B29DD" w:rsidP="007B29DD">
      <w:pPr>
        <w:pStyle w:val="BodyText"/>
        <w:numPr>
          <w:ilvl w:val="0"/>
          <w:numId w:val="21"/>
        </w:numPr>
        <w:rPr>
          <w:lang w:eastAsia="en-AU"/>
        </w:rPr>
      </w:pPr>
      <w:r w:rsidRPr="4C198B8C">
        <w:rPr>
          <w:lang w:eastAsia="en-AU"/>
        </w:rPr>
        <w:t xml:space="preserve">Understanding the quality of the </w:t>
      </w:r>
      <w:r>
        <w:rPr>
          <w:lang w:eastAsia="en-AU"/>
        </w:rPr>
        <w:t>reference period</w:t>
      </w:r>
      <w:r w:rsidRPr="4C198B8C">
        <w:rPr>
          <w:lang w:eastAsia="en-AU"/>
        </w:rPr>
        <w:t xml:space="preserve"> data is important for interpreting the validity of the </w:t>
      </w:r>
      <w:r>
        <w:rPr>
          <w:lang w:eastAsia="en-AU"/>
        </w:rPr>
        <w:t>historical data scaling</w:t>
      </w:r>
      <w:r w:rsidRPr="4C198B8C">
        <w:rPr>
          <w:lang w:eastAsia="en-AU"/>
        </w:rPr>
        <w:t>.</w:t>
      </w:r>
    </w:p>
    <w:p w14:paraId="603A8C58" w14:textId="77777777" w:rsidR="007B29DD" w:rsidRDefault="007B29DD" w:rsidP="007B29DD">
      <w:pPr>
        <w:pStyle w:val="BodyText"/>
        <w:rPr>
          <w:lang w:eastAsia="en-AU"/>
        </w:rPr>
      </w:pPr>
      <w:r>
        <w:rPr>
          <w:lang w:eastAsia="en-AU"/>
        </w:rPr>
        <w:t xml:space="preserve">HARC (2020) also investigated some of the potential causes of anomalies introduced by historical data scaling. These included examining differences in a sample of wet and dry catchments, differences when analysing the dataset on different time steps, differences when utilising a shorter period of record in the historical (pre-reference) period, differences when applying annual or seasonal scaling, and differences due to changes in the method of streamflow derivation and differences in the observed flows over time (e.g. due to changes in gauging practices). This analysis did not identify any conclusive patterns for the drivers of potential data anomalies introduced by historical data scaling, with anomalies likely to be unique to individual datasets associated with local quality control or water management issues. Where potential anomalies were identified, an examination of the stationarity of gauged water levels was shown to help identify whether the poor quality of raw data was a cause of the anomaly. See </w:t>
      </w:r>
      <w:r>
        <w:rPr>
          <w:lang w:eastAsia="en-AU"/>
        </w:rPr>
        <w:fldChar w:fldCharType="begin"/>
      </w:r>
      <w:r>
        <w:rPr>
          <w:lang w:eastAsia="en-AU"/>
        </w:rPr>
        <w:instrText xml:space="preserve"> REF _Ref40451369 \r \h </w:instrText>
      </w:r>
      <w:r>
        <w:rPr>
          <w:lang w:eastAsia="en-AU"/>
        </w:rPr>
      </w:r>
      <w:r>
        <w:rPr>
          <w:lang w:eastAsia="en-AU"/>
        </w:rPr>
        <w:fldChar w:fldCharType="separate"/>
      </w:r>
      <w:r>
        <w:rPr>
          <w:lang w:eastAsia="en-AU"/>
        </w:rPr>
        <w:t>Appendix A</w:t>
      </w:r>
      <w:r>
        <w:rPr>
          <w:lang w:eastAsia="en-AU"/>
        </w:rPr>
        <w:fldChar w:fldCharType="end"/>
      </w:r>
      <w:r>
        <w:rPr>
          <w:lang w:eastAsia="en-AU"/>
        </w:rPr>
        <w:t>.3 for examples of anomalous exceedance curve scaling.</w:t>
      </w:r>
    </w:p>
    <w:p w14:paraId="4126E6EF" w14:textId="77777777" w:rsidR="007B29DD" w:rsidRDefault="007B29DD" w:rsidP="007B29DD"/>
    <w:tbl>
      <w:tblPr>
        <w:tblStyle w:val="HighlightTable"/>
        <w:tblW w:w="0" w:type="auto"/>
        <w:tblLook w:val="04A0" w:firstRow="1" w:lastRow="0" w:firstColumn="1" w:lastColumn="0" w:noHBand="0" w:noVBand="1"/>
      </w:tblPr>
      <w:tblGrid>
        <w:gridCol w:w="9639"/>
      </w:tblGrid>
      <w:tr w:rsidR="007B29DD" w14:paraId="2B9A03C3" w14:textId="77777777" w:rsidTr="00306AF1">
        <w:tc>
          <w:tcPr>
            <w:tcW w:w="9639" w:type="dxa"/>
            <w:hideMark/>
          </w:tcPr>
          <w:p w14:paraId="0C7625EF" w14:textId="77777777" w:rsidR="007B29DD" w:rsidRPr="00B01980" w:rsidRDefault="007B29DD" w:rsidP="00306AF1">
            <w:pPr>
              <w:pStyle w:val="HighlightBoxText"/>
              <w:jc w:val="both"/>
            </w:pPr>
            <w:r w:rsidRPr="002F3BA7">
              <w:rPr>
                <w:color w:val="000000" w:themeColor="text1"/>
              </w:rPr>
              <w:t>When applying historical data scaling to match exceedance curve behaviour, always check the consistency of the scaling factors across adjacent deciles. Review the quality of your historical data and adopt simpler historical data scaling to match average behaviour if needed.</w:t>
            </w:r>
          </w:p>
        </w:tc>
      </w:tr>
    </w:tbl>
    <w:p w14:paraId="4E8F23AF" w14:textId="77777777" w:rsidR="007B29DD" w:rsidRDefault="007B29DD" w:rsidP="007B29DD"/>
    <w:p w14:paraId="6458D43A" w14:textId="77777777" w:rsidR="007B29DD" w:rsidRDefault="007B29DD" w:rsidP="007B29DD">
      <w:pPr>
        <w:pStyle w:val="BodyText"/>
        <w:rPr>
          <w:lang w:eastAsia="en-AU"/>
        </w:rPr>
      </w:pPr>
      <w:r>
        <w:rPr>
          <w:lang w:eastAsia="en-AU"/>
        </w:rPr>
        <w:t>If anomalies are identified in the historical data scaling process to match exceedance curve behaviour, and it is found to be attributable to the scaling process (rather than the quality of your input data), a simpler scaling approach may be warranted. This could include the use of a single set of decile scaling factors across all months and seasons in a year. A suitable, but less preferred alternative is historical data scaling to match reference period average seasonal (or average annual) behaviour, rather than matching deciles. This approach is less preferred because it does not allow for the different observed historical changes under wet and dry conditions (i.e. that differently affect the high and low end of climate and streamflow exceedance curves) that are attributable to anthropogenic climate change.</w:t>
      </w:r>
    </w:p>
    <w:p w14:paraId="3ED2A53D" w14:textId="77777777" w:rsidR="007B29DD" w:rsidRPr="00717E07" w:rsidRDefault="007B29DD" w:rsidP="007B29DD">
      <w:pPr>
        <w:pStyle w:val="BodyText"/>
        <w:rPr>
          <w:lang w:eastAsia="en-AU"/>
        </w:rPr>
      </w:pPr>
      <w:r>
        <w:rPr>
          <w:lang w:eastAsia="en-AU"/>
        </w:rPr>
        <w:t>Regardless of which historical data scaling method is applied from those discussed above, differences in rainfall and streamflow persistence in the reference period relative to the earlier historical period will be preserved. That is, the interval between high flow events, the number of rain days, or changes in low flow duration observed in the reference period dataset will not be transferred to the earlier historical dataset. If differences in persistence are significant and your river or supply system is sensitive to these changes, then historical data scaling could reinforce climate variability that is no longer applicable to the reference period. In this case, it is recommended that either historical data scaling should not be undertaken and the earlier historical data discarded (but with clear justification as to why). Alternatively, stochastic data generation should be adopted, which has the ability to preserve the persistence characteristics from the reference period.</w:t>
      </w:r>
    </w:p>
    <w:p w14:paraId="3219EBC7"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410" w:name="_Toc38957434"/>
      <w:bookmarkStart w:id="411" w:name="_Ref40453606"/>
      <w:bookmarkStart w:id="412" w:name="_Ref42245526"/>
      <w:bookmarkStart w:id="413" w:name="_Ref42676168"/>
      <w:bookmarkStart w:id="414" w:name="_Toc43476478"/>
      <w:bookmarkStart w:id="415" w:name="_Toc44928723"/>
      <w:bookmarkStart w:id="416" w:name="_Toc51657995"/>
      <w:bookmarkStart w:id="417" w:name="_Toc53585900"/>
      <w:bookmarkStart w:id="418" w:name="_Toc57377151"/>
      <w:r w:rsidRPr="00306AF1">
        <w:rPr>
          <w:b/>
          <w:bCs/>
          <w:color w:val="000000" w:themeColor="text1"/>
        </w:rPr>
        <w:lastRenderedPageBreak/>
        <w:t>Stochastic data generation</w:t>
      </w:r>
      <w:bookmarkEnd w:id="410"/>
      <w:bookmarkEnd w:id="411"/>
      <w:bookmarkEnd w:id="412"/>
      <w:bookmarkEnd w:id="413"/>
      <w:bookmarkEnd w:id="414"/>
      <w:bookmarkEnd w:id="415"/>
      <w:bookmarkEnd w:id="416"/>
      <w:bookmarkEnd w:id="417"/>
      <w:bookmarkEnd w:id="418"/>
    </w:p>
    <w:p w14:paraId="27770A3C" w14:textId="77777777" w:rsidR="007B29DD" w:rsidRPr="00306AF1" w:rsidRDefault="007B29DD" w:rsidP="007B29DD">
      <w:pPr>
        <w:pStyle w:val="Heading4"/>
        <w:numPr>
          <w:ilvl w:val="3"/>
          <w:numId w:val="5"/>
        </w:numPr>
        <w:rPr>
          <w:color w:val="000000" w:themeColor="text1"/>
        </w:rPr>
      </w:pPr>
      <w:r w:rsidRPr="00306AF1">
        <w:rPr>
          <w:color w:val="000000" w:themeColor="text1"/>
        </w:rPr>
        <w:t>Definition and purpose of stochastic data</w:t>
      </w:r>
    </w:p>
    <w:p w14:paraId="1CD06A94" w14:textId="77777777" w:rsidR="007B29DD" w:rsidRDefault="007B29DD" w:rsidP="007B29DD">
      <w:pPr>
        <w:pStyle w:val="BodyText"/>
        <w:rPr>
          <w:lang w:eastAsia="en-AU"/>
        </w:rPr>
      </w:pPr>
      <w:r>
        <w:rPr>
          <w:lang w:eastAsia="en-AU"/>
        </w:rPr>
        <w:t xml:space="preserve">Stochastic data used in modelling water systems are random numbers that are modified so that they have the same statistical characteristics (in terms of mean, variance, skew, long-term persistency, etc.) as the reference period data on which they are based (adapted from Srikanthan et al., 2007). </w:t>
      </w:r>
    </w:p>
    <w:p w14:paraId="02956DE3" w14:textId="4298CC58" w:rsidR="007B29DD" w:rsidRDefault="007B29DD" w:rsidP="007B29DD">
      <w:pPr>
        <w:pStyle w:val="BodyText"/>
        <w:ind w:left="709"/>
        <w:rPr>
          <w:lang w:eastAsia="en-AU"/>
        </w:rPr>
      </w:pPr>
      <w:r w:rsidRPr="00A30373">
        <w:rPr>
          <w:i/>
          <w:lang w:eastAsia="en-AU"/>
        </w:rPr>
        <w:t>“Using historical climate data as inputs into hydrological models provides results that are based on only one realisation of the past climate. Stochastic climate data provide alternative realisations that are equally likely to occur, and can therefore be used as inputs into hydrological and ecological models to quantify uncertainty in environmental systems associated with climate variability”</w:t>
      </w:r>
      <w:r>
        <w:rPr>
          <w:lang w:eastAsia="en-AU"/>
        </w:rPr>
        <w:t xml:space="preserve"> (Srikanthan et al., 2007).</w:t>
      </w:r>
    </w:p>
    <w:p w14:paraId="39A540D5" w14:textId="77777777" w:rsidR="007B29DD" w:rsidRDefault="007B29DD" w:rsidP="007B29DD">
      <w:pPr>
        <w:pStyle w:val="BodyText"/>
        <w:rPr>
          <w:lang w:eastAsia="en-AU"/>
        </w:rPr>
      </w:pPr>
      <w:r>
        <w:rPr>
          <w:lang w:eastAsia="en-AU"/>
        </w:rPr>
        <w:t>Stochastic simulations can be particularly valuable to more accurately characterise the probabilities or risks presented by extreme events. A single simulation, of similar length to the period of historical data, may provide a reasonably accurate and reliable estimate of non-extreme metrics, such as mean annual runoff into a particular reservoir. However, a single simulation of the same length as the historical data (between say 50 and 120 years), is much less likely to provide an accurate assessment of the true probability of a reservoir running dry during an extreme 1 in 100-year drought. This is particularly the case in water resources systems where reservoirs are designed to have the capacity to sustain water supply during multi-year drought periods. Stochastic data methods, when appropriately applied, allow for more accurate assessments of the likelihood of extreme events, such as droughts, bushfires and floods.</w:t>
      </w:r>
    </w:p>
    <w:p w14:paraId="13B4FB08" w14:textId="77777777" w:rsidR="007B29DD" w:rsidRDefault="007B29DD" w:rsidP="007B29DD">
      <w:pPr>
        <w:pStyle w:val="BodyText"/>
        <w:rPr>
          <w:lang w:eastAsia="en-AU"/>
        </w:rPr>
      </w:pPr>
      <w:r>
        <w:rPr>
          <w:lang w:eastAsia="en-AU"/>
        </w:rPr>
        <w:t>In order for stochastic simulations to be useful, the most important statistics produced from the stochastic replicates must be consistent with the statistics of the underlying data. Data from a reference period — such as measured rainfall, streamflow, evaporation or temperature — is normally used as the baseline for preparing the statistics. In this case, “(e)ach stochastic replicate (sequence) is different and has different characteristics compared to the historical data, but the average of each characteristic from all the stochastic replicates is the same as the historical data” (Srikanthan et al., 2007). Recent examples have adjusted the underlying statistics, which are to be matched by the stochastic replicates, to allow for projected climate change (Peel et al., 2015; Henley et al., 2019). For example, the stochastic rainfall replicates might be modified to preserve some statistics from the observed historical rainfall data (e.g. correlation in annual rainfall totals) but with the mean annual rainfall statistic modified to match a climate change projection. The underlying reference period series, as input to the stochastic data generation process, may also be adjusted to be consistent with the statistics from post-1975 or post-1997 periods.</w:t>
      </w:r>
    </w:p>
    <w:p w14:paraId="210F2F9C" w14:textId="77777777" w:rsidR="007B29DD" w:rsidRDefault="007B29DD" w:rsidP="007B29DD">
      <w:pPr>
        <w:pStyle w:val="BodyText"/>
        <w:rPr>
          <w:lang w:eastAsia="en-AU"/>
        </w:rPr>
      </w:pPr>
      <w:r>
        <w:rPr>
          <w:lang w:eastAsia="en-AU"/>
        </w:rPr>
        <w:t>For the generation of stochastic data consistent with these climate change guidelines, stochastic data generation can be undertaken directly on the post-1997 and post-1975 historic climate reference periods. When generating stochastic data for use with GCM-based projections, the adjustment of that data for projected peak (if applicable) and average annual historical climate change from 1995 to date can be undertaken either before or after generating the stochastic data. However, due to the level of effort in generating and checking stochastic data, it is suggested that the stochastic data be generated only once (using the post-1975 historic climate reference period). The adjustment for projected historic low, medium and high climate change from 1995 to date can then be applied to the stochastic dataset.</w:t>
      </w:r>
    </w:p>
    <w:p w14:paraId="5EA23502" w14:textId="77777777" w:rsidR="007B29DD" w:rsidRDefault="007B29DD" w:rsidP="007B29DD">
      <w:pPr>
        <w:pStyle w:val="BodyText"/>
        <w:rPr>
          <w:lang w:eastAsia="en-AU"/>
        </w:rPr>
      </w:pPr>
      <w:r>
        <w:rPr>
          <w:lang w:eastAsia="en-AU"/>
        </w:rPr>
        <w:t xml:space="preserve">This section briefly summarises the features of stochastic simulation models and issues to consider when selecting a stochastic data generation model for application.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.6.4 provides information on specific stochastic data simulation methods for use in water resources modelling, concentrating on methods and tools that are readily available to Australian modellers.</w:t>
      </w:r>
    </w:p>
    <w:p w14:paraId="0FD8768E" w14:textId="77777777" w:rsidR="007B29DD" w:rsidRPr="00306AF1" w:rsidRDefault="007B29DD" w:rsidP="007B29DD">
      <w:pPr>
        <w:pStyle w:val="Heading4"/>
        <w:numPr>
          <w:ilvl w:val="3"/>
          <w:numId w:val="5"/>
        </w:numPr>
        <w:rPr>
          <w:color w:val="000000" w:themeColor="text1"/>
        </w:rPr>
      </w:pPr>
      <w:r w:rsidRPr="00306AF1">
        <w:rPr>
          <w:color w:val="000000" w:themeColor="text1"/>
        </w:rPr>
        <w:t>Features of stochastic simulation models</w:t>
      </w:r>
    </w:p>
    <w:p w14:paraId="7E48DD7B" w14:textId="77777777" w:rsidR="007B29DD" w:rsidRDefault="007B29DD" w:rsidP="007B29DD">
      <w:pPr>
        <w:pStyle w:val="BodyText"/>
        <w:rPr>
          <w:lang w:eastAsia="en-AU"/>
        </w:rPr>
      </w:pPr>
      <w:r>
        <w:rPr>
          <w:lang w:eastAsia="en-AU"/>
        </w:rPr>
        <w:t>Stochastic data simulation methods can be applied to simulate:</w:t>
      </w:r>
    </w:p>
    <w:p w14:paraId="4C65A4DB" w14:textId="77777777" w:rsidR="007B29DD" w:rsidRDefault="007B29DD" w:rsidP="007B29DD">
      <w:pPr>
        <w:pStyle w:val="BodyText"/>
        <w:numPr>
          <w:ilvl w:val="0"/>
          <w:numId w:val="35"/>
        </w:numPr>
        <w:rPr>
          <w:lang w:eastAsia="en-AU"/>
        </w:rPr>
      </w:pPr>
      <w:r>
        <w:rPr>
          <w:lang w:eastAsia="en-AU"/>
        </w:rPr>
        <w:t>precipitation</w:t>
      </w:r>
    </w:p>
    <w:p w14:paraId="7272320F" w14:textId="77777777" w:rsidR="007B29DD" w:rsidRDefault="007B29DD" w:rsidP="007B29DD">
      <w:pPr>
        <w:pStyle w:val="BodyText"/>
        <w:numPr>
          <w:ilvl w:val="0"/>
          <w:numId w:val="35"/>
        </w:numPr>
        <w:rPr>
          <w:lang w:eastAsia="en-AU"/>
        </w:rPr>
      </w:pPr>
      <w:r>
        <w:rPr>
          <w:lang w:eastAsia="en-AU"/>
        </w:rPr>
        <w:t>evaporation and evapotranspiration</w:t>
      </w:r>
    </w:p>
    <w:p w14:paraId="21F754C0" w14:textId="77777777" w:rsidR="007B29DD" w:rsidRDefault="007B29DD" w:rsidP="007B29DD">
      <w:pPr>
        <w:pStyle w:val="BodyText"/>
        <w:numPr>
          <w:ilvl w:val="0"/>
          <w:numId w:val="35"/>
        </w:numPr>
        <w:rPr>
          <w:lang w:eastAsia="en-AU"/>
        </w:rPr>
      </w:pPr>
      <w:r>
        <w:rPr>
          <w:lang w:eastAsia="en-AU"/>
        </w:rPr>
        <w:t>streamflow</w:t>
      </w:r>
    </w:p>
    <w:p w14:paraId="287B016C" w14:textId="77777777" w:rsidR="007B29DD" w:rsidRDefault="007B29DD" w:rsidP="007B29DD">
      <w:pPr>
        <w:pStyle w:val="BodyText"/>
        <w:numPr>
          <w:ilvl w:val="0"/>
          <w:numId w:val="35"/>
        </w:numPr>
        <w:rPr>
          <w:lang w:eastAsia="en-AU"/>
        </w:rPr>
      </w:pPr>
      <w:r>
        <w:rPr>
          <w:lang w:eastAsia="en-AU"/>
        </w:rPr>
        <w:t>temperature.</w:t>
      </w:r>
    </w:p>
    <w:p w14:paraId="11F26481" w14:textId="77777777" w:rsidR="007B29DD" w:rsidRDefault="007B29DD" w:rsidP="007B29DD">
      <w:pPr>
        <w:pStyle w:val="BodyText"/>
        <w:rPr>
          <w:lang w:eastAsia="en-AU"/>
        </w:rPr>
      </w:pPr>
      <w:r>
        <w:rPr>
          <w:lang w:eastAsia="en-AU"/>
        </w:rPr>
        <w:t>Stochastic models can be used to generate data on several different timescales, including:</w:t>
      </w:r>
    </w:p>
    <w:p w14:paraId="1B065B4B" w14:textId="77777777" w:rsidR="007B29DD" w:rsidRDefault="007B29DD" w:rsidP="007B29DD">
      <w:pPr>
        <w:pStyle w:val="BodyText"/>
        <w:numPr>
          <w:ilvl w:val="0"/>
          <w:numId w:val="36"/>
        </w:numPr>
        <w:rPr>
          <w:lang w:eastAsia="en-AU"/>
        </w:rPr>
      </w:pPr>
      <w:r>
        <w:rPr>
          <w:lang w:eastAsia="en-AU"/>
        </w:rPr>
        <w:t>annual</w:t>
      </w:r>
    </w:p>
    <w:p w14:paraId="5DE90916" w14:textId="77777777" w:rsidR="007B29DD" w:rsidRDefault="007B29DD" w:rsidP="007B29DD">
      <w:pPr>
        <w:pStyle w:val="BodyText"/>
        <w:numPr>
          <w:ilvl w:val="0"/>
          <w:numId w:val="36"/>
        </w:numPr>
        <w:rPr>
          <w:lang w:eastAsia="en-AU"/>
        </w:rPr>
      </w:pPr>
      <w:r>
        <w:rPr>
          <w:lang w:eastAsia="en-AU"/>
        </w:rPr>
        <w:t>seasonal (where the number of seasons and even length of seasons can vary)</w:t>
      </w:r>
    </w:p>
    <w:p w14:paraId="500E7DB6" w14:textId="77777777" w:rsidR="007B29DD" w:rsidRDefault="007B29DD" w:rsidP="007B29DD">
      <w:pPr>
        <w:pStyle w:val="BodyText"/>
        <w:numPr>
          <w:ilvl w:val="0"/>
          <w:numId w:val="36"/>
        </w:numPr>
        <w:rPr>
          <w:lang w:eastAsia="en-AU"/>
        </w:rPr>
      </w:pPr>
      <w:r>
        <w:rPr>
          <w:lang w:eastAsia="en-AU"/>
        </w:rPr>
        <w:lastRenderedPageBreak/>
        <w:t>monthly</w:t>
      </w:r>
    </w:p>
    <w:p w14:paraId="56F99E76" w14:textId="77777777" w:rsidR="007B29DD" w:rsidRDefault="007B29DD" w:rsidP="007B29DD">
      <w:pPr>
        <w:pStyle w:val="BodyText"/>
        <w:numPr>
          <w:ilvl w:val="0"/>
          <w:numId w:val="36"/>
        </w:numPr>
        <w:rPr>
          <w:lang w:eastAsia="en-AU"/>
        </w:rPr>
      </w:pPr>
      <w:r>
        <w:rPr>
          <w:lang w:eastAsia="en-AU"/>
        </w:rPr>
        <w:t>weekly</w:t>
      </w:r>
    </w:p>
    <w:p w14:paraId="4140EB8F" w14:textId="77777777" w:rsidR="007B29DD" w:rsidRDefault="007B29DD" w:rsidP="007B29DD">
      <w:pPr>
        <w:pStyle w:val="BodyText"/>
        <w:numPr>
          <w:ilvl w:val="0"/>
          <w:numId w:val="36"/>
        </w:numPr>
        <w:rPr>
          <w:lang w:eastAsia="en-AU"/>
        </w:rPr>
      </w:pPr>
      <w:r>
        <w:rPr>
          <w:lang w:eastAsia="en-AU"/>
        </w:rPr>
        <w:t>daily</w:t>
      </w:r>
    </w:p>
    <w:p w14:paraId="7299ACDB" w14:textId="77777777" w:rsidR="007B29DD" w:rsidRDefault="007B29DD" w:rsidP="007B29DD">
      <w:pPr>
        <w:pStyle w:val="BodyText"/>
        <w:numPr>
          <w:ilvl w:val="0"/>
          <w:numId w:val="36"/>
        </w:numPr>
        <w:rPr>
          <w:lang w:eastAsia="en-AU"/>
        </w:rPr>
      </w:pPr>
      <w:r>
        <w:rPr>
          <w:lang w:eastAsia="en-AU"/>
        </w:rPr>
        <w:t>sub-daily (e.g. hourly, or even down to 5-minute resolution).</w:t>
      </w:r>
    </w:p>
    <w:p w14:paraId="0C893A95" w14:textId="77777777" w:rsidR="007B29DD" w:rsidRDefault="007B29DD" w:rsidP="007B29DD">
      <w:pPr>
        <w:pStyle w:val="BodyText"/>
        <w:rPr>
          <w:lang w:eastAsia="en-AU"/>
        </w:rPr>
      </w:pPr>
      <w:r>
        <w:rPr>
          <w:lang w:eastAsia="en-AU"/>
        </w:rPr>
        <w:t>The variables to be simulated and the time-step required for the model will vary, according to the:</w:t>
      </w:r>
    </w:p>
    <w:p w14:paraId="079924B3" w14:textId="77777777" w:rsidR="007B29DD" w:rsidRDefault="007B29DD" w:rsidP="007B29DD">
      <w:pPr>
        <w:pStyle w:val="BodyText"/>
        <w:numPr>
          <w:ilvl w:val="0"/>
          <w:numId w:val="37"/>
        </w:numPr>
        <w:rPr>
          <w:lang w:eastAsia="en-AU"/>
        </w:rPr>
      </w:pPr>
      <w:r>
        <w:rPr>
          <w:lang w:eastAsia="en-AU"/>
        </w:rPr>
        <w:t>underlying structure of the water resources model</w:t>
      </w:r>
    </w:p>
    <w:p w14:paraId="19218DD8" w14:textId="77777777" w:rsidR="007B29DD" w:rsidRDefault="007B29DD" w:rsidP="007B29DD">
      <w:pPr>
        <w:pStyle w:val="BodyText"/>
        <w:numPr>
          <w:ilvl w:val="0"/>
          <w:numId w:val="37"/>
        </w:numPr>
        <w:rPr>
          <w:lang w:eastAsia="en-AU"/>
        </w:rPr>
      </w:pPr>
      <w:r>
        <w:rPr>
          <w:lang w:eastAsia="en-AU"/>
        </w:rPr>
        <w:t>computing infrastructure required to run the model for many replicates</w:t>
      </w:r>
    </w:p>
    <w:p w14:paraId="374B4E64" w14:textId="77777777" w:rsidR="007B29DD" w:rsidRDefault="007B29DD" w:rsidP="007B29DD">
      <w:pPr>
        <w:pStyle w:val="BodyText"/>
        <w:numPr>
          <w:ilvl w:val="0"/>
          <w:numId w:val="37"/>
        </w:numPr>
        <w:rPr>
          <w:lang w:eastAsia="en-AU"/>
        </w:rPr>
      </w:pPr>
      <w:r>
        <w:rPr>
          <w:lang w:eastAsia="en-AU"/>
        </w:rPr>
        <w:t>metrics that are to be analysed from the model.</w:t>
      </w:r>
    </w:p>
    <w:p w14:paraId="5F0B31A3" w14:textId="77777777" w:rsidR="007B29DD" w:rsidRDefault="007B29DD" w:rsidP="007B29DD">
      <w:pPr>
        <w:pStyle w:val="BodyText"/>
        <w:rPr>
          <w:lang w:eastAsia="en-AU"/>
        </w:rPr>
      </w:pPr>
      <w:r>
        <w:rPr>
          <w:lang w:eastAsia="en-AU"/>
        </w:rPr>
        <w:t xml:space="preserve">Stochastic data </w:t>
      </w:r>
      <w:r w:rsidDel="00832ABC">
        <w:rPr>
          <w:lang w:eastAsia="en-AU"/>
        </w:rPr>
        <w:t>are</w:t>
      </w:r>
      <w:r>
        <w:rPr>
          <w:lang w:eastAsia="en-AU"/>
        </w:rPr>
        <w:t xml:space="preserve"> produced by a statistical model. This statistical model often has its own parameters, such as the mean and variance for each variable and the cross-correlations between the variables. These parameters can be calibrated, to improve the ability of the stochastic model to accurately reproduce the most important statistical properties of the underlying (normally historical) data. Calibration of the stochastic data model is an important step in the process. The calibration process should demonstrate that the statistics of the stochastic replicates are sufficiently close to the statistics in the underlying data sequence.</w:t>
      </w:r>
    </w:p>
    <w:p w14:paraId="4B7C15DA" w14:textId="77777777" w:rsidR="007B29DD" w:rsidRDefault="007B29DD" w:rsidP="007B29DD">
      <w:pPr>
        <w:pStyle w:val="BodyText"/>
        <w:rPr>
          <w:lang w:eastAsia="en-AU"/>
        </w:rPr>
      </w:pPr>
      <w:r>
        <w:rPr>
          <w:lang w:eastAsia="en-AU"/>
        </w:rPr>
        <w:t>Calibration should normally be tested by generating replicates that are the same length as the underlying (reference period) data series. For example, if the reference period rainfall sequence at a site is 47 years long, during calibration stochastic replicates should be generated that are also 47 years long. Once an acceptable model calibration has been demonstrated using replicates that are the same length as the reference period data, the calibrated statistical model may then be applied to generate any number of replicates, of any length that is required for simulation.</w:t>
      </w:r>
    </w:p>
    <w:p w14:paraId="725F2BA7" w14:textId="77777777" w:rsidR="007B29DD" w:rsidRDefault="007B29DD" w:rsidP="007B29DD">
      <w:pPr>
        <w:pStyle w:val="BodyText"/>
        <w:rPr>
          <w:lang w:eastAsia="en-AU"/>
        </w:rPr>
      </w:pPr>
      <w:r>
        <w:rPr>
          <w:lang w:eastAsia="en-AU"/>
        </w:rPr>
        <w:t>Some stochastic data simulation models can incorporate uncertainty in the model parameters into the data generation process. Allowing for parameter uncertainty will normally increase the variability between the stochastic data replicates that are produced. Consequently, allowing for parameter uncertainty has been demonstrated to increase the probability (and hence the risk) posed by extreme droughts in some systems (Thyer et al., 2006; Berghout et al., 2015).</w:t>
      </w:r>
    </w:p>
    <w:p w14:paraId="481A8F3E" w14:textId="77777777" w:rsidR="007B29DD" w:rsidRDefault="007B29DD" w:rsidP="007B29DD">
      <w:pPr>
        <w:pStyle w:val="BodyText"/>
        <w:rPr>
          <w:lang w:eastAsia="en-AU"/>
        </w:rPr>
      </w:pPr>
      <w:r>
        <w:rPr>
          <w:lang w:eastAsia="en-AU"/>
        </w:rPr>
        <w:t>Several (but not all) stochastic data generation models first produce stochastic data at annual or seasonal time-steps. These types of stochastic data generation models then have an approach to down-scale, or disaggregate, the annual/seasonal generated data to a finer time-step (monthly, weekly, daily or sub-daily). The practical advantage of this two-step approach is that the annual/seasonal totals are closer to normally distributed and therefore may be generated using a parametric model, which is better able to represent years/seasons that are outside of the range of the underlying (historical) data. A parametric approach may then be applied to the second step (disaggregation or downscaling) and still allow the multi-year dynamics of the system to be appropriately captured (Peel et al., 2011; Steinschneider and Brown, 2013; Kuczera, 2020).</w:t>
      </w:r>
    </w:p>
    <w:p w14:paraId="3DF614D1" w14:textId="77777777" w:rsidR="007B29DD" w:rsidRPr="00306AF1" w:rsidRDefault="007B29DD" w:rsidP="007B29DD">
      <w:pPr>
        <w:pStyle w:val="Heading4"/>
        <w:numPr>
          <w:ilvl w:val="3"/>
          <w:numId w:val="5"/>
        </w:numPr>
        <w:rPr>
          <w:color w:val="000000" w:themeColor="text1"/>
        </w:rPr>
      </w:pPr>
      <w:r w:rsidRPr="00306AF1">
        <w:rPr>
          <w:color w:val="000000" w:themeColor="text1"/>
        </w:rPr>
        <w:t>Selection of a stochastic data generation model</w:t>
      </w:r>
    </w:p>
    <w:p w14:paraId="248960DB" w14:textId="77777777" w:rsidR="007B29DD" w:rsidRDefault="007B29DD" w:rsidP="007B29DD">
      <w:pPr>
        <w:pStyle w:val="BodyText"/>
        <w:rPr>
          <w:lang w:eastAsia="en-AU"/>
        </w:rPr>
      </w:pPr>
      <w:r>
        <w:rPr>
          <w:lang w:eastAsia="en-AU"/>
        </w:rPr>
        <w:t xml:space="preserve">There are at least three tools that are readily available to Australian practitioners for generating stochastic climate data: SCL, foreSIGHT and MSSSCAR (in WATHNET5). Within each of these tools, there are several options that are available to generate stochastic data for a system. Further discussion of the details of the approaches are provided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.6</w:t>
      </w:r>
      <w:r w:rsidRPr="00367324">
        <w:rPr>
          <w:lang w:eastAsia="en-AU"/>
        </w:rPr>
        <w:t>.4</w:t>
      </w:r>
      <w:r w:rsidRPr="00DE1465">
        <w:rPr>
          <w:lang w:eastAsia="en-AU"/>
        </w:rPr>
        <w:t>.</w:t>
      </w:r>
    </w:p>
    <w:p w14:paraId="45557D9C" w14:textId="77777777" w:rsidR="007B29DD" w:rsidRDefault="007B29DD" w:rsidP="007B29DD">
      <w:pPr>
        <w:pStyle w:val="BodyText"/>
        <w:rPr>
          <w:lang w:eastAsia="en-AU"/>
        </w:rPr>
      </w:pPr>
      <w:r>
        <w:rPr>
          <w:lang w:eastAsia="en-AU"/>
        </w:rPr>
        <w:t>In selecting a stochastic data generation method, modellers should consider the following:</w:t>
      </w:r>
    </w:p>
    <w:p w14:paraId="7BC0B185" w14:textId="77777777" w:rsidR="007B29DD" w:rsidRDefault="007B29DD" w:rsidP="007B29DD">
      <w:pPr>
        <w:pStyle w:val="BodyText"/>
        <w:numPr>
          <w:ilvl w:val="0"/>
          <w:numId w:val="38"/>
        </w:numPr>
        <w:rPr>
          <w:lang w:eastAsia="en-AU"/>
        </w:rPr>
      </w:pPr>
      <w:r>
        <w:rPr>
          <w:lang w:eastAsia="en-AU"/>
        </w:rPr>
        <w:t>Variables (e.g. rainfall, streamflow, evaporation) that are required to run the water resources model.</w:t>
      </w:r>
    </w:p>
    <w:p w14:paraId="2A673214" w14:textId="77777777" w:rsidR="007B29DD" w:rsidRDefault="007B29DD" w:rsidP="007B29DD">
      <w:pPr>
        <w:pStyle w:val="BodyText"/>
        <w:numPr>
          <w:ilvl w:val="0"/>
          <w:numId w:val="38"/>
        </w:numPr>
        <w:rPr>
          <w:lang w:eastAsia="en-AU"/>
        </w:rPr>
      </w:pPr>
      <w:r>
        <w:rPr>
          <w:lang w:eastAsia="en-AU"/>
        </w:rPr>
        <w:t>Variables that might be required to generate inputs to the water resources model (e.g. temperature may be required to generate a time series of demand).</w:t>
      </w:r>
    </w:p>
    <w:p w14:paraId="53F8FF5B" w14:textId="77777777" w:rsidR="007B29DD" w:rsidRDefault="007B29DD" w:rsidP="007B29DD">
      <w:pPr>
        <w:pStyle w:val="BodyText"/>
        <w:numPr>
          <w:ilvl w:val="0"/>
          <w:numId w:val="38"/>
        </w:numPr>
        <w:rPr>
          <w:lang w:eastAsia="en-AU"/>
        </w:rPr>
      </w:pPr>
      <w:r>
        <w:rPr>
          <w:lang w:eastAsia="en-AU"/>
        </w:rPr>
        <w:t>Time-step of the water resources model.</w:t>
      </w:r>
    </w:p>
    <w:p w14:paraId="12693AF3" w14:textId="77777777" w:rsidR="007B29DD" w:rsidRDefault="007B29DD" w:rsidP="007B29DD">
      <w:pPr>
        <w:pStyle w:val="BodyText"/>
        <w:numPr>
          <w:ilvl w:val="0"/>
          <w:numId w:val="38"/>
        </w:numPr>
        <w:rPr>
          <w:lang w:eastAsia="en-AU"/>
        </w:rPr>
      </w:pPr>
      <w:r>
        <w:rPr>
          <w:lang w:eastAsia="en-AU"/>
        </w:rPr>
        <w:t>Time-step of models that might be required to generate inputs (e.g. rainfall runoff models may run on a daily time step, in order to generate a weekly or monthly flow series, as input to the water resources system model).</w:t>
      </w:r>
    </w:p>
    <w:p w14:paraId="6A073D8A" w14:textId="77777777" w:rsidR="007B29DD" w:rsidRDefault="007B29DD" w:rsidP="007B29DD">
      <w:pPr>
        <w:pStyle w:val="BodyText"/>
        <w:numPr>
          <w:ilvl w:val="0"/>
          <w:numId w:val="38"/>
        </w:numPr>
        <w:rPr>
          <w:lang w:eastAsia="en-AU"/>
        </w:rPr>
      </w:pPr>
      <w:r>
        <w:rPr>
          <w:lang w:eastAsia="en-AU"/>
        </w:rPr>
        <w:t>Overall number of sites and variables to be generated.</w:t>
      </w:r>
    </w:p>
    <w:p w14:paraId="32D0B8FE" w14:textId="77777777" w:rsidR="007B29DD" w:rsidRDefault="007B29DD" w:rsidP="007B29DD">
      <w:pPr>
        <w:pStyle w:val="BodyText"/>
        <w:numPr>
          <w:ilvl w:val="0"/>
          <w:numId w:val="38"/>
        </w:numPr>
        <w:rPr>
          <w:lang w:eastAsia="en-AU"/>
        </w:rPr>
      </w:pPr>
      <w:r>
        <w:rPr>
          <w:lang w:eastAsia="en-AU"/>
        </w:rPr>
        <w:t xml:space="preserve">Importance of seasonality, as a driver of the response of the system, and (if seasonality is important) how many seasons </w:t>
      </w:r>
      <w:r w:rsidDel="005821E5">
        <w:rPr>
          <w:lang w:eastAsia="en-AU"/>
        </w:rPr>
        <w:t xml:space="preserve">and </w:t>
      </w:r>
      <w:r>
        <w:rPr>
          <w:lang w:eastAsia="en-AU"/>
        </w:rPr>
        <w:t>the start and end months for the seasons.</w:t>
      </w:r>
    </w:p>
    <w:p w14:paraId="0C55A44B" w14:textId="77777777" w:rsidR="007B29DD" w:rsidRDefault="007B29DD" w:rsidP="007B29DD">
      <w:pPr>
        <w:pStyle w:val="BodyText"/>
        <w:numPr>
          <w:ilvl w:val="0"/>
          <w:numId w:val="38"/>
        </w:numPr>
        <w:rPr>
          <w:lang w:eastAsia="en-AU"/>
        </w:rPr>
      </w:pPr>
      <w:r>
        <w:rPr>
          <w:lang w:eastAsia="en-AU"/>
        </w:rPr>
        <w:lastRenderedPageBreak/>
        <w:t>Importance of long-term climate drivers on climate in the study area.</w:t>
      </w:r>
    </w:p>
    <w:p w14:paraId="4C8C97AE" w14:textId="77777777" w:rsidR="007B29DD" w:rsidRDefault="007B29DD" w:rsidP="007B29DD">
      <w:pPr>
        <w:pStyle w:val="BodyText"/>
        <w:rPr>
          <w:lang w:eastAsia="en-AU"/>
        </w:rPr>
      </w:pPr>
      <w:r>
        <w:rPr>
          <w:lang w:eastAsia="en-AU"/>
        </w:rPr>
        <w:t>Modellers should consider making simplifications to the structure of the water resources model, in order to reduce the effort that may otherwise be required to calibrate a stochastic data model and to generate the stochastic data. Stochastic data should always be calibrated to the underlying (historical) data. If stochastic data is required for a large number of sites and/or variables, there may be considerable effort required to demonstrate that the stochastic data generation model is well calibrated for all these sites and variables.</w:t>
      </w:r>
    </w:p>
    <w:p w14:paraId="48A3BE29" w14:textId="77777777" w:rsidR="007B29DD" w:rsidRDefault="007B29DD" w:rsidP="007B29DD">
      <w:pPr>
        <w:pStyle w:val="BodyText"/>
        <w:rPr>
          <w:lang w:eastAsia="en-AU"/>
        </w:rPr>
      </w:pPr>
      <w:r>
        <w:rPr>
          <w:lang w:eastAsia="en-AU"/>
        </w:rPr>
        <w:t>It may be helpful to simplify the underlying model structure, in order to facilitate stochastic simulations. For example, it may be desirable to increase the time-step of the underlying model (from say daily to monthly) or to reduce the spatial detail in the model, by lumping several catchments together or only representing the largest reservoirs in the system. A relevant recent example of this is the simulation of a simplified representation of the Melbourne water supply system (Henley et al., 2019), which generated inflows using a monthly time-step model and only modelled the four largest reservoirs in the Melbourne system. The Henley et al. (2019) model had considerably less spatial resolution than REALM or eWater Source models, which might normally be used for water resources planning, and which would typically run on a finer time-step (e.g. daily) and typically represent the smaller storages and management rules for many more stream reaches in the system.</w:t>
      </w:r>
    </w:p>
    <w:p w14:paraId="4CC2FD77" w14:textId="77777777" w:rsidR="007B29DD" w:rsidRDefault="007B29DD" w:rsidP="007B29DD">
      <w:pPr>
        <w:pStyle w:val="BodyText"/>
        <w:rPr>
          <w:lang w:eastAsia="en-AU"/>
        </w:rPr>
      </w:pPr>
      <w:r>
        <w:rPr>
          <w:lang w:eastAsia="en-AU"/>
        </w:rPr>
        <w:t>In some cases, the only means of testing the sensitivity of outcomes to the stochastic data generation approach may be to apply a few different approaches. To test the sensitivity of the yield of a water resources system to ENSO, it would probably be best to first generate the stochastic data with ENSO as the state driver and then run this through the system, before repeating the process again without using the state driver. Fu et al. (2018) found that applying four different weather generators for stochastic data generation allowed for a broader representation of the influence of climate variability and climate change on outcomes from water resources models.</w:t>
      </w:r>
    </w:p>
    <w:p w14:paraId="6F829E83" w14:textId="77777777" w:rsidR="007B29DD" w:rsidRPr="00FE34C4" w:rsidRDefault="007B29DD" w:rsidP="007B29DD">
      <w:pPr>
        <w:pStyle w:val="BodyText"/>
        <w:rPr>
          <w:lang w:eastAsia="en-AU"/>
        </w:rPr>
      </w:pPr>
      <w:r>
        <w:rPr>
          <w:lang w:eastAsia="en-AU"/>
        </w:rPr>
        <w:t>In summary, stochastic simulation in water resources models will often require trade-offs to be made in what spatial details or features are represented in the model and the model time-step. For example, it may be that explicit modelling of farm dam impacts or modelling environmental flow releases on a daily time-step are traded-off against a model that is better able to capture the probability of extreme multi-year drought events that cause severe restrictions. The modelling team should use their experience, in modelling the system with historical data series, to make informed choices about simplifications that are likely to deliver the most value from stochastically generated data. Improved understanding of probabilities and risks for extreme events may come at the expense of loss of some detail in modelling finer scale spatial and temporal features.</w:t>
      </w:r>
    </w:p>
    <w:p w14:paraId="0107F118"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419" w:name="_Toc38957435"/>
      <w:bookmarkStart w:id="420" w:name="_Toc43476479"/>
      <w:bookmarkStart w:id="421" w:name="_Toc44928724"/>
      <w:bookmarkStart w:id="422" w:name="_Toc51657996"/>
      <w:bookmarkStart w:id="423" w:name="_Toc53585901"/>
      <w:bookmarkStart w:id="424" w:name="_Toc57377152"/>
      <w:r w:rsidRPr="00306AF1">
        <w:rPr>
          <w:b/>
          <w:bCs/>
          <w:color w:val="000000" w:themeColor="text1"/>
        </w:rPr>
        <w:t>Select your Representative Concentration Pathway scenarios</w:t>
      </w:r>
      <w:bookmarkEnd w:id="419"/>
      <w:bookmarkEnd w:id="420"/>
      <w:bookmarkEnd w:id="421"/>
      <w:bookmarkEnd w:id="422"/>
      <w:bookmarkEnd w:id="423"/>
      <w:bookmarkEnd w:id="424"/>
    </w:p>
    <w:p w14:paraId="28B8CF9B" w14:textId="77777777" w:rsidR="007B29DD" w:rsidRDefault="007B29DD" w:rsidP="007B29DD">
      <w:pPr>
        <w:pStyle w:val="BodyText"/>
        <w:rPr>
          <w:lang w:eastAsia="en-AU"/>
        </w:rPr>
      </w:pPr>
      <w:r>
        <w:rPr>
          <w:lang w:eastAsia="en-AU"/>
        </w:rPr>
        <w:t>As discussed previously in Section </w:t>
      </w:r>
      <w:r>
        <w:rPr>
          <w:lang w:eastAsia="en-AU"/>
        </w:rPr>
        <w:fldChar w:fldCharType="begin"/>
      </w:r>
      <w:r>
        <w:rPr>
          <w:lang w:eastAsia="en-AU"/>
        </w:rPr>
        <w:instrText xml:space="preserve"> REF _Ref39500330 \r \h </w:instrText>
      </w:r>
      <w:r>
        <w:rPr>
          <w:lang w:eastAsia="en-AU"/>
        </w:rPr>
      </w:r>
      <w:r>
        <w:rPr>
          <w:lang w:eastAsia="en-AU"/>
        </w:rPr>
        <w:fldChar w:fldCharType="separate"/>
      </w:r>
      <w:r>
        <w:rPr>
          <w:lang w:eastAsia="en-AU"/>
        </w:rPr>
        <w:t>4.3</w:t>
      </w:r>
      <w:r>
        <w:rPr>
          <w:lang w:eastAsia="en-AU"/>
        </w:rPr>
        <w:fldChar w:fldCharType="end"/>
      </w:r>
      <w:r>
        <w:rPr>
          <w:lang w:eastAsia="en-AU"/>
        </w:rPr>
        <w:t>, Representative Concentration Pathway (RCP) scenarios</w:t>
      </w:r>
      <w:r w:rsidRPr="000B6422">
        <w:rPr>
          <w:lang w:eastAsia="en-AU"/>
        </w:rPr>
        <w:t xml:space="preserve"> </w:t>
      </w:r>
      <w:r>
        <w:rPr>
          <w:lang w:eastAsia="en-AU"/>
        </w:rPr>
        <w:t>incorporate different assumptions of greenhouse gas and aerosol emissions and concentrations over time, as well as land use/land cover changes. Climate and runoff projections for two RCPs</w:t>
      </w:r>
      <w:r w:rsidRPr="00EF79BF">
        <w:rPr>
          <w:lang w:eastAsia="en-AU"/>
        </w:rPr>
        <w:t xml:space="preserve"> </w:t>
      </w:r>
      <w:r>
        <w:rPr>
          <w:lang w:eastAsia="en-AU"/>
        </w:rPr>
        <w:t>are provided in these guidelines.</w:t>
      </w:r>
    </w:p>
    <w:p w14:paraId="55013564" w14:textId="77777777" w:rsidR="007B29DD" w:rsidRPr="00306AF1" w:rsidRDefault="007B29DD" w:rsidP="007B29DD">
      <w:pPr>
        <w:pStyle w:val="Heading4"/>
        <w:numPr>
          <w:ilvl w:val="3"/>
          <w:numId w:val="5"/>
        </w:numPr>
        <w:rPr>
          <w:color w:val="000000" w:themeColor="text1"/>
        </w:rPr>
      </w:pPr>
      <w:r w:rsidRPr="00306AF1">
        <w:rPr>
          <w:color w:val="000000" w:themeColor="text1"/>
        </w:rPr>
        <w:t>RCP8.5 for water supply planning applications</w:t>
      </w:r>
    </w:p>
    <w:p w14:paraId="2A6A18A1" w14:textId="77777777" w:rsidR="007B29DD" w:rsidRDefault="007B29DD" w:rsidP="007B29DD">
      <w:pPr>
        <w:pStyle w:val="BodyText"/>
        <w:rPr>
          <w:lang w:eastAsia="en-AU"/>
        </w:rPr>
      </w:pPr>
      <w:r>
        <w:rPr>
          <w:lang w:eastAsia="en-AU"/>
        </w:rPr>
        <w:t>The RCP8.5 scenario is a high emissions scenario that is recommended for water supply planning applications in Victoria.</w:t>
      </w:r>
      <w:r w:rsidRPr="00C2464C">
        <w:t xml:space="preserve"> </w:t>
      </w:r>
      <w:r w:rsidRPr="00C2464C">
        <w:rPr>
          <w:lang w:eastAsia="en-AU"/>
        </w:rPr>
        <w:t>The RCP8.5 scenario spans a wide range of plausible futures</w:t>
      </w:r>
      <w:r>
        <w:rPr>
          <w:lang w:eastAsia="en-AU"/>
        </w:rPr>
        <w:t xml:space="preserve"> and </w:t>
      </w:r>
      <w:r w:rsidRPr="00C2464C">
        <w:rPr>
          <w:lang w:eastAsia="en-AU"/>
        </w:rPr>
        <w:t xml:space="preserve">is consistent with a precautionary approach for water supply impact assessment, which is </w:t>
      </w:r>
      <w:r>
        <w:rPr>
          <w:lang w:eastAsia="en-AU"/>
        </w:rPr>
        <w:t>appropriate</w:t>
      </w:r>
      <w:r w:rsidRPr="00C2464C">
        <w:rPr>
          <w:lang w:eastAsia="en-AU"/>
        </w:rPr>
        <w:t xml:space="preserve"> in the context of GCM uncertainty</w:t>
      </w:r>
      <w:r>
        <w:rPr>
          <w:lang w:eastAsia="en-AU"/>
        </w:rPr>
        <w:t xml:space="preserve"> and uncertainty around future greenhouse gas emissions and concentrations.</w:t>
      </w:r>
    </w:p>
    <w:p w14:paraId="433FABCF" w14:textId="77777777" w:rsidR="007B29DD" w:rsidRPr="00306AF1" w:rsidRDefault="007B29DD" w:rsidP="007B29DD">
      <w:pPr>
        <w:pStyle w:val="Heading4"/>
        <w:numPr>
          <w:ilvl w:val="3"/>
          <w:numId w:val="5"/>
        </w:numPr>
        <w:rPr>
          <w:color w:val="000000" w:themeColor="text1"/>
        </w:rPr>
      </w:pPr>
      <w:r w:rsidRPr="00306AF1">
        <w:rPr>
          <w:color w:val="000000" w:themeColor="text1"/>
        </w:rPr>
        <w:t>RCP4.5 for optional sensitivity testing</w:t>
      </w:r>
    </w:p>
    <w:p w14:paraId="7CAEFD6F" w14:textId="77777777" w:rsidR="007B29DD" w:rsidRDefault="007B29DD" w:rsidP="007B29DD">
      <w:pPr>
        <w:pStyle w:val="BodyText"/>
        <w:rPr>
          <w:lang w:eastAsia="en-AU"/>
        </w:rPr>
      </w:pPr>
      <w:r>
        <w:rPr>
          <w:lang w:eastAsia="en-AU"/>
        </w:rPr>
        <w:t>In addition to the RCP8.5 scenario, projections for the RCP4.5 scenario are also provided in the guidelines for optional sensitivity testing. The RCP4.5 scenario assumes</w:t>
      </w:r>
      <w:r w:rsidDel="000042DD">
        <w:rPr>
          <w:lang w:eastAsia="en-AU"/>
        </w:rPr>
        <w:t xml:space="preserve"> </w:t>
      </w:r>
      <w:r>
        <w:rPr>
          <w:lang w:eastAsia="en-AU"/>
        </w:rPr>
        <w:t>lower rates of greenhouse gas emissions and concentrations over time. The global temperature response from the RCP4.5 scenario over the ~50 year planning horizon of the guidelines is broadly reflective of the response that could be expected under both current and pledged greenhouse gas emission policies from the world’s governments (Hausfather and Peters, 2020). It is a higher RCP scenario than that which would eventuate if the Paris Agreement targets were to be reached. As discussed in Section </w:t>
      </w:r>
      <w:r>
        <w:rPr>
          <w:lang w:eastAsia="en-AU"/>
        </w:rPr>
        <w:fldChar w:fldCharType="begin"/>
      </w:r>
      <w:r>
        <w:rPr>
          <w:lang w:eastAsia="en-AU"/>
        </w:rPr>
        <w:instrText xml:space="preserve"> REF _Ref39500330 \r \h </w:instrText>
      </w:r>
      <w:r>
        <w:rPr>
          <w:lang w:eastAsia="en-AU"/>
        </w:rPr>
      </w:r>
      <w:r>
        <w:rPr>
          <w:lang w:eastAsia="en-AU"/>
        </w:rPr>
        <w:fldChar w:fldCharType="separate"/>
      </w:r>
      <w:r>
        <w:rPr>
          <w:lang w:eastAsia="en-AU"/>
        </w:rPr>
        <w:t>4.3</w:t>
      </w:r>
      <w:r>
        <w:rPr>
          <w:lang w:eastAsia="en-AU"/>
        </w:rPr>
        <w:fldChar w:fldCharType="end"/>
      </w:r>
      <w:r>
        <w:rPr>
          <w:lang w:eastAsia="en-AU"/>
        </w:rPr>
        <w:t>, current greenhouse gas reduction commitments by the world’s governments are insufficient to meet the objectives of the UNFCCC Paris Agreement (</w:t>
      </w:r>
      <w:r w:rsidRPr="003251A5">
        <w:t>Christensen and Olhoff</w:t>
      </w:r>
      <w:r>
        <w:t xml:space="preserve">, </w:t>
      </w:r>
      <w:r w:rsidRPr="003251A5">
        <w:t>2019)</w:t>
      </w:r>
      <w:r>
        <w:t>; moreover, many nations are not on track to meet the commitments that they have made (den Elzen et al, 2019).</w:t>
      </w:r>
    </w:p>
    <w:p w14:paraId="603D9856" w14:textId="77777777" w:rsidR="007B29DD" w:rsidRDefault="007B29DD" w:rsidP="007B29DD">
      <w:pPr>
        <w:pStyle w:val="BodyText"/>
        <w:rPr>
          <w:lang w:eastAsia="en-AU"/>
        </w:rPr>
      </w:pPr>
      <w:r>
        <w:rPr>
          <w:lang w:eastAsia="en-AU"/>
        </w:rPr>
        <w:t xml:space="preserve">After assessing the impacts of the RCP8.5 scenario, the role of the RCP4.5 scenario would be to test the robustness of water supply planning decisions under a lower emissions trajectory. </w:t>
      </w:r>
      <w:r w:rsidRPr="00F67DCE">
        <w:rPr>
          <w:b/>
          <w:bCs/>
          <w:lang w:eastAsia="en-AU"/>
        </w:rPr>
        <w:t>Th</w:t>
      </w:r>
      <w:r>
        <w:rPr>
          <w:b/>
          <w:bCs/>
          <w:lang w:eastAsia="en-AU"/>
        </w:rPr>
        <w:t xml:space="preserve">e RCP4.5 </w:t>
      </w:r>
      <w:r w:rsidRPr="00F67DCE">
        <w:rPr>
          <w:b/>
          <w:bCs/>
          <w:lang w:eastAsia="en-AU"/>
        </w:rPr>
        <w:t>scenario could, for example, help to inform decisions around the potential benefits of staging water supply infrastructure investment amidst future emissions uncertainty.</w:t>
      </w:r>
    </w:p>
    <w:p w14:paraId="360A15C0" w14:textId="77777777" w:rsidR="007B29DD" w:rsidRDefault="007B29DD" w:rsidP="007B29DD">
      <w:pPr>
        <w:pStyle w:val="BodyText"/>
        <w:rPr>
          <w:lang w:eastAsia="en-AU"/>
        </w:rPr>
      </w:pPr>
      <w:r>
        <w:lastRenderedPageBreak/>
        <w:t>Due to the lower radiative forcing of the RCP4.5 scenario, we would expect that the RCP4.5 scenario would result in weaker projected future changes compared to the RCP8.5 scenario.</w:t>
      </w:r>
      <w:r w:rsidDel="00857B24">
        <w:rPr>
          <w:lang w:eastAsia="en-AU"/>
        </w:rPr>
        <w:t xml:space="preserve"> </w:t>
      </w:r>
      <w:r>
        <w:rPr>
          <w:lang w:eastAsia="en-AU"/>
        </w:rPr>
        <w:t>However, this is not always the case for the year 2040 projections. In some river basins, the high (</w:t>
      </w:r>
      <w:r w:rsidRPr="005E0E0D">
        <w:rPr>
          <w:lang w:eastAsia="en-AU"/>
        </w:rPr>
        <w:t>90th</w:t>
      </w:r>
      <w:r>
        <w:rPr>
          <w:lang w:eastAsia="en-AU"/>
        </w:rPr>
        <w:t xml:space="preserve"> percentile) climate change projections for rainfall for the year 2040 under RCP4.5 are greater than under RCP8.5. This reinforces the fact that the projections under these two RCP scenarios are not materially different up to the year 2040 in the context of GCM uncertainty. This has also been observed in the analysis of GCM outputs in other parts of the world (e.g. Betts et al., 2013; Kalmarkar and Bradley, 2017). The difference in climate response to the two RCP scenarios is generally small in the year 2040 and greater in the year 2065.</w:t>
      </w:r>
    </w:p>
    <w:p w14:paraId="3BF13FEA" w14:textId="77777777" w:rsidR="007B29DD" w:rsidRPr="00306AF1" w:rsidRDefault="007B29DD" w:rsidP="007B29DD">
      <w:pPr>
        <w:pStyle w:val="Heading4"/>
        <w:numPr>
          <w:ilvl w:val="3"/>
          <w:numId w:val="5"/>
        </w:numPr>
        <w:rPr>
          <w:color w:val="000000" w:themeColor="text1"/>
        </w:rPr>
      </w:pPr>
      <w:r w:rsidRPr="00306AF1">
        <w:rPr>
          <w:color w:val="000000" w:themeColor="text1"/>
        </w:rPr>
        <w:t>Other approaches</w:t>
      </w:r>
    </w:p>
    <w:p w14:paraId="312DD3B1" w14:textId="77777777" w:rsidR="007B29DD" w:rsidRDefault="007B29DD" w:rsidP="007B29DD">
      <w:pPr>
        <w:pStyle w:val="BodyText"/>
      </w:pPr>
      <w:r>
        <w:t>Although the RCP8.5 scenario is recommended by these guidelines, with the option to undertake sensitivity testing with the RCP4.5 scenario, the intent of these guidelines is not to limit the emissions scenarios used in water supply planning in Victoria. Additional emissions scenarios can be adopted for further sensitivity testing or for specific applications as required. For example, RCP scenarios representing lower emissions trajectories could be used to explore the implications of a future where more aggressive emissions reductions are pursued by the world’s governments.</w:t>
      </w:r>
    </w:p>
    <w:p w14:paraId="461F056B" w14:textId="77777777" w:rsidR="007B29DD" w:rsidRDefault="007B29DD" w:rsidP="007B29DD">
      <w:pPr>
        <w:pStyle w:val="BodyText"/>
        <w:rPr>
          <w:lang w:eastAsia="en-AU"/>
        </w:rPr>
      </w:pPr>
      <w:r>
        <w:rPr>
          <w:lang w:eastAsia="en-AU"/>
        </w:rPr>
        <w:t>The next assessment report by the IPCC will be delivered from around mid-2021 to mid-2022 and will consider updates of these RCP scenarios, as well as a broader range of emissions scenarios that are more closely tied to specific socio-economic outcomes (Shared Socio-Economic Pathways) and greenhouse gas emissions policy settings. The guideline recommendation to adopt RCP8.5, with the option of testing the robustness of planning decisions with RCP4.5, should therefore be regarded as an interim recommendation that is likely to be updated after 2022.</w:t>
      </w:r>
    </w:p>
    <w:p w14:paraId="2F1FA4BA"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392D4AA4" w14:textId="77777777" w:rsidTr="00306AF1">
        <w:tc>
          <w:tcPr>
            <w:tcW w:w="9639" w:type="dxa"/>
            <w:hideMark/>
          </w:tcPr>
          <w:p w14:paraId="6BFF38A7" w14:textId="77777777" w:rsidR="007B29DD" w:rsidRDefault="007B29DD" w:rsidP="00306AF1">
            <w:pPr>
              <w:pStyle w:val="HighlightBoxText"/>
              <w:jc w:val="both"/>
            </w:pPr>
            <w:r w:rsidRPr="002F3BA7">
              <w:rPr>
                <w:color w:val="000000" w:themeColor="text1"/>
              </w:rPr>
              <w:t xml:space="preserve">The RCP8.5 scenario must be adopted as a suitably precautionary emissions scenario for water supply planning. In addition, the RCP4.5 scenario can be adopted to test the robustness of planning decisions under a lower emissions trajectory. For near-term decision risks, the potential role of the RCP4.5 scenario is further explored in Section </w:t>
            </w:r>
            <w:r w:rsidRPr="002F3BA7">
              <w:rPr>
                <w:color w:val="000000" w:themeColor="text1"/>
              </w:rPr>
              <w:fldChar w:fldCharType="begin"/>
            </w:r>
            <w:r w:rsidRPr="002F3BA7">
              <w:rPr>
                <w:color w:val="000000" w:themeColor="text1"/>
              </w:rPr>
              <w:instrText xml:space="preserve"> REF _Ref39934944 \r \h </w:instrText>
            </w:r>
            <w:r w:rsidRPr="002F3BA7">
              <w:rPr>
                <w:color w:val="000000" w:themeColor="text1"/>
              </w:rPr>
            </w:r>
            <w:r w:rsidRPr="002F3BA7">
              <w:rPr>
                <w:color w:val="000000" w:themeColor="text1"/>
              </w:rPr>
              <w:fldChar w:fldCharType="separate"/>
            </w:r>
            <w:r w:rsidRPr="002F3BA7">
              <w:rPr>
                <w:color w:val="000000" w:themeColor="text1"/>
              </w:rPr>
              <w:t>6</w:t>
            </w:r>
            <w:r w:rsidRPr="002F3BA7">
              <w:rPr>
                <w:color w:val="000000" w:themeColor="text1"/>
              </w:rPr>
              <w:fldChar w:fldCharType="end"/>
            </w:r>
            <w:r w:rsidRPr="002F3BA7">
              <w:rPr>
                <w:color w:val="000000" w:themeColor="text1"/>
              </w:rPr>
              <w:t>, alongside the consideration of other uncertainties.</w:t>
            </w:r>
          </w:p>
        </w:tc>
      </w:tr>
    </w:tbl>
    <w:p w14:paraId="199545AE" w14:textId="77777777" w:rsidR="007B29DD" w:rsidRDefault="007B29DD" w:rsidP="007B29DD">
      <w:pPr>
        <w:pStyle w:val="BodyText"/>
        <w:rPr>
          <w:lang w:eastAsia="en-AU"/>
        </w:rPr>
      </w:pPr>
    </w:p>
    <w:p w14:paraId="0E9EDE5C" w14:textId="77777777" w:rsidR="007B29DD" w:rsidRPr="00306AF1" w:rsidRDefault="007B29DD" w:rsidP="007B29DD">
      <w:pPr>
        <w:pStyle w:val="Heading2"/>
        <w:numPr>
          <w:ilvl w:val="1"/>
          <w:numId w:val="5"/>
        </w:numPr>
        <w:tabs>
          <w:tab w:val="left" w:pos="1418"/>
          <w:tab w:val="left" w:pos="1701"/>
          <w:tab w:val="left" w:pos="1985"/>
        </w:tabs>
        <w:spacing w:before="240" w:after="100" w:line="280" w:lineRule="exact"/>
        <w:rPr>
          <w:b/>
          <w:bCs/>
          <w:color w:val="000000" w:themeColor="text1"/>
        </w:rPr>
      </w:pPr>
      <w:bookmarkStart w:id="425" w:name="_Ref49785382"/>
      <w:bookmarkStart w:id="426" w:name="_Toc51657997"/>
      <w:bookmarkStart w:id="427" w:name="_Toc53585902"/>
      <w:bookmarkStart w:id="428" w:name="_Toc57377153"/>
      <w:r w:rsidRPr="00306AF1">
        <w:rPr>
          <w:b/>
          <w:bCs/>
          <w:color w:val="000000" w:themeColor="text1"/>
        </w:rPr>
        <w:t>Develop your climate change scenarios</w:t>
      </w:r>
      <w:bookmarkEnd w:id="425"/>
      <w:bookmarkEnd w:id="426"/>
      <w:bookmarkEnd w:id="427"/>
      <w:bookmarkEnd w:id="428"/>
    </w:p>
    <w:p w14:paraId="7FC52119" w14:textId="77777777" w:rsidR="007B29DD" w:rsidRPr="00306AF1" w:rsidRDefault="007B29DD" w:rsidP="007B29DD">
      <w:pPr>
        <w:pStyle w:val="Heading3"/>
        <w:numPr>
          <w:ilvl w:val="2"/>
          <w:numId w:val="5"/>
        </w:numPr>
        <w:tabs>
          <w:tab w:val="left" w:pos="1418"/>
          <w:tab w:val="left" w:pos="1701"/>
          <w:tab w:val="left" w:pos="1985"/>
        </w:tabs>
        <w:spacing w:before="200" w:after="100" w:line="240" w:lineRule="exact"/>
        <w:rPr>
          <w:b/>
          <w:bCs/>
          <w:color w:val="000000" w:themeColor="text1"/>
        </w:rPr>
      </w:pPr>
      <w:bookmarkStart w:id="429" w:name="_Toc51657998"/>
      <w:bookmarkStart w:id="430" w:name="_Toc53585903"/>
      <w:bookmarkStart w:id="431" w:name="_Toc57377154"/>
      <w:r w:rsidRPr="00306AF1">
        <w:rPr>
          <w:b/>
          <w:bCs/>
          <w:color w:val="000000" w:themeColor="text1"/>
        </w:rPr>
        <w:t>Introduction</w:t>
      </w:r>
      <w:bookmarkEnd w:id="429"/>
      <w:bookmarkEnd w:id="430"/>
      <w:bookmarkEnd w:id="431"/>
    </w:p>
    <w:p w14:paraId="4893A655" w14:textId="77777777" w:rsidR="007B29DD" w:rsidRDefault="007B29DD" w:rsidP="007B29DD">
      <w:pPr>
        <w:pStyle w:val="BodyText"/>
        <w:spacing w:before="0"/>
        <w:rPr>
          <w:lang w:eastAsia="en-AU"/>
        </w:rPr>
      </w:pPr>
      <w:r>
        <w:rPr>
          <w:lang w:eastAsia="en-AU"/>
        </w:rPr>
        <w:t xml:space="preserve">These guidelines recommend the use </w:t>
      </w:r>
      <w:r w:rsidRPr="004031AC">
        <w:rPr>
          <w:lang w:eastAsia="en-AU"/>
        </w:rPr>
        <w:t xml:space="preserve">of </w:t>
      </w:r>
      <w:r>
        <w:rPr>
          <w:lang w:eastAsia="en-AU"/>
        </w:rPr>
        <w:t xml:space="preserve">the following </w:t>
      </w:r>
      <w:r w:rsidRPr="004031AC">
        <w:rPr>
          <w:lang w:eastAsia="en-AU"/>
        </w:rPr>
        <w:t>four climate change scenarios to represent</w:t>
      </w:r>
      <w:r>
        <w:rPr>
          <w:lang w:eastAsia="en-AU"/>
        </w:rPr>
        <w:t xml:space="preserve"> river or supply system behaviour under plausible future conditions:</w:t>
      </w:r>
    </w:p>
    <w:p w14:paraId="6360D43B" w14:textId="77777777" w:rsidR="007B29DD" w:rsidRDefault="007B29DD" w:rsidP="007B29DD">
      <w:pPr>
        <w:pStyle w:val="BodyText"/>
        <w:numPr>
          <w:ilvl w:val="0"/>
          <w:numId w:val="21"/>
        </w:numPr>
        <w:spacing w:before="0"/>
        <w:rPr>
          <w:lang w:eastAsia="en-AU"/>
        </w:rPr>
      </w:pPr>
      <w:r>
        <w:rPr>
          <w:lang w:eastAsia="en-AU"/>
        </w:rPr>
        <w:t xml:space="preserve">Low, medium and high climate change scenarios, which are projected from the </w:t>
      </w:r>
      <w:r w:rsidRPr="4C198B8C">
        <w:rPr>
          <w:lang w:eastAsia="en-AU"/>
        </w:rPr>
        <w:t xml:space="preserve">post-1975 historic climate </w:t>
      </w:r>
      <w:r>
        <w:rPr>
          <w:lang w:eastAsia="en-AU"/>
        </w:rPr>
        <w:t xml:space="preserve">reference period (with projected changes commencing from 1995). These </w:t>
      </w:r>
      <w:r w:rsidRPr="00422DA8">
        <w:rPr>
          <w:lang w:eastAsia="en-AU"/>
        </w:rPr>
        <w:t>scenarios make use of climate change projections derived from GCMs.</w:t>
      </w:r>
    </w:p>
    <w:p w14:paraId="14BAD4F8" w14:textId="77777777" w:rsidR="007B29DD" w:rsidRDefault="007B29DD" w:rsidP="007B29DD">
      <w:pPr>
        <w:pStyle w:val="BodyText"/>
        <w:numPr>
          <w:ilvl w:val="0"/>
          <w:numId w:val="21"/>
        </w:numPr>
        <w:spacing w:before="0"/>
        <w:rPr>
          <w:lang w:eastAsia="en-AU"/>
        </w:rPr>
      </w:pPr>
      <w:r>
        <w:rPr>
          <w:lang w:eastAsia="en-AU"/>
        </w:rPr>
        <w:t xml:space="preserve">Post-1997 step climate change scenario, which is projected as a continuation of the </w:t>
      </w:r>
      <w:r w:rsidRPr="4C198B8C">
        <w:rPr>
          <w:lang w:eastAsia="en-AU"/>
        </w:rPr>
        <w:t xml:space="preserve">post-1997 historic climate </w:t>
      </w:r>
      <w:r>
        <w:rPr>
          <w:lang w:eastAsia="en-AU"/>
        </w:rPr>
        <w:t>reference period</w:t>
      </w:r>
      <w:r w:rsidRPr="4C198B8C">
        <w:rPr>
          <w:lang w:eastAsia="en-AU"/>
        </w:rPr>
        <w:t>.</w:t>
      </w:r>
      <w:r>
        <w:rPr>
          <w:lang w:eastAsia="en-AU"/>
        </w:rPr>
        <w:t xml:space="preserve"> This</w:t>
      </w:r>
      <w:r w:rsidRPr="000E56C4">
        <w:rPr>
          <w:lang w:eastAsia="en-AU"/>
        </w:rPr>
        <w:t xml:space="preserve"> scenario is derived independent of global climate modelling. It assumes a continuation of climate and runoff experienced from July 1997 to date.</w:t>
      </w:r>
    </w:p>
    <w:p w14:paraId="5E88F965" w14:textId="77777777" w:rsidR="007B29DD" w:rsidRDefault="007B29DD" w:rsidP="007B29DD">
      <w:pPr>
        <w:pStyle w:val="BodyText"/>
        <w:spacing w:before="0"/>
        <w:rPr>
          <w:lang w:eastAsia="en-AU"/>
        </w:rPr>
      </w:pPr>
      <w:r>
        <w:rPr>
          <w:lang w:eastAsia="en-AU"/>
        </w:rPr>
        <w:t>These guidelines assume that all scenarios are equally plausible. No scenario is recommended in preference to another.</w:t>
      </w:r>
    </w:p>
    <w:p w14:paraId="47D48696" w14:textId="77777777" w:rsidR="007B29DD" w:rsidRPr="00306AF1" w:rsidRDefault="007B29DD" w:rsidP="007B29DD">
      <w:pPr>
        <w:pStyle w:val="Heading3"/>
        <w:numPr>
          <w:ilvl w:val="2"/>
          <w:numId w:val="5"/>
        </w:numPr>
        <w:tabs>
          <w:tab w:val="left" w:pos="1418"/>
          <w:tab w:val="left" w:pos="1701"/>
          <w:tab w:val="left" w:pos="1985"/>
        </w:tabs>
        <w:spacing w:before="200" w:after="100" w:line="240" w:lineRule="exact"/>
        <w:rPr>
          <w:b/>
          <w:bCs/>
          <w:color w:val="000000" w:themeColor="text1"/>
        </w:rPr>
      </w:pPr>
      <w:bookmarkStart w:id="432" w:name="_Toc38957436"/>
      <w:bookmarkStart w:id="433" w:name="_Toc43476480"/>
      <w:bookmarkStart w:id="434" w:name="_Toc44928725"/>
      <w:bookmarkStart w:id="435" w:name="_Ref51167111"/>
      <w:bookmarkStart w:id="436" w:name="_Ref51176665"/>
      <w:bookmarkStart w:id="437" w:name="_Ref51234357"/>
      <w:bookmarkStart w:id="438" w:name="_Toc51657999"/>
      <w:bookmarkStart w:id="439" w:name="_Toc53585904"/>
      <w:bookmarkStart w:id="440" w:name="_Toc57377155"/>
      <w:r w:rsidRPr="00306AF1">
        <w:rPr>
          <w:b/>
          <w:bCs/>
          <w:color w:val="000000" w:themeColor="text1"/>
        </w:rPr>
        <w:t>Representing global climate model uncertainty</w:t>
      </w:r>
      <w:bookmarkEnd w:id="432"/>
      <w:bookmarkEnd w:id="433"/>
      <w:bookmarkEnd w:id="434"/>
      <w:bookmarkEnd w:id="435"/>
      <w:bookmarkEnd w:id="436"/>
      <w:bookmarkEnd w:id="437"/>
      <w:bookmarkEnd w:id="438"/>
      <w:bookmarkEnd w:id="439"/>
      <w:bookmarkEnd w:id="440"/>
    </w:p>
    <w:p w14:paraId="3F3BFBBD" w14:textId="77777777" w:rsidR="007B29DD" w:rsidRDefault="007B29DD" w:rsidP="007B29DD">
      <w:pPr>
        <w:pStyle w:val="BodyText"/>
        <w:rPr>
          <w:lang w:eastAsia="en-AU"/>
        </w:rPr>
      </w:pPr>
      <w:r>
        <w:rPr>
          <w:lang w:eastAsia="en-AU"/>
        </w:rPr>
        <w:t>There are 42 GCMs that were used to produce the low, medium and high climate change projections under the RCP8.5 emissions scenario, and a slightly lower number of models for the RCP4.5 emissions scenario. Each of these models assume different ways of representing the complex physics of global atmospheric circulation and are generally all considered equally plausible. At a regional scale, a minority of models have been assessed as less plausible (e.g. Grose et al., 2017; CSIRO and Bureau of Meteorology, 2015). However, when the criteria by which to assess this plausibility are altered, different models can be included or excluded for different reasons, which makes it difficult to definitively exclude any models at the current time.</w:t>
      </w:r>
    </w:p>
    <w:p w14:paraId="7B3553EE" w14:textId="77777777" w:rsidR="007B29DD" w:rsidRDefault="007B29DD" w:rsidP="007B29DD">
      <w:pPr>
        <w:pStyle w:val="BodyText"/>
        <w:rPr>
          <w:lang w:eastAsia="en-AU"/>
        </w:rPr>
      </w:pPr>
      <w:r>
        <w:rPr>
          <w:lang w:eastAsia="en-AU"/>
        </w:rPr>
        <w:lastRenderedPageBreak/>
        <w:t>The approach adopted by CSIRO for the guidelines (Potter et al., 2016) adopts the 10</w:t>
      </w:r>
      <w:r w:rsidRPr="003178A9">
        <w:rPr>
          <w:lang w:eastAsia="en-AU"/>
        </w:rPr>
        <w:t>th</w:t>
      </w:r>
      <w:r>
        <w:rPr>
          <w:lang w:eastAsia="en-AU"/>
        </w:rPr>
        <w:t>, 50</w:t>
      </w:r>
      <w:r w:rsidRPr="003178A9">
        <w:rPr>
          <w:lang w:eastAsia="en-AU"/>
        </w:rPr>
        <w:t>th</w:t>
      </w:r>
      <w:r>
        <w:rPr>
          <w:lang w:eastAsia="en-AU"/>
        </w:rPr>
        <w:t xml:space="preserve"> and 90</w:t>
      </w:r>
      <w:r w:rsidRPr="003178A9">
        <w:rPr>
          <w:lang w:eastAsia="en-AU"/>
        </w:rPr>
        <w:t>th</w:t>
      </w:r>
      <w:r>
        <w:rPr>
          <w:lang w:eastAsia="en-AU"/>
        </w:rPr>
        <w:t xml:space="preserve"> percentile model outputs as being representative of the range of climate change that could be expected. This provides a wide spread of model results but excludes outlying model results from the wettest (or coolest) and driest (or hottest) 10% of projections.</w:t>
      </w:r>
    </w:p>
    <w:p w14:paraId="47E1BC3C"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0B1B407F" w14:textId="77777777" w:rsidTr="00306AF1">
        <w:tc>
          <w:tcPr>
            <w:tcW w:w="9639" w:type="dxa"/>
            <w:hideMark/>
          </w:tcPr>
          <w:p w14:paraId="39FF1D7E" w14:textId="77777777" w:rsidR="007B29DD" w:rsidRDefault="007B29DD" w:rsidP="00306AF1">
            <w:pPr>
              <w:pStyle w:val="HighlightBoxText"/>
              <w:jc w:val="both"/>
            </w:pPr>
            <w:r w:rsidRPr="002F3BA7">
              <w:rPr>
                <w:color w:val="000000" w:themeColor="text1"/>
              </w:rPr>
              <w:t>The 10th (low), 50th (medium) and 90th (high) percentile climate change projections provide a wide range of projections that are all equally plausible. A small number of wetter and drier model projections lie outside of this range.</w:t>
            </w:r>
          </w:p>
        </w:tc>
      </w:tr>
    </w:tbl>
    <w:p w14:paraId="2F85F3D2" w14:textId="77777777" w:rsidR="007B29DD" w:rsidRDefault="007B29DD" w:rsidP="007B29DD">
      <w:pPr>
        <w:pStyle w:val="BodyText"/>
        <w:rPr>
          <w:lang w:eastAsia="en-AU"/>
        </w:rPr>
      </w:pPr>
    </w:p>
    <w:p w14:paraId="40E79528" w14:textId="77777777" w:rsidR="007B29DD" w:rsidRDefault="007B29DD" w:rsidP="007B29DD">
      <w:pPr>
        <w:pStyle w:val="BodyText"/>
        <w:rPr>
          <w:lang w:eastAsia="en-AU"/>
        </w:rPr>
      </w:pPr>
      <w:r>
        <w:rPr>
          <w:lang w:eastAsia="en-AU"/>
        </w:rPr>
        <w:t>When planning for climate change, there is a tendency to only utilise the high climate change projection that generates the driest outcome. While this may be suitable for defining a notional upper bound on impacts, water supply planning decisions should ideally be sufficiently robust to perform well under the wide range of future climate possibilities. If a fully robust solution cannot be identified, then decision makers should be informed about the performance of particular supply system options under the range of projections, so that the trade-offs involved in choosing one solution over another can be understood.</w:t>
      </w:r>
    </w:p>
    <w:p w14:paraId="0F51FF85" w14:textId="77777777" w:rsidR="007B29DD" w:rsidRDefault="007B29DD" w:rsidP="007B29DD">
      <w:pPr>
        <w:pStyle w:val="BodyText"/>
        <w:rPr>
          <w:lang w:eastAsia="en-AU"/>
        </w:rPr>
      </w:pPr>
      <w:r>
        <w:rPr>
          <w:lang w:eastAsia="en-AU"/>
        </w:rPr>
        <w:t xml:space="preserve">There is also a tendency to interpret the medium projection as the most likely projection. </w:t>
      </w:r>
      <w:r w:rsidRPr="00153C1F">
        <w:rPr>
          <w:b/>
          <w:bCs/>
          <w:lang w:eastAsia="en-AU"/>
        </w:rPr>
        <w:t>The medium projection is not the most likely projection, because at the current time, all projections are equally likely</w:t>
      </w:r>
      <w:r>
        <w:rPr>
          <w:lang w:eastAsia="en-AU"/>
        </w:rPr>
        <w:t>. As more information is collected on the global climate response to greenhouse gas emissions over time, it is possible that either the driest projection could be the most likely, or the wettest projection, or any projection in between.</w:t>
      </w:r>
    </w:p>
    <w:p w14:paraId="57C43894" w14:textId="77777777" w:rsidR="007B29DD" w:rsidRDefault="007B29DD" w:rsidP="007B29DD">
      <w:pPr>
        <w:pStyle w:val="BodyText"/>
        <w:rPr>
          <w:lang w:eastAsia="en-AU"/>
        </w:rPr>
      </w:pPr>
      <w:r>
        <w:rPr>
          <w:lang w:eastAsia="en-AU"/>
        </w:rPr>
        <w:t>The runoff projections have been derived using the 10</w:t>
      </w:r>
      <w:r w:rsidRPr="003178A9">
        <w:rPr>
          <w:lang w:eastAsia="en-AU"/>
        </w:rPr>
        <w:t>th</w:t>
      </w:r>
      <w:r>
        <w:rPr>
          <w:lang w:eastAsia="en-AU"/>
        </w:rPr>
        <w:t>, 50</w:t>
      </w:r>
      <w:r w:rsidRPr="003178A9">
        <w:rPr>
          <w:lang w:eastAsia="en-AU"/>
        </w:rPr>
        <w:t>th</w:t>
      </w:r>
      <w:r>
        <w:rPr>
          <w:lang w:eastAsia="en-AU"/>
        </w:rPr>
        <w:t xml:space="preserve"> and 90</w:t>
      </w:r>
      <w:r w:rsidRPr="003178A9">
        <w:rPr>
          <w:lang w:eastAsia="en-AU"/>
        </w:rPr>
        <w:t>th</w:t>
      </w:r>
      <w:r>
        <w:rPr>
          <w:lang w:eastAsia="en-AU"/>
        </w:rPr>
        <w:t xml:space="preserve"> percentile rainfall projections, and hence the high, medium and low projections for runoff are consistent with those for rainfall. The high, medium and low projections for temperature, potential evapotranspiration (PET), and rainfall have been derived independently. Temperature and evapotranspiration are highly correlated, so it is likely that the 10</w:t>
      </w:r>
      <w:r w:rsidRPr="003178A9">
        <w:rPr>
          <w:lang w:eastAsia="en-AU"/>
        </w:rPr>
        <w:t>th</w:t>
      </w:r>
      <w:r>
        <w:rPr>
          <w:lang w:eastAsia="en-AU"/>
        </w:rPr>
        <w:t xml:space="preserve"> percentile temperature and the 10</w:t>
      </w:r>
      <w:r w:rsidRPr="003178A9">
        <w:rPr>
          <w:lang w:eastAsia="en-AU"/>
        </w:rPr>
        <w:t>th</w:t>
      </w:r>
      <w:r>
        <w:rPr>
          <w:lang w:eastAsia="en-AU"/>
        </w:rPr>
        <w:t xml:space="preserve"> percentile evapotranspiration will be from the same model. However, the GCM that produces the 10</w:t>
      </w:r>
      <w:r w:rsidRPr="003178A9">
        <w:rPr>
          <w:lang w:eastAsia="en-AU"/>
        </w:rPr>
        <w:t>th</w:t>
      </w:r>
      <w:r>
        <w:rPr>
          <w:lang w:eastAsia="en-AU"/>
        </w:rPr>
        <w:t xml:space="preserve"> percentile temperature or evapotranspiration value may not be the model that produces the 10</w:t>
      </w:r>
      <w:r w:rsidRPr="003178A9">
        <w:rPr>
          <w:lang w:eastAsia="en-AU"/>
        </w:rPr>
        <w:t>th</w:t>
      </w:r>
      <w:r>
        <w:rPr>
          <w:lang w:eastAsia="en-AU"/>
        </w:rPr>
        <w:t xml:space="preserve"> percentile rainfall.</w:t>
      </w:r>
    </w:p>
    <w:p w14:paraId="1DBB6680" w14:textId="77777777" w:rsidR="007B29DD" w:rsidRDefault="007B29DD" w:rsidP="007B29DD">
      <w:pPr>
        <w:pStyle w:val="BodyText"/>
      </w:pPr>
      <w:r>
        <w:rPr>
          <w:lang w:eastAsia="en-AU"/>
        </w:rPr>
        <w:t>The above approach of deriving the range of projections independently for each variable is considered suitable for most water supply impact assessments. This is because it ensures that information is being sourced from all 42 available GCMs, rather than being dependent on any single GCM. Also, w</w:t>
      </w:r>
      <w:r>
        <w:t>hen models (such as water demand models) use multiple parameters as input, use of a median value for temperature or PET can often be justified as water planning outcomes are typically far less sensitive to climate change impacts on demand than to climate change impacts on rainfall and runoff.</w:t>
      </w:r>
    </w:p>
    <w:p w14:paraId="39580315" w14:textId="77777777" w:rsidR="007B29DD" w:rsidRDefault="007B29DD" w:rsidP="007B29DD">
      <w:pPr>
        <w:pStyle w:val="BodyText"/>
        <w:rPr>
          <w:lang w:eastAsia="en-AU"/>
        </w:rPr>
      </w:pPr>
      <w:r>
        <w:t xml:space="preserve">In an instance where </w:t>
      </w:r>
      <w:r w:rsidRPr="00142689">
        <w:t>changes in temp</w:t>
      </w:r>
      <w:r>
        <w:t>erature</w:t>
      </w:r>
      <w:r w:rsidRPr="00142689">
        <w:t xml:space="preserve"> and PET </w:t>
      </w:r>
      <w:r>
        <w:t xml:space="preserve">are estimated to have as great, or greater, </w:t>
      </w:r>
      <w:r w:rsidRPr="00142689">
        <w:t>impact on planning outcome</w:t>
      </w:r>
      <w:r>
        <w:t>s</w:t>
      </w:r>
      <w:r w:rsidRPr="00142689">
        <w:t xml:space="preserve"> as changes in rainfall</w:t>
      </w:r>
      <w:r>
        <w:t xml:space="preserve"> and </w:t>
      </w:r>
      <w:r w:rsidRPr="00142689">
        <w:t xml:space="preserve">runoff, </w:t>
      </w:r>
      <w:r>
        <w:t>then this w</w:t>
      </w:r>
      <w:r w:rsidRPr="00142689">
        <w:t xml:space="preserve">ould be a trigger to </w:t>
      </w:r>
      <w:r>
        <w:t>consider using a range of temperature or PET values either side of the median value, such as the 10</w:t>
      </w:r>
      <w:r w:rsidRPr="003178A9">
        <w:t>th</w:t>
      </w:r>
      <w:r>
        <w:t xml:space="preserve"> and 9</w:t>
      </w:r>
      <w:r w:rsidRPr="003178A9">
        <w:t>0th</w:t>
      </w:r>
      <w:r>
        <w:t xml:space="preserve"> percentile values presented in the guidelines</w:t>
      </w:r>
      <w:r w:rsidRPr="00142689">
        <w:t>.</w:t>
      </w:r>
      <w:r>
        <w:t xml:space="preserve"> This is likely to be a reasonable sensitivity test for most applications. However, if adopting the </w:t>
      </w:r>
      <w:r w:rsidRPr="003178A9">
        <w:t>10th</w:t>
      </w:r>
      <w:r>
        <w:t xml:space="preserve"> and 90</w:t>
      </w:r>
      <w:r w:rsidRPr="003178A9">
        <w:t>th</w:t>
      </w:r>
      <w:r>
        <w:t xml:space="preserve"> percentile temperature values alongside the 10</w:t>
      </w:r>
      <w:r w:rsidRPr="003178A9">
        <w:t>th</w:t>
      </w:r>
      <w:r>
        <w:t xml:space="preserve"> and 90</w:t>
      </w:r>
      <w:r w:rsidRPr="003178A9">
        <w:t xml:space="preserve">th </w:t>
      </w:r>
      <w:r>
        <w:t>percentile rainfall and runoff projections, this could generate combinations of variables that lie outside those in any individual GCM. In these instances, it may be appropriate to draw all projections from a single GCM. Such an approach would be applicable, for example, for research applications. Where such an approach is desirable, it is recommended that the user seek the advice of climate scientists for information on appropriate model selection and data sources, with the use of results from all 42 GCMs usually being preferable to just adopting one or a few models.</w:t>
      </w:r>
    </w:p>
    <w:p w14:paraId="007B1A85" w14:textId="77777777" w:rsidR="007B29DD" w:rsidRDefault="007B29DD" w:rsidP="007B29DD">
      <w:pPr>
        <w:pStyle w:val="BodyText"/>
        <w:rPr>
          <w:lang w:eastAsia="en-AU"/>
        </w:rPr>
      </w:pPr>
      <w:r>
        <w:rPr>
          <w:lang w:eastAsia="en-AU"/>
        </w:rPr>
        <w:t>For a broader understanding of the degree of consensus between any two projected variables across different models for major regions of Australia, see the Climate Futures Tool on the Climate Change in Australia website (</w:t>
      </w:r>
      <w:hyperlink r:id="rId37" w:history="1">
        <w:r w:rsidRPr="00F14484">
          <w:rPr>
            <w:rStyle w:val="Hyperlink"/>
            <w:lang w:eastAsia="en-AU"/>
          </w:rPr>
          <w:t>https://www.climatechangeinaustralia.gov.au/en/climate-projections/climate-futures-tool/projections/</w:t>
        </w:r>
      </w:hyperlink>
      <w:r>
        <w:rPr>
          <w:lang w:eastAsia="en-AU"/>
        </w:rPr>
        <w:t xml:space="preserve">). </w:t>
      </w:r>
    </w:p>
    <w:p w14:paraId="0DB50449"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441" w:name="_Toc51658000"/>
      <w:bookmarkStart w:id="442" w:name="_Toc53585905"/>
      <w:bookmarkStart w:id="443" w:name="_Toc57377156"/>
      <w:r w:rsidRPr="00306AF1">
        <w:rPr>
          <w:b/>
          <w:bCs/>
          <w:color w:val="000000" w:themeColor="text1"/>
        </w:rPr>
        <w:t>Projecting the low, medium and high climate change scenarios</w:t>
      </w:r>
      <w:bookmarkEnd w:id="441"/>
      <w:bookmarkEnd w:id="442"/>
      <w:bookmarkEnd w:id="443"/>
    </w:p>
    <w:p w14:paraId="74721F30" w14:textId="77777777" w:rsidR="007B29DD" w:rsidRDefault="007B29DD" w:rsidP="007B29DD">
      <w:pPr>
        <w:pStyle w:val="BodyText"/>
        <w:rPr>
          <w:lang w:eastAsia="en-AU"/>
        </w:rPr>
      </w:pPr>
      <w:bookmarkStart w:id="444" w:name="_Toc38957438"/>
      <w:r>
        <w:rPr>
          <w:lang w:eastAsia="en-AU"/>
        </w:rPr>
        <w:t xml:space="preserve">The process for estimating climate and runoff under projected low, medium and high climate change involves applying GCM-derived factors to the post-1975 historic climate reference period. Subsequent sections </w:t>
      </w:r>
      <w:r>
        <w:rPr>
          <w:lang w:eastAsia="en-AU"/>
        </w:rPr>
        <w:fldChar w:fldCharType="begin"/>
      </w:r>
      <w:r>
        <w:rPr>
          <w:lang w:eastAsia="en-AU"/>
        </w:rPr>
        <w:instrText xml:space="preserve"> REF _Ref50125016 \r \h </w:instrText>
      </w:r>
      <w:r>
        <w:rPr>
          <w:lang w:eastAsia="en-AU"/>
        </w:rPr>
      </w:r>
      <w:r>
        <w:rPr>
          <w:lang w:eastAsia="en-AU"/>
        </w:rPr>
        <w:fldChar w:fldCharType="separate"/>
      </w:r>
      <w:r>
        <w:rPr>
          <w:lang w:eastAsia="en-AU"/>
        </w:rPr>
        <w:t>5.7</w:t>
      </w:r>
      <w:r>
        <w:rPr>
          <w:lang w:eastAsia="en-AU"/>
        </w:rPr>
        <w:fldChar w:fldCharType="end"/>
      </w:r>
      <w:r>
        <w:rPr>
          <w:lang w:eastAsia="en-AU"/>
        </w:rPr>
        <w:t>–</w:t>
      </w:r>
      <w:r>
        <w:rPr>
          <w:lang w:eastAsia="en-AU"/>
        </w:rPr>
        <w:fldChar w:fldCharType="begin"/>
      </w:r>
      <w:r>
        <w:rPr>
          <w:lang w:eastAsia="en-AU"/>
        </w:rPr>
        <w:instrText xml:space="preserve"> REF _Ref40018111 \r \h </w:instrText>
      </w:r>
      <w:r>
        <w:rPr>
          <w:lang w:eastAsia="en-AU"/>
        </w:rPr>
      </w:r>
      <w:r>
        <w:rPr>
          <w:lang w:eastAsia="en-AU"/>
        </w:rPr>
        <w:fldChar w:fldCharType="separate"/>
      </w:r>
      <w:r>
        <w:rPr>
          <w:lang w:eastAsia="en-AU"/>
        </w:rPr>
        <w:t>5.10</w:t>
      </w:r>
      <w:r>
        <w:rPr>
          <w:lang w:eastAsia="en-AU"/>
        </w:rPr>
        <w:fldChar w:fldCharType="end"/>
      </w:r>
      <w:r>
        <w:rPr>
          <w:lang w:eastAsia="en-AU"/>
        </w:rPr>
        <w:t xml:space="preserve"> provide tabulated factors for average annual change in temperature, potential evapotranspiration, rainfall and runoff, to represent current (i.e. 2020) conditions and future conditions under climate change in the years 2040 and 2065. These projections are provided for each river basin.</w:t>
      </w:r>
    </w:p>
    <w:p w14:paraId="59236265" w14:textId="77777777" w:rsidR="007B29DD" w:rsidRPr="00306AF1" w:rsidRDefault="007B29DD" w:rsidP="007B29DD">
      <w:pPr>
        <w:pStyle w:val="Heading4"/>
        <w:numPr>
          <w:ilvl w:val="3"/>
          <w:numId w:val="5"/>
        </w:numPr>
        <w:rPr>
          <w:color w:val="000000" w:themeColor="text1"/>
        </w:rPr>
      </w:pPr>
      <w:r w:rsidRPr="00306AF1">
        <w:rPr>
          <w:color w:val="000000" w:themeColor="text1"/>
        </w:rPr>
        <w:lastRenderedPageBreak/>
        <w:t>Interpolation from 1995 to 2020</w:t>
      </w:r>
    </w:p>
    <w:p w14:paraId="3D8298C7" w14:textId="77777777" w:rsidR="007B29DD" w:rsidRDefault="007B29DD" w:rsidP="007B29DD">
      <w:pPr>
        <w:pStyle w:val="BodyText"/>
        <w:rPr>
          <w:lang w:eastAsia="en-AU"/>
        </w:rPr>
      </w:pPr>
      <w:r>
        <w:rPr>
          <w:lang w:eastAsia="en-AU"/>
        </w:rPr>
        <w:t xml:space="preserve">The process of estimating current (i.e. 2020) climate and water availability from the post-1975 historic climate reference period and the year 2040 climate change projections is illustrated in </w:t>
      </w:r>
      <w:r>
        <w:rPr>
          <w:lang w:eastAsia="en-AU"/>
        </w:rPr>
        <w:fldChar w:fldCharType="begin"/>
      </w:r>
      <w:r>
        <w:rPr>
          <w:lang w:eastAsia="en-AU"/>
        </w:rPr>
        <w:instrText xml:space="preserve"> REF _Ref40017946 \h </w:instrText>
      </w:r>
      <w:r>
        <w:rPr>
          <w:lang w:eastAsia="en-AU"/>
        </w:rPr>
      </w:r>
      <w:r>
        <w:rPr>
          <w:lang w:eastAsia="en-AU"/>
        </w:rPr>
        <w:fldChar w:fldCharType="separate"/>
      </w:r>
      <w:r>
        <w:t xml:space="preserve">Figure </w:t>
      </w:r>
      <w:r>
        <w:rPr>
          <w:noProof/>
        </w:rPr>
        <w:t>18</w:t>
      </w:r>
      <w:r>
        <w:rPr>
          <w:lang w:eastAsia="en-AU"/>
        </w:rPr>
        <w:fldChar w:fldCharType="end"/>
      </w:r>
      <w:r>
        <w:rPr>
          <w:lang w:eastAsia="en-AU"/>
        </w:rPr>
        <w:t xml:space="preserve">. The top panel of this figure shows the scaling factors derived from comparison of GCMs over 20-year periods centred on 1995 and 2040. These are the values presented for the year 2040 in the climate projection tables in sections </w:t>
      </w:r>
      <w:r>
        <w:rPr>
          <w:lang w:eastAsia="en-AU"/>
        </w:rPr>
        <w:fldChar w:fldCharType="begin"/>
      </w:r>
      <w:r>
        <w:rPr>
          <w:lang w:eastAsia="en-AU"/>
        </w:rPr>
        <w:instrText xml:space="preserve"> REF _Ref39909586 \r \h </w:instrText>
      </w:r>
      <w:r>
        <w:rPr>
          <w:lang w:eastAsia="en-AU"/>
        </w:rPr>
      </w:r>
      <w:r>
        <w:rPr>
          <w:lang w:eastAsia="en-AU"/>
        </w:rPr>
        <w:fldChar w:fldCharType="separate"/>
      </w:r>
      <w:r>
        <w:rPr>
          <w:lang w:eastAsia="en-AU"/>
        </w:rPr>
        <w:t>5.6.4</w:t>
      </w:r>
      <w:r>
        <w:rPr>
          <w:lang w:eastAsia="en-AU"/>
        </w:rPr>
        <w:fldChar w:fldCharType="end"/>
      </w:r>
      <w:r>
        <w:rPr>
          <w:lang w:eastAsia="en-AU"/>
        </w:rPr>
        <w:t>–</w:t>
      </w:r>
      <w:r>
        <w:rPr>
          <w:lang w:eastAsia="en-AU"/>
        </w:rPr>
        <w:fldChar w:fldCharType="begin"/>
      </w:r>
      <w:r>
        <w:rPr>
          <w:lang w:eastAsia="en-AU"/>
        </w:rPr>
        <w:instrText xml:space="preserve"> REF _Ref40018111 \r \h </w:instrText>
      </w:r>
      <w:r>
        <w:rPr>
          <w:lang w:eastAsia="en-AU"/>
        </w:rPr>
      </w:r>
      <w:r>
        <w:rPr>
          <w:lang w:eastAsia="en-AU"/>
        </w:rPr>
        <w:fldChar w:fldCharType="separate"/>
      </w:r>
      <w:r>
        <w:rPr>
          <w:lang w:eastAsia="en-AU"/>
        </w:rPr>
        <w:t>5.10</w:t>
      </w:r>
      <w:r>
        <w:rPr>
          <w:lang w:eastAsia="en-AU"/>
        </w:rPr>
        <w:fldChar w:fldCharType="end"/>
      </w:r>
      <w:r>
        <w:rPr>
          <w:lang w:eastAsia="en-AU"/>
        </w:rPr>
        <w:t xml:space="preserve">. The bottom panel of </w:t>
      </w:r>
      <w:r>
        <w:rPr>
          <w:lang w:eastAsia="en-AU"/>
        </w:rPr>
        <w:fldChar w:fldCharType="begin"/>
      </w:r>
      <w:r>
        <w:rPr>
          <w:lang w:eastAsia="en-AU"/>
        </w:rPr>
        <w:instrText xml:space="preserve"> REF _Ref40017946 \h </w:instrText>
      </w:r>
      <w:r>
        <w:rPr>
          <w:lang w:eastAsia="en-AU"/>
        </w:rPr>
      </w:r>
      <w:r>
        <w:rPr>
          <w:lang w:eastAsia="en-AU"/>
        </w:rPr>
        <w:fldChar w:fldCharType="separate"/>
      </w:r>
      <w:r>
        <w:t xml:space="preserve">Figure </w:t>
      </w:r>
      <w:r>
        <w:rPr>
          <w:noProof/>
        </w:rPr>
        <w:t>18</w:t>
      </w:r>
      <w:r>
        <w:rPr>
          <w:lang w:eastAsia="en-AU"/>
        </w:rPr>
        <w:fldChar w:fldCharType="end"/>
      </w:r>
      <w:r>
        <w:rPr>
          <w:lang w:eastAsia="en-AU"/>
        </w:rPr>
        <w:t xml:space="preserve"> shows the assumed linear interpolation of projected impacts over this period to generate the projected current (~2020) climate and runoff under the low, medium and high climate change scenarios.</w:t>
      </w:r>
    </w:p>
    <w:p w14:paraId="562BED33" w14:textId="77777777" w:rsidR="007B29DD" w:rsidRDefault="007B29DD" w:rsidP="007B29DD">
      <w:pPr>
        <w:pStyle w:val="BodyText"/>
        <w:keepNext/>
        <w:rPr>
          <w:lang w:eastAsia="en-AU"/>
        </w:rPr>
      </w:pPr>
      <w:r>
        <w:t>I</w:t>
      </w:r>
      <w:r>
        <w:rPr>
          <w:lang w:eastAsia="en-AU"/>
        </w:rPr>
        <w:t>n summary, projected climate change from 1995 to date is a linearly interpolated change factor for each of the high, medium and low projections (or only the medium projection if that is all that is provided in the guidelines for that given variable) as follows:</w:t>
      </w:r>
    </w:p>
    <w:p w14:paraId="6E378E5F" w14:textId="77777777" w:rsidR="007B29DD" w:rsidRDefault="007B29DD" w:rsidP="007B29DD">
      <w:pPr>
        <w:pStyle w:val="BodyText"/>
        <w:keepNext/>
        <w:ind w:left="567"/>
        <w:rPr>
          <w:b/>
          <w:bCs/>
          <w:lang w:eastAsia="en-AU"/>
        </w:rPr>
      </w:pPr>
      <w:r w:rsidRPr="009448CB">
        <w:rPr>
          <w:b/>
          <w:bCs/>
          <w:lang w:eastAsia="en-AU"/>
        </w:rPr>
        <w:t>Projected climate change from 1995 to date</w:t>
      </w:r>
      <w:r>
        <w:rPr>
          <w:b/>
          <w:bCs/>
          <w:lang w:eastAsia="en-AU"/>
        </w:rPr>
        <w:t xml:space="preserve"> (i.e. 2020)</w:t>
      </w:r>
    </w:p>
    <w:p w14:paraId="645DD256" w14:textId="77777777" w:rsidR="007B29DD" w:rsidRPr="009448CB" w:rsidRDefault="007B29DD" w:rsidP="007B29DD">
      <w:pPr>
        <w:pStyle w:val="BodyText"/>
        <w:keepNext/>
        <w:ind w:left="567"/>
        <w:rPr>
          <w:b/>
          <w:bCs/>
          <w:lang w:eastAsia="en-AU"/>
        </w:rPr>
      </w:pPr>
      <w:r w:rsidRPr="009448CB">
        <w:rPr>
          <w:b/>
          <w:bCs/>
          <w:lang w:eastAsia="en-AU"/>
        </w:rPr>
        <w:t>= (</w:t>
      </w:r>
      <w:r>
        <w:rPr>
          <w:b/>
          <w:bCs/>
          <w:lang w:eastAsia="en-AU"/>
        </w:rPr>
        <w:t>C</w:t>
      </w:r>
      <w:r w:rsidRPr="009448CB">
        <w:rPr>
          <w:b/>
          <w:bCs/>
          <w:lang w:eastAsia="en-AU"/>
        </w:rPr>
        <w:t xml:space="preserve">urrent year </w:t>
      </w:r>
      <w:r>
        <w:rPr>
          <w:b/>
          <w:bCs/>
          <w:lang w:eastAsia="en-AU"/>
        </w:rPr>
        <w:t>-</w:t>
      </w:r>
      <w:r w:rsidRPr="009448CB">
        <w:rPr>
          <w:b/>
          <w:bCs/>
          <w:lang w:eastAsia="en-AU"/>
        </w:rPr>
        <w:t xml:space="preserve"> 1995) / (2040-1995) * (Projected change in 2040)</w:t>
      </w:r>
    </w:p>
    <w:p w14:paraId="7E5B28F2" w14:textId="77777777" w:rsidR="007B29DD" w:rsidRDefault="007B29DD" w:rsidP="007B29DD">
      <w:pPr>
        <w:pStyle w:val="Caption"/>
        <w:keepNext w:val="0"/>
        <w:jc w:val="right"/>
      </w:pPr>
      <w:r>
        <w:t xml:space="preserve">Equation </w:t>
      </w:r>
      <w:r>
        <w:fldChar w:fldCharType="begin"/>
      </w:r>
      <w:r>
        <w:instrText>SEQ Equation \* ARABIC</w:instrText>
      </w:r>
      <w:r>
        <w:fldChar w:fldCharType="separate"/>
      </w:r>
      <w:r>
        <w:rPr>
          <w:noProof/>
        </w:rPr>
        <w:t>1</w:t>
      </w:r>
      <w:r>
        <w:fldChar w:fldCharType="end"/>
      </w:r>
    </w:p>
    <w:p w14:paraId="0A3EC7D9" w14:textId="77777777" w:rsidR="007B29DD" w:rsidRDefault="007B29DD" w:rsidP="007B29DD">
      <w:pPr>
        <w:pStyle w:val="BodyText"/>
      </w:pPr>
      <w:r>
        <w:rPr>
          <w:lang w:eastAsia="en-AU"/>
        </w:rPr>
        <w:t xml:space="preserve">By assuming </w:t>
      </w:r>
      <w:r w:rsidRPr="00856759">
        <w:t>a linear interpolation between 1995 and 2020, it is possible that the assumed level of greenhouse gas concentrations in 2020 could be either over-estimated or under-estimated, because climate change impacts are likely to increase non-linearly over time.</w:t>
      </w:r>
    </w:p>
    <w:p w14:paraId="25859418" w14:textId="77777777" w:rsidR="007B29DD" w:rsidRPr="00306AF1" w:rsidRDefault="007B29DD" w:rsidP="007B29DD">
      <w:pPr>
        <w:pStyle w:val="Heading4"/>
        <w:numPr>
          <w:ilvl w:val="3"/>
          <w:numId w:val="5"/>
        </w:numPr>
        <w:rPr>
          <w:color w:val="000000" w:themeColor="text1"/>
        </w:rPr>
      </w:pPr>
      <w:bookmarkStart w:id="445" w:name="_Toc43476483"/>
      <w:bookmarkStart w:id="446" w:name="_Toc44928728"/>
      <w:r w:rsidRPr="00306AF1">
        <w:rPr>
          <w:color w:val="000000" w:themeColor="text1"/>
        </w:rPr>
        <w:t>Interpolation from now to 2040</w:t>
      </w:r>
      <w:bookmarkEnd w:id="445"/>
      <w:bookmarkEnd w:id="446"/>
    </w:p>
    <w:p w14:paraId="108F2268" w14:textId="77777777" w:rsidR="007B29DD" w:rsidRDefault="007B29DD" w:rsidP="007B29DD">
      <w:pPr>
        <w:pStyle w:val="BodyText"/>
        <w:rPr>
          <w:lang w:eastAsia="en-AU"/>
        </w:rPr>
      </w:pPr>
      <w:r>
        <w:rPr>
          <w:lang w:eastAsia="en-AU"/>
        </w:rPr>
        <w:t xml:space="preserve">Interpolation of GCM projections for climate and streamflow after 2020 can be undertaken in the same manner as for generating the current (i.e. 2020) climate and streamflow, as described above. This is shown in </w:t>
      </w:r>
      <w:r>
        <w:rPr>
          <w:lang w:eastAsia="en-AU"/>
        </w:rPr>
        <w:fldChar w:fldCharType="begin"/>
      </w:r>
      <w:r>
        <w:rPr>
          <w:lang w:eastAsia="en-AU"/>
        </w:rPr>
        <w:instrText xml:space="preserve"> REF _Ref40018566 \h </w:instrText>
      </w:r>
      <w:r>
        <w:rPr>
          <w:lang w:eastAsia="en-AU"/>
        </w:rPr>
      </w:r>
      <w:r>
        <w:rPr>
          <w:lang w:eastAsia="en-AU"/>
        </w:rPr>
        <w:fldChar w:fldCharType="separate"/>
      </w:r>
      <w:r>
        <w:t xml:space="preserve">Figure </w:t>
      </w:r>
      <w:r>
        <w:rPr>
          <w:noProof/>
        </w:rPr>
        <w:t>19</w:t>
      </w:r>
      <w:r>
        <w:rPr>
          <w:lang w:eastAsia="en-AU"/>
        </w:rPr>
        <w:fldChar w:fldCharType="end"/>
      </w:r>
      <w:r>
        <w:rPr>
          <w:lang w:eastAsia="en-AU"/>
        </w:rPr>
        <w:t xml:space="preserve">. This figure provides an example calculation for </w:t>
      </w:r>
      <w:r w:rsidRPr="00D276B4">
        <w:t>an</w:t>
      </w:r>
      <w:r>
        <w:rPr>
          <w:lang w:eastAsia="en-AU"/>
        </w:rPr>
        <w:t xml:space="preserve"> interpolation of the high climate change projection for the year 2030, as per </w:t>
      </w:r>
      <w:r>
        <w:rPr>
          <w:lang w:eastAsia="en-AU"/>
        </w:rPr>
        <w:fldChar w:fldCharType="begin"/>
      </w:r>
      <w:r>
        <w:rPr>
          <w:lang w:eastAsia="en-AU"/>
        </w:rPr>
        <w:instrText xml:space="preserve"> REF _Ref40022092 \h </w:instrText>
      </w:r>
      <w:r>
        <w:rPr>
          <w:lang w:eastAsia="en-AU"/>
        </w:rPr>
      </w:r>
      <w:r>
        <w:rPr>
          <w:lang w:eastAsia="en-AU"/>
        </w:rPr>
        <w:fldChar w:fldCharType="separate"/>
      </w:r>
      <w:r>
        <w:t xml:space="preserve">Equation </w:t>
      </w:r>
      <w:r>
        <w:rPr>
          <w:noProof/>
        </w:rPr>
        <w:t>2</w:t>
      </w:r>
      <w:r>
        <w:rPr>
          <w:lang w:eastAsia="en-AU"/>
        </w:rPr>
        <w:fldChar w:fldCharType="end"/>
      </w:r>
      <w:r>
        <w:rPr>
          <w:lang w:eastAsia="en-AU"/>
        </w:rPr>
        <w:t>.</w:t>
      </w:r>
    </w:p>
    <w:p w14:paraId="5E27A068" w14:textId="77777777" w:rsidR="007B29DD" w:rsidRDefault="007B29DD" w:rsidP="007B29DD">
      <w:pPr>
        <w:pStyle w:val="BodyText"/>
        <w:keepNext/>
        <w:ind w:left="567"/>
        <w:rPr>
          <w:b/>
          <w:bCs/>
          <w:lang w:eastAsia="en-AU"/>
        </w:rPr>
      </w:pPr>
      <w:r w:rsidRPr="009448CB">
        <w:rPr>
          <w:b/>
          <w:bCs/>
          <w:lang w:eastAsia="en-AU"/>
        </w:rPr>
        <w:t xml:space="preserve">Projected climate change </w:t>
      </w:r>
      <w:r>
        <w:rPr>
          <w:b/>
          <w:bCs/>
          <w:lang w:eastAsia="en-AU"/>
        </w:rPr>
        <w:t>between now and 2040</w:t>
      </w:r>
    </w:p>
    <w:p w14:paraId="3141B190" w14:textId="77777777" w:rsidR="007B29DD" w:rsidRPr="009448CB" w:rsidRDefault="007B29DD" w:rsidP="007B29DD">
      <w:pPr>
        <w:pStyle w:val="BodyText"/>
        <w:keepNext/>
        <w:ind w:left="567"/>
        <w:rPr>
          <w:b/>
          <w:bCs/>
          <w:lang w:eastAsia="en-AU"/>
        </w:rPr>
      </w:pPr>
      <w:r w:rsidRPr="009448CB">
        <w:rPr>
          <w:b/>
          <w:bCs/>
          <w:lang w:eastAsia="en-AU"/>
        </w:rPr>
        <w:t>= (</w:t>
      </w:r>
      <w:r>
        <w:rPr>
          <w:b/>
          <w:bCs/>
          <w:lang w:eastAsia="en-AU"/>
        </w:rPr>
        <w:t>Year of interest</w:t>
      </w:r>
      <w:r w:rsidRPr="009448CB">
        <w:rPr>
          <w:b/>
          <w:bCs/>
          <w:lang w:eastAsia="en-AU"/>
        </w:rPr>
        <w:t xml:space="preserve"> </w:t>
      </w:r>
      <w:r>
        <w:rPr>
          <w:b/>
          <w:bCs/>
          <w:lang w:eastAsia="en-AU"/>
        </w:rPr>
        <w:t>-</w:t>
      </w:r>
      <w:r w:rsidRPr="009448CB">
        <w:rPr>
          <w:b/>
          <w:bCs/>
          <w:lang w:eastAsia="en-AU"/>
        </w:rPr>
        <w:t xml:space="preserve"> </w:t>
      </w:r>
      <w:r>
        <w:rPr>
          <w:b/>
          <w:bCs/>
          <w:lang w:eastAsia="en-AU"/>
        </w:rPr>
        <w:t>1995</w:t>
      </w:r>
      <w:r w:rsidRPr="009448CB">
        <w:rPr>
          <w:b/>
          <w:bCs/>
          <w:lang w:eastAsia="en-AU"/>
        </w:rPr>
        <w:t>) / (20</w:t>
      </w:r>
      <w:r>
        <w:rPr>
          <w:b/>
          <w:bCs/>
          <w:lang w:eastAsia="en-AU"/>
        </w:rPr>
        <w:t>40</w:t>
      </w:r>
      <w:r w:rsidRPr="009448CB">
        <w:rPr>
          <w:b/>
          <w:bCs/>
          <w:lang w:eastAsia="en-AU"/>
        </w:rPr>
        <w:t>-</w:t>
      </w:r>
      <w:r>
        <w:rPr>
          <w:b/>
          <w:bCs/>
          <w:lang w:eastAsia="en-AU"/>
        </w:rPr>
        <w:t>1995</w:t>
      </w:r>
      <w:r w:rsidRPr="009448CB">
        <w:rPr>
          <w:b/>
          <w:bCs/>
          <w:lang w:eastAsia="en-AU"/>
        </w:rPr>
        <w:t>) * (Projected change in 2040)</w:t>
      </w:r>
    </w:p>
    <w:p w14:paraId="4045BDD9" w14:textId="77777777" w:rsidR="007B29DD" w:rsidRDefault="007B29DD" w:rsidP="007B29DD">
      <w:pPr>
        <w:pStyle w:val="Caption"/>
        <w:keepNext w:val="0"/>
        <w:jc w:val="right"/>
      </w:pPr>
      <w:bookmarkStart w:id="447" w:name="_Ref40022092"/>
      <w:r>
        <w:t xml:space="preserve">Equation </w:t>
      </w:r>
      <w:r>
        <w:fldChar w:fldCharType="begin"/>
      </w:r>
      <w:r>
        <w:instrText>SEQ Equation \* ARABIC</w:instrText>
      </w:r>
      <w:r>
        <w:fldChar w:fldCharType="separate"/>
      </w:r>
      <w:r>
        <w:rPr>
          <w:noProof/>
        </w:rPr>
        <w:t>2</w:t>
      </w:r>
      <w:r>
        <w:fldChar w:fldCharType="end"/>
      </w:r>
      <w:bookmarkEnd w:id="447"/>
    </w:p>
    <w:p w14:paraId="4E91142F" w14:textId="77777777" w:rsidR="007B29DD" w:rsidRPr="00306AF1" w:rsidRDefault="007B29DD" w:rsidP="007B29DD">
      <w:pPr>
        <w:pStyle w:val="Heading4"/>
        <w:numPr>
          <w:ilvl w:val="3"/>
          <w:numId w:val="5"/>
        </w:numPr>
        <w:rPr>
          <w:color w:val="000000" w:themeColor="text1"/>
        </w:rPr>
      </w:pPr>
      <w:bookmarkStart w:id="448" w:name="_Toc43476484"/>
      <w:bookmarkStart w:id="449" w:name="_Toc44928729"/>
      <w:r w:rsidRPr="00306AF1">
        <w:rPr>
          <w:color w:val="000000" w:themeColor="text1"/>
        </w:rPr>
        <w:t>Interpolation from 2040 to 2065</w:t>
      </w:r>
      <w:bookmarkEnd w:id="448"/>
      <w:bookmarkEnd w:id="449"/>
    </w:p>
    <w:p w14:paraId="2EC02D8F" w14:textId="77777777" w:rsidR="007B29DD" w:rsidRDefault="007B29DD" w:rsidP="007B29DD">
      <w:pPr>
        <w:pStyle w:val="BodyText"/>
        <w:rPr>
          <w:lang w:eastAsia="en-AU"/>
        </w:rPr>
      </w:pPr>
      <w:r>
        <w:rPr>
          <w:lang w:eastAsia="en-AU"/>
        </w:rPr>
        <w:t xml:space="preserve">Linear interpolation of climate change projections from the year 2040 to the 2065 can be undertaken in a similar manner to the above. The method of calculation is as per </w:t>
      </w:r>
      <w:r>
        <w:rPr>
          <w:lang w:eastAsia="en-AU"/>
        </w:rPr>
        <w:fldChar w:fldCharType="begin"/>
      </w:r>
      <w:r>
        <w:rPr>
          <w:lang w:eastAsia="en-AU"/>
        </w:rPr>
        <w:instrText xml:space="preserve"> REF _Ref40022112 \h </w:instrText>
      </w:r>
      <w:r>
        <w:rPr>
          <w:lang w:eastAsia="en-AU"/>
        </w:rPr>
      </w:r>
      <w:r>
        <w:rPr>
          <w:lang w:eastAsia="en-AU"/>
        </w:rPr>
        <w:fldChar w:fldCharType="separate"/>
      </w:r>
      <w:r>
        <w:t xml:space="preserve">Equation </w:t>
      </w:r>
      <w:r>
        <w:rPr>
          <w:noProof/>
        </w:rPr>
        <w:t>3</w:t>
      </w:r>
      <w:r>
        <w:rPr>
          <w:lang w:eastAsia="en-AU"/>
        </w:rPr>
        <w:fldChar w:fldCharType="end"/>
      </w:r>
      <w:r>
        <w:rPr>
          <w:lang w:eastAsia="en-AU"/>
        </w:rPr>
        <w:t>.</w:t>
      </w:r>
    </w:p>
    <w:p w14:paraId="1DA0A2AA" w14:textId="77777777" w:rsidR="007B29DD" w:rsidRDefault="007B29DD" w:rsidP="007B29DD">
      <w:pPr>
        <w:pStyle w:val="BodyText"/>
        <w:keepNext/>
        <w:ind w:left="567"/>
        <w:rPr>
          <w:b/>
          <w:bCs/>
          <w:lang w:eastAsia="en-AU"/>
        </w:rPr>
      </w:pPr>
      <w:r w:rsidRPr="009448CB">
        <w:rPr>
          <w:b/>
          <w:bCs/>
          <w:lang w:eastAsia="en-AU"/>
        </w:rPr>
        <w:t xml:space="preserve">Projected climate change </w:t>
      </w:r>
      <w:r>
        <w:rPr>
          <w:b/>
          <w:bCs/>
          <w:lang w:eastAsia="en-AU"/>
        </w:rPr>
        <w:t>between 2040 and 2065</w:t>
      </w:r>
    </w:p>
    <w:p w14:paraId="368D13D3" w14:textId="77777777" w:rsidR="007B29DD" w:rsidRPr="009448CB" w:rsidRDefault="007B29DD" w:rsidP="007B29DD">
      <w:pPr>
        <w:pStyle w:val="BodyText"/>
        <w:keepNext/>
        <w:ind w:left="567"/>
        <w:rPr>
          <w:b/>
          <w:bCs/>
          <w:lang w:eastAsia="en-AU"/>
        </w:rPr>
      </w:pPr>
      <w:r w:rsidRPr="009448CB">
        <w:rPr>
          <w:b/>
          <w:bCs/>
          <w:lang w:eastAsia="en-AU"/>
        </w:rPr>
        <w:t>= (</w:t>
      </w:r>
      <w:r>
        <w:rPr>
          <w:b/>
          <w:bCs/>
          <w:lang w:eastAsia="en-AU"/>
        </w:rPr>
        <w:t>Year of interest</w:t>
      </w:r>
      <w:r w:rsidRPr="009448CB">
        <w:rPr>
          <w:b/>
          <w:bCs/>
          <w:lang w:eastAsia="en-AU"/>
        </w:rPr>
        <w:t xml:space="preserve"> </w:t>
      </w:r>
      <w:r>
        <w:rPr>
          <w:b/>
          <w:bCs/>
          <w:lang w:eastAsia="en-AU"/>
        </w:rPr>
        <w:t>-</w:t>
      </w:r>
      <w:r w:rsidRPr="009448CB">
        <w:rPr>
          <w:b/>
          <w:bCs/>
          <w:lang w:eastAsia="en-AU"/>
        </w:rPr>
        <w:t xml:space="preserve"> </w:t>
      </w:r>
      <w:r>
        <w:rPr>
          <w:b/>
          <w:bCs/>
          <w:lang w:eastAsia="en-AU"/>
        </w:rPr>
        <w:t>2040</w:t>
      </w:r>
      <w:r w:rsidRPr="009448CB">
        <w:rPr>
          <w:b/>
          <w:bCs/>
          <w:lang w:eastAsia="en-AU"/>
        </w:rPr>
        <w:t>) / (20</w:t>
      </w:r>
      <w:r>
        <w:rPr>
          <w:b/>
          <w:bCs/>
          <w:lang w:eastAsia="en-AU"/>
        </w:rPr>
        <w:t>65</w:t>
      </w:r>
      <w:r w:rsidRPr="009448CB">
        <w:rPr>
          <w:b/>
          <w:bCs/>
          <w:lang w:eastAsia="en-AU"/>
        </w:rPr>
        <w:t>-</w:t>
      </w:r>
      <w:r>
        <w:rPr>
          <w:b/>
          <w:bCs/>
          <w:lang w:eastAsia="en-AU"/>
        </w:rPr>
        <w:t>2040</w:t>
      </w:r>
      <w:r w:rsidRPr="009448CB">
        <w:rPr>
          <w:b/>
          <w:bCs/>
          <w:lang w:eastAsia="en-AU"/>
        </w:rPr>
        <w:t xml:space="preserve">) * (Projected change in </w:t>
      </w:r>
      <w:r>
        <w:rPr>
          <w:b/>
          <w:bCs/>
          <w:lang w:eastAsia="en-AU"/>
        </w:rPr>
        <w:t xml:space="preserve">2065 - Projected change in </w:t>
      </w:r>
      <w:r w:rsidRPr="009448CB">
        <w:rPr>
          <w:b/>
          <w:bCs/>
          <w:lang w:eastAsia="en-AU"/>
        </w:rPr>
        <w:t>2040)</w:t>
      </w:r>
    </w:p>
    <w:p w14:paraId="5D3E44BE" w14:textId="77777777" w:rsidR="007B29DD" w:rsidRDefault="007B29DD" w:rsidP="007B29DD">
      <w:pPr>
        <w:pStyle w:val="Caption"/>
        <w:keepNext w:val="0"/>
        <w:jc w:val="right"/>
      </w:pPr>
      <w:bookmarkStart w:id="450" w:name="_Ref40022112"/>
      <w:r>
        <w:t xml:space="preserve">Equation </w:t>
      </w:r>
      <w:r>
        <w:fldChar w:fldCharType="begin"/>
      </w:r>
      <w:r>
        <w:instrText>SEQ Equation \* ARABIC</w:instrText>
      </w:r>
      <w:r>
        <w:fldChar w:fldCharType="separate"/>
      </w:r>
      <w:r>
        <w:rPr>
          <w:noProof/>
        </w:rPr>
        <w:t>3</w:t>
      </w:r>
      <w:r>
        <w:fldChar w:fldCharType="end"/>
      </w:r>
      <w:bookmarkEnd w:id="450"/>
    </w:p>
    <w:p w14:paraId="38E0049E" w14:textId="77777777" w:rsidR="007B29DD" w:rsidRPr="00E94C02" w:rsidRDefault="007B29DD" w:rsidP="007B29DD">
      <w:pPr>
        <w:pStyle w:val="BodyText"/>
      </w:pPr>
    </w:p>
    <w:bookmarkEnd w:id="444"/>
    <w:p w14:paraId="051DE1D7" w14:textId="77777777" w:rsidR="007B29DD" w:rsidRDefault="007B29DD" w:rsidP="007B29DD">
      <w:pPr>
        <w:pStyle w:val="BodyText"/>
        <w:spacing w:after="0"/>
        <w:rPr>
          <w:lang w:eastAsia="en-AU"/>
        </w:rPr>
      </w:pPr>
      <w:r>
        <w:rPr>
          <w:noProof/>
        </w:rPr>
        <w:lastRenderedPageBreak/>
        <w:drawing>
          <wp:inline distT="0" distB="0" distL="0" distR="0" wp14:anchorId="2D5BA7BC" wp14:editId="02B1BB03">
            <wp:extent cx="6361654" cy="6731612"/>
            <wp:effectExtent l="19050" t="19050" r="20320" b="12700"/>
            <wp:docPr id="945704169" name="Picture 945704169" descr="Schematic to describe method to generate high, medium and low climate projections for 2040 from the outputs of global climate models; and method to interpolate between 1995 and 2040 runoff projections to generate runoff projections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77273" cy="6748140"/>
                    </a:xfrm>
                    <a:prstGeom prst="rect">
                      <a:avLst/>
                    </a:prstGeom>
                    <a:ln>
                      <a:solidFill>
                        <a:schemeClr val="bg1">
                          <a:lumMod val="65000"/>
                        </a:schemeClr>
                      </a:solidFill>
                    </a:ln>
                  </pic:spPr>
                </pic:pic>
              </a:graphicData>
            </a:graphic>
          </wp:inline>
        </w:drawing>
      </w:r>
    </w:p>
    <w:p w14:paraId="666DB0AC" w14:textId="77777777" w:rsidR="007B29DD" w:rsidRDefault="007B29DD" w:rsidP="007B29DD">
      <w:pPr>
        <w:pStyle w:val="Caption"/>
        <w:spacing w:before="0"/>
      </w:pPr>
      <w:bookmarkStart w:id="451" w:name="_Ref40017946"/>
      <w:bookmarkStart w:id="452" w:name="_Toc43476587"/>
      <w:bookmarkStart w:id="453" w:name="_Toc44928831"/>
      <w:bookmarkStart w:id="454" w:name="_Toc51237494"/>
      <w:bookmarkStart w:id="455" w:name="_Toc53586009"/>
      <w:bookmarkStart w:id="456" w:name="_Toc57377260"/>
      <w:r>
        <w:t xml:space="preserve">Figure </w:t>
      </w:r>
      <w:r>
        <w:fldChar w:fldCharType="begin"/>
      </w:r>
      <w:r>
        <w:instrText>SEQ Figure \* ARABIC</w:instrText>
      </w:r>
      <w:r>
        <w:fldChar w:fldCharType="separate"/>
      </w:r>
      <w:r>
        <w:rPr>
          <w:noProof/>
        </w:rPr>
        <w:t>18</w:t>
      </w:r>
      <w:r>
        <w:fldChar w:fldCharType="end"/>
      </w:r>
      <w:bookmarkEnd w:id="451"/>
      <w:r>
        <w:t xml:space="preserve"> Interpolation to generate projected low, medium and high climate and runoff at 2020</w:t>
      </w:r>
      <w:bookmarkEnd w:id="452"/>
      <w:bookmarkEnd w:id="453"/>
      <w:bookmarkEnd w:id="454"/>
      <w:bookmarkEnd w:id="455"/>
      <w:bookmarkEnd w:id="456"/>
    </w:p>
    <w:p w14:paraId="191F9FD6" w14:textId="77777777" w:rsidR="007B29DD" w:rsidRPr="00B155FA" w:rsidRDefault="007B29DD" w:rsidP="007B29DD">
      <w:pPr>
        <w:pStyle w:val="BodyText"/>
        <w:rPr>
          <w:lang w:eastAsia="en-AU"/>
        </w:rPr>
      </w:pPr>
    </w:p>
    <w:p w14:paraId="6D43970D" w14:textId="77777777" w:rsidR="007B29DD" w:rsidRDefault="007B29DD" w:rsidP="007B29DD">
      <w:pPr>
        <w:rPr>
          <w:rFonts w:cs="Times New Roman"/>
        </w:rPr>
      </w:pPr>
      <w:r>
        <w:br w:type="page"/>
      </w:r>
    </w:p>
    <w:p w14:paraId="5506C468" w14:textId="77777777" w:rsidR="007B29DD" w:rsidRDefault="007B29DD" w:rsidP="007B29DD">
      <w:pPr>
        <w:pStyle w:val="BodyText"/>
        <w:rPr>
          <w:lang w:eastAsia="en-AU"/>
        </w:rPr>
      </w:pPr>
    </w:p>
    <w:p w14:paraId="7FA9BF31" w14:textId="77777777" w:rsidR="007B29DD" w:rsidRDefault="007B29DD" w:rsidP="007B29DD">
      <w:pPr>
        <w:pStyle w:val="BodyText"/>
        <w:spacing w:after="0"/>
        <w:rPr>
          <w:lang w:eastAsia="en-AU"/>
        </w:rPr>
      </w:pPr>
      <w:r>
        <w:rPr>
          <w:noProof/>
        </w:rPr>
        <w:drawing>
          <wp:inline distT="0" distB="0" distL="0" distR="0" wp14:anchorId="6D19202C" wp14:editId="0BE0855E">
            <wp:extent cx="6361654" cy="6549452"/>
            <wp:effectExtent l="19050" t="19050" r="20320" b="22860"/>
            <wp:docPr id="945704170" name="Picture 945704170" descr="Schematic to describe method to generate high, medium and low climate projections for 2040 from the outputs of global climate models; and method to interpolate between 2020 and 2040 runoff projections to generate runoff projections for some time in the nea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7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65726" cy="6553644"/>
                    </a:xfrm>
                    <a:prstGeom prst="rect">
                      <a:avLst/>
                    </a:prstGeom>
                    <a:ln>
                      <a:solidFill>
                        <a:schemeClr val="bg1">
                          <a:lumMod val="65000"/>
                        </a:schemeClr>
                      </a:solidFill>
                    </a:ln>
                  </pic:spPr>
                </pic:pic>
              </a:graphicData>
            </a:graphic>
          </wp:inline>
        </w:drawing>
      </w:r>
    </w:p>
    <w:p w14:paraId="2E18ACD8" w14:textId="77777777" w:rsidR="007B29DD" w:rsidRDefault="007B29DD" w:rsidP="007B29DD">
      <w:pPr>
        <w:pStyle w:val="Caption"/>
        <w:spacing w:before="0"/>
      </w:pPr>
      <w:bookmarkStart w:id="457" w:name="_Ref40018566"/>
      <w:bookmarkStart w:id="458" w:name="_Toc43476588"/>
      <w:bookmarkStart w:id="459" w:name="_Toc44928832"/>
      <w:bookmarkStart w:id="460" w:name="_Toc51237495"/>
      <w:bookmarkStart w:id="461" w:name="_Toc53586010"/>
      <w:bookmarkStart w:id="462" w:name="_Toc57377261"/>
      <w:r>
        <w:t xml:space="preserve">Figure </w:t>
      </w:r>
      <w:r>
        <w:fldChar w:fldCharType="begin"/>
      </w:r>
      <w:r>
        <w:instrText>SEQ Figure \* ARABIC</w:instrText>
      </w:r>
      <w:r>
        <w:fldChar w:fldCharType="separate"/>
      </w:r>
      <w:r>
        <w:rPr>
          <w:noProof/>
        </w:rPr>
        <w:t>19</w:t>
      </w:r>
      <w:r>
        <w:fldChar w:fldCharType="end"/>
      </w:r>
      <w:bookmarkEnd w:id="457"/>
      <w:r>
        <w:t xml:space="preserve"> Interpolation of global climate model projections between 2020 and 2040</w:t>
      </w:r>
      <w:bookmarkEnd w:id="458"/>
      <w:bookmarkEnd w:id="459"/>
      <w:bookmarkEnd w:id="460"/>
      <w:bookmarkEnd w:id="461"/>
      <w:bookmarkEnd w:id="462"/>
    </w:p>
    <w:p w14:paraId="03AB9FA2" w14:textId="77777777" w:rsidR="007B29DD" w:rsidRDefault="007B29DD" w:rsidP="007B29DD">
      <w:pPr>
        <w:rPr>
          <w:rFonts w:cs="Times New Roman"/>
          <w:b/>
          <w:bCs/>
        </w:rPr>
      </w:pPr>
      <w:bookmarkStart w:id="463" w:name="_Toc43476485"/>
      <w:bookmarkStart w:id="464" w:name="_Toc44928730"/>
      <w:r>
        <w:rPr>
          <w:b/>
          <w:bCs/>
        </w:rPr>
        <w:br w:type="page"/>
      </w:r>
    </w:p>
    <w:p w14:paraId="6A17B010" w14:textId="77777777" w:rsidR="007B29DD" w:rsidRPr="00EE1974" w:rsidRDefault="007B29DD" w:rsidP="007B29DD">
      <w:pPr>
        <w:pStyle w:val="BodyText"/>
        <w:keepNext/>
        <w:rPr>
          <w:b/>
          <w:bCs/>
          <w:lang w:eastAsia="en-AU"/>
        </w:rPr>
      </w:pPr>
      <w:r w:rsidRPr="00EE1974">
        <w:rPr>
          <w:b/>
          <w:bCs/>
          <w:lang w:eastAsia="en-AU"/>
        </w:rPr>
        <w:lastRenderedPageBreak/>
        <w:t>Extrapolation from 2065</w:t>
      </w:r>
      <w:bookmarkEnd w:id="463"/>
      <w:bookmarkEnd w:id="464"/>
      <w:r w:rsidRPr="00EE1974">
        <w:rPr>
          <w:b/>
          <w:bCs/>
          <w:lang w:eastAsia="en-AU"/>
        </w:rPr>
        <w:t xml:space="preserve"> to 2075</w:t>
      </w:r>
    </w:p>
    <w:p w14:paraId="29CA4814" w14:textId="77777777" w:rsidR="007B29DD" w:rsidRDefault="007B29DD" w:rsidP="007B29DD">
      <w:pPr>
        <w:pStyle w:val="BodyText"/>
        <w:rPr>
          <w:lang w:eastAsia="en-AU"/>
        </w:rPr>
      </w:pPr>
      <w:r>
        <w:rPr>
          <w:lang w:eastAsia="en-AU"/>
        </w:rPr>
        <w:t xml:space="preserve">Beyond 2065, the linear trend from 2040 to 2065 can be linearly extrapolated up to the year 2075 as per </w:t>
      </w:r>
      <w:r>
        <w:rPr>
          <w:lang w:eastAsia="en-AU"/>
        </w:rPr>
        <w:fldChar w:fldCharType="begin"/>
      </w:r>
      <w:r>
        <w:rPr>
          <w:lang w:eastAsia="en-AU"/>
        </w:rPr>
        <w:instrText xml:space="preserve"> REF _Ref40164782 \h </w:instrText>
      </w:r>
      <w:r>
        <w:rPr>
          <w:lang w:eastAsia="en-AU"/>
        </w:rPr>
      </w:r>
      <w:r>
        <w:rPr>
          <w:lang w:eastAsia="en-AU"/>
        </w:rPr>
        <w:fldChar w:fldCharType="separate"/>
      </w:r>
      <w:r>
        <w:t xml:space="preserve">Equation </w:t>
      </w:r>
      <w:r>
        <w:rPr>
          <w:noProof/>
        </w:rPr>
        <w:t>4</w:t>
      </w:r>
      <w:r>
        <w:rPr>
          <w:lang w:eastAsia="en-AU"/>
        </w:rPr>
        <w:fldChar w:fldCharType="end"/>
      </w:r>
      <w:r>
        <w:rPr>
          <w:lang w:eastAsia="en-AU"/>
        </w:rPr>
        <w:t xml:space="preserve">. This will enable a 50-year projection to be made for urban water strategies over the anticipated life of these guidelines. Based on the temperature projections up to 2100 previously presented in </w:t>
      </w:r>
      <w:r>
        <w:rPr>
          <w:lang w:eastAsia="en-AU"/>
        </w:rPr>
        <w:fldChar w:fldCharType="begin"/>
      </w:r>
      <w:r>
        <w:rPr>
          <w:lang w:eastAsia="en-AU"/>
        </w:rPr>
        <w:instrText xml:space="preserve"> REF _Ref53048925 \h </w:instrText>
      </w:r>
      <w:r>
        <w:rPr>
          <w:lang w:eastAsia="en-AU"/>
        </w:rPr>
      </w:r>
      <w:r>
        <w:rPr>
          <w:lang w:eastAsia="en-AU"/>
        </w:rPr>
        <w:fldChar w:fldCharType="separate"/>
      </w:r>
      <w:r>
        <w:t xml:space="preserve">Figure </w:t>
      </w:r>
      <w:r>
        <w:rPr>
          <w:noProof/>
        </w:rPr>
        <w:t>11</w:t>
      </w:r>
      <w:r>
        <w:rPr>
          <w:lang w:eastAsia="en-AU"/>
        </w:rPr>
        <w:fldChar w:fldCharType="end"/>
      </w:r>
      <w:r>
        <w:rPr>
          <w:lang w:eastAsia="en-AU"/>
        </w:rPr>
        <w:t xml:space="preserve"> (Section </w:t>
      </w:r>
      <w:r>
        <w:rPr>
          <w:lang w:eastAsia="en-AU"/>
        </w:rPr>
        <w:fldChar w:fldCharType="begin"/>
      </w:r>
      <w:r>
        <w:rPr>
          <w:lang w:eastAsia="en-AU"/>
        </w:rPr>
        <w:instrText xml:space="preserve"> REF _Ref39500330 \r \h </w:instrText>
      </w:r>
      <w:r>
        <w:rPr>
          <w:lang w:eastAsia="en-AU"/>
        </w:rPr>
      </w:r>
      <w:r>
        <w:rPr>
          <w:lang w:eastAsia="en-AU"/>
        </w:rPr>
        <w:fldChar w:fldCharType="separate"/>
      </w:r>
      <w:r>
        <w:rPr>
          <w:lang w:eastAsia="en-AU"/>
        </w:rPr>
        <w:t>4.3</w:t>
      </w:r>
      <w:r>
        <w:rPr>
          <w:lang w:eastAsia="en-AU"/>
        </w:rPr>
        <w:fldChar w:fldCharType="end"/>
      </w:r>
      <w:r>
        <w:rPr>
          <w:lang w:eastAsia="en-AU"/>
        </w:rPr>
        <w:t>), for RCP8.5 this extrapolation method is expected to marginally under-estimate the projected change beyond 2065, and for RCP4.5 it is expected to marginally over-estimate the projected change beyond 2065.</w:t>
      </w:r>
    </w:p>
    <w:p w14:paraId="503C012E" w14:textId="77777777" w:rsidR="007B29DD" w:rsidRDefault="007B29DD" w:rsidP="007B29DD">
      <w:pPr>
        <w:pStyle w:val="BodyText"/>
        <w:keepNext/>
        <w:ind w:left="567"/>
        <w:rPr>
          <w:b/>
          <w:bCs/>
          <w:lang w:eastAsia="en-AU"/>
        </w:rPr>
      </w:pPr>
      <w:r w:rsidRPr="009448CB">
        <w:rPr>
          <w:b/>
          <w:bCs/>
          <w:lang w:eastAsia="en-AU"/>
        </w:rPr>
        <w:t xml:space="preserve">Projected climate change </w:t>
      </w:r>
      <w:r>
        <w:rPr>
          <w:b/>
          <w:bCs/>
          <w:lang w:eastAsia="en-AU"/>
        </w:rPr>
        <w:t>between 2065 and 2075</w:t>
      </w:r>
    </w:p>
    <w:p w14:paraId="29061A5A" w14:textId="77777777" w:rsidR="007B29DD" w:rsidRDefault="007B29DD" w:rsidP="007B29DD">
      <w:pPr>
        <w:pStyle w:val="BodyText"/>
        <w:keepNext/>
        <w:ind w:left="567"/>
        <w:rPr>
          <w:b/>
          <w:bCs/>
          <w:lang w:eastAsia="en-AU"/>
        </w:rPr>
      </w:pPr>
      <w:r w:rsidRPr="009448CB">
        <w:rPr>
          <w:b/>
          <w:bCs/>
          <w:lang w:eastAsia="en-AU"/>
        </w:rPr>
        <w:t xml:space="preserve">= Projected change in </w:t>
      </w:r>
      <w:r>
        <w:rPr>
          <w:b/>
          <w:bCs/>
          <w:lang w:eastAsia="en-AU"/>
        </w:rPr>
        <w:t xml:space="preserve">2065 + </w:t>
      </w:r>
    </w:p>
    <w:p w14:paraId="6A2DC3F6" w14:textId="77777777" w:rsidR="007B29DD" w:rsidRDefault="007B29DD" w:rsidP="007B29DD">
      <w:pPr>
        <w:pStyle w:val="BodyText"/>
        <w:keepNext/>
        <w:ind w:left="567"/>
        <w:rPr>
          <w:b/>
          <w:bCs/>
          <w:lang w:eastAsia="en-AU"/>
        </w:rPr>
      </w:pPr>
      <w:r>
        <w:rPr>
          <w:b/>
          <w:bCs/>
          <w:lang w:eastAsia="en-AU"/>
        </w:rPr>
        <w:t>[</w:t>
      </w:r>
      <w:r w:rsidRPr="009448CB">
        <w:rPr>
          <w:b/>
          <w:bCs/>
          <w:lang w:eastAsia="en-AU"/>
        </w:rPr>
        <w:t xml:space="preserve">(Projected change in </w:t>
      </w:r>
      <w:r>
        <w:rPr>
          <w:b/>
          <w:bCs/>
          <w:lang w:eastAsia="en-AU"/>
        </w:rPr>
        <w:t xml:space="preserve">2065 - Projected change in </w:t>
      </w:r>
      <w:r w:rsidRPr="009448CB">
        <w:rPr>
          <w:b/>
          <w:bCs/>
          <w:lang w:eastAsia="en-AU"/>
        </w:rPr>
        <w:t>2040)</w:t>
      </w:r>
      <w:r>
        <w:rPr>
          <w:b/>
          <w:bCs/>
          <w:lang w:eastAsia="en-AU"/>
        </w:rPr>
        <w:t xml:space="preserve"> / (2065-2040)] * (Year of interest – 2065)</w:t>
      </w:r>
    </w:p>
    <w:p w14:paraId="78C3A954" w14:textId="77777777" w:rsidR="007B29DD" w:rsidRDefault="007B29DD" w:rsidP="007B29DD">
      <w:pPr>
        <w:pStyle w:val="Caption"/>
        <w:keepNext w:val="0"/>
        <w:jc w:val="right"/>
      </w:pPr>
      <w:bookmarkStart w:id="465" w:name="_Ref40164782"/>
      <w:r>
        <w:t xml:space="preserve">Equation </w:t>
      </w:r>
      <w:r>
        <w:fldChar w:fldCharType="begin"/>
      </w:r>
      <w:r>
        <w:instrText>SEQ Equation \* ARABIC</w:instrText>
      </w:r>
      <w:r>
        <w:fldChar w:fldCharType="separate"/>
      </w:r>
      <w:r>
        <w:rPr>
          <w:noProof/>
        </w:rPr>
        <w:t>4</w:t>
      </w:r>
      <w:r>
        <w:fldChar w:fldCharType="end"/>
      </w:r>
      <w:bookmarkEnd w:id="465"/>
    </w:p>
    <w:p w14:paraId="0543EA1D" w14:textId="77777777" w:rsidR="007B29DD" w:rsidRPr="00EE1974" w:rsidRDefault="007B29DD" w:rsidP="007B29DD">
      <w:pPr>
        <w:pStyle w:val="BodyText"/>
        <w:rPr>
          <w:b/>
          <w:bCs/>
          <w:lang w:eastAsia="en-AU"/>
        </w:rPr>
      </w:pPr>
      <w:r w:rsidRPr="00EE1974">
        <w:rPr>
          <w:b/>
          <w:bCs/>
          <w:lang w:eastAsia="en-AU"/>
        </w:rPr>
        <w:t>Extrapolation beyond 2075</w:t>
      </w:r>
    </w:p>
    <w:p w14:paraId="197911E9" w14:textId="77777777" w:rsidR="007B29DD" w:rsidRDefault="007B29DD" w:rsidP="007B29DD">
      <w:pPr>
        <w:pStyle w:val="BodyText"/>
      </w:pPr>
      <w:r>
        <w:rPr>
          <w:lang w:eastAsia="en-AU"/>
        </w:rPr>
        <w:t>If climate change projections are required beyond the year 2075 up to the year 2100, it is recommended that the relative change in projections from the year 2070 to the year 2090 be obtained from alternative projections, such as VCP19 (Clarke et al., 2019a) or the Climate Change in Australia projections for Australia’s NRM regions (Grose et al., 2015a; Timbal et al., 2015), noting that these projections are available for rainfall, but not runoff, at the time of publishing these guidelines in 2020. Beyond 2100, it is recommended that specific advice from climate scientists should be obtained.</w:t>
      </w:r>
    </w:p>
    <w:p w14:paraId="54B0D409" w14:textId="77777777" w:rsidR="007B29DD" w:rsidRPr="00306AF1" w:rsidRDefault="007B29DD" w:rsidP="007B29DD">
      <w:pPr>
        <w:pStyle w:val="Heading3"/>
        <w:numPr>
          <w:ilvl w:val="2"/>
          <w:numId w:val="5"/>
        </w:numPr>
        <w:tabs>
          <w:tab w:val="left" w:pos="1418"/>
          <w:tab w:val="left" w:pos="1701"/>
          <w:tab w:val="left" w:pos="1985"/>
        </w:tabs>
        <w:spacing w:before="200" w:after="100" w:line="240" w:lineRule="exact"/>
        <w:rPr>
          <w:b/>
          <w:bCs/>
          <w:color w:val="000000" w:themeColor="text1"/>
        </w:rPr>
      </w:pPr>
      <w:bookmarkStart w:id="466" w:name="_Toc51658001"/>
      <w:bookmarkStart w:id="467" w:name="_Toc53585906"/>
      <w:bookmarkStart w:id="468" w:name="_Toc57377157"/>
      <w:bookmarkStart w:id="469" w:name="_Ref39909586"/>
      <w:bookmarkStart w:id="470" w:name="_Toc43476486"/>
      <w:bookmarkStart w:id="471" w:name="_Toc44928731"/>
      <w:r w:rsidRPr="00306AF1">
        <w:rPr>
          <w:b/>
          <w:bCs/>
          <w:color w:val="000000" w:themeColor="text1"/>
        </w:rPr>
        <w:t>Projecting the post-1997 step climate change scenario</w:t>
      </w:r>
      <w:bookmarkEnd w:id="466"/>
      <w:bookmarkEnd w:id="467"/>
      <w:bookmarkEnd w:id="468"/>
    </w:p>
    <w:p w14:paraId="1EC3468C" w14:textId="77777777" w:rsidR="007B29DD" w:rsidRDefault="007B29DD" w:rsidP="007B29DD">
      <w:pPr>
        <w:pStyle w:val="BodyText"/>
      </w:pPr>
      <w:r>
        <w:rPr>
          <w:lang w:eastAsia="en-AU"/>
        </w:rPr>
        <w:t>The p</w:t>
      </w:r>
      <w:r w:rsidRPr="00A20CD9">
        <w:rPr>
          <w:lang w:eastAsia="en-AU"/>
        </w:rPr>
        <w:t xml:space="preserve">ost-1997 step climate change scenario is projected </w:t>
      </w:r>
      <w:r>
        <w:rPr>
          <w:lang w:eastAsia="en-AU"/>
        </w:rPr>
        <w:t>from</w:t>
      </w:r>
      <w:r w:rsidRPr="00A20CD9">
        <w:rPr>
          <w:lang w:eastAsia="en-AU"/>
        </w:rPr>
        <w:t xml:space="preserve"> the post-1997 historic climate </w:t>
      </w:r>
      <w:r>
        <w:rPr>
          <w:lang w:eastAsia="en-AU"/>
        </w:rPr>
        <w:t>reference period, but without the use of GCM-derived projections</w:t>
      </w:r>
      <w:r w:rsidRPr="00A20CD9">
        <w:rPr>
          <w:lang w:eastAsia="en-AU"/>
        </w:rPr>
        <w:t>.</w:t>
      </w:r>
      <w:r>
        <w:rPr>
          <w:lang w:eastAsia="en-AU"/>
        </w:rPr>
        <w:t xml:space="preserve"> It assumes that the climate and streamflow experienced post-1997 will continue into the future. </w:t>
      </w:r>
      <w:r>
        <w:t>This scenario is especially important for near-term applications but is also relevant for long-term planning until such time as the high climate change scenario becomes drier than observed post-1997 conditions.</w:t>
      </w:r>
      <w:r w:rsidRPr="00C6393A">
        <w:t xml:space="preserve"> </w:t>
      </w:r>
      <w:r>
        <w:t xml:space="preserve">This scenario assumes that (i) </w:t>
      </w:r>
      <w:r w:rsidRPr="006D39CE">
        <w:t xml:space="preserve">projected climate change has already occurred </w:t>
      </w:r>
      <w:r>
        <w:t>as a step change in 1997, (ii) no further climate change has occurred from 1997 to date, and (iii) no further climate change will occur into the future</w:t>
      </w:r>
      <w:r w:rsidRPr="006D39CE">
        <w:t>.</w:t>
      </w:r>
    </w:p>
    <w:p w14:paraId="44762434" w14:textId="77777777" w:rsidR="007B29DD" w:rsidRPr="00306AF1" w:rsidRDefault="007B29DD" w:rsidP="007B29DD">
      <w:pPr>
        <w:pStyle w:val="Heading3"/>
        <w:numPr>
          <w:ilvl w:val="2"/>
          <w:numId w:val="5"/>
        </w:numPr>
        <w:tabs>
          <w:tab w:val="left" w:pos="1418"/>
          <w:tab w:val="left" w:pos="1701"/>
          <w:tab w:val="left" w:pos="1985"/>
        </w:tabs>
        <w:spacing w:before="200" w:after="100" w:line="240" w:lineRule="exact"/>
        <w:rPr>
          <w:b/>
          <w:bCs/>
          <w:color w:val="000000" w:themeColor="text1"/>
        </w:rPr>
      </w:pPr>
      <w:bookmarkStart w:id="472" w:name="_Toc51658002"/>
      <w:bookmarkStart w:id="473" w:name="_Toc53585907"/>
      <w:bookmarkStart w:id="474" w:name="_Toc57377158"/>
      <w:r w:rsidRPr="00306AF1">
        <w:rPr>
          <w:b/>
          <w:bCs/>
          <w:color w:val="000000" w:themeColor="text1"/>
        </w:rPr>
        <w:t>What is the current status of the climate and water availability?</w:t>
      </w:r>
      <w:bookmarkEnd w:id="472"/>
      <w:bookmarkEnd w:id="473"/>
      <w:bookmarkEnd w:id="474"/>
    </w:p>
    <w:p w14:paraId="0357B357" w14:textId="77777777" w:rsidR="007B29DD" w:rsidRDefault="007B29DD" w:rsidP="007B29DD">
      <w:pPr>
        <w:pStyle w:val="BodyText"/>
        <w:rPr>
          <w:lang w:eastAsia="en-AU"/>
        </w:rPr>
      </w:pPr>
      <w:r>
        <w:rPr>
          <w:lang w:eastAsia="en-AU"/>
        </w:rPr>
        <w:t>For long-term planning applications, understanding current climate and water availability over a long-term climate sequence is important for assessing current streamflow characteristics or supply system performance, as well as providing an important reference point from which to compare that performance over coming decades under climate change.</w:t>
      </w:r>
    </w:p>
    <w:p w14:paraId="5687B8EA" w14:textId="77777777" w:rsidR="007B29DD" w:rsidRDefault="007B29DD" w:rsidP="007B29DD">
      <w:pPr>
        <w:pStyle w:val="BodyText"/>
        <w:rPr>
          <w:lang w:eastAsia="en-AU"/>
        </w:rPr>
      </w:pPr>
      <w:r>
        <w:rPr>
          <w:lang w:eastAsia="en-AU"/>
        </w:rPr>
        <w:t xml:space="preserve">As discussed previously in Section </w:t>
      </w:r>
      <w:r>
        <w:rPr>
          <w:lang w:eastAsia="en-AU"/>
        </w:rPr>
        <w:fldChar w:fldCharType="begin"/>
      </w:r>
      <w:r>
        <w:rPr>
          <w:lang w:eastAsia="en-AU"/>
        </w:rPr>
        <w:instrText xml:space="preserve"> REF _Ref39736145 \r \h </w:instrText>
      </w:r>
      <w:r>
        <w:rPr>
          <w:lang w:eastAsia="en-AU"/>
        </w:rPr>
      </w:r>
      <w:r>
        <w:rPr>
          <w:lang w:eastAsia="en-AU"/>
        </w:rPr>
        <w:fldChar w:fldCharType="separate"/>
      </w:r>
      <w:r>
        <w:rPr>
          <w:lang w:eastAsia="en-AU"/>
        </w:rPr>
        <w:t>4</w:t>
      </w:r>
      <w:r>
        <w:rPr>
          <w:lang w:eastAsia="en-AU"/>
        </w:rPr>
        <w:fldChar w:fldCharType="end"/>
      </w:r>
      <w:r>
        <w:rPr>
          <w:lang w:eastAsia="en-AU"/>
        </w:rPr>
        <w:t>, the precise rate of historical climate change attributable to anthropogenic forcing is uncertain, as reflected in the range of high, medium and low GCM projections from 1995 to date. Clearly, real-world observations from today are the best representation of current climate and water availability under current levels of greenhouse gas concentrations. However, the further back in time these real-world observations have been recorded, the more likely that they would manifest differently today, given the historical changes in greenhouse gas concentrations that have occurred between the observation being made and today. The adoption of the post-1975 and post-1997 historic climate reference periods allows for these changes prior to 1975 and 1997 respectively. However, it is still quite possible that climate events since these two dates would manifest differently if they were to commence today, rather than in a previous decade, due to the different levels of greenhouse gas concentrations over these reference periods.</w:t>
      </w:r>
    </w:p>
    <w:p w14:paraId="2FCDDE92" w14:textId="77777777" w:rsidR="007B29DD" w:rsidRPr="00E41E46" w:rsidRDefault="007B29DD" w:rsidP="007B29DD">
      <w:pPr>
        <w:pStyle w:val="BodyText"/>
      </w:pPr>
      <w:r>
        <w:rPr>
          <w:lang w:eastAsia="en-AU"/>
        </w:rPr>
        <w:t>For these guidelines, our understanding of a long-term representation of current climate and water availability reflects this uncertainty by representing it in a number of different ways. Firstly, this includes an estimate of current (~2020) climate and water availability under high, medium and low GCM projections from 1995 to date. These provide three alternative, equally plausible realisations of what our current climate and water availability would look like in the long-term. Post-1997 observations are adopted as a fourth, equally plausible, alternative realisation of current long-term climate and water availability, which assumes that historical anthropogenic climate change occurred largely as a step change in 1997.</w:t>
      </w:r>
    </w:p>
    <w:p w14:paraId="07E060A8" w14:textId="77777777" w:rsidR="007B29DD" w:rsidRPr="000E509D" w:rsidRDefault="007B29DD" w:rsidP="007B29DD">
      <w:pPr>
        <w:pStyle w:val="BodyText"/>
        <w:rPr>
          <w:lang w:eastAsia="en-AU"/>
        </w:rPr>
      </w:pPr>
      <w:r>
        <w:rPr>
          <w:lang w:eastAsia="en-AU"/>
        </w:rPr>
        <w:t xml:space="preserve">It may seem counter-intuitive to represent current climate and water availability as a range under climate change, but it is reflective of the non-stationary nature of the current climate. In other words, the current climate is responding to increased and increasing levels of greenhouse gases in the earth’s atmosphere. Our understanding of the climate is continuing to improve, but there is still considerable uncertainty associated with global climate modelling, including how much of the current climate is attributable to anthropogenic climate change and how much is attributable to </w:t>
      </w:r>
      <w:r>
        <w:rPr>
          <w:lang w:eastAsia="en-AU"/>
        </w:rPr>
        <w:lastRenderedPageBreak/>
        <w:t>natural climate variability. By expressing current climate and runoff as a range under climate change, this uncertainty is acknowledged.</w:t>
      </w:r>
    </w:p>
    <w:p w14:paraId="45E8C9CC"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475" w:name="_Ref50125016"/>
      <w:bookmarkStart w:id="476" w:name="_Toc51658003"/>
      <w:bookmarkStart w:id="477" w:name="_Toc53585908"/>
      <w:bookmarkStart w:id="478" w:name="_Toc57377159"/>
      <w:r w:rsidRPr="00306AF1">
        <w:rPr>
          <w:b/>
          <w:bCs/>
          <w:color w:val="000000" w:themeColor="text1"/>
        </w:rPr>
        <w:t>Applying climate change projections to temperature</w:t>
      </w:r>
      <w:bookmarkEnd w:id="469"/>
      <w:bookmarkEnd w:id="470"/>
      <w:bookmarkEnd w:id="471"/>
      <w:bookmarkEnd w:id="475"/>
      <w:bookmarkEnd w:id="476"/>
      <w:bookmarkEnd w:id="477"/>
      <w:bookmarkEnd w:id="478"/>
    </w:p>
    <w:p w14:paraId="0E927CDE"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479" w:name="_Ref40083864"/>
      <w:bookmarkStart w:id="480" w:name="_Toc43476487"/>
      <w:bookmarkStart w:id="481" w:name="_Toc44928732"/>
      <w:bookmarkStart w:id="482" w:name="_Toc51658004"/>
      <w:bookmarkStart w:id="483" w:name="_Toc53585909"/>
      <w:bookmarkStart w:id="484" w:name="_Toc57377160"/>
      <w:r w:rsidRPr="00306AF1">
        <w:rPr>
          <w:b/>
          <w:bCs/>
          <w:color w:val="000000" w:themeColor="text1"/>
        </w:rPr>
        <w:t>Average annual temperature changes</w:t>
      </w:r>
      <w:bookmarkEnd w:id="479"/>
      <w:bookmarkEnd w:id="480"/>
      <w:bookmarkEnd w:id="481"/>
      <w:bookmarkEnd w:id="482"/>
      <w:bookmarkEnd w:id="483"/>
      <w:bookmarkEnd w:id="484"/>
    </w:p>
    <w:p w14:paraId="24CCF763" w14:textId="77777777" w:rsidR="007B29DD" w:rsidRDefault="007B29DD" w:rsidP="007B29DD">
      <w:pPr>
        <w:pStyle w:val="BodyText"/>
        <w:rPr>
          <w:lang w:eastAsia="en-AU"/>
        </w:rPr>
      </w:pPr>
      <w:r w:rsidRPr="00721167">
        <w:rPr>
          <w:lang w:eastAsia="en-AU"/>
        </w:rPr>
        <w:t xml:space="preserve">The </w:t>
      </w:r>
      <w:r>
        <w:rPr>
          <w:lang w:eastAsia="en-AU"/>
        </w:rPr>
        <w:t xml:space="preserve">GCM-derived projected </w:t>
      </w:r>
      <w:r w:rsidRPr="00721167">
        <w:rPr>
          <w:lang w:eastAsia="en-AU"/>
        </w:rPr>
        <w:t xml:space="preserve">changes in </w:t>
      </w:r>
      <w:r>
        <w:rPr>
          <w:lang w:eastAsia="en-AU"/>
        </w:rPr>
        <w:t xml:space="preserve">average annual </w:t>
      </w:r>
      <w:r w:rsidRPr="00721167">
        <w:rPr>
          <w:lang w:eastAsia="en-AU"/>
        </w:rPr>
        <w:t xml:space="preserve">temperature </w:t>
      </w:r>
      <w:r>
        <w:rPr>
          <w:lang w:eastAsia="en-AU"/>
        </w:rPr>
        <w:t>for each river basin are</w:t>
      </w:r>
      <w:r w:rsidRPr="00721167">
        <w:rPr>
          <w:lang w:eastAsia="en-AU"/>
        </w:rPr>
        <w:t xml:space="preserve"> presented in </w:t>
      </w:r>
      <w:r>
        <w:rPr>
          <w:lang w:eastAsia="en-AU"/>
        </w:rPr>
        <w:fldChar w:fldCharType="begin"/>
      </w:r>
      <w:r>
        <w:rPr>
          <w:lang w:eastAsia="en-AU"/>
        </w:rPr>
        <w:instrText xml:space="preserve"> REF _Ref40083044 \h </w:instrText>
      </w:r>
      <w:r>
        <w:rPr>
          <w:lang w:eastAsia="en-AU"/>
        </w:rPr>
      </w:r>
      <w:r>
        <w:rPr>
          <w:lang w:eastAsia="en-AU"/>
        </w:rPr>
        <w:fldChar w:fldCharType="separate"/>
      </w:r>
      <w:r w:rsidRPr="00FC65EF">
        <w:t xml:space="preserve">Table </w:t>
      </w:r>
      <w:r>
        <w:rPr>
          <w:noProof/>
        </w:rPr>
        <w:t>3</w:t>
      </w:r>
      <w:r>
        <w:rPr>
          <w:lang w:eastAsia="en-AU"/>
        </w:rPr>
        <w:fldChar w:fldCharType="end"/>
      </w:r>
      <w:r w:rsidRPr="00721167">
        <w:rPr>
          <w:lang w:eastAsia="en-AU"/>
        </w:rPr>
        <w:t xml:space="preserve">. </w:t>
      </w:r>
      <w:r>
        <w:rPr>
          <w:lang w:eastAsia="en-AU"/>
        </w:rPr>
        <w:t>These should only be applied to the post-1975 historic climate reference period (not the post-1997 historic climate reference period).</w:t>
      </w:r>
    </w:p>
    <w:p w14:paraId="663B6748" w14:textId="77777777" w:rsidR="007B29DD" w:rsidRDefault="007B29DD" w:rsidP="007B29DD">
      <w:pPr>
        <w:pStyle w:val="BodyText"/>
        <w:rPr>
          <w:lang w:eastAsia="en-AU"/>
        </w:rPr>
      </w:pPr>
      <w:r w:rsidRPr="00721167">
        <w:rPr>
          <w:lang w:eastAsia="en-AU"/>
        </w:rPr>
        <w:t xml:space="preserve">In the East Gippsland </w:t>
      </w:r>
      <w:r>
        <w:rPr>
          <w:lang w:eastAsia="en-AU"/>
        </w:rPr>
        <w:t>B</w:t>
      </w:r>
      <w:r w:rsidRPr="00721167">
        <w:rPr>
          <w:lang w:eastAsia="en-AU"/>
        </w:rPr>
        <w:t xml:space="preserve">asin for example, </w:t>
      </w:r>
      <w:r>
        <w:rPr>
          <w:lang w:eastAsia="en-AU"/>
        </w:rPr>
        <w:t xml:space="preserve">under the RCP8.5 emissions scenario, </w:t>
      </w:r>
      <w:r w:rsidRPr="00721167">
        <w:rPr>
          <w:lang w:eastAsia="en-AU"/>
        </w:rPr>
        <w:t xml:space="preserve">average </w:t>
      </w:r>
      <w:r>
        <w:rPr>
          <w:lang w:eastAsia="en-AU"/>
        </w:rPr>
        <w:t>annual</w:t>
      </w:r>
      <w:r w:rsidRPr="00721167">
        <w:rPr>
          <w:lang w:eastAsia="en-AU"/>
        </w:rPr>
        <w:t xml:space="preserve"> temperature is projected to increase by </w:t>
      </w:r>
      <w:r>
        <w:rPr>
          <w:lang w:eastAsia="en-AU"/>
        </w:rPr>
        <w:t>1.0–1.7</w:t>
      </w:r>
      <w:r w:rsidRPr="00721167">
        <w:rPr>
          <w:vertAlign w:val="superscript"/>
          <w:lang w:eastAsia="en-AU"/>
        </w:rPr>
        <w:t>o</w:t>
      </w:r>
      <w:r w:rsidRPr="00721167">
        <w:rPr>
          <w:lang w:eastAsia="en-AU"/>
        </w:rPr>
        <w:t xml:space="preserve">C by 2040 relative to </w:t>
      </w:r>
      <w:r>
        <w:rPr>
          <w:lang w:eastAsia="en-AU"/>
        </w:rPr>
        <w:t>1995, with a median projection of 1.3</w:t>
      </w:r>
      <w:r w:rsidRPr="00D47BF0">
        <w:rPr>
          <w:vertAlign w:val="superscript"/>
          <w:lang w:eastAsia="en-AU"/>
        </w:rPr>
        <w:t>o</w:t>
      </w:r>
      <w:r>
        <w:rPr>
          <w:lang w:eastAsia="en-AU"/>
        </w:rPr>
        <w:t>C</w:t>
      </w:r>
      <w:r w:rsidRPr="00721167">
        <w:rPr>
          <w:lang w:eastAsia="en-AU"/>
        </w:rPr>
        <w:t>.</w:t>
      </w:r>
      <w:r>
        <w:rPr>
          <w:lang w:eastAsia="en-AU"/>
        </w:rPr>
        <w:t xml:space="preserve"> </w:t>
      </w:r>
      <w:r w:rsidRPr="00721167">
        <w:rPr>
          <w:lang w:eastAsia="en-AU"/>
        </w:rPr>
        <w:t xml:space="preserve">Projected changes in maximum daily temperature are similar in magnitude to changes in average daily temperature in </w:t>
      </w:r>
      <w:r>
        <w:rPr>
          <w:lang w:eastAsia="en-AU"/>
        </w:rPr>
        <w:t>Victoria</w:t>
      </w:r>
      <w:r w:rsidRPr="00721167">
        <w:rPr>
          <w:lang w:eastAsia="en-AU"/>
        </w:rPr>
        <w:t xml:space="preserve"> (Grose et al., 2015)</w:t>
      </w:r>
      <w:r>
        <w:rPr>
          <w:lang w:eastAsia="en-AU"/>
        </w:rPr>
        <w:t xml:space="preserve">, hence the values in </w:t>
      </w:r>
      <w:r>
        <w:rPr>
          <w:lang w:eastAsia="en-AU"/>
        </w:rPr>
        <w:fldChar w:fldCharType="begin"/>
      </w:r>
      <w:r>
        <w:rPr>
          <w:lang w:eastAsia="en-AU"/>
        </w:rPr>
        <w:instrText xml:space="preserve"> REF _Ref40083044 \h </w:instrText>
      </w:r>
      <w:r>
        <w:rPr>
          <w:lang w:eastAsia="en-AU"/>
        </w:rPr>
      </w:r>
      <w:r>
        <w:rPr>
          <w:lang w:eastAsia="en-AU"/>
        </w:rPr>
        <w:fldChar w:fldCharType="separate"/>
      </w:r>
      <w:r w:rsidRPr="00FC65EF">
        <w:t xml:space="preserve">Table </w:t>
      </w:r>
      <w:r>
        <w:rPr>
          <w:noProof/>
        </w:rPr>
        <w:t>3</w:t>
      </w:r>
      <w:r>
        <w:rPr>
          <w:lang w:eastAsia="en-AU"/>
        </w:rPr>
        <w:fldChar w:fldCharType="end"/>
      </w:r>
      <w:r>
        <w:rPr>
          <w:lang w:eastAsia="en-AU"/>
        </w:rPr>
        <w:t xml:space="preserve"> can be applied to maximum daily temperature values. The exception is temperatures on days of extreme heat. Changes in peak seasonal temperatures will be higher than these average annual changes (Clarke et al., 2019a), as discussed further in Section </w:t>
      </w:r>
      <w:r>
        <w:rPr>
          <w:lang w:eastAsia="en-AU"/>
        </w:rPr>
        <w:fldChar w:fldCharType="begin"/>
      </w:r>
      <w:r>
        <w:rPr>
          <w:lang w:eastAsia="en-AU"/>
        </w:rPr>
        <w:instrText xml:space="preserve"> REF _Ref40166440 \r \h </w:instrText>
      </w:r>
      <w:r>
        <w:rPr>
          <w:lang w:eastAsia="en-AU"/>
        </w:rPr>
      </w:r>
      <w:r>
        <w:rPr>
          <w:lang w:eastAsia="en-AU"/>
        </w:rPr>
        <w:fldChar w:fldCharType="separate"/>
      </w:r>
      <w:r>
        <w:rPr>
          <w:lang w:eastAsia="en-AU"/>
        </w:rPr>
        <w:t>5.7.2</w:t>
      </w:r>
      <w:r>
        <w:rPr>
          <w:lang w:eastAsia="en-AU"/>
        </w:rPr>
        <w:fldChar w:fldCharType="end"/>
      </w:r>
      <w:r w:rsidRPr="00721167">
        <w:rPr>
          <w:lang w:eastAsia="en-AU"/>
        </w:rPr>
        <w:t>.</w:t>
      </w:r>
      <w:r>
        <w:rPr>
          <w:lang w:eastAsia="en-AU"/>
        </w:rPr>
        <w:t xml:space="preserve"> Changes in minimum temperatures will be lower than these average annual changes, which is also considered further in Section </w:t>
      </w:r>
      <w:r>
        <w:rPr>
          <w:lang w:eastAsia="en-AU"/>
        </w:rPr>
        <w:fldChar w:fldCharType="begin"/>
      </w:r>
      <w:r>
        <w:rPr>
          <w:lang w:eastAsia="en-AU"/>
        </w:rPr>
        <w:instrText xml:space="preserve"> REF _Ref40166440 \r \h </w:instrText>
      </w:r>
      <w:r>
        <w:rPr>
          <w:lang w:eastAsia="en-AU"/>
        </w:rPr>
      </w:r>
      <w:r>
        <w:rPr>
          <w:lang w:eastAsia="en-AU"/>
        </w:rPr>
        <w:fldChar w:fldCharType="separate"/>
      </w:r>
      <w:r>
        <w:rPr>
          <w:lang w:eastAsia="en-AU"/>
        </w:rPr>
        <w:t>5.7.2</w:t>
      </w:r>
      <w:r>
        <w:rPr>
          <w:lang w:eastAsia="en-AU"/>
        </w:rPr>
        <w:fldChar w:fldCharType="end"/>
      </w:r>
      <w:r>
        <w:rPr>
          <w:lang w:eastAsia="en-AU"/>
        </w:rPr>
        <w:t>.</w:t>
      </w:r>
    </w:p>
    <w:p w14:paraId="0FF61897" w14:textId="77777777" w:rsidR="007B29DD" w:rsidRDefault="007B29DD" w:rsidP="007B29DD">
      <w:pPr>
        <w:pStyle w:val="BodyText"/>
        <w:rPr>
          <w:lang w:eastAsia="en-AU"/>
        </w:rPr>
      </w:pPr>
      <w:r>
        <w:rPr>
          <w:lang w:eastAsia="en-AU"/>
        </w:rPr>
        <w:t>In this table, the year 2020 projection has been linearly interpolated between the mid-point of the reference period climate reference period used in the global climate modelling (1995) and the year 2040 projection. The year 2040 and 2065 projections have been extracted from the GCMs by CSIRO. These temperature projections are relative to 1995, not pre-industrial temperatures, which are around 0.5</w:t>
      </w:r>
      <w:r w:rsidRPr="00B45206">
        <w:rPr>
          <w:vertAlign w:val="superscript"/>
          <w:lang w:eastAsia="en-AU"/>
        </w:rPr>
        <w:t>o</w:t>
      </w:r>
      <w:r>
        <w:rPr>
          <w:lang w:eastAsia="en-AU"/>
        </w:rPr>
        <w:t>C lower than temperatures in 1995.</w:t>
      </w:r>
    </w:p>
    <w:p w14:paraId="6F1A0DC1" w14:textId="77777777" w:rsidR="007B29DD" w:rsidRDefault="007B29DD" w:rsidP="007B29DD">
      <w:pPr>
        <w:pStyle w:val="BodyText"/>
        <w:rPr>
          <w:lang w:eastAsia="en-AU"/>
        </w:rPr>
      </w:pPr>
      <w:r w:rsidRPr="008854A5">
        <w:rPr>
          <w:b/>
          <w:bCs/>
          <w:lang w:eastAsia="en-AU"/>
        </w:rPr>
        <w:t>For the purposes of demand estimation, only the medium (5</w:t>
      </w:r>
      <w:r w:rsidRPr="003178A9">
        <w:rPr>
          <w:b/>
          <w:bCs/>
          <w:lang w:eastAsia="en-AU"/>
        </w:rPr>
        <w:t xml:space="preserve">0th </w:t>
      </w:r>
      <w:r w:rsidRPr="008854A5">
        <w:rPr>
          <w:b/>
          <w:bCs/>
          <w:lang w:eastAsia="en-AU"/>
        </w:rPr>
        <w:t xml:space="preserve">percentile) temperature projections need be applied, as discussed further in Section </w:t>
      </w:r>
      <w:r w:rsidRPr="008854A5">
        <w:rPr>
          <w:b/>
          <w:bCs/>
          <w:lang w:eastAsia="en-AU"/>
        </w:rPr>
        <w:fldChar w:fldCharType="begin"/>
      </w:r>
      <w:r w:rsidRPr="008854A5">
        <w:rPr>
          <w:b/>
          <w:bCs/>
          <w:lang w:eastAsia="en-AU"/>
        </w:rPr>
        <w:instrText xml:space="preserve"> REF _Ref40086669 \r \h </w:instrText>
      </w:r>
      <w:r>
        <w:rPr>
          <w:b/>
          <w:bCs/>
          <w:lang w:eastAsia="en-AU"/>
        </w:rPr>
        <w:instrText xml:space="preserve"> \* MERGEFORMAT </w:instrText>
      </w:r>
      <w:r w:rsidRPr="008854A5">
        <w:rPr>
          <w:b/>
          <w:bCs/>
          <w:lang w:eastAsia="en-AU"/>
        </w:rPr>
      </w:r>
      <w:r w:rsidRPr="008854A5">
        <w:rPr>
          <w:b/>
          <w:bCs/>
          <w:lang w:eastAsia="en-AU"/>
        </w:rPr>
        <w:fldChar w:fldCharType="separate"/>
      </w:r>
      <w:r>
        <w:rPr>
          <w:b/>
          <w:bCs/>
          <w:lang w:eastAsia="en-AU"/>
        </w:rPr>
        <w:t>5.12</w:t>
      </w:r>
      <w:r w:rsidRPr="008854A5">
        <w:rPr>
          <w:b/>
          <w:bCs/>
          <w:lang w:eastAsia="en-AU"/>
        </w:rPr>
        <w:fldChar w:fldCharType="end"/>
      </w:r>
      <w:r>
        <w:rPr>
          <w:lang w:eastAsia="en-AU"/>
        </w:rPr>
        <w:t>. The low (10</w:t>
      </w:r>
      <w:r w:rsidRPr="003178A9">
        <w:rPr>
          <w:lang w:eastAsia="en-AU"/>
        </w:rPr>
        <w:t>th</w:t>
      </w:r>
      <w:r>
        <w:rPr>
          <w:lang w:eastAsia="en-AU"/>
        </w:rPr>
        <w:t xml:space="preserve"> percentile) and high (9</w:t>
      </w:r>
      <w:r w:rsidRPr="003178A9">
        <w:rPr>
          <w:lang w:eastAsia="en-AU"/>
        </w:rPr>
        <w:t>0th</w:t>
      </w:r>
      <w:r>
        <w:rPr>
          <w:lang w:eastAsia="en-AU"/>
        </w:rPr>
        <w:t xml:space="preserve"> percentile) model projections are only provided for reference purposes, if further testing of the sensitivity to projected temperature changes is desired for any given application.</w:t>
      </w:r>
    </w:p>
    <w:p w14:paraId="558E8818" w14:textId="77777777" w:rsidR="007B29DD" w:rsidRDefault="007B29DD" w:rsidP="007B29DD">
      <w:pPr>
        <w:pStyle w:val="Caption"/>
      </w:pPr>
      <w:bookmarkStart w:id="485" w:name="_Ref40083044"/>
      <w:bookmarkStart w:id="486" w:name="_Toc43476557"/>
      <w:bookmarkStart w:id="487" w:name="_Toc44928802"/>
      <w:bookmarkStart w:id="488" w:name="_Toc51237465"/>
      <w:bookmarkStart w:id="489" w:name="_Toc53585980"/>
      <w:bookmarkStart w:id="490" w:name="_Toc57377231"/>
      <w:r w:rsidRPr="00FC65EF">
        <w:t xml:space="preserve">Table </w:t>
      </w:r>
      <w:r>
        <w:fldChar w:fldCharType="begin"/>
      </w:r>
      <w:r>
        <w:instrText>SEQ Table \* ARABIC</w:instrText>
      </w:r>
      <w:r>
        <w:fldChar w:fldCharType="separate"/>
      </w:r>
      <w:r>
        <w:rPr>
          <w:noProof/>
        </w:rPr>
        <w:t>3</w:t>
      </w:r>
      <w:r>
        <w:fldChar w:fldCharType="end"/>
      </w:r>
      <w:bookmarkEnd w:id="485"/>
      <w:r w:rsidRPr="00FC65EF">
        <w:t xml:space="preserve"> Projected change in average annual temperature</w:t>
      </w:r>
      <w:bookmarkEnd w:id="486"/>
      <w:bookmarkEnd w:id="487"/>
      <w:bookmarkEnd w:id="488"/>
      <w:bookmarkEnd w:id="489"/>
      <w:bookmarkEnd w:id="490"/>
    </w:p>
    <w:tbl>
      <w:tblPr>
        <w:tblW w:w="8931" w:type="dxa"/>
        <w:jc w:val="center"/>
        <w:tblLook w:val="04A0" w:firstRow="1" w:lastRow="0" w:firstColumn="1" w:lastColumn="0" w:noHBand="0" w:noVBand="1"/>
      </w:tblPr>
      <w:tblGrid>
        <w:gridCol w:w="1780"/>
        <w:gridCol w:w="1240"/>
        <w:gridCol w:w="987"/>
        <w:gridCol w:w="987"/>
        <w:gridCol w:w="987"/>
        <w:gridCol w:w="987"/>
        <w:gridCol w:w="987"/>
        <w:gridCol w:w="1106"/>
      </w:tblGrid>
      <w:tr w:rsidR="007B29DD" w:rsidRPr="00D47BF0" w14:paraId="3331131F" w14:textId="77777777" w:rsidTr="00AD426D">
        <w:trPr>
          <w:trHeight w:val="345"/>
          <w:tblHeader/>
          <w:jc w:val="center"/>
        </w:trPr>
        <w:tc>
          <w:tcPr>
            <w:tcW w:w="1780" w:type="dxa"/>
            <w:tcBorders>
              <w:top w:val="nil"/>
              <w:left w:val="nil"/>
              <w:bottom w:val="nil"/>
              <w:right w:val="nil"/>
            </w:tcBorders>
            <w:shd w:val="clear" w:color="auto" w:fill="auto"/>
            <w:noWrap/>
            <w:vAlign w:val="bottom"/>
            <w:hideMark/>
          </w:tcPr>
          <w:p w14:paraId="5807D89C" w14:textId="77777777" w:rsidR="007B29DD" w:rsidRPr="00D47BF0" w:rsidRDefault="007B29DD" w:rsidP="00306AF1">
            <w:pPr>
              <w:spacing w:line="240" w:lineRule="auto"/>
              <w:rPr>
                <w:rFonts w:ascii="Times New Roman" w:hAnsi="Times New Roman" w:cs="Times New Roman"/>
                <w:sz w:val="24"/>
                <w:szCs w:val="24"/>
                <w:lang w:val="en-US" w:eastAsia="zh-CN"/>
              </w:rPr>
            </w:pPr>
          </w:p>
        </w:tc>
        <w:tc>
          <w:tcPr>
            <w:tcW w:w="1240" w:type="dxa"/>
            <w:tcBorders>
              <w:top w:val="nil"/>
              <w:left w:val="nil"/>
              <w:bottom w:val="nil"/>
              <w:right w:val="nil"/>
            </w:tcBorders>
            <w:shd w:val="clear" w:color="auto" w:fill="auto"/>
            <w:noWrap/>
            <w:vAlign w:val="bottom"/>
            <w:hideMark/>
          </w:tcPr>
          <w:p w14:paraId="400DB4FC" w14:textId="77777777" w:rsidR="007B29DD" w:rsidRPr="00D47BF0" w:rsidRDefault="007B29DD" w:rsidP="00306AF1">
            <w:pPr>
              <w:spacing w:line="240" w:lineRule="auto"/>
              <w:rPr>
                <w:rFonts w:ascii="Times New Roman" w:hAnsi="Times New Roman" w:cs="Times New Roman"/>
                <w:lang w:val="en-US" w:eastAsia="zh-CN"/>
              </w:rPr>
            </w:pPr>
          </w:p>
        </w:tc>
        <w:tc>
          <w:tcPr>
            <w:tcW w:w="591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8E4F8FE" w14:textId="77777777" w:rsidR="007B29DD" w:rsidRPr="00D47BF0"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Change relative to 1995 (</w:t>
            </w:r>
            <w:r w:rsidRPr="00D47BF0">
              <w:rPr>
                <w:rFonts w:ascii="Calibri" w:hAnsi="Calibri" w:cs="Calibri"/>
                <w:b/>
                <w:bCs/>
                <w:color w:val="000000"/>
                <w:vertAlign w:val="superscript"/>
                <w:lang w:val="en-US" w:eastAsia="zh-CN"/>
              </w:rPr>
              <w:t>o</w:t>
            </w:r>
            <w:r w:rsidRPr="00D47BF0">
              <w:rPr>
                <w:rFonts w:ascii="Calibri" w:hAnsi="Calibri" w:cs="Calibri"/>
                <w:b/>
                <w:bCs/>
                <w:color w:val="000000"/>
                <w:lang w:val="en-US" w:eastAsia="zh-CN"/>
              </w:rPr>
              <w:t>C)</w:t>
            </w:r>
          </w:p>
        </w:tc>
      </w:tr>
      <w:tr w:rsidR="007B29DD" w:rsidRPr="00D47BF0" w14:paraId="6F02A254" w14:textId="77777777" w:rsidTr="00306AF1">
        <w:trPr>
          <w:trHeight w:val="300"/>
          <w:tblHeader/>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766D9" w14:textId="77777777" w:rsidR="007B29DD"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River basin</w:t>
            </w:r>
            <w:r>
              <w:rPr>
                <w:rFonts w:ascii="Calibri" w:hAnsi="Calibri" w:cs="Calibri"/>
                <w:b/>
                <w:bCs/>
                <w:color w:val="000000"/>
                <w:lang w:val="en-US" w:eastAsia="zh-CN"/>
              </w:rPr>
              <w:t xml:space="preserve"> </w:t>
            </w:r>
          </w:p>
          <w:p w14:paraId="22F183D3" w14:textId="77777777" w:rsidR="007B29DD" w:rsidRPr="00D47BF0" w:rsidRDefault="007B29DD" w:rsidP="00306AF1">
            <w:pPr>
              <w:spacing w:line="240" w:lineRule="auto"/>
              <w:jc w:val="center"/>
              <w:rPr>
                <w:rFonts w:ascii="Calibri" w:hAnsi="Calibri" w:cs="Calibri"/>
                <w:b/>
                <w:bCs/>
                <w:color w:val="000000"/>
                <w:lang w:val="en-US" w:eastAsia="zh-CN"/>
              </w:rPr>
            </w:pPr>
            <w:r w:rsidRPr="00116EB6">
              <w:rPr>
                <w:rFonts w:ascii="Calibri" w:hAnsi="Calibri" w:cs="Calibri"/>
                <w:b/>
                <w:bCs/>
                <w:color w:val="000000"/>
                <w:sz w:val="18"/>
                <w:szCs w:val="18"/>
                <w:lang w:val="en-US" w:eastAsia="zh-CN"/>
              </w:rPr>
              <w:t>(and basin number)</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65B0C32" w14:textId="77777777" w:rsidR="007B29DD" w:rsidRPr="00D47BF0"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Projection</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14:paraId="0DEFAC24"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2020</w:t>
            </w:r>
          </w:p>
        </w:tc>
        <w:tc>
          <w:tcPr>
            <w:tcW w:w="1922" w:type="dxa"/>
            <w:gridSpan w:val="2"/>
            <w:tcBorders>
              <w:top w:val="single" w:sz="4" w:space="0" w:color="auto"/>
              <w:left w:val="nil"/>
              <w:bottom w:val="single" w:sz="4" w:space="0" w:color="auto"/>
              <w:right w:val="single" w:sz="4" w:space="0" w:color="auto"/>
            </w:tcBorders>
            <w:shd w:val="clear" w:color="auto" w:fill="auto"/>
            <w:vAlign w:val="center"/>
            <w:hideMark/>
          </w:tcPr>
          <w:p w14:paraId="3EAB899D"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2040</w:t>
            </w: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14:paraId="55CB3023"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2065</w:t>
            </w:r>
          </w:p>
        </w:tc>
      </w:tr>
      <w:tr w:rsidR="007B29DD" w:rsidRPr="00D47BF0" w14:paraId="0F836F67" w14:textId="77777777" w:rsidTr="00306AF1">
        <w:trPr>
          <w:trHeight w:val="315"/>
          <w:tblHeader/>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531A54C5" w14:textId="77777777" w:rsidR="007B29DD" w:rsidRPr="00D47BF0" w:rsidRDefault="007B29DD" w:rsidP="00306AF1">
            <w:pPr>
              <w:spacing w:line="240" w:lineRule="auto"/>
              <w:rPr>
                <w:rFonts w:ascii="Calibri" w:hAnsi="Calibri" w:cs="Calibri"/>
                <w:b/>
                <w:bCs/>
                <w:color w:val="000000"/>
                <w:lang w:val="en-US" w:eastAsia="zh-CN"/>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3432E4E8" w14:textId="77777777" w:rsidR="007B29DD" w:rsidRPr="00D47BF0" w:rsidRDefault="007B29DD" w:rsidP="00306AF1">
            <w:pPr>
              <w:spacing w:line="240" w:lineRule="auto"/>
              <w:rPr>
                <w:rFonts w:ascii="Calibri" w:hAnsi="Calibri" w:cs="Calibri"/>
                <w:b/>
                <w:bCs/>
                <w:color w:val="000000"/>
                <w:lang w:val="en-US" w:eastAsia="zh-CN"/>
              </w:rPr>
            </w:pPr>
          </w:p>
        </w:tc>
        <w:tc>
          <w:tcPr>
            <w:tcW w:w="960" w:type="dxa"/>
            <w:tcBorders>
              <w:top w:val="nil"/>
              <w:left w:val="nil"/>
              <w:bottom w:val="single" w:sz="4" w:space="0" w:color="auto"/>
              <w:right w:val="single" w:sz="4" w:space="0" w:color="auto"/>
            </w:tcBorders>
            <w:shd w:val="clear" w:color="auto" w:fill="auto"/>
            <w:noWrap/>
            <w:vAlign w:val="center"/>
            <w:hideMark/>
          </w:tcPr>
          <w:p w14:paraId="1F845BDE"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963" w:type="dxa"/>
            <w:tcBorders>
              <w:top w:val="nil"/>
              <w:left w:val="nil"/>
              <w:bottom w:val="single" w:sz="4" w:space="0" w:color="auto"/>
              <w:right w:val="single" w:sz="4" w:space="0" w:color="auto"/>
            </w:tcBorders>
            <w:shd w:val="clear" w:color="auto" w:fill="auto"/>
            <w:vAlign w:val="center"/>
            <w:hideMark/>
          </w:tcPr>
          <w:p w14:paraId="33C52758"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960" w:type="dxa"/>
            <w:tcBorders>
              <w:top w:val="nil"/>
              <w:left w:val="nil"/>
              <w:bottom w:val="single" w:sz="4" w:space="0" w:color="auto"/>
              <w:right w:val="single" w:sz="4" w:space="0" w:color="auto"/>
            </w:tcBorders>
            <w:shd w:val="clear" w:color="auto" w:fill="auto"/>
            <w:noWrap/>
            <w:vAlign w:val="center"/>
            <w:hideMark/>
          </w:tcPr>
          <w:p w14:paraId="2D8330B0"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962" w:type="dxa"/>
            <w:tcBorders>
              <w:top w:val="nil"/>
              <w:left w:val="nil"/>
              <w:bottom w:val="single" w:sz="4" w:space="0" w:color="auto"/>
              <w:right w:val="single" w:sz="4" w:space="0" w:color="auto"/>
            </w:tcBorders>
            <w:shd w:val="clear" w:color="auto" w:fill="auto"/>
            <w:vAlign w:val="center"/>
            <w:hideMark/>
          </w:tcPr>
          <w:p w14:paraId="1CEFA1FD"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960" w:type="dxa"/>
            <w:tcBorders>
              <w:top w:val="nil"/>
              <w:left w:val="nil"/>
              <w:bottom w:val="single" w:sz="4" w:space="0" w:color="auto"/>
              <w:right w:val="single" w:sz="4" w:space="0" w:color="auto"/>
            </w:tcBorders>
            <w:shd w:val="clear" w:color="auto" w:fill="auto"/>
            <w:vAlign w:val="center"/>
            <w:hideMark/>
          </w:tcPr>
          <w:p w14:paraId="3026166A"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06" w:type="dxa"/>
            <w:tcBorders>
              <w:top w:val="nil"/>
              <w:left w:val="nil"/>
              <w:bottom w:val="single" w:sz="4" w:space="0" w:color="auto"/>
              <w:right w:val="single" w:sz="4" w:space="0" w:color="auto"/>
            </w:tcBorders>
            <w:shd w:val="clear" w:color="auto" w:fill="auto"/>
            <w:vAlign w:val="center"/>
            <w:hideMark/>
          </w:tcPr>
          <w:p w14:paraId="4036C07E"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r>
      <w:tr w:rsidR="007B29DD" w:rsidRPr="008448BA" w14:paraId="35CFBF6D" w14:textId="77777777" w:rsidTr="00306AF1">
        <w:trPr>
          <w:trHeight w:val="300"/>
          <w:jc w:val="center"/>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0557CCA"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East Gippsland</w:t>
            </w:r>
          </w:p>
          <w:p w14:paraId="2AA117F8"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1213C9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1F43B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176179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745D0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5D2135C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18C62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7777464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5512C6B1" w14:textId="77777777" w:rsidTr="00306AF1">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7DEF83E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8A3FD7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63EF80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68BDD07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54F2B6B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7E57D29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0A368B0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697F55F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223B99CA" w14:textId="77777777" w:rsidTr="00306AF1">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4C5D50D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2F3081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308A5F3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4773299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280FDF6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962" w:type="dxa"/>
            <w:tcBorders>
              <w:top w:val="nil"/>
              <w:left w:val="nil"/>
              <w:bottom w:val="single" w:sz="4" w:space="0" w:color="auto"/>
              <w:right w:val="single" w:sz="4" w:space="0" w:color="auto"/>
            </w:tcBorders>
            <w:shd w:val="clear" w:color="auto" w:fill="auto"/>
            <w:noWrap/>
            <w:vAlign w:val="center"/>
            <w:hideMark/>
          </w:tcPr>
          <w:p w14:paraId="03F924F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080BEF5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auto"/>
            <w:noWrap/>
            <w:vAlign w:val="center"/>
            <w:hideMark/>
          </w:tcPr>
          <w:p w14:paraId="4CE9039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2.0</w:t>
            </w:r>
          </w:p>
        </w:tc>
      </w:tr>
      <w:tr w:rsidR="007B29DD" w:rsidRPr="008448BA" w14:paraId="3BB78F82"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3879D5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Snowy</w:t>
            </w:r>
          </w:p>
          <w:p w14:paraId="64AD07D2"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(222)</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D11F9F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5AFBA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1A0C8B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03FF34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106602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82878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66BF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413FC9C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C09465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ADC68D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4AE2BB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8D0B74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13A21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1E3E25E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409E5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707CC9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6F56618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72C3E0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754FDA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294628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19409D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74962A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55B794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147E73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E7D133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2.0</w:t>
            </w:r>
          </w:p>
        </w:tc>
      </w:tr>
      <w:tr w:rsidR="007B29DD" w:rsidRPr="008448BA" w14:paraId="343D42E0"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8FF6A"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Tambo</w:t>
            </w:r>
          </w:p>
          <w:p w14:paraId="089B7155"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(223)</w:t>
            </w:r>
          </w:p>
        </w:tc>
        <w:tc>
          <w:tcPr>
            <w:tcW w:w="1240" w:type="dxa"/>
            <w:tcBorders>
              <w:top w:val="nil"/>
              <w:left w:val="nil"/>
              <w:bottom w:val="single" w:sz="4" w:space="0" w:color="auto"/>
              <w:right w:val="single" w:sz="4" w:space="0" w:color="auto"/>
            </w:tcBorders>
            <w:shd w:val="clear" w:color="auto" w:fill="auto"/>
            <w:noWrap/>
            <w:vAlign w:val="bottom"/>
            <w:hideMark/>
          </w:tcPr>
          <w:p w14:paraId="4E578BF7"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0FA16484"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3D99D101"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50F3DDEB"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36954FF2"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1928CD02"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4D4D9440"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24F5EEA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D3B6D3C"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BDA52D0"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61A7E25B"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00A3B360"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23251616"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60CD03E9"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341BF6A5"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2FD1F6CD"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0B709948"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9D1C195"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EFC3217"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3C1A88B4"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60FB2DE4"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1F1C6F21"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20DFFCAA"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4BECB7A9"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auto"/>
            <w:noWrap/>
            <w:vAlign w:val="center"/>
            <w:hideMark/>
          </w:tcPr>
          <w:p w14:paraId="534EA72F"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598B3F80"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9B52583"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Mitchell</w:t>
            </w:r>
          </w:p>
          <w:p w14:paraId="356D01EF"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(224)</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1F004A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FEFDB9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FC887B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0BA9D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97E4FB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DC571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A91E1A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62B308C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E0FFE4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9B798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93358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B790F9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584A1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C1ED7E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64C9AD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3DC3A3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638A309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965AE2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CD7473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D4E20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6EFEB7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D29855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CEDCC5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C4651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E67147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5690DB7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77E72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Thomson</w:t>
            </w:r>
          </w:p>
          <w:p w14:paraId="5DEAACA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(225)</w:t>
            </w:r>
          </w:p>
        </w:tc>
        <w:tc>
          <w:tcPr>
            <w:tcW w:w="1240" w:type="dxa"/>
            <w:tcBorders>
              <w:top w:val="nil"/>
              <w:left w:val="nil"/>
              <w:bottom w:val="single" w:sz="4" w:space="0" w:color="auto"/>
              <w:right w:val="single" w:sz="4" w:space="0" w:color="auto"/>
            </w:tcBorders>
            <w:shd w:val="clear" w:color="auto" w:fill="auto"/>
            <w:noWrap/>
            <w:vAlign w:val="bottom"/>
            <w:hideMark/>
          </w:tcPr>
          <w:p w14:paraId="0EEDC64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52DC5C3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6AC9D22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5B90739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4FAF5C1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156BEDD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688F252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0F67D2A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E3FB0E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C727DD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0F53490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092443F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4F4F3E3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2E123FF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hideMark/>
          </w:tcPr>
          <w:p w14:paraId="0D2B950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5C0037C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3274EC0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1D0883C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AB4CEA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3568903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07718CF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2A3A74D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center"/>
            <w:hideMark/>
          </w:tcPr>
          <w:p w14:paraId="1FA0448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6271B74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auto"/>
            <w:noWrap/>
            <w:vAlign w:val="center"/>
            <w:hideMark/>
          </w:tcPr>
          <w:p w14:paraId="3F90D62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6BF04AF9"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A8F185D"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Latrobe</w:t>
            </w:r>
          </w:p>
          <w:p w14:paraId="6EA6897D"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(226)</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F57B3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84E21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5E288E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EAA41F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4B1378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DAB587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16D5F5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r>
      <w:tr w:rsidR="007B29DD" w:rsidRPr="008448BA" w14:paraId="5903EC7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C792AA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F65BCE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D0CD65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879B1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D550F1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1.2</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33050A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F93D19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2.2</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4DC786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46E2513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6949F4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EAE2F4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B59304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79EF4E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272B1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41AC3ED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F4584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3EBC49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57E3600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527BD3"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South Gippsland</w:t>
            </w:r>
          </w:p>
          <w:p w14:paraId="3E654D7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(227)</w:t>
            </w:r>
          </w:p>
        </w:tc>
        <w:tc>
          <w:tcPr>
            <w:tcW w:w="1240" w:type="dxa"/>
            <w:tcBorders>
              <w:top w:val="nil"/>
              <w:left w:val="nil"/>
              <w:bottom w:val="single" w:sz="4" w:space="0" w:color="auto"/>
              <w:right w:val="single" w:sz="4" w:space="0" w:color="auto"/>
            </w:tcBorders>
            <w:shd w:val="clear" w:color="auto" w:fill="auto"/>
            <w:noWrap/>
            <w:vAlign w:val="bottom"/>
            <w:hideMark/>
          </w:tcPr>
          <w:p w14:paraId="4F5A3D0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53E40B1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0.4</w:t>
            </w:r>
          </w:p>
        </w:tc>
        <w:tc>
          <w:tcPr>
            <w:tcW w:w="963" w:type="dxa"/>
            <w:tcBorders>
              <w:top w:val="nil"/>
              <w:left w:val="nil"/>
              <w:bottom w:val="single" w:sz="4" w:space="0" w:color="auto"/>
              <w:right w:val="single" w:sz="4" w:space="0" w:color="auto"/>
            </w:tcBorders>
            <w:shd w:val="clear" w:color="auto" w:fill="auto"/>
            <w:noWrap/>
            <w:vAlign w:val="center"/>
            <w:hideMark/>
          </w:tcPr>
          <w:p w14:paraId="6E8B1BA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69B0670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2" w:type="dxa"/>
            <w:tcBorders>
              <w:top w:val="nil"/>
              <w:left w:val="nil"/>
              <w:bottom w:val="single" w:sz="4" w:space="0" w:color="auto"/>
              <w:right w:val="single" w:sz="4" w:space="0" w:color="auto"/>
            </w:tcBorders>
            <w:shd w:val="clear" w:color="auto" w:fill="auto"/>
            <w:noWrap/>
            <w:vAlign w:val="center"/>
            <w:hideMark/>
          </w:tcPr>
          <w:p w14:paraId="2F6E3CF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332557A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1106" w:type="dxa"/>
            <w:tcBorders>
              <w:top w:val="nil"/>
              <w:left w:val="nil"/>
              <w:bottom w:val="single" w:sz="4" w:space="0" w:color="auto"/>
              <w:right w:val="single" w:sz="4" w:space="0" w:color="auto"/>
            </w:tcBorders>
            <w:shd w:val="clear" w:color="auto" w:fill="auto"/>
            <w:noWrap/>
            <w:vAlign w:val="center"/>
            <w:hideMark/>
          </w:tcPr>
          <w:p w14:paraId="3AA1451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r>
      <w:tr w:rsidR="007B29DD" w:rsidRPr="008448BA" w14:paraId="6A727B8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8E72DD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7D5F69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1661806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3588CEA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auto"/>
            <w:noWrap/>
            <w:vAlign w:val="center"/>
            <w:hideMark/>
          </w:tcPr>
          <w:p w14:paraId="5C6DD76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auto"/>
            <w:noWrap/>
            <w:vAlign w:val="center"/>
            <w:hideMark/>
          </w:tcPr>
          <w:p w14:paraId="7CEE783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hideMark/>
          </w:tcPr>
          <w:p w14:paraId="6386CD5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auto"/>
            <w:noWrap/>
            <w:vAlign w:val="center"/>
            <w:hideMark/>
          </w:tcPr>
          <w:p w14:paraId="45806A1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763AC9B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4FA947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C1F1EB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30EAC2E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3944D38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20734B7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center"/>
            <w:hideMark/>
          </w:tcPr>
          <w:p w14:paraId="0223E0C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hideMark/>
          </w:tcPr>
          <w:p w14:paraId="3572775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2.7</w:t>
            </w:r>
          </w:p>
        </w:tc>
        <w:tc>
          <w:tcPr>
            <w:tcW w:w="1106" w:type="dxa"/>
            <w:tcBorders>
              <w:top w:val="nil"/>
              <w:left w:val="nil"/>
              <w:bottom w:val="single" w:sz="4" w:space="0" w:color="auto"/>
              <w:right w:val="single" w:sz="4" w:space="0" w:color="auto"/>
            </w:tcBorders>
            <w:shd w:val="clear" w:color="auto" w:fill="auto"/>
            <w:noWrap/>
            <w:vAlign w:val="center"/>
            <w:hideMark/>
          </w:tcPr>
          <w:p w14:paraId="035886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1.7</w:t>
            </w:r>
          </w:p>
        </w:tc>
      </w:tr>
      <w:tr w:rsidR="007B29DD" w:rsidRPr="008448BA" w14:paraId="50E71FF5"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8594DD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Bunyip</w:t>
            </w:r>
          </w:p>
          <w:p w14:paraId="250D162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2172A6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DC2D4F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671B56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48B91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7F243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41C5D1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F2CB34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r>
      <w:tr w:rsidR="007B29DD" w:rsidRPr="008448BA" w14:paraId="2ABE0D4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DC1E06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1CBC16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0C7D71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D93C0E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5B800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1.2</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94B9C4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B6524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17FB13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32A353F0"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811350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72B9F7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F9156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5BE7D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7D440B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4C2CC5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0264A7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802E8A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368A3F6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7E3C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Yarra</w:t>
            </w:r>
          </w:p>
          <w:p w14:paraId="7B4AD921"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(229)</w:t>
            </w:r>
          </w:p>
        </w:tc>
        <w:tc>
          <w:tcPr>
            <w:tcW w:w="1240" w:type="dxa"/>
            <w:tcBorders>
              <w:top w:val="nil"/>
              <w:left w:val="nil"/>
              <w:bottom w:val="single" w:sz="4" w:space="0" w:color="auto"/>
              <w:right w:val="single" w:sz="4" w:space="0" w:color="auto"/>
            </w:tcBorders>
            <w:shd w:val="clear" w:color="auto" w:fill="auto"/>
            <w:noWrap/>
            <w:vAlign w:val="bottom"/>
            <w:hideMark/>
          </w:tcPr>
          <w:p w14:paraId="0178C6E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1172F51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023057A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139F9C2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6D35D39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4502BA5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14B31DC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39E663B8"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0AEF94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39F099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073FC13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33E35EC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34B6BF7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61DB4E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hideMark/>
          </w:tcPr>
          <w:p w14:paraId="3551406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auto"/>
            <w:noWrap/>
            <w:vAlign w:val="center"/>
            <w:hideMark/>
          </w:tcPr>
          <w:p w14:paraId="09205EE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2621CC70"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68C577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104775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0362981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7871D4F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4203F8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center"/>
            <w:hideMark/>
          </w:tcPr>
          <w:p w14:paraId="2D5E284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103B9B2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auto"/>
            <w:noWrap/>
            <w:vAlign w:val="center"/>
            <w:hideMark/>
          </w:tcPr>
          <w:p w14:paraId="59BC414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7ADB22D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9ACB7A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Maribyrnong</w:t>
            </w:r>
          </w:p>
          <w:p w14:paraId="720D9E9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(230)</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F8AC21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44596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E26799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5147AE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4DBB44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432AFB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78CAD2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7F0027E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3D5112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000376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35B08C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66D366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CDD5E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1193E4C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BB477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8B125B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35CC4798"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407CDF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A76538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86F3C1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E61BE8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6D768B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0D9BB6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F746B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860D4A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2857C4CD"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E35C2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Werribee</w:t>
            </w:r>
          </w:p>
          <w:p w14:paraId="4553E88A"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(231)</w:t>
            </w:r>
          </w:p>
        </w:tc>
        <w:tc>
          <w:tcPr>
            <w:tcW w:w="1240" w:type="dxa"/>
            <w:tcBorders>
              <w:top w:val="nil"/>
              <w:left w:val="nil"/>
              <w:bottom w:val="single" w:sz="4" w:space="0" w:color="auto"/>
              <w:right w:val="single" w:sz="4" w:space="0" w:color="auto"/>
            </w:tcBorders>
            <w:shd w:val="clear" w:color="auto" w:fill="auto"/>
            <w:noWrap/>
            <w:vAlign w:val="bottom"/>
            <w:hideMark/>
          </w:tcPr>
          <w:p w14:paraId="3F0CC6F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683A64A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2334098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1E5D3B2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79B253B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4941FDC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1.8</w:t>
            </w:r>
          </w:p>
        </w:tc>
        <w:tc>
          <w:tcPr>
            <w:tcW w:w="1106" w:type="dxa"/>
            <w:tcBorders>
              <w:top w:val="nil"/>
              <w:left w:val="nil"/>
              <w:bottom w:val="single" w:sz="4" w:space="0" w:color="auto"/>
              <w:right w:val="single" w:sz="4" w:space="0" w:color="auto"/>
            </w:tcBorders>
            <w:shd w:val="clear" w:color="auto" w:fill="auto"/>
            <w:noWrap/>
            <w:vAlign w:val="center"/>
            <w:hideMark/>
          </w:tcPr>
          <w:p w14:paraId="03B0952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360D0EF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A25C41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5DF809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0A55E8F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1CD7351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071C28F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5E5B75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hideMark/>
          </w:tcPr>
          <w:p w14:paraId="75C5E1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auto"/>
            <w:noWrap/>
            <w:vAlign w:val="center"/>
            <w:hideMark/>
          </w:tcPr>
          <w:p w14:paraId="4365DE4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0A2E779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E03733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567F73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108505C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5A3C621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598CC7C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center"/>
            <w:hideMark/>
          </w:tcPr>
          <w:p w14:paraId="08D9F87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hideMark/>
          </w:tcPr>
          <w:p w14:paraId="2D1CA8E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auto"/>
            <w:noWrap/>
            <w:vAlign w:val="center"/>
            <w:hideMark/>
          </w:tcPr>
          <w:p w14:paraId="3F891D1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38C5760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3ADB896"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Moorabool</w:t>
            </w:r>
          </w:p>
          <w:p w14:paraId="2A8F343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(232)</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2D25CF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B458B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5F7668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F2608E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130BCB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5C5A6A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97488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r>
      <w:tr w:rsidR="007B29DD" w:rsidRPr="008448BA" w14:paraId="739474C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A4D930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D0D6A7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BB81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2722BE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10AA88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1.2</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0F0806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7A300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2.2</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B91631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1164B35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151475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2ACC6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2F0E95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F3522A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47F050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7EFFB3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C86210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0AD3F5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7C30EBA0"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41FC2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Barwon</w:t>
            </w:r>
          </w:p>
          <w:p w14:paraId="01737C2A"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(233)</w:t>
            </w:r>
          </w:p>
        </w:tc>
        <w:tc>
          <w:tcPr>
            <w:tcW w:w="1240" w:type="dxa"/>
            <w:tcBorders>
              <w:top w:val="nil"/>
              <w:left w:val="nil"/>
              <w:bottom w:val="single" w:sz="4" w:space="0" w:color="auto"/>
              <w:right w:val="single" w:sz="4" w:space="0" w:color="auto"/>
            </w:tcBorders>
            <w:shd w:val="clear" w:color="auto" w:fill="auto"/>
            <w:noWrap/>
            <w:vAlign w:val="bottom"/>
            <w:hideMark/>
          </w:tcPr>
          <w:p w14:paraId="466F092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2CBF42B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406E223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5C24893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2" w:type="dxa"/>
            <w:tcBorders>
              <w:top w:val="nil"/>
              <w:left w:val="nil"/>
              <w:bottom w:val="single" w:sz="4" w:space="0" w:color="auto"/>
              <w:right w:val="single" w:sz="4" w:space="0" w:color="auto"/>
            </w:tcBorders>
            <w:shd w:val="clear" w:color="auto" w:fill="auto"/>
            <w:noWrap/>
            <w:vAlign w:val="center"/>
            <w:hideMark/>
          </w:tcPr>
          <w:p w14:paraId="00B154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2E0B670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1106" w:type="dxa"/>
            <w:tcBorders>
              <w:top w:val="nil"/>
              <w:left w:val="nil"/>
              <w:bottom w:val="single" w:sz="4" w:space="0" w:color="auto"/>
              <w:right w:val="single" w:sz="4" w:space="0" w:color="auto"/>
            </w:tcBorders>
            <w:shd w:val="clear" w:color="auto" w:fill="auto"/>
            <w:noWrap/>
            <w:vAlign w:val="center"/>
            <w:hideMark/>
          </w:tcPr>
          <w:p w14:paraId="067CC8D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r>
      <w:tr w:rsidR="007B29DD" w:rsidRPr="008448BA" w14:paraId="68C0445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BCC5EA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A59440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D9496E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486D7F7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auto"/>
            <w:noWrap/>
            <w:vAlign w:val="center"/>
            <w:hideMark/>
          </w:tcPr>
          <w:p w14:paraId="2BBF115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auto"/>
            <w:noWrap/>
            <w:vAlign w:val="center"/>
            <w:hideMark/>
          </w:tcPr>
          <w:p w14:paraId="5C099AD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hideMark/>
          </w:tcPr>
          <w:p w14:paraId="7785E83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auto"/>
            <w:noWrap/>
            <w:vAlign w:val="center"/>
            <w:hideMark/>
          </w:tcPr>
          <w:p w14:paraId="672A9C6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r>
      <w:tr w:rsidR="007B29DD" w:rsidRPr="008448BA" w14:paraId="508E0B4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30A744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31C9EB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6C02A0A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3BDA51B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417E40C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auto"/>
            <w:noWrap/>
            <w:vAlign w:val="center"/>
            <w:hideMark/>
          </w:tcPr>
          <w:p w14:paraId="23882E4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3A64D3D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auto"/>
            <w:noWrap/>
            <w:vAlign w:val="center"/>
            <w:hideMark/>
          </w:tcPr>
          <w:p w14:paraId="491F4B0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1.7</w:t>
            </w:r>
          </w:p>
        </w:tc>
      </w:tr>
      <w:tr w:rsidR="007B29DD" w:rsidRPr="008448BA" w14:paraId="10F414F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4549F47"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Lake Corangamite</w:t>
            </w:r>
          </w:p>
          <w:p w14:paraId="6D6F4ED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(234)</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231800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0095D3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24ADF0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D5BD3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6C092C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4CBAFB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51FD32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r>
      <w:tr w:rsidR="007B29DD" w:rsidRPr="008448BA" w14:paraId="5C587B2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ED568D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C2354B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276109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667C42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DCEEB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7BE1D6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37A99C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169A1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r>
      <w:tr w:rsidR="007B29DD" w:rsidRPr="008448BA" w14:paraId="30A0D30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978AE0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B8305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62404A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ED33C3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BA7A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508BC3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B2A5A5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2D8577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1.7</w:t>
            </w:r>
          </w:p>
        </w:tc>
      </w:tr>
      <w:tr w:rsidR="007B29DD" w:rsidRPr="008448BA" w14:paraId="070734C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CF9C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Otway Coast</w:t>
            </w:r>
          </w:p>
          <w:p w14:paraId="66981F2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(235)</w:t>
            </w:r>
          </w:p>
        </w:tc>
        <w:tc>
          <w:tcPr>
            <w:tcW w:w="1240" w:type="dxa"/>
            <w:tcBorders>
              <w:top w:val="nil"/>
              <w:left w:val="nil"/>
              <w:bottom w:val="single" w:sz="4" w:space="0" w:color="auto"/>
              <w:right w:val="single" w:sz="4" w:space="0" w:color="auto"/>
            </w:tcBorders>
            <w:shd w:val="clear" w:color="auto" w:fill="auto"/>
            <w:noWrap/>
            <w:vAlign w:val="bottom"/>
            <w:hideMark/>
          </w:tcPr>
          <w:p w14:paraId="74EF709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20BFE3E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0.4</w:t>
            </w:r>
          </w:p>
        </w:tc>
        <w:tc>
          <w:tcPr>
            <w:tcW w:w="963" w:type="dxa"/>
            <w:tcBorders>
              <w:top w:val="nil"/>
              <w:left w:val="nil"/>
              <w:bottom w:val="single" w:sz="4" w:space="0" w:color="auto"/>
              <w:right w:val="single" w:sz="4" w:space="0" w:color="auto"/>
            </w:tcBorders>
            <w:shd w:val="clear" w:color="auto" w:fill="auto"/>
            <w:noWrap/>
            <w:vAlign w:val="center"/>
            <w:hideMark/>
          </w:tcPr>
          <w:p w14:paraId="7C9780B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0.3</w:t>
            </w:r>
          </w:p>
        </w:tc>
        <w:tc>
          <w:tcPr>
            <w:tcW w:w="960" w:type="dxa"/>
            <w:tcBorders>
              <w:top w:val="nil"/>
              <w:left w:val="nil"/>
              <w:bottom w:val="single" w:sz="4" w:space="0" w:color="auto"/>
              <w:right w:val="single" w:sz="4" w:space="0" w:color="auto"/>
            </w:tcBorders>
            <w:shd w:val="clear" w:color="auto" w:fill="auto"/>
            <w:noWrap/>
            <w:vAlign w:val="center"/>
            <w:hideMark/>
          </w:tcPr>
          <w:p w14:paraId="5B31DE3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2" w:type="dxa"/>
            <w:tcBorders>
              <w:top w:val="nil"/>
              <w:left w:val="nil"/>
              <w:bottom w:val="single" w:sz="4" w:space="0" w:color="auto"/>
              <w:right w:val="single" w:sz="4" w:space="0" w:color="auto"/>
            </w:tcBorders>
            <w:shd w:val="clear" w:color="auto" w:fill="auto"/>
            <w:noWrap/>
            <w:vAlign w:val="center"/>
            <w:hideMark/>
          </w:tcPr>
          <w:p w14:paraId="2327005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2A45801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1106" w:type="dxa"/>
            <w:tcBorders>
              <w:top w:val="nil"/>
              <w:left w:val="nil"/>
              <w:bottom w:val="single" w:sz="4" w:space="0" w:color="auto"/>
              <w:right w:val="single" w:sz="4" w:space="0" w:color="auto"/>
            </w:tcBorders>
            <w:shd w:val="clear" w:color="auto" w:fill="auto"/>
            <w:noWrap/>
            <w:vAlign w:val="center"/>
            <w:hideMark/>
          </w:tcPr>
          <w:p w14:paraId="4750EFA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r>
      <w:tr w:rsidR="007B29DD" w:rsidRPr="008448BA" w14:paraId="0120123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A7FD4D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513FD5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AEABAE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1A11615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auto"/>
            <w:noWrap/>
            <w:vAlign w:val="center"/>
            <w:hideMark/>
          </w:tcPr>
          <w:p w14:paraId="27D071F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02B0FA6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5A8239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50E1CA7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034A1F1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668890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35E77D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4A292AC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285C12A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6F44672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2E3574B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53CB89F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auto"/>
            <w:noWrap/>
            <w:vAlign w:val="center"/>
            <w:hideMark/>
          </w:tcPr>
          <w:p w14:paraId="4277A6E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3A01864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D9894C5"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Hopkins</w:t>
            </w:r>
          </w:p>
          <w:p w14:paraId="71901F5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(236)</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10FFC7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D5443C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4BA1DF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31D38D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31995D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9588B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EAA65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r>
      <w:tr w:rsidR="007B29DD" w:rsidRPr="008448BA" w14:paraId="4E41D82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78999F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E4690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99F0D2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5C7C36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9FBEB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A63BE0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F7E0D0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1C784E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r>
      <w:tr w:rsidR="007B29DD" w:rsidRPr="008448BA" w14:paraId="76390BB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F0E01E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76C859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94DB6F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57001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4E951E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5F87DE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9032FE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A50BB9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1.7</w:t>
            </w:r>
          </w:p>
        </w:tc>
      </w:tr>
      <w:tr w:rsidR="007B29DD" w:rsidRPr="008448BA" w14:paraId="53B07D0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840584"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Portland Coast</w:t>
            </w:r>
          </w:p>
          <w:p w14:paraId="34D440BE"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(237)</w:t>
            </w:r>
          </w:p>
        </w:tc>
        <w:tc>
          <w:tcPr>
            <w:tcW w:w="1240" w:type="dxa"/>
            <w:tcBorders>
              <w:top w:val="nil"/>
              <w:left w:val="nil"/>
              <w:bottom w:val="single" w:sz="4" w:space="0" w:color="auto"/>
              <w:right w:val="single" w:sz="4" w:space="0" w:color="auto"/>
            </w:tcBorders>
            <w:shd w:val="clear" w:color="auto" w:fill="auto"/>
            <w:noWrap/>
            <w:vAlign w:val="bottom"/>
            <w:hideMark/>
          </w:tcPr>
          <w:p w14:paraId="4DC47DCF"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061B3E4D"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0.4</w:t>
            </w:r>
          </w:p>
        </w:tc>
        <w:tc>
          <w:tcPr>
            <w:tcW w:w="963" w:type="dxa"/>
            <w:tcBorders>
              <w:top w:val="nil"/>
              <w:left w:val="nil"/>
              <w:bottom w:val="single" w:sz="4" w:space="0" w:color="auto"/>
              <w:right w:val="single" w:sz="4" w:space="0" w:color="auto"/>
            </w:tcBorders>
            <w:shd w:val="clear" w:color="auto" w:fill="auto"/>
            <w:noWrap/>
            <w:vAlign w:val="center"/>
            <w:hideMark/>
          </w:tcPr>
          <w:p w14:paraId="5E31CA1E"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0.3</w:t>
            </w:r>
          </w:p>
        </w:tc>
        <w:tc>
          <w:tcPr>
            <w:tcW w:w="960" w:type="dxa"/>
            <w:tcBorders>
              <w:top w:val="nil"/>
              <w:left w:val="nil"/>
              <w:bottom w:val="single" w:sz="4" w:space="0" w:color="auto"/>
              <w:right w:val="single" w:sz="4" w:space="0" w:color="auto"/>
            </w:tcBorders>
            <w:shd w:val="clear" w:color="auto" w:fill="auto"/>
            <w:noWrap/>
            <w:vAlign w:val="center"/>
            <w:hideMark/>
          </w:tcPr>
          <w:p w14:paraId="3723B8F1"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2" w:type="dxa"/>
            <w:tcBorders>
              <w:top w:val="nil"/>
              <w:left w:val="nil"/>
              <w:bottom w:val="single" w:sz="4" w:space="0" w:color="auto"/>
              <w:right w:val="single" w:sz="4" w:space="0" w:color="auto"/>
            </w:tcBorders>
            <w:shd w:val="clear" w:color="auto" w:fill="auto"/>
            <w:noWrap/>
            <w:vAlign w:val="center"/>
            <w:hideMark/>
          </w:tcPr>
          <w:p w14:paraId="707AB96F"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2F28C6E5"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1106" w:type="dxa"/>
            <w:tcBorders>
              <w:top w:val="nil"/>
              <w:left w:val="nil"/>
              <w:bottom w:val="single" w:sz="4" w:space="0" w:color="auto"/>
              <w:right w:val="single" w:sz="4" w:space="0" w:color="auto"/>
            </w:tcBorders>
            <w:shd w:val="clear" w:color="auto" w:fill="auto"/>
            <w:noWrap/>
            <w:vAlign w:val="center"/>
            <w:hideMark/>
          </w:tcPr>
          <w:p w14:paraId="4A630480"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0.7</w:t>
            </w:r>
          </w:p>
        </w:tc>
      </w:tr>
      <w:tr w:rsidR="007B29DD" w:rsidRPr="008448BA" w14:paraId="0FD8C36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4B8C61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F95213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072773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0F78650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auto"/>
            <w:noWrap/>
            <w:vAlign w:val="center"/>
            <w:hideMark/>
          </w:tcPr>
          <w:p w14:paraId="18C94F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7E039E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6BD64DD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1775736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773D921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9CC4A5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D4CA6D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00AAACD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2EB5FA2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164A13D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32E7FF8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0941B24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3860DE5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6A181BD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0198705"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Glenelg</w:t>
            </w:r>
          </w:p>
          <w:p w14:paraId="3E5D9392"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3303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A8C8D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D2544A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C783B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76152DD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8D799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F7E448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r>
      <w:tr w:rsidR="007B29DD" w:rsidRPr="008448BA" w14:paraId="54EE7C0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9F0689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EA054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D9887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6558AA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AB637D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B87F10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6FB9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D5F1D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r>
      <w:tr w:rsidR="007B29DD" w:rsidRPr="008448BA" w14:paraId="6B51A14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C199D2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DAE648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53E2A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B2A859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54E8A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196DF18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D6F3D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654B93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513E31B5"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A62DFD"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Millicent</w:t>
            </w:r>
          </w:p>
          <w:p w14:paraId="433F181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(239)</w:t>
            </w:r>
          </w:p>
        </w:tc>
        <w:tc>
          <w:tcPr>
            <w:tcW w:w="1240" w:type="dxa"/>
            <w:tcBorders>
              <w:top w:val="nil"/>
              <w:left w:val="nil"/>
              <w:bottom w:val="single" w:sz="4" w:space="0" w:color="auto"/>
              <w:right w:val="single" w:sz="4" w:space="0" w:color="auto"/>
            </w:tcBorders>
            <w:shd w:val="clear" w:color="auto" w:fill="auto"/>
            <w:noWrap/>
            <w:vAlign w:val="bottom"/>
            <w:hideMark/>
          </w:tcPr>
          <w:p w14:paraId="668C8B7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38CE3A6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5AA35EC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4877DE9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2" w:type="dxa"/>
            <w:tcBorders>
              <w:top w:val="nil"/>
              <w:left w:val="nil"/>
              <w:bottom w:val="single" w:sz="4" w:space="0" w:color="auto"/>
              <w:right w:val="single" w:sz="4" w:space="0" w:color="auto"/>
            </w:tcBorders>
            <w:shd w:val="clear" w:color="auto" w:fill="auto"/>
            <w:noWrap/>
            <w:vAlign w:val="center"/>
            <w:hideMark/>
          </w:tcPr>
          <w:p w14:paraId="39A25E8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25124D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1106" w:type="dxa"/>
            <w:tcBorders>
              <w:top w:val="nil"/>
              <w:left w:val="nil"/>
              <w:bottom w:val="single" w:sz="4" w:space="0" w:color="auto"/>
              <w:right w:val="single" w:sz="4" w:space="0" w:color="auto"/>
            </w:tcBorders>
            <w:shd w:val="clear" w:color="auto" w:fill="auto"/>
            <w:noWrap/>
            <w:vAlign w:val="center"/>
            <w:hideMark/>
          </w:tcPr>
          <w:p w14:paraId="4A30E7E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r>
      <w:tr w:rsidR="007B29DD" w:rsidRPr="008448BA" w14:paraId="359DADD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A05D8F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D60C73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4C7096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12C19E4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0.5</w:t>
            </w:r>
          </w:p>
        </w:tc>
        <w:tc>
          <w:tcPr>
            <w:tcW w:w="960" w:type="dxa"/>
            <w:tcBorders>
              <w:top w:val="nil"/>
              <w:left w:val="nil"/>
              <w:bottom w:val="single" w:sz="4" w:space="0" w:color="auto"/>
              <w:right w:val="single" w:sz="4" w:space="0" w:color="auto"/>
            </w:tcBorders>
            <w:shd w:val="clear" w:color="auto" w:fill="auto"/>
            <w:noWrap/>
            <w:vAlign w:val="center"/>
            <w:hideMark/>
          </w:tcPr>
          <w:p w14:paraId="28E0B64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auto"/>
            <w:noWrap/>
            <w:vAlign w:val="center"/>
            <w:hideMark/>
          </w:tcPr>
          <w:p w14:paraId="4FBD57A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hideMark/>
          </w:tcPr>
          <w:p w14:paraId="2DD93CD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auto"/>
            <w:noWrap/>
            <w:vAlign w:val="center"/>
            <w:hideMark/>
          </w:tcPr>
          <w:p w14:paraId="01FF2E3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r>
      <w:tr w:rsidR="007B29DD" w:rsidRPr="008448BA" w14:paraId="3BD9E99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D23804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5FD0CD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67E2876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7872029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48DB2C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center"/>
            <w:hideMark/>
          </w:tcPr>
          <w:p w14:paraId="1B4EF65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3F4D589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auto"/>
            <w:noWrap/>
            <w:vAlign w:val="center"/>
            <w:hideMark/>
          </w:tcPr>
          <w:p w14:paraId="154CBC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1.7</w:t>
            </w:r>
          </w:p>
        </w:tc>
      </w:tr>
      <w:tr w:rsidR="007B29DD" w:rsidRPr="008448BA" w14:paraId="2334D85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1E3617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Upper Murray</w:t>
            </w:r>
          </w:p>
          <w:p w14:paraId="7B1F8FC9"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(401)</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4DC05A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D0FC2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76752D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E2E68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8B3188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C07EB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8CAB2A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612C081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D5D088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1D0B5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4902D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DC93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81D332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400F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9C7B2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D2E382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27B69A2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13FBD8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5726C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7A3C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7D3741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A86E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2B71EB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23476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3.0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276EE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2.1</w:t>
            </w:r>
          </w:p>
        </w:tc>
      </w:tr>
      <w:tr w:rsidR="007B29DD" w:rsidRPr="008448BA" w14:paraId="66235F51"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45C742"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Kiewa</w:t>
            </w:r>
          </w:p>
          <w:p w14:paraId="46F9F2B6"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(402)</w:t>
            </w:r>
          </w:p>
        </w:tc>
        <w:tc>
          <w:tcPr>
            <w:tcW w:w="1240" w:type="dxa"/>
            <w:tcBorders>
              <w:top w:val="nil"/>
              <w:left w:val="nil"/>
              <w:bottom w:val="single" w:sz="4" w:space="0" w:color="auto"/>
              <w:right w:val="single" w:sz="4" w:space="0" w:color="auto"/>
            </w:tcBorders>
            <w:shd w:val="clear" w:color="auto" w:fill="auto"/>
            <w:noWrap/>
            <w:vAlign w:val="bottom"/>
            <w:hideMark/>
          </w:tcPr>
          <w:p w14:paraId="7DE111B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3E72C03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5345440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234F2A3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auto"/>
            <w:noWrap/>
            <w:vAlign w:val="center"/>
            <w:hideMark/>
          </w:tcPr>
          <w:p w14:paraId="2F1354E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13ABE78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44DCCFF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3C3A939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60C9AC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C9B149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4471E38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6033C4B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3D0E32D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auto"/>
            <w:noWrap/>
            <w:vAlign w:val="center"/>
            <w:hideMark/>
          </w:tcPr>
          <w:p w14:paraId="64C128D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6148859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auto"/>
            <w:noWrap/>
            <w:vAlign w:val="center"/>
            <w:hideMark/>
          </w:tcPr>
          <w:p w14:paraId="3638CDC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33A08308"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E3E162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EE586E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66751B7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35AC86D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36BEC12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4F059C9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555EE8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3.0</w:t>
            </w:r>
          </w:p>
        </w:tc>
        <w:tc>
          <w:tcPr>
            <w:tcW w:w="1106" w:type="dxa"/>
            <w:tcBorders>
              <w:top w:val="nil"/>
              <w:left w:val="nil"/>
              <w:bottom w:val="single" w:sz="4" w:space="0" w:color="auto"/>
              <w:right w:val="single" w:sz="4" w:space="0" w:color="auto"/>
            </w:tcBorders>
            <w:shd w:val="clear" w:color="auto" w:fill="auto"/>
            <w:noWrap/>
            <w:vAlign w:val="center"/>
            <w:hideMark/>
          </w:tcPr>
          <w:p w14:paraId="6CAC93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2.0</w:t>
            </w:r>
          </w:p>
        </w:tc>
      </w:tr>
      <w:tr w:rsidR="007B29DD" w:rsidRPr="008448BA" w14:paraId="31DA422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FCF99D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Ovens</w:t>
            </w:r>
          </w:p>
          <w:p w14:paraId="4A4E3921"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(403)</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F2874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3C4B9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82BC9E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2EE512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BAD218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EB633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04A6A3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327BC06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D29DC5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9F7CD1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283445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0E0BF4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16D73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C4A48D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D867D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114B54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59058130"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0913E8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F18BEB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358A3F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A96BA0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36C92F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174DD19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F6E3D8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3.0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33A922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2.0</w:t>
            </w:r>
          </w:p>
        </w:tc>
      </w:tr>
      <w:tr w:rsidR="007B29DD" w:rsidRPr="008448BA" w14:paraId="439F9CE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39EFE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Broken</w:t>
            </w:r>
          </w:p>
          <w:p w14:paraId="20B5F04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(404)</w:t>
            </w:r>
          </w:p>
        </w:tc>
        <w:tc>
          <w:tcPr>
            <w:tcW w:w="1240" w:type="dxa"/>
            <w:tcBorders>
              <w:top w:val="nil"/>
              <w:left w:val="nil"/>
              <w:bottom w:val="single" w:sz="4" w:space="0" w:color="auto"/>
              <w:right w:val="single" w:sz="4" w:space="0" w:color="auto"/>
            </w:tcBorders>
            <w:shd w:val="clear" w:color="auto" w:fill="auto"/>
            <w:noWrap/>
            <w:vAlign w:val="bottom"/>
            <w:hideMark/>
          </w:tcPr>
          <w:p w14:paraId="7ECF887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7AB331A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4785517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60928B0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70EBAA9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1BFC14A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auto"/>
            <w:noWrap/>
            <w:vAlign w:val="center"/>
            <w:hideMark/>
          </w:tcPr>
          <w:p w14:paraId="30B24F7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1072C88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D5298B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4B88B2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6C0251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445D060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3FBE213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auto"/>
            <w:noWrap/>
            <w:vAlign w:val="center"/>
            <w:hideMark/>
          </w:tcPr>
          <w:p w14:paraId="7C0D754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2B58078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auto"/>
            <w:noWrap/>
            <w:vAlign w:val="center"/>
            <w:hideMark/>
          </w:tcPr>
          <w:p w14:paraId="6B25491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2FC0C76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1E83F1E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6E5203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5F118EE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3FA44B9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1CF4127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5A74D3F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4EF587A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3.0</w:t>
            </w:r>
          </w:p>
        </w:tc>
        <w:tc>
          <w:tcPr>
            <w:tcW w:w="1106" w:type="dxa"/>
            <w:tcBorders>
              <w:top w:val="nil"/>
              <w:left w:val="nil"/>
              <w:bottom w:val="single" w:sz="4" w:space="0" w:color="auto"/>
              <w:right w:val="single" w:sz="4" w:space="0" w:color="auto"/>
            </w:tcBorders>
            <w:shd w:val="clear" w:color="auto" w:fill="auto"/>
            <w:noWrap/>
            <w:vAlign w:val="center"/>
            <w:hideMark/>
          </w:tcPr>
          <w:p w14:paraId="3C62A78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2.0</w:t>
            </w:r>
          </w:p>
        </w:tc>
      </w:tr>
      <w:tr w:rsidR="007B29DD" w:rsidRPr="008448BA" w14:paraId="13547C1D"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1AF3F9F"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Goulburn</w:t>
            </w:r>
          </w:p>
          <w:p w14:paraId="0B2871E2"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9A5AAA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90309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DA5EB7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47652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6AFFC3E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0C87F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8C89DA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120BE3F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B2A2EB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C4EF59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C2FF31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68DF91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F9A06F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309947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1903F6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5DD9E3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4337203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D34A2B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75229B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17C51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8F0311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97E1E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4AC2044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02AFBD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C0B93E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6BD75AC1"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DB1F57"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Campaspe</w:t>
            </w:r>
          </w:p>
          <w:p w14:paraId="554E2C2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(406)</w:t>
            </w:r>
          </w:p>
        </w:tc>
        <w:tc>
          <w:tcPr>
            <w:tcW w:w="1240" w:type="dxa"/>
            <w:tcBorders>
              <w:top w:val="nil"/>
              <w:left w:val="nil"/>
              <w:bottom w:val="single" w:sz="4" w:space="0" w:color="auto"/>
              <w:right w:val="single" w:sz="4" w:space="0" w:color="auto"/>
            </w:tcBorders>
            <w:shd w:val="clear" w:color="auto" w:fill="auto"/>
            <w:noWrap/>
            <w:vAlign w:val="bottom"/>
            <w:hideMark/>
          </w:tcPr>
          <w:p w14:paraId="33002B4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2888561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hideMark/>
          </w:tcPr>
          <w:p w14:paraId="115ADB3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65997FC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4CC9216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5B14751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3ADDD8E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78E2C42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FC17E7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D1DB23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74A9BA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044348F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2451FA3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77F9512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hideMark/>
          </w:tcPr>
          <w:p w14:paraId="32AADC9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5FDE940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51D2C8A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E8D3CE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B655CA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7AA149F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18A0538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59B1ACD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1041DBC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49982E7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auto"/>
            <w:noWrap/>
            <w:vAlign w:val="center"/>
            <w:hideMark/>
          </w:tcPr>
          <w:p w14:paraId="6E3A68C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r w:rsidR="007B29DD" w:rsidRPr="008448BA" w14:paraId="507D2E2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E687C39"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Loddon</w:t>
            </w:r>
          </w:p>
          <w:p w14:paraId="29724A1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(407)</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091DEE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72014E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4CE165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13AF0B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D30E39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798B6A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8A5175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596F2F5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D61A92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A2FC1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5AE87D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39D98B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FF7C5D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F6DDFD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531E67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6626FF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0ABC6C5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9776B0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550D5C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256FD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C41127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76EBE1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E7E73A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427D9E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7E080D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527959F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95E999"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Avoca</w:t>
            </w:r>
          </w:p>
          <w:p w14:paraId="072F8D2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(408)</w:t>
            </w:r>
          </w:p>
        </w:tc>
        <w:tc>
          <w:tcPr>
            <w:tcW w:w="1240" w:type="dxa"/>
            <w:tcBorders>
              <w:top w:val="nil"/>
              <w:left w:val="nil"/>
              <w:bottom w:val="single" w:sz="4" w:space="0" w:color="auto"/>
              <w:right w:val="single" w:sz="4" w:space="0" w:color="auto"/>
            </w:tcBorders>
            <w:shd w:val="clear" w:color="auto" w:fill="auto"/>
            <w:noWrap/>
            <w:vAlign w:val="bottom"/>
            <w:hideMark/>
          </w:tcPr>
          <w:p w14:paraId="4647646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3BE32BE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1517A25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46BAEB1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0BDADB1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6614624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370B95A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5D2D8E9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147E712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1C836D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08EBD29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auto"/>
            <w:noWrap/>
            <w:vAlign w:val="center"/>
            <w:hideMark/>
          </w:tcPr>
          <w:p w14:paraId="59FB669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1C9C7AD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1.4</w:t>
            </w:r>
          </w:p>
        </w:tc>
        <w:tc>
          <w:tcPr>
            <w:tcW w:w="962" w:type="dxa"/>
            <w:tcBorders>
              <w:top w:val="nil"/>
              <w:left w:val="nil"/>
              <w:bottom w:val="single" w:sz="4" w:space="0" w:color="auto"/>
              <w:right w:val="single" w:sz="4" w:space="0" w:color="auto"/>
            </w:tcBorders>
            <w:shd w:val="clear" w:color="auto" w:fill="auto"/>
            <w:noWrap/>
            <w:vAlign w:val="center"/>
            <w:hideMark/>
          </w:tcPr>
          <w:p w14:paraId="3A22445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4FA5294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0E2C866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1591B03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7C4EB6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887F4D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32C8797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4FE91EF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hideMark/>
          </w:tcPr>
          <w:p w14:paraId="3D55441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0B2305B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599E4C7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3.0</w:t>
            </w:r>
          </w:p>
        </w:tc>
        <w:tc>
          <w:tcPr>
            <w:tcW w:w="1106" w:type="dxa"/>
            <w:tcBorders>
              <w:top w:val="nil"/>
              <w:left w:val="nil"/>
              <w:bottom w:val="single" w:sz="4" w:space="0" w:color="auto"/>
              <w:right w:val="single" w:sz="4" w:space="0" w:color="auto"/>
            </w:tcBorders>
            <w:shd w:val="clear" w:color="auto" w:fill="auto"/>
            <w:noWrap/>
            <w:vAlign w:val="center"/>
            <w:hideMark/>
          </w:tcPr>
          <w:p w14:paraId="28E9348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546F4B9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122AB5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Lower Murray</w:t>
            </w:r>
          </w:p>
          <w:p w14:paraId="7A12FAC5"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(409)</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52B482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87D0D3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070BE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03C1A2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1.1</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7CC48CF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615D3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141CD5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1.2</w:t>
            </w:r>
          </w:p>
        </w:tc>
      </w:tr>
      <w:tr w:rsidR="007B29DD" w:rsidRPr="008448BA" w14:paraId="7E3E347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CB3902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FAF467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22E686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968A50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E8F639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0DED841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BF0F1D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579D71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1.6</w:t>
            </w:r>
          </w:p>
        </w:tc>
      </w:tr>
      <w:tr w:rsidR="007B29DD" w:rsidRPr="008448BA" w14:paraId="274E1FE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370D87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B2DD9B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057AE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2489F5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715F26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1.7</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4001F1F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ABD38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3.1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DE396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2.0</w:t>
            </w:r>
          </w:p>
        </w:tc>
      </w:tr>
      <w:tr w:rsidR="007B29DD" w:rsidRPr="008448BA" w14:paraId="6C84727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2BC7A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Mallee</w:t>
            </w:r>
          </w:p>
          <w:p w14:paraId="599805FF"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(414)</w:t>
            </w:r>
          </w:p>
        </w:tc>
        <w:tc>
          <w:tcPr>
            <w:tcW w:w="1240" w:type="dxa"/>
            <w:tcBorders>
              <w:top w:val="nil"/>
              <w:left w:val="nil"/>
              <w:bottom w:val="single" w:sz="4" w:space="0" w:color="auto"/>
              <w:right w:val="single" w:sz="4" w:space="0" w:color="auto"/>
            </w:tcBorders>
            <w:shd w:val="clear" w:color="auto" w:fill="auto"/>
            <w:noWrap/>
            <w:vAlign w:val="bottom"/>
            <w:hideMark/>
          </w:tcPr>
          <w:p w14:paraId="382AF2D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hideMark/>
          </w:tcPr>
          <w:p w14:paraId="62B3B8F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auto"/>
            <w:noWrap/>
            <w:vAlign w:val="center"/>
            <w:hideMark/>
          </w:tcPr>
          <w:p w14:paraId="23CC9E4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7BE1A20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hideMark/>
          </w:tcPr>
          <w:p w14:paraId="1A11A6E9"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323CED5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666930D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55153D4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028137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C7F02E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7F9F803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hideMark/>
          </w:tcPr>
          <w:p w14:paraId="250649B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hideMark/>
          </w:tcPr>
          <w:p w14:paraId="7D47EBC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hideMark/>
          </w:tcPr>
          <w:p w14:paraId="4B2DA88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hideMark/>
          </w:tcPr>
          <w:p w14:paraId="31A8395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1DAB70DB"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1.4</w:t>
            </w:r>
          </w:p>
        </w:tc>
      </w:tr>
      <w:tr w:rsidR="007B29DD" w:rsidRPr="008448BA" w14:paraId="5FF09495"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ADC9DB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C9B55E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1E3BC31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hideMark/>
          </w:tcPr>
          <w:p w14:paraId="75B7C4C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hideMark/>
          </w:tcPr>
          <w:p w14:paraId="260529C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nil"/>
              <w:left w:val="nil"/>
              <w:bottom w:val="single" w:sz="4" w:space="0" w:color="auto"/>
              <w:right w:val="single" w:sz="4" w:space="0" w:color="auto"/>
            </w:tcBorders>
            <w:shd w:val="clear" w:color="auto" w:fill="auto"/>
            <w:noWrap/>
            <w:vAlign w:val="center"/>
            <w:hideMark/>
          </w:tcPr>
          <w:p w14:paraId="2F20EB0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1CE5FBD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nil"/>
              <w:left w:val="nil"/>
              <w:bottom w:val="single" w:sz="4" w:space="0" w:color="auto"/>
              <w:right w:val="single" w:sz="4" w:space="0" w:color="auto"/>
            </w:tcBorders>
            <w:shd w:val="clear" w:color="auto" w:fill="auto"/>
            <w:noWrap/>
            <w:vAlign w:val="center"/>
            <w:hideMark/>
          </w:tcPr>
          <w:p w14:paraId="3DFAF75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40E69ED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B81044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Wimmera</w:t>
            </w:r>
          </w:p>
          <w:p w14:paraId="0F8CE93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DB8DE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0E026E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241E83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575DCC5"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5A34F2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5205FFC"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60F380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2084F07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A68A6F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DB7F5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B2273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39762A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B0ECF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D9D9D9" w:themeFill="background1" w:themeFillShade="D9"/>
            <w:noWrap/>
            <w:vAlign w:val="center"/>
            <w:hideMark/>
          </w:tcPr>
          <w:p w14:paraId="2B80D94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1CC00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EFFA5B6"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45CF6DF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708D0C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3F39B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C950062"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3C9B9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29266D"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1.6</w:t>
            </w:r>
          </w:p>
        </w:tc>
        <w:tc>
          <w:tcPr>
            <w:tcW w:w="9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B3FD23"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0303E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2.9</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B8923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1.9</w:t>
            </w:r>
          </w:p>
        </w:tc>
      </w:tr>
      <w:tr w:rsidR="007B29DD" w:rsidRPr="008448BA" w14:paraId="2B21C432"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BAE9A9" w14:textId="77777777" w:rsidR="007B29DD"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Victoria*</w:t>
            </w:r>
          </w:p>
          <w:p w14:paraId="3AA2CA11" w14:textId="77777777" w:rsidR="007B29DD" w:rsidRPr="008448BA" w:rsidRDefault="007B29DD" w:rsidP="00306AF1">
            <w:pPr>
              <w:keepNext/>
              <w:spacing w:line="240" w:lineRule="auto"/>
              <w:jc w:val="center"/>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22EC791"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27AAD3E7"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0.5</w:t>
            </w:r>
          </w:p>
        </w:tc>
        <w:tc>
          <w:tcPr>
            <w:tcW w:w="963" w:type="dxa"/>
            <w:tcBorders>
              <w:top w:val="nil"/>
              <w:left w:val="nil"/>
              <w:bottom w:val="single" w:sz="4" w:space="0" w:color="auto"/>
              <w:right w:val="single" w:sz="4" w:space="0" w:color="auto"/>
            </w:tcBorders>
            <w:shd w:val="clear" w:color="auto" w:fill="auto"/>
            <w:noWrap/>
            <w:vAlign w:val="center"/>
          </w:tcPr>
          <w:p w14:paraId="5F9010AB"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tcPr>
          <w:p w14:paraId="34DC6276"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center"/>
          </w:tcPr>
          <w:p w14:paraId="05BA29C1"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tcPr>
          <w:p w14:paraId="51E07F45"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color w:val="000000"/>
              </w:rPr>
              <w:t>1.9</w:t>
            </w:r>
          </w:p>
        </w:tc>
        <w:tc>
          <w:tcPr>
            <w:tcW w:w="1106" w:type="dxa"/>
            <w:tcBorders>
              <w:top w:val="nil"/>
              <w:left w:val="nil"/>
              <w:bottom w:val="single" w:sz="4" w:space="0" w:color="auto"/>
              <w:right w:val="single" w:sz="4" w:space="0" w:color="auto"/>
            </w:tcBorders>
            <w:shd w:val="clear" w:color="auto" w:fill="auto"/>
            <w:noWrap/>
            <w:vAlign w:val="center"/>
          </w:tcPr>
          <w:p w14:paraId="2C7F4FB6" w14:textId="77777777" w:rsidR="007B29DD" w:rsidRPr="008854A5" w:rsidRDefault="007B29DD" w:rsidP="00306AF1">
            <w:pPr>
              <w:keepNext/>
              <w:spacing w:line="240" w:lineRule="auto"/>
              <w:jc w:val="right"/>
              <w:rPr>
                <w:rFonts w:ascii="Calibri" w:hAnsi="Calibri" w:cs="Calibri"/>
                <w:color w:val="000000"/>
                <w:lang w:val="en-US" w:eastAsia="zh-CN"/>
              </w:rPr>
            </w:pPr>
            <w:r w:rsidRPr="008854A5">
              <w:rPr>
                <w:rFonts w:ascii="Calibri" w:hAnsi="Calibri" w:cs="Calibri"/>
              </w:rPr>
              <w:t>1.1</w:t>
            </w:r>
          </w:p>
        </w:tc>
      </w:tr>
      <w:tr w:rsidR="007B29DD" w:rsidRPr="008448BA" w14:paraId="5F0D8EE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9708C2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DBD93C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6CDB0A7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0.7</w:t>
            </w:r>
          </w:p>
        </w:tc>
        <w:tc>
          <w:tcPr>
            <w:tcW w:w="963" w:type="dxa"/>
            <w:tcBorders>
              <w:top w:val="nil"/>
              <w:left w:val="nil"/>
              <w:bottom w:val="single" w:sz="4" w:space="0" w:color="auto"/>
              <w:right w:val="single" w:sz="4" w:space="0" w:color="auto"/>
            </w:tcBorders>
            <w:shd w:val="clear" w:color="auto" w:fill="auto"/>
            <w:noWrap/>
            <w:vAlign w:val="center"/>
          </w:tcPr>
          <w:p w14:paraId="2A2C601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0.6</w:t>
            </w:r>
          </w:p>
        </w:tc>
        <w:tc>
          <w:tcPr>
            <w:tcW w:w="960" w:type="dxa"/>
            <w:tcBorders>
              <w:top w:val="nil"/>
              <w:left w:val="nil"/>
              <w:bottom w:val="single" w:sz="4" w:space="0" w:color="auto"/>
              <w:right w:val="single" w:sz="4" w:space="0" w:color="auto"/>
            </w:tcBorders>
            <w:shd w:val="clear" w:color="auto" w:fill="auto"/>
            <w:noWrap/>
            <w:vAlign w:val="center"/>
          </w:tcPr>
          <w:p w14:paraId="036F9134"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1.3</w:t>
            </w:r>
          </w:p>
        </w:tc>
        <w:tc>
          <w:tcPr>
            <w:tcW w:w="962" w:type="dxa"/>
            <w:tcBorders>
              <w:top w:val="nil"/>
              <w:left w:val="nil"/>
              <w:bottom w:val="single" w:sz="4" w:space="0" w:color="auto"/>
              <w:right w:val="single" w:sz="4" w:space="0" w:color="auto"/>
            </w:tcBorders>
            <w:shd w:val="clear" w:color="auto" w:fill="auto"/>
            <w:noWrap/>
            <w:vAlign w:val="center"/>
          </w:tcPr>
          <w:p w14:paraId="6A221D8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39D2BEBF"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auto"/>
            <w:noWrap/>
            <w:vAlign w:val="center"/>
          </w:tcPr>
          <w:p w14:paraId="64EC79E7"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1.5</w:t>
            </w:r>
          </w:p>
        </w:tc>
      </w:tr>
      <w:tr w:rsidR="007B29DD" w:rsidRPr="008448BA" w14:paraId="5F99D84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630E52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CD4C95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4A3CC7DA"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0.9</w:t>
            </w:r>
          </w:p>
        </w:tc>
        <w:tc>
          <w:tcPr>
            <w:tcW w:w="963" w:type="dxa"/>
            <w:tcBorders>
              <w:top w:val="nil"/>
              <w:left w:val="nil"/>
              <w:bottom w:val="single" w:sz="4" w:space="0" w:color="auto"/>
              <w:right w:val="single" w:sz="4" w:space="0" w:color="auto"/>
            </w:tcBorders>
            <w:shd w:val="clear" w:color="auto" w:fill="auto"/>
            <w:noWrap/>
            <w:vAlign w:val="center"/>
          </w:tcPr>
          <w:p w14:paraId="18CBC758"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0.7</w:t>
            </w:r>
          </w:p>
        </w:tc>
        <w:tc>
          <w:tcPr>
            <w:tcW w:w="960" w:type="dxa"/>
            <w:tcBorders>
              <w:top w:val="nil"/>
              <w:left w:val="nil"/>
              <w:bottom w:val="single" w:sz="4" w:space="0" w:color="auto"/>
              <w:right w:val="single" w:sz="4" w:space="0" w:color="auto"/>
            </w:tcBorders>
            <w:shd w:val="clear" w:color="auto" w:fill="auto"/>
            <w:noWrap/>
            <w:vAlign w:val="center"/>
          </w:tcPr>
          <w:p w14:paraId="5CAB49F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center"/>
          </w:tcPr>
          <w:p w14:paraId="32408DA0"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7185FC41"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color w:val="000000"/>
              </w:rPr>
              <w:t>2.8</w:t>
            </w:r>
          </w:p>
        </w:tc>
        <w:tc>
          <w:tcPr>
            <w:tcW w:w="1106" w:type="dxa"/>
            <w:tcBorders>
              <w:top w:val="nil"/>
              <w:left w:val="nil"/>
              <w:bottom w:val="single" w:sz="4" w:space="0" w:color="auto"/>
              <w:right w:val="single" w:sz="4" w:space="0" w:color="auto"/>
            </w:tcBorders>
            <w:shd w:val="clear" w:color="auto" w:fill="auto"/>
            <w:noWrap/>
            <w:vAlign w:val="center"/>
          </w:tcPr>
          <w:p w14:paraId="3C2B2E3E" w14:textId="77777777" w:rsidR="007B29DD" w:rsidRPr="008854A5" w:rsidRDefault="007B29DD" w:rsidP="00306AF1">
            <w:pPr>
              <w:spacing w:line="240" w:lineRule="auto"/>
              <w:jc w:val="right"/>
              <w:rPr>
                <w:rFonts w:ascii="Calibri" w:hAnsi="Calibri" w:cs="Calibri"/>
                <w:color w:val="000000"/>
                <w:lang w:val="en-US" w:eastAsia="zh-CN"/>
              </w:rPr>
            </w:pPr>
            <w:r w:rsidRPr="008854A5">
              <w:rPr>
                <w:rFonts w:ascii="Calibri" w:hAnsi="Calibri" w:cs="Calibri"/>
              </w:rPr>
              <w:t>1.8</w:t>
            </w:r>
          </w:p>
        </w:tc>
      </w:tr>
    </w:tbl>
    <w:p w14:paraId="2C0A7714" w14:textId="77777777" w:rsidR="007B29DD" w:rsidRPr="002A58CE" w:rsidRDefault="007B29DD" w:rsidP="007B29DD">
      <w:pPr>
        <w:rPr>
          <w:sz w:val="18"/>
          <w:szCs w:val="18"/>
        </w:rPr>
      </w:pPr>
      <w:r w:rsidRPr="002A58CE">
        <w:rPr>
          <w:sz w:val="18"/>
          <w:szCs w:val="18"/>
        </w:rPr>
        <w:t>* The statewide change is not an average of the changes for each river basin. This is because the river basins vary in size and some basins include areas that fall within New South Wales.</w:t>
      </w:r>
    </w:p>
    <w:p w14:paraId="288713F5" w14:textId="77777777" w:rsidR="007B29DD" w:rsidRPr="00721167" w:rsidRDefault="007B29DD" w:rsidP="007B29DD">
      <w:pPr>
        <w:pStyle w:val="BodyText"/>
        <w:rPr>
          <w:lang w:eastAsia="en-AU"/>
        </w:rPr>
      </w:pPr>
    </w:p>
    <w:p w14:paraId="611561BD"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rPr>
      </w:pPr>
      <w:bookmarkStart w:id="491" w:name="_Ref40166440"/>
      <w:bookmarkStart w:id="492" w:name="_Toc43476488"/>
      <w:bookmarkStart w:id="493" w:name="_Toc44928733"/>
      <w:bookmarkStart w:id="494" w:name="_Toc51658005"/>
      <w:bookmarkStart w:id="495" w:name="_Toc53585910"/>
      <w:bookmarkStart w:id="496" w:name="_Toc57377161"/>
      <w:r w:rsidRPr="00306AF1">
        <w:rPr>
          <w:b/>
          <w:bCs/>
          <w:color w:val="000000" w:themeColor="text1"/>
        </w:rPr>
        <w:t>Minimum and peak temperature changes</w:t>
      </w:r>
      <w:bookmarkEnd w:id="491"/>
      <w:bookmarkEnd w:id="492"/>
      <w:bookmarkEnd w:id="493"/>
      <w:bookmarkEnd w:id="494"/>
      <w:bookmarkEnd w:id="495"/>
      <w:bookmarkEnd w:id="496"/>
    </w:p>
    <w:p w14:paraId="0C53714C" w14:textId="77777777" w:rsidR="007B29DD" w:rsidRDefault="007B29DD" w:rsidP="007B29DD">
      <w:pPr>
        <w:pStyle w:val="BodyText"/>
        <w:rPr>
          <w:lang w:eastAsia="en-AU"/>
        </w:rPr>
      </w:pPr>
      <w:r>
        <w:rPr>
          <w:lang w:eastAsia="en-AU"/>
        </w:rPr>
        <w:t>According to the VCP19 climate change projections, temperatures on days of extreme heat in Victoria are expected to increase to a greater extent than average maximum daily temperature changes (Clarke et al., 2019a). For example, under the RCP8.5 emissions scenario in the Gippsland region, the median climate change projection for the 1 in 20-year hottest day is an increase of around 2.9</w:t>
      </w:r>
      <w:r w:rsidRPr="004160F7">
        <w:rPr>
          <w:vertAlign w:val="superscript"/>
          <w:lang w:eastAsia="en-AU"/>
        </w:rPr>
        <w:t>o</w:t>
      </w:r>
      <w:r>
        <w:rPr>
          <w:lang w:eastAsia="en-AU"/>
        </w:rPr>
        <w:t>C by mid-century (relative to 1995), compared to a 2.0</w:t>
      </w:r>
      <w:r w:rsidRPr="004160F7">
        <w:rPr>
          <w:vertAlign w:val="superscript"/>
          <w:lang w:eastAsia="en-AU"/>
        </w:rPr>
        <w:t>o</w:t>
      </w:r>
      <w:r>
        <w:rPr>
          <w:lang w:eastAsia="en-AU"/>
        </w:rPr>
        <w:t>C increase in average maximum daily temperatures (Clarke et al., 2019b). Increases in the number of days per year above 35</w:t>
      </w:r>
      <w:r w:rsidRPr="00682098">
        <w:rPr>
          <w:vertAlign w:val="superscript"/>
          <w:lang w:eastAsia="en-AU"/>
        </w:rPr>
        <w:t>o</w:t>
      </w:r>
      <w:r>
        <w:rPr>
          <w:lang w:eastAsia="en-AU"/>
        </w:rPr>
        <w:t>C vary by region, but in Traralgon, for example, the median number of days above this threshold is expected to increase from around 6 to 14 days per year by the mid-2</w:t>
      </w:r>
      <w:r w:rsidRPr="000A4318">
        <w:rPr>
          <w:lang w:eastAsia="en-AU"/>
        </w:rPr>
        <w:t>1st</w:t>
      </w:r>
      <w:r>
        <w:rPr>
          <w:lang w:eastAsia="en-AU"/>
        </w:rPr>
        <w:t xml:space="preserve"> century, relative to the 1990s under the RCP8.5 emissions scenario (Clarke et al., 2019b). Urban heat islands will also play a role in peak temperature changes, further adding to both maximum and minimum daily temperatures in urban areas, relative to surrounding rural areas.</w:t>
      </w:r>
    </w:p>
    <w:p w14:paraId="782E17B8" w14:textId="77777777" w:rsidR="007B29DD" w:rsidRDefault="007B29DD" w:rsidP="007B29DD">
      <w:pPr>
        <w:pStyle w:val="BodyText"/>
        <w:rPr>
          <w:lang w:eastAsia="en-AU"/>
        </w:rPr>
      </w:pPr>
      <w:r>
        <w:rPr>
          <w:lang w:eastAsia="en-AU"/>
        </w:rPr>
        <w:t xml:space="preserve">Similarly, changes in minimum temperatures will be lower than the average annual changes presented in </w:t>
      </w:r>
      <w:r>
        <w:rPr>
          <w:lang w:eastAsia="en-AU"/>
        </w:rPr>
        <w:fldChar w:fldCharType="begin"/>
      </w:r>
      <w:r>
        <w:rPr>
          <w:lang w:eastAsia="en-AU"/>
        </w:rPr>
        <w:instrText xml:space="preserve"> REF _Ref40083044 \h </w:instrText>
      </w:r>
      <w:r>
        <w:rPr>
          <w:lang w:eastAsia="en-AU"/>
        </w:rPr>
      </w:r>
      <w:r>
        <w:rPr>
          <w:lang w:eastAsia="en-AU"/>
        </w:rPr>
        <w:fldChar w:fldCharType="separate"/>
      </w:r>
      <w:r w:rsidRPr="00FC65EF">
        <w:t xml:space="preserve">Table </w:t>
      </w:r>
      <w:r>
        <w:rPr>
          <w:noProof/>
        </w:rPr>
        <w:t>3</w:t>
      </w:r>
      <w:r>
        <w:rPr>
          <w:lang w:eastAsia="en-AU"/>
        </w:rPr>
        <w:fldChar w:fldCharType="end"/>
      </w:r>
      <w:r>
        <w:rPr>
          <w:lang w:eastAsia="en-AU"/>
        </w:rPr>
        <w:t xml:space="preserve"> (Clarke et al., 2019a)</w:t>
      </w:r>
      <w:r w:rsidRPr="00721167">
        <w:rPr>
          <w:lang w:eastAsia="en-AU"/>
        </w:rPr>
        <w:t>.</w:t>
      </w:r>
    </w:p>
    <w:p w14:paraId="1B50E701" w14:textId="77777777" w:rsidR="007B29DD" w:rsidRDefault="007B29DD" w:rsidP="007B29DD">
      <w:pPr>
        <w:pStyle w:val="BodyText"/>
      </w:pPr>
      <w:r>
        <w:rPr>
          <w:lang w:eastAsia="en-AU"/>
        </w:rPr>
        <w:lastRenderedPageBreak/>
        <w:t xml:space="preserve">For further information about peak and minimum temperature changes from a subset of six GCMs downscaled using regional climate modelling, refer to the relevant VCP19 regional fact sheet, available from </w:t>
      </w:r>
      <w:hyperlink r:id="rId40" w:history="1">
        <w:r>
          <w:rPr>
            <w:rStyle w:val="Hyperlink"/>
          </w:rPr>
          <w:t>https://www.climatechange.vic.gov.au/adapting-to-climate-change-impacts/victorian-climate-projections-2019</w:t>
        </w:r>
      </w:hyperlink>
      <w:r>
        <w:t>.</w:t>
      </w:r>
    </w:p>
    <w:p w14:paraId="09BAE044"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497" w:name="_Ref40179474"/>
      <w:bookmarkStart w:id="498" w:name="_Toc43476489"/>
      <w:bookmarkStart w:id="499" w:name="_Toc44928734"/>
      <w:bookmarkStart w:id="500" w:name="_Toc51658006"/>
      <w:bookmarkStart w:id="501" w:name="_Toc53585911"/>
      <w:bookmarkStart w:id="502" w:name="_Toc57377162"/>
      <w:r w:rsidRPr="00306AF1">
        <w:rPr>
          <w:b/>
          <w:bCs/>
          <w:color w:val="000000" w:themeColor="text1"/>
        </w:rPr>
        <w:t>Applying climate change projections to potential evapotranspiration</w:t>
      </w:r>
      <w:bookmarkEnd w:id="497"/>
      <w:bookmarkEnd w:id="498"/>
      <w:bookmarkEnd w:id="499"/>
      <w:bookmarkEnd w:id="500"/>
      <w:bookmarkEnd w:id="501"/>
      <w:bookmarkEnd w:id="502"/>
    </w:p>
    <w:p w14:paraId="613A4E71" w14:textId="77777777" w:rsidR="007B29DD" w:rsidRDefault="007B29DD" w:rsidP="007B29DD">
      <w:pPr>
        <w:pStyle w:val="BodyText"/>
        <w:rPr>
          <w:lang w:eastAsia="en-AU"/>
        </w:rPr>
      </w:pPr>
      <w:r w:rsidRPr="00721167">
        <w:rPr>
          <w:lang w:eastAsia="en-AU"/>
        </w:rPr>
        <w:t xml:space="preserve">The </w:t>
      </w:r>
      <w:r>
        <w:rPr>
          <w:lang w:eastAsia="en-AU"/>
        </w:rPr>
        <w:t xml:space="preserve">projected </w:t>
      </w:r>
      <w:r w:rsidRPr="00721167">
        <w:rPr>
          <w:lang w:eastAsia="en-AU"/>
        </w:rPr>
        <w:t xml:space="preserve">changes in </w:t>
      </w:r>
      <w:r>
        <w:rPr>
          <w:lang w:eastAsia="en-AU"/>
        </w:rPr>
        <w:t>average annual potential evapotranspiration</w:t>
      </w:r>
      <w:r w:rsidRPr="00721167">
        <w:rPr>
          <w:lang w:eastAsia="en-AU"/>
        </w:rPr>
        <w:t xml:space="preserve"> </w:t>
      </w:r>
      <w:r>
        <w:rPr>
          <w:lang w:eastAsia="en-AU"/>
        </w:rPr>
        <w:t>for each river basin are</w:t>
      </w:r>
      <w:r w:rsidRPr="00721167">
        <w:rPr>
          <w:lang w:eastAsia="en-AU"/>
        </w:rPr>
        <w:t xml:space="preserve"> presented in </w:t>
      </w:r>
      <w:r>
        <w:rPr>
          <w:lang w:eastAsia="en-AU"/>
        </w:rPr>
        <w:fldChar w:fldCharType="begin"/>
      </w:r>
      <w:r>
        <w:rPr>
          <w:lang w:eastAsia="en-AU"/>
        </w:rPr>
        <w:instrText xml:space="preserve"> REF _Ref40086074 \h </w:instrText>
      </w:r>
      <w:r>
        <w:rPr>
          <w:lang w:eastAsia="en-AU"/>
        </w:rPr>
      </w:r>
      <w:r>
        <w:rPr>
          <w:lang w:eastAsia="en-AU"/>
        </w:rPr>
        <w:fldChar w:fldCharType="separate"/>
      </w:r>
      <w:r w:rsidRPr="00414330">
        <w:t xml:space="preserve">Table </w:t>
      </w:r>
      <w:r>
        <w:rPr>
          <w:noProof/>
        </w:rPr>
        <w:t>4</w:t>
      </w:r>
      <w:r>
        <w:rPr>
          <w:lang w:eastAsia="en-AU"/>
        </w:rPr>
        <w:fldChar w:fldCharType="end"/>
      </w:r>
      <w:r w:rsidRPr="00721167">
        <w:rPr>
          <w:lang w:eastAsia="en-AU"/>
        </w:rPr>
        <w:t xml:space="preserve">. </w:t>
      </w:r>
      <w:r>
        <w:rPr>
          <w:lang w:eastAsia="en-AU"/>
        </w:rPr>
        <w:t xml:space="preserve">The values in this table were derived using </w:t>
      </w:r>
      <w:r w:rsidRPr="0057686D">
        <w:rPr>
          <w:lang w:eastAsia="en-AU"/>
        </w:rPr>
        <w:t>Morton’s (1983) wet area formulation</w:t>
      </w:r>
      <w:r>
        <w:rPr>
          <w:lang w:eastAsia="en-AU"/>
        </w:rPr>
        <w:t xml:space="preserve"> (Potter et al., 2016). These should only be applied to the post-1975 historic climate reference period (not the post-1997 historic climate reference period).</w:t>
      </w:r>
    </w:p>
    <w:p w14:paraId="14E038AB" w14:textId="77777777" w:rsidR="007B29DD" w:rsidRDefault="007B29DD" w:rsidP="007B29DD">
      <w:pPr>
        <w:pStyle w:val="BodyText"/>
        <w:rPr>
          <w:lang w:eastAsia="en-AU"/>
        </w:rPr>
      </w:pPr>
      <w:r w:rsidRPr="00721167">
        <w:rPr>
          <w:lang w:eastAsia="en-AU"/>
        </w:rPr>
        <w:t xml:space="preserve">In the East Gippsland </w:t>
      </w:r>
      <w:r>
        <w:rPr>
          <w:lang w:eastAsia="en-AU"/>
        </w:rPr>
        <w:t>B</w:t>
      </w:r>
      <w:r w:rsidRPr="00721167">
        <w:rPr>
          <w:lang w:eastAsia="en-AU"/>
        </w:rPr>
        <w:t>asin</w:t>
      </w:r>
      <w:r w:rsidRPr="009F5525">
        <w:rPr>
          <w:lang w:eastAsia="en-AU"/>
        </w:rPr>
        <w:t xml:space="preserve"> </w:t>
      </w:r>
      <w:r w:rsidRPr="00721167">
        <w:rPr>
          <w:lang w:eastAsia="en-AU"/>
        </w:rPr>
        <w:t xml:space="preserve">for example, </w:t>
      </w:r>
      <w:r>
        <w:rPr>
          <w:lang w:eastAsia="en-AU"/>
        </w:rPr>
        <w:t>under the RCP8.5 emissions scenario</w:t>
      </w:r>
      <w:r w:rsidRPr="00721167">
        <w:rPr>
          <w:lang w:eastAsia="en-AU"/>
        </w:rPr>
        <w:t xml:space="preserve">, average </w:t>
      </w:r>
      <w:r>
        <w:rPr>
          <w:lang w:eastAsia="en-AU"/>
        </w:rPr>
        <w:t>annual</w:t>
      </w:r>
      <w:r w:rsidRPr="00721167">
        <w:rPr>
          <w:lang w:eastAsia="en-AU"/>
        </w:rPr>
        <w:t xml:space="preserve"> </w:t>
      </w:r>
      <w:r>
        <w:rPr>
          <w:lang w:eastAsia="en-AU"/>
        </w:rPr>
        <w:t>potential evapotranspiration</w:t>
      </w:r>
      <w:r w:rsidRPr="00721167">
        <w:rPr>
          <w:lang w:eastAsia="en-AU"/>
        </w:rPr>
        <w:t xml:space="preserve"> is projected to increase by </w:t>
      </w:r>
      <w:r>
        <w:rPr>
          <w:lang w:eastAsia="en-AU"/>
        </w:rPr>
        <w:t>2.9-5.9</w:t>
      </w:r>
      <w:r w:rsidRPr="00266F67">
        <w:rPr>
          <w:lang w:eastAsia="en-AU"/>
        </w:rPr>
        <w:t>%</w:t>
      </w:r>
      <w:r w:rsidRPr="00721167">
        <w:rPr>
          <w:lang w:eastAsia="en-AU"/>
        </w:rPr>
        <w:t xml:space="preserve"> by 2040 relative to </w:t>
      </w:r>
      <w:r>
        <w:rPr>
          <w:lang w:eastAsia="en-AU"/>
        </w:rPr>
        <w:t>1995, with a median projection of 4.2%.</w:t>
      </w:r>
    </w:p>
    <w:p w14:paraId="78EAB602" w14:textId="77777777" w:rsidR="007B29DD" w:rsidRDefault="007B29DD" w:rsidP="007B29DD">
      <w:pPr>
        <w:pStyle w:val="BodyText"/>
        <w:rPr>
          <w:lang w:eastAsia="en-AU"/>
        </w:rPr>
      </w:pPr>
      <w:r>
        <w:rPr>
          <w:lang w:eastAsia="en-AU"/>
        </w:rPr>
        <w:t>In this table, the year 2020 projection has been linearly interpolated between the mid-point of the reference period climate reference period used in the global climate modelling (1995) and the year 2040 projection. The year 2040 and 2065 projections have been extracted from the GCMs by CSIRO.</w:t>
      </w:r>
    </w:p>
    <w:p w14:paraId="5F556C47" w14:textId="77777777" w:rsidR="007B29DD" w:rsidRDefault="007B29DD" w:rsidP="007B29DD">
      <w:pPr>
        <w:pStyle w:val="BodyText"/>
        <w:rPr>
          <w:lang w:eastAsia="en-AU"/>
        </w:rPr>
      </w:pPr>
      <w:r w:rsidRPr="00B72831">
        <w:rPr>
          <w:b/>
          <w:bCs/>
          <w:lang w:eastAsia="en-AU"/>
        </w:rPr>
        <w:t>For the purposes of demand estimation, only the medium (</w:t>
      </w:r>
      <w:r w:rsidRPr="0076075B">
        <w:rPr>
          <w:b/>
          <w:bCs/>
          <w:lang w:eastAsia="en-AU"/>
        </w:rPr>
        <w:t>50th</w:t>
      </w:r>
      <w:r w:rsidRPr="00B72831">
        <w:rPr>
          <w:b/>
          <w:bCs/>
          <w:lang w:eastAsia="en-AU"/>
        </w:rPr>
        <w:t xml:space="preserve"> percentile) potential evapo</w:t>
      </w:r>
      <w:r>
        <w:rPr>
          <w:b/>
          <w:bCs/>
          <w:lang w:eastAsia="en-AU"/>
        </w:rPr>
        <w:t>-</w:t>
      </w:r>
      <w:r w:rsidRPr="00B72831">
        <w:rPr>
          <w:b/>
          <w:bCs/>
          <w:lang w:eastAsia="en-AU"/>
        </w:rPr>
        <w:t xml:space="preserve">transpiration projections need be applied, as discussed further in Section </w:t>
      </w:r>
      <w:r w:rsidRPr="00B72831">
        <w:rPr>
          <w:b/>
          <w:bCs/>
          <w:lang w:eastAsia="en-AU"/>
        </w:rPr>
        <w:fldChar w:fldCharType="begin"/>
      </w:r>
      <w:r w:rsidRPr="00B72831">
        <w:rPr>
          <w:b/>
          <w:bCs/>
          <w:lang w:eastAsia="en-AU"/>
        </w:rPr>
        <w:instrText xml:space="preserve"> REF _Ref40086669 \r \h </w:instrText>
      </w:r>
      <w:r>
        <w:rPr>
          <w:b/>
          <w:bCs/>
          <w:lang w:eastAsia="en-AU"/>
        </w:rPr>
        <w:instrText xml:space="preserve"> \* MERGEFORMAT </w:instrText>
      </w:r>
      <w:r w:rsidRPr="00B72831">
        <w:rPr>
          <w:b/>
          <w:bCs/>
          <w:lang w:eastAsia="en-AU"/>
        </w:rPr>
      </w:r>
      <w:r w:rsidRPr="00B72831">
        <w:rPr>
          <w:b/>
          <w:bCs/>
          <w:lang w:eastAsia="en-AU"/>
        </w:rPr>
        <w:fldChar w:fldCharType="separate"/>
      </w:r>
      <w:r>
        <w:rPr>
          <w:b/>
          <w:bCs/>
          <w:lang w:eastAsia="en-AU"/>
        </w:rPr>
        <w:t>5.12</w:t>
      </w:r>
      <w:r w:rsidRPr="00B72831">
        <w:rPr>
          <w:b/>
          <w:bCs/>
          <w:lang w:eastAsia="en-AU"/>
        </w:rPr>
        <w:fldChar w:fldCharType="end"/>
      </w:r>
      <w:r>
        <w:rPr>
          <w:lang w:eastAsia="en-AU"/>
        </w:rPr>
        <w:t>. The low (</w:t>
      </w:r>
      <w:r w:rsidRPr="003178A9">
        <w:rPr>
          <w:lang w:eastAsia="en-AU"/>
        </w:rPr>
        <w:t>10th</w:t>
      </w:r>
      <w:r>
        <w:rPr>
          <w:lang w:eastAsia="en-AU"/>
        </w:rPr>
        <w:t xml:space="preserve"> percentile) and high (</w:t>
      </w:r>
      <w:r w:rsidRPr="005E0E0D">
        <w:rPr>
          <w:lang w:eastAsia="en-AU"/>
        </w:rPr>
        <w:t>90th</w:t>
      </w:r>
      <w:r>
        <w:rPr>
          <w:lang w:eastAsia="en-AU"/>
        </w:rPr>
        <w:t xml:space="preserve"> percentile) model projections are only provided for reference purposes, if further testing of the sensitivity to projected potential evaporation changes is desired for any given application.</w:t>
      </w:r>
    </w:p>
    <w:p w14:paraId="6B27BBE1" w14:textId="77777777" w:rsidR="007B29DD" w:rsidRDefault="007B29DD" w:rsidP="007B29DD">
      <w:pPr>
        <w:pStyle w:val="Caption"/>
      </w:pPr>
      <w:bookmarkStart w:id="503" w:name="_Ref40086074"/>
      <w:bookmarkStart w:id="504" w:name="_Toc43476558"/>
      <w:bookmarkStart w:id="505" w:name="_Toc44928803"/>
      <w:bookmarkStart w:id="506" w:name="_Toc51237466"/>
      <w:bookmarkStart w:id="507" w:name="_Toc53585981"/>
      <w:bookmarkStart w:id="508" w:name="_Toc57377232"/>
      <w:r w:rsidRPr="00414330">
        <w:t xml:space="preserve">Table </w:t>
      </w:r>
      <w:r>
        <w:fldChar w:fldCharType="begin"/>
      </w:r>
      <w:r>
        <w:instrText>SEQ Table \* ARABIC</w:instrText>
      </w:r>
      <w:r>
        <w:fldChar w:fldCharType="separate"/>
      </w:r>
      <w:r>
        <w:rPr>
          <w:noProof/>
        </w:rPr>
        <w:t>4</w:t>
      </w:r>
      <w:r>
        <w:fldChar w:fldCharType="end"/>
      </w:r>
      <w:bookmarkEnd w:id="503"/>
      <w:r w:rsidRPr="00414330">
        <w:t xml:space="preserve"> Projected change in average annual potential evapotranspiration</w:t>
      </w:r>
      <w:bookmarkEnd w:id="504"/>
      <w:bookmarkEnd w:id="505"/>
      <w:bookmarkEnd w:id="506"/>
      <w:bookmarkEnd w:id="507"/>
      <w:bookmarkEnd w:id="508"/>
    </w:p>
    <w:tbl>
      <w:tblPr>
        <w:tblW w:w="9222" w:type="dxa"/>
        <w:jc w:val="center"/>
        <w:tblLook w:val="04A0" w:firstRow="1" w:lastRow="0" w:firstColumn="1" w:lastColumn="0" w:noHBand="0" w:noVBand="1"/>
      </w:tblPr>
      <w:tblGrid>
        <w:gridCol w:w="1780"/>
        <w:gridCol w:w="1240"/>
        <w:gridCol w:w="987"/>
        <w:gridCol w:w="1108"/>
        <w:gridCol w:w="987"/>
        <w:gridCol w:w="1108"/>
        <w:gridCol w:w="987"/>
        <w:gridCol w:w="1106"/>
      </w:tblGrid>
      <w:tr w:rsidR="007B29DD" w:rsidRPr="00D47BF0" w14:paraId="138F26E6" w14:textId="77777777" w:rsidTr="00AD426D">
        <w:trPr>
          <w:trHeight w:val="345"/>
          <w:tblHeader/>
          <w:jc w:val="center"/>
        </w:trPr>
        <w:tc>
          <w:tcPr>
            <w:tcW w:w="1780" w:type="dxa"/>
            <w:tcBorders>
              <w:top w:val="nil"/>
              <w:left w:val="nil"/>
              <w:bottom w:val="nil"/>
              <w:right w:val="nil"/>
            </w:tcBorders>
            <w:shd w:val="clear" w:color="auto" w:fill="auto"/>
            <w:noWrap/>
            <w:vAlign w:val="bottom"/>
            <w:hideMark/>
          </w:tcPr>
          <w:p w14:paraId="6E5F89A4" w14:textId="77777777" w:rsidR="007B29DD" w:rsidRPr="00D47BF0" w:rsidRDefault="007B29DD" w:rsidP="00306AF1">
            <w:pPr>
              <w:spacing w:line="240" w:lineRule="auto"/>
              <w:rPr>
                <w:rFonts w:ascii="Times New Roman" w:hAnsi="Times New Roman" w:cs="Times New Roman"/>
                <w:sz w:val="24"/>
                <w:szCs w:val="24"/>
                <w:lang w:val="en-US" w:eastAsia="zh-CN"/>
              </w:rPr>
            </w:pPr>
          </w:p>
        </w:tc>
        <w:tc>
          <w:tcPr>
            <w:tcW w:w="1240" w:type="dxa"/>
            <w:tcBorders>
              <w:top w:val="nil"/>
              <w:left w:val="nil"/>
              <w:bottom w:val="nil"/>
              <w:right w:val="nil"/>
            </w:tcBorders>
            <w:shd w:val="clear" w:color="auto" w:fill="auto"/>
            <w:noWrap/>
            <w:vAlign w:val="bottom"/>
            <w:hideMark/>
          </w:tcPr>
          <w:p w14:paraId="62304FCA" w14:textId="77777777" w:rsidR="007B29DD" w:rsidRPr="00D47BF0" w:rsidRDefault="007B29DD" w:rsidP="00306AF1">
            <w:pPr>
              <w:spacing w:line="240" w:lineRule="auto"/>
              <w:rPr>
                <w:rFonts w:ascii="Times New Roman" w:hAnsi="Times New Roman" w:cs="Times New Roman"/>
                <w:lang w:val="en-US" w:eastAsia="zh-CN"/>
              </w:rPr>
            </w:pPr>
          </w:p>
        </w:tc>
        <w:tc>
          <w:tcPr>
            <w:tcW w:w="6202"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7271D1EB" w14:textId="77777777" w:rsidR="007B29DD" w:rsidRPr="00D47BF0"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Change relative to 1995 (</w:t>
            </w:r>
            <w:r w:rsidRPr="008448BA">
              <w:rPr>
                <w:rFonts w:ascii="Calibri" w:hAnsi="Calibri" w:cs="Calibri"/>
                <w:b/>
                <w:bCs/>
                <w:color w:val="000000"/>
                <w:lang w:val="en-US" w:eastAsia="zh-CN"/>
              </w:rPr>
              <w:t>%</w:t>
            </w:r>
            <w:r w:rsidRPr="00D47BF0">
              <w:rPr>
                <w:rFonts w:ascii="Calibri" w:hAnsi="Calibri" w:cs="Calibri"/>
                <w:b/>
                <w:bCs/>
                <w:color w:val="000000"/>
                <w:lang w:val="en-US" w:eastAsia="zh-CN"/>
              </w:rPr>
              <w:t>)</w:t>
            </w:r>
          </w:p>
        </w:tc>
      </w:tr>
      <w:tr w:rsidR="007B29DD" w:rsidRPr="00D47BF0" w14:paraId="0FC8AA21" w14:textId="77777777" w:rsidTr="00306AF1">
        <w:trPr>
          <w:trHeight w:val="300"/>
          <w:tblHeader/>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40936" w14:textId="77777777" w:rsidR="007B29DD"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River basin</w:t>
            </w:r>
            <w:r>
              <w:rPr>
                <w:rFonts w:ascii="Calibri" w:hAnsi="Calibri" w:cs="Calibri"/>
                <w:b/>
                <w:bCs/>
                <w:color w:val="000000"/>
                <w:lang w:val="en-US" w:eastAsia="zh-CN"/>
              </w:rPr>
              <w:t xml:space="preserve"> </w:t>
            </w:r>
          </w:p>
          <w:p w14:paraId="62725DA4" w14:textId="77777777" w:rsidR="007B29DD" w:rsidRPr="00D47BF0" w:rsidRDefault="007B29DD" w:rsidP="00306AF1">
            <w:pPr>
              <w:spacing w:line="240" w:lineRule="auto"/>
              <w:jc w:val="center"/>
              <w:rPr>
                <w:rFonts w:ascii="Calibri" w:hAnsi="Calibri" w:cs="Calibri"/>
                <w:b/>
                <w:bCs/>
                <w:color w:val="000000"/>
                <w:lang w:val="en-US" w:eastAsia="zh-CN"/>
              </w:rPr>
            </w:pPr>
            <w:r w:rsidRPr="00116EB6">
              <w:rPr>
                <w:rFonts w:ascii="Calibri" w:hAnsi="Calibri" w:cs="Calibri"/>
                <w:b/>
                <w:bCs/>
                <w:color w:val="000000"/>
                <w:sz w:val="18"/>
                <w:szCs w:val="18"/>
                <w:lang w:val="en-US" w:eastAsia="zh-CN"/>
              </w:rPr>
              <w:t>(and basin number)</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87F54B0" w14:textId="77777777" w:rsidR="007B29DD" w:rsidRPr="00D47BF0"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Projection</w:t>
            </w:r>
          </w:p>
        </w:tc>
        <w:tc>
          <w:tcPr>
            <w:tcW w:w="2068" w:type="dxa"/>
            <w:gridSpan w:val="2"/>
            <w:tcBorders>
              <w:top w:val="single" w:sz="4" w:space="0" w:color="auto"/>
              <w:left w:val="nil"/>
              <w:bottom w:val="single" w:sz="4" w:space="0" w:color="auto"/>
              <w:right w:val="single" w:sz="4" w:space="0" w:color="auto"/>
            </w:tcBorders>
            <w:shd w:val="clear" w:color="auto" w:fill="auto"/>
            <w:vAlign w:val="center"/>
            <w:hideMark/>
          </w:tcPr>
          <w:p w14:paraId="27E0C44C"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2020</w:t>
            </w:r>
          </w:p>
        </w:tc>
        <w:tc>
          <w:tcPr>
            <w:tcW w:w="2068" w:type="dxa"/>
            <w:gridSpan w:val="2"/>
            <w:tcBorders>
              <w:top w:val="single" w:sz="4" w:space="0" w:color="auto"/>
              <w:left w:val="nil"/>
              <w:bottom w:val="single" w:sz="4" w:space="0" w:color="auto"/>
              <w:right w:val="single" w:sz="4" w:space="0" w:color="auto"/>
            </w:tcBorders>
            <w:shd w:val="clear" w:color="auto" w:fill="auto"/>
            <w:vAlign w:val="center"/>
            <w:hideMark/>
          </w:tcPr>
          <w:p w14:paraId="74D761B6"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2040</w:t>
            </w: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14:paraId="05CC759D"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2065</w:t>
            </w:r>
          </w:p>
        </w:tc>
      </w:tr>
      <w:tr w:rsidR="007B29DD" w:rsidRPr="00D47BF0" w14:paraId="5D6DC73C" w14:textId="77777777" w:rsidTr="00306AF1">
        <w:trPr>
          <w:trHeight w:val="315"/>
          <w:tblHeader/>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20338044" w14:textId="77777777" w:rsidR="007B29DD" w:rsidRPr="00D47BF0" w:rsidRDefault="007B29DD" w:rsidP="00306AF1">
            <w:pPr>
              <w:spacing w:line="240" w:lineRule="auto"/>
              <w:rPr>
                <w:rFonts w:ascii="Calibri" w:hAnsi="Calibri" w:cs="Calibri"/>
                <w:b/>
                <w:bCs/>
                <w:color w:val="000000"/>
                <w:lang w:val="en-US" w:eastAsia="zh-CN"/>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72CC8718" w14:textId="77777777" w:rsidR="007B29DD" w:rsidRPr="00D47BF0" w:rsidRDefault="007B29DD" w:rsidP="00306AF1">
            <w:pPr>
              <w:spacing w:line="240" w:lineRule="auto"/>
              <w:rPr>
                <w:rFonts w:ascii="Calibri" w:hAnsi="Calibri" w:cs="Calibri"/>
                <w:b/>
                <w:bCs/>
                <w:color w:val="000000"/>
                <w:lang w:val="en-US" w:eastAsia="zh-CN"/>
              </w:rPr>
            </w:pPr>
          </w:p>
        </w:tc>
        <w:tc>
          <w:tcPr>
            <w:tcW w:w="960" w:type="dxa"/>
            <w:tcBorders>
              <w:top w:val="nil"/>
              <w:left w:val="nil"/>
              <w:bottom w:val="single" w:sz="4" w:space="0" w:color="auto"/>
              <w:right w:val="single" w:sz="4" w:space="0" w:color="auto"/>
            </w:tcBorders>
            <w:shd w:val="clear" w:color="auto" w:fill="auto"/>
            <w:noWrap/>
            <w:vAlign w:val="center"/>
            <w:hideMark/>
          </w:tcPr>
          <w:p w14:paraId="2B678E1E"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08" w:type="dxa"/>
            <w:tcBorders>
              <w:top w:val="nil"/>
              <w:left w:val="nil"/>
              <w:bottom w:val="single" w:sz="4" w:space="0" w:color="auto"/>
              <w:right w:val="single" w:sz="4" w:space="0" w:color="auto"/>
            </w:tcBorders>
            <w:shd w:val="clear" w:color="auto" w:fill="auto"/>
            <w:vAlign w:val="center"/>
            <w:hideMark/>
          </w:tcPr>
          <w:p w14:paraId="3EC3EC0A"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960" w:type="dxa"/>
            <w:tcBorders>
              <w:top w:val="nil"/>
              <w:left w:val="nil"/>
              <w:bottom w:val="single" w:sz="4" w:space="0" w:color="auto"/>
              <w:right w:val="single" w:sz="4" w:space="0" w:color="auto"/>
            </w:tcBorders>
            <w:shd w:val="clear" w:color="auto" w:fill="auto"/>
            <w:noWrap/>
            <w:vAlign w:val="center"/>
            <w:hideMark/>
          </w:tcPr>
          <w:p w14:paraId="7D431EFC"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08" w:type="dxa"/>
            <w:tcBorders>
              <w:top w:val="nil"/>
              <w:left w:val="nil"/>
              <w:bottom w:val="single" w:sz="4" w:space="0" w:color="auto"/>
              <w:right w:val="single" w:sz="4" w:space="0" w:color="auto"/>
            </w:tcBorders>
            <w:shd w:val="clear" w:color="auto" w:fill="auto"/>
            <w:vAlign w:val="center"/>
            <w:hideMark/>
          </w:tcPr>
          <w:p w14:paraId="1308A435"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960" w:type="dxa"/>
            <w:tcBorders>
              <w:top w:val="nil"/>
              <w:left w:val="nil"/>
              <w:bottom w:val="single" w:sz="4" w:space="0" w:color="auto"/>
              <w:right w:val="single" w:sz="4" w:space="0" w:color="auto"/>
            </w:tcBorders>
            <w:shd w:val="clear" w:color="auto" w:fill="auto"/>
            <w:vAlign w:val="center"/>
            <w:hideMark/>
          </w:tcPr>
          <w:p w14:paraId="4D904611"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06" w:type="dxa"/>
            <w:tcBorders>
              <w:top w:val="nil"/>
              <w:left w:val="nil"/>
              <w:bottom w:val="single" w:sz="4" w:space="0" w:color="auto"/>
              <w:right w:val="single" w:sz="4" w:space="0" w:color="auto"/>
            </w:tcBorders>
            <w:shd w:val="clear" w:color="auto" w:fill="auto"/>
            <w:vAlign w:val="center"/>
            <w:hideMark/>
          </w:tcPr>
          <w:p w14:paraId="32DCD896"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r>
      <w:tr w:rsidR="007B29DD" w:rsidRPr="008448BA" w14:paraId="627C3E8E" w14:textId="77777777" w:rsidTr="00306AF1">
        <w:trPr>
          <w:trHeight w:val="300"/>
          <w:jc w:val="center"/>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81335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East Gippsland</w:t>
            </w:r>
          </w:p>
          <w:p w14:paraId="129B9C0D"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6BE537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E951DF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1.6%</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39ACC62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439E1F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2.9%</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2B9F865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1F2ADB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5.0%</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75FF696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r>
      <w:tr w:rsidR="007B29DD" w:rsidRPr="008448BA" w14:paraId="2D6DBA58" w14:textId="77777777" w:rsidTr="00306AF1">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5378C43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B0BA09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681D507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2.4%</w:t>
            </w:r>
          </w:p>
        </w:tc>
        <w:tc>
          <w:tcPr>
            <w:tcW w:w="1108" w:type="dxa"/>
            <w:tcBorders>
              <w:top w:val="nil"/>
              <w:left w:val="nil"/>
              <w:bottom w:val="single" w:sz="4" w:space="0" w:color="auto"/>
              <w:right w:val="single" w:sz="4" w:space="0" w:color="auto"/>
            </w:tcBorders>
            <w:shd w:val="clear" w:color="auto" w:fill="auto"/>
            <w:noWrap/>
            <w:vAlign w:val="center"/>
          </w:tcPr>
          <w:p w14:paraId="47A4F69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1.9%</w:t>
            </w:r>
          </w:p>
        </w:tc>
        <w:tc>
          <w:tcPr>
            <w:tcW w:w="960" w:type="dxa"/>
            <w:tcBorders>
              <w:top w:val="nil"/>
              <w:left w:val="nil"/>
              <w:bottom w:val="single" w:sz="4" w:space="0" w:color="auto"/>
              <w:right w:val="single" w:sz="4" w:space="0" w:color="auto"/>
            </w:tcBorders>
            <w:shd w:val="clear" w:color="auto" w:fill="auto"/>
            <w:noWrap/>
            <w:vAlign w:val="center"/>
          </w:tcPr>
          <w:p w14:paraId="1E94E76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4.2%</w:t>
            </w:r>
          </w:p>
        </w:tc>
        <w:tc>
          <w:tcPr>
            <w:tcW w:w="1108" w:type="dxa"/>
            <w:tcBorders>
              <w:top w:val="nil"/>
              <w:left w:val="nil"/>
              <w:bottom w:val="single" w:sz="4" w:space="0" w:color="auto"/>
              <w:right w:val="single" w:sz="4" w:space="0" w:color="auto"/>
            </w:tcBorders>
            <w:shd w:val="clear" w:color="auto" w:fill="auto"/>
            <w:noWrap/>
            <w:vAlign w:val="center"/>
          </w:tcPr>
          <w:p w14:paraId="517D5CF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3.5%</w:t>
            </w:r>
          </w:p>
        </w:tc>
        <w:tc>
          <w:tcPr>
            <w:tcW w:w="960" w:type="dxa"/>
            <w:tcBorders>
              <w:top w:val="nil"/>
              <w:left w:val="nil"/>
              <w:bottom w:val="single" w:sz="4" w:space="0" w:color="auto"/>
              <w:right w:val="single" w:sz="4" w:space="0" w:color="auto"/>
            </w:tcBorders>
            <w:shd w:val="clear" w:color="auto" w:fill="auto"/>
            <w:noWrap/>
            <w:vAlign w:val="center"/>
          </w:tcPr>
          <w:p w14:paraId="51652D3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6.9%</w:t>
            </w:r>
          </w:p>
        </w:tc>
        <w:tc>
          <w:tcPr>
            <w:tcW w:w="1106" w:type="dxa"/>
            <w:tcBorders>
              <w:top w:val="nil"/>
              <w:left w:val="nil"/>
              <w:bottom w:val="single" w:sz="4" w:space="0" w:color="auto"/>
              <w:right w:val="single" w:sz="4" w:space="0" w:color="auto"/>
            </w:tcBorders>
            <w:shd w:val="clear" w:color="auto" w:fill="auto"/>
            <w:noWrap/>
            <w:vAlign w:val="center"/>
            <w:hideMark/>
          </w:tcPr>
          <w:p w14:paraId="3183EED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r>
      <w:tr w:rsidR="007B29DD" w:rsidRPr="008448BA" w14:paraId="50BCAD50" w14:textId="77777777" w:rsidTr="00306AF1">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6592837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0C9EFE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1E0546F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3.3%</w:t>
            </w:r>
          </w:p>
        </w:tc>
        <w:tc>
          <w:tcPr>
            <w:tcW w:w="1108" w:type="dxa"/>
            <w:tcBorders>
              <w:top w:val="nil"/>
              <w:left w:val="nil"/>
              <w:bottom w:val="single" w:sz="4" w:space="0" w:color="auto"/>
              <w:right w:val="single" w:sz="4" w:space="0" w:color="auto"/>
            </w:tcBorders>
            <w:shd w:val="clear" w:color="auto" w:fill="auto"/>
            <w:noWrap/>
            <w:vAlign w:val="center"/>
          </w:tcPr>
          <w:p w14:paraId="4B7F2CB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nil"/>
              <w:left w:val="nil"/>
              <w:bottom w:val="single" w:sz="4" w:space="0" w:color="auto"/>
              <w:right w:val="single" w:sz="4" w:space="0" w:color="auto"/>
            </w:tcBorders>
            <w:shd w:val="clear" w:color="auto" w:fill="auto"/>
            <w:noWrap/>
            <w:vAlign w:val="center"/>
          </w:tcPr>
          <w:p w14:paraId="68E460C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5.9%</w:t>
            </w:r>
          </w:p>
        </w:tc>
        <w:tc>
          <w:tcPr>
            <w:tcW w:w="1108" w:type="dxa"/>
            <w:tcBorders>
              <w:top w:val="nil"/>
              <w:left w:val="nil"/>
              <w:bottom w:val="single" w:sz="4" w:space="0" w:color="auto"/>
              <w:right w:val="single" w:sz="4" w:space="0" w:color="auto"/>
            </w:tcBorders>
            <w:shd w:val="clear" w:color="auto" w:fill="auto"/>
            <w:noWrap/>
            <w:vAlign w:val="center"/>
          </w:tcPr>
          <w:p w14:paraId="1C61470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4.8%</w:t>
            </w:r>
          </w:p>
        </w:tc>
        <w:tc>
          <w:tcPr>
            <w:tcW w:w="960" w:type="dxa"/>
            <w:tcBorders>
              <w:top w:val="nil"/>
              <w:left w:val="nil"/>
              <w:bottom w:val="single" w:sz="4" w:space="0" w:color="auto"/>
              <w:right w:val="single" w:sz="4" w:space="0" w:color="auto"/>
            </w:tcBorders>
            <w:shd w:val="clear" w:color="auto" w:fill="auto"/>
            <w:noWrap/>
            <w:vAlign w:val="center"/>
          </w:tcPr>
          <w:p w14:paraId="5AEF7D4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9.7%</w:t>
            </w:r>
          </w:p>
        </w:tc>
        <w:tc>
          <w:tcPr>
            <w:tcW w:w="1106" w:type="dxa"/>
            <w:tcBorders>
              <w:top w:val="nil"/>
              <w:left w:val="nil"/>
              <w:bottom w:val="single" w:sz="4" w:space="0" w:color="auto"/>
              <w:right w:val="single" w:sz="4" w:space="0" w:color="auto"/>
            </w:tcBorders>
            <w:shd w:val="clear" w:color="auto" w:fill="auto"/>
            <w:noWrap/>
            <w:vAlign w:val="center"/>
            <w:hideMark/>
          </w:tcPr>
          <w:p w14:paraId="30A54E6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6.3%</w:t>
            </w:r>
          </w:p>
        </w:tc>
      </w:tr>
      <w:tr w:rsidR="007B29DD" w:rsidRPr="008448BA" w14:paraId="4BE7387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151BA3D"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Snowy</w:t>
            </w:r>
          </w:p>
          <w:p w14:paraId="6762B0BE"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(222)</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0234928"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4BA5F17"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CDEF436"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04B8307"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BEE5AFD"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22585A3"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5.2%</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4848B77"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2.8%</w:t>
            </w:r>
          </w:p>
        </w:tc>
      </w:tr>
      <w:tr w:rsidR="007B29DD" w:rsidRPr="008448BA" w14:paraId="6D49A7A5"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06EC83D"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0481CF"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8F4BE24"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02F2530"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BB263D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4.5%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5ABFBB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3.6%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1E37E5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7.5%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F71D6C9"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5.5%</w:t>
            </w:r>
          </w:p>
        </w:tc>
      </w:tr>
      <w:tr w:rsidR="007B29DD" w:rsidRPr="008448BA" w14:paraId="2E8B7DD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DB161D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90393E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94CF49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850BE4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CA110F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A13FB9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BA89ED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33C4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7.2%</w:t>
            </w:r>
          </w:p>
        </w:tc>
      </w:tr>
      <w:tr w:rsidR="007B29DD" w:rsidRPr="008448BA" w14:paraId="25FCE3D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66FD4A"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Tambo</w:t>
            </w:r>
          </w:p>
          <w:p w14:paraId="620FE07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(223)</w:t>
            </w:r>
          </w:p>
        </w:tc>
        <w:tc>
          <w:tcPr>
            <w:tcW w:w="1240" w:type="dxa"/>
            <w:tcBorders>
              <w:top w:val="nil"/>
              <w:left w:val="nil"/>
              <w:bottom w:val="single" w:sz="4" w:space="0" w:color="auto"/>
              <w:right w:val="single" w:sz="4" w:space="0" w:color="auto"/>
            </w:tcBorders>
            <w:shd w:val="clear" w:color="auto" w:fill="auto"/>
            <w:noWrap/>
            <w:vAlign w:val="bottom"/>
            <w:hideMark/>
          </w:tcPr>
          <w:p w14:paraId="1623143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5ACC4E4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auto"/>
            <w:noWrap/>
            <w:vAlign w:val="center"/>
          </w:tcPr>
          <w:p w14:paraId="6AE4367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500A34F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329DE6E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2.2%</w:t>
            </w:r>
          </w:p>
        </w:tc>
        <w:tc>
          <w:tcPr>
            <w:tcW w:w="960" w:type="dxa"/>
            <w:tcBorders>
              <w:top w:val="nil"/>
              <w:left w:val="nil"/>
              <w:bottom w:val="single" w:sz="4" w:space="0" w:color="auto"/>
              <w:right w:val="single" w:sz="4" w:space="0" w:color="auto"/>
            </w:tcBorders>
            <w:shd w:val="clear" w:color="auto" w:fill="auto"/>
            <w:noWrap/>
            <w:vAlign w:val="center"/>
          </w:tcPr>
          <w:p w14:paraId="6EB109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4.6%</w:t>
            </w:r>
          </w:p>
        </w:tc>
        <w:tc>
          <w:tcPr>
            <w:tcW w:w="1106" w:type="dxa"/>
            <w:tcBorders>
              <w:top w:val="nil"/>
              <w:left w:val="nil"/>
              <w:bottom w:val="single" w:sz="4" w:space="0" w:color="auto"/>
              <w:right w:val="single" w:sz="4" w:space="0" w:color="auto"/>
            </w:tcBorders>
            <w:shd w:val="clear" w:color="auto" w:fill="auto"/>
            <w:noWrap/>
            <w:vAlign w:val="center"/>
            <w:hideMark/>
          </w:tcPr>
          <w:p w14:paraId="18B6558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r>
      <w:tr w:rsidR="007B29DD" w:rsidRPr="008448BA" w14:paraId="7A51F9F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1BE160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4602A1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183A9D1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auto"/>
            <w:noWrap/>
            <w:vAlign w:val="center"/>
          </w:tcPr>
          <w:p w14:paraId="1BA8C60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tcPr>
          <w:p w14:paraId="34C107F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4.5%</w:t>
            </w:r>
          </w:p>
        </w:tc>
        <w:tc>
          <w:tcPr>
            <w:tcW w:w="1108" w:type="dxa"/>
            <w:tcBorders>
              <w:top w:val="nil"/>
              <w:left w:val="nil"/>
              <w:bottom w:val="single" w:sz="4" w:space="0" w:color="auto"/>
              <w:right w:val="single" w:sz="4" w:space="0" w:color="auto"/>
            </w:tcBorders>
            <w:shd w:val="clear" w:color="auto" w:fill="auto"/>
            <w:noWrap/>
            <w:vAlign w:val="center"/>
          </w:tcPr>
          <w:p w14:paraId="6C5BE61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3.6%</w:t>
            </w:r>
          </w:p>
        </w:tc>
        <w:tc>
          <w:tcPr>
            <w:tcW w:w="960" w:type="dxa"/>
            <w:tcBorders>
              <w:top w:val="nil"/>
              <w:left w:val="nil"/>
              <w:bottom w:val="single" w:sz="4" w:space="0" w:color="auto"/>
              <w:right w:val="single" w:sz="4" w:space="0" w:color="auto"/>
            </w:tcBorders>
            <w:shd w:val="clear" w:color="auto" w:fill="auto"/>
            <w:noWrap/>
            <w:vAlign w:val="center"/>
          </w:tcPr>
          <w:p w14:paraId="1C96421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7.5%</w:t>
            </w:r>
          </w:p>
        </w:tc>
        <w:tc>
          <w:tcPr>
            <w:tcW w:w="1106" w:type="dxa"/>
            <w:tcBorders>
              <w:top w:val="nil"/>
              <w:left w:val="nil"/>
              <w:bottom w:val="single" w:sz="4" w:space="0" w:color="auto"/>
              <w:right w:val="single" w:sz="4" w:space="0" w:color="auto"/>
            </w:tcBorders>
            <w:shd w:val="clear" w:color="auto" w:fill="auto"/>
            <w:noWrap/>
            <w:vAlign w:val="center"/>
            <w:hideMark/>
          </w:tcPr>
          <w:p w14:paraId="4B72487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5.8%</w:t>
            </w:r>
          </w:p>
        </w:tc>
      </w:tr>
      <w:tr w:rsidR="007B29DD" w:rsidRPr="008448BA" w14:paraId="15E7A67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5EEFCD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C6710B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08F9D87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3.3%</w:t>
            </w:r>
          </w:p>
        </w:tc>
        <w:tc>
          <w:tcPr>
            <w:tcW w:w="1108" w:type="dxa"/>
            <w:tcBorders>
              <w:top w:val="nil"/>
              <w:left w:val="nil"/>
              <w:bottom w:val="single" w:sz="4" w:space="0" w:color="auto"/>
              <w:right w:val="single" w:sz="4" w:space="0" w:color="auto"/>
            </w:tcBorders>
            <w:shd w:val="clear" w:color="auto" w:fill="auto"/>
            <w:noWrap/>
            <w:vAlign w:val="center"/>
          </w:tcPr>
          <w:p w14:paraId="73F1EA6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22B957F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5.9%</w:t>
            </w:r>
          </w:p>
        </w:tc>
        <w:tc>
          <w:tcPr>
            <w:tcW w:w="1108" w:type="dxa"/>
            <w:tcBorders>
              <w:top w:val="nil"/>
              <w:left w:val="nil"/>
              <w:bottom w:val="single" w:sz="4" w:space="0" w:color="auto"/>
              <w:right w:val="single" w:sz="4" w:space="0" w:color="auto"/>
            </w:tcBorders>
            <w:shd w:val="clear" w:color="auto" w:fill="auto"/>
            <w:noWrap/>
            <w:vAlign w:val="center"/>
          </w:tcPr>
          <w:p w14:paraId="3B70789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auto"/>
            <w:noWrap/>
            <w:vAlign w:val="center"/>
          </w:tcPr>
          <w:p w14:paraId="64CE4AB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11.2%</w:t>
            </w:r>
          </w:p>
        </w:tc>
        <w:tc>
          <w:tcPr>
            <w:tcW w:w="1106" w:type="dxa"/>
            <w:tcBorders>
              <w:top w:val="nil"/>
              <w:left w:val="nil"/>
              <w:bottom w:val="single" w:sz="4" w:space="0" w:color="auto"/>
              <w:right w:val="single" w:sz="4" w:space="0" w:color="auto"/>
            </w:tcBorders>
            <w:shd w:val="clear" w:color="auto" w:fill="auto"/>
            <w:noWrap/>
            <w:vAlign w:val="center"/>
            <w:hideMark/>
          </w:tcPr>
          <w:p w14:paraId="5915018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6.7%</w:t>
            </w:r>
          </w:p>
        </w:tc>
      </w:tr>
      <w:tr w:rsidR="007B29DD" w:rsidRPr="008448BA" w14:paraId="547428F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2E97BE4"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Mitchell</w:t>
            </w:r>
          </w:p>
          <w:p w14:paraId="0242CC2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(224)</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79F6EA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A64DF2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AD0B30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370FCA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099FFE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EFAAA8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16C57E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r>
      <w:tr w:rsidR="007B29DD" w:rsidRPr="008448BA" w14:paraId="7975A21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75501A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32CF65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EF2B0C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F73DDD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B115E8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4639B4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C49153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AC0973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5.6%</w:t>
            </w:r>
          </w:p>
        </w:tc>
      </w:tr>
      <w:tr w:rsidR="007B29DD" w:rsidRPr="008448BA" w14:paraId="4965DD7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0D95F3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E27C19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63A7F3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D2E63A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7B0CF7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513AFA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F46154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EA9F69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6.5%</w:t>
            </w:r>
          </w:p>
        </w:tc>
      </w:tr>
      <w:tr w:rsidR="007B29DD" w:rsidRPr="008448BA" w14:paraId="58A3421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EEEE0F"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Thomson</w:t>
            </w:r>
          </w:p>
          <w:p w14:paraId="602F93A2"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(225)</w:t>
            </w:r>
          </w:p>
        </w:tc>
        <w:tc>
          <w:tcPr>
            <w:tcW w:w="1240" w:type="dxa"/>
            <w:tcBorders>
              <w:top w:val="nil"/>
              <w:left w:val="nil"/>
              <w:bottom w:val="single" w:sz="4" w:space="0" w:color="auto"/>
              <w:right w:val="single" w:sz="4" w:space="0" w:color="auto"/>
            </w:tcBorders>
            <w:shd w:val="clear" w:color="auto" w:fill="auto"/>
            <w:noWrap/>
            <w:vAlign w:val="bottom"/>
            <w:hideMark/>
          </w:tcPr>
          <w:p w14:paraId="1C3F940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4E1FADA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auto"/>
            <w:noWrap/>
            <w:vAlign w:val="center"/>
          </w:tcPr>
          <w:p w14:paraId="305503C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tcPr>
          <w:p w14:paraId="487FDB8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6C151D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tcPr>
          <w:p w14:paraId="0109AF6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auto"/>
            <w:noWrap/>
            <w:vAlign w:val="center"/>
            <w:hideMark/>
          </w:tcPr>
          <w:p w14:paraId="6B9BF21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r>
      <w:tr w:rsidR="007B29DD" w:rsidRPr="008448BA" w14:paraId="670C976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A2C04D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5C174D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79ABDDF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auto"/>
            <w:noWrap/>
            <w:vAlign w:val="center"/>
          </w:tcPr>
          <w:p w14:paraId="516FAE6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2.1%</w:t>
            </w:r>
          </w:p>
        </w:tc>
        <w:tc>
          <w:tcPr>
            <w:tcW w:w="960" w:type="dxa"/>
            <w:tcBorders>
              <w:top w:val="nil"/>
              <w:left w:val="nil"/>
              <w:bottom w:val="single" w:sz="4" w:space="0" w:color="auto"/>
              <w:right w:val="single" w:sz="4" w:space="0" w:color="auto"/>
            </w:tcBorders>
            <w:shd w:val="clear" w:color="auto" w:fill="auto"/>
            <w:noWrap/>
            <w:vAlign w:val="center"/>
          </w:tcPr>
          <w:p w14:paraId="4482F63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4.6%</w:t>
            </w:r>
          </w:p>
        </w:tc>
        <w:tc>
          <w:tcPr>
            <w:tcW w:w="1108" w:type="dxa"/>
            <w:tcBorders>
              <w:top w:val="nil"/>
              <w:left w:val="nil"/>
              <w:bottom w:val="single" w:sz="4" w:space="0" w:color="auto"/>
              <w:right w:val="single" w:sz="4" w:space="0" w:color="auto"/>
            </w:tcBorders>
            <w:shd w:val="clear" w:color="auto" w:fill="auto"/>
            <w:noWrap/>
            <w:vAlign w:val="center"/>
          </w:tcPr>
          <w:p w14:paraId="6F2D8B4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3.7%</w:t>
            </w:r>
          </w:p>
        </w:tc>
        <w:tc>
          <w:tcPr>
            <w:tcW w:w="960" w:type="dxa"/>
            <w:tcBorders>
              <w:top w:val="nil"/>
              <w:left w:val="nil"/>
              <w:bottom w:val="single" w:sz="4" w:space="0" w:color="auto"/>
              <w:right w:val="single" w:sz="4" w:space="0" w:color="auto"/>
            </w:tcBorders>
            <w:shd w:val="clear" w:color="auto" w:fill="auto"/>
            <w:noWrap/>
            <w:vAlign w:val="center"/>
          </w:tcPr>
          <w:p w14:paraId="41450C1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7.5%</w:t>
            </w:r>
          </w:p>
        </w:tc>
        <w:tc>
          <w:tcPr>
            <w:tcW w:w="1106" w:type="dxa"/>
            <w:tcBorders>
              <w:top w:val="nil"/>
              <w:left w:val="nil"/>
              <w:bottom w:val="single" w:sz="4" w:space="0" w:color="auto"/>
              <w:right w:val="single" w:sz="4" w:space="0" w:color="auto"/>
            </w:tcBorders>
            <w:shd w:val="clear" w:color="auto" w:fill="auto"/>
            <w:noWrap/>
            <w:vAlign w:val="center"/>
            <w:hideMark/>
          </w:tcPr>
          <w:p w14:paraId="10ECC9F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5.6%</w:t>
            </w:r>
          </w:p>
        </w:tc>
      </w:tr>
      <w:tr w:rsidR="007B29DD" w:rsidRPr="008448BA" w14:paraId="538B852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919AE6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9455B2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14C77D1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441636C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2.9%</w:t>
            </w:r>
          </w:p>
        </w:tc>
        <w:tc>
          <w:tcPr>
            <w:tcW w:w="960" w:type="dxa"/>
            <w:tcBorders>
              <w:top w:val="nil"/>
              <w:left w:val="nil"/>
              <w:bottom w:val="single" w:sz="4" w:space="0" w:color="auto"/>
              <w:right w:val="single" w:sz="4" w:space="0" w:color="auto"/>
            </w:tcBorders>
            <w:shd w:val="clear" w:color="auto" w:fill="auto"/>
            <w:noWrap/>
            <w:vAlign w:val="center"/>
          </w:tcPr>
          <w:p w14:paraId="2340CB0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auto"/>
            <w:noWrap/>
            <w:vAlign w:val="center"/>
          </w:tcPr>
          <w:p w14:paraId="07B8ED9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c>
          <w:tcPr>
            <w:tcW w:w="960" w:type="dxa"/>
            <w:tcBorders>
              <w:top w:val="nil"/>
              <w:left w:val="nil"/>
              <w:bottom w:val="single" w:sz="4" w:space="0" w:color="auto"/>
              <w:right w:val="single" w:sz="4" w:space="0" w:color="auto"/>
            </w:tcBorders>
            <w:shd w:val="clear" w:color="auto" w:fill="auto"/>
            <w:noWrap/>
            <w:vAlign w:val="center"/>
          </w:tcPr>
          <w:p w14:paraId="5C7F4F8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11.7%</w:t>
            </w:r>
          </w:p>
        </w:tc>
        <w:tc>
          <w:tcPr>
            <w:tcW w:w="1106" w:type="dxa"/>
            <w:tcBorders>
              <w:top w:val="nil"/>
              <w:left w:val="nil"/>
              <w:bottom w:val="single" w:sz="4" w:space="0" w:color="auto"/>
              <w:right w:val="single" w:sz="4" w:space="0" w:color="auto"/>
            </w:tcBorders>
            <w:shd w:val="clear" w:color="auto" w:fill="auto"/>
            <w:noWrap/>
            <w:vAlign w:val="center"/>
            <w:hideMark/>
          </w:tcPr>
          <w:p w14:paraId="1B1A1B0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6E627CD0"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A7F1590"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Latrobe</w:t>
            </w:r>
          </w:p>
          <w:p w14:paraId="686AEF3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(226)</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96893E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C00081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1.4%</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84288F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B8DFB8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0F609B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9DF450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56853C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r>
      <w:tr w:rsidR="007B29DD" w:rsidRPr="008448BA" w14:paraId="6CB3036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35B260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ACDEAA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8B0C16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FF9064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F73AF7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41FF70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954660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5DB64B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r>
      <w:tr w:rsidR="007B29DD" w:rsidRPr="008448BA" w14:paraId="7C113F1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A96D1E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700317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D7656D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FEDF0A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6356D1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AA6D6F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D91596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11.3%</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C1FD3E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6.5%</w:t>
            </w:r>
          </w:p>
        </w:tc>
      </w:tr>
      <w:tr w:rsidR="007B29DD" w:rsidRPr="008448BA" w14:paraId="486DEC87"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F924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South Gippsland</w:t>
            </w:r>
          </w:p>
          <w:p w14:paraId="368B9E1D"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(227)</w:t>
            </w:r>
          </w:p>
        </w:tc>
        <w:tc>
          <w:tcPr>
            <w:tcW w:w="1240" w:type="dxa"/>
            <w:tcBorders>
              <w:top w:val="nil"/>
              <w:left w:val="nil"/>
              <w:bottom w:val="single" w:sz="4" w:space="0" w:color="auto"/>
              <w:right w:val="single" w:sz="4" w:space="0" w:color="auto"/>
            </w:tcBorders>
            <w:shd w:val="clear" w:color="auto" w:fill="auto"/>
            <w:noWrap/>
            <w:vAlign w:val="bottom"/>
            <w:hideMark/>
          </w:tcPr>
          <w:p w14:paraId="253D7CB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42E6BC4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1.3%</w:t>
            </w:r>
          </w:p>
        </w:tc>
        <w:tc>
          <w:tcPr>
            <w:tcW w:w="1108" w:type="dxa"/>
            <w:tcBorders>
              <w:top w:val="nil"/>
              <w:left w:val="nil"/>
              <w:bottom w:val="single" w:sz="4" w:space="0" w:color="auto"/>
              <w:right w:val="single" w:sz="4" w:space="0" w:color="auto"/>
            </w:tcBorders>
            <w:shd w:val="clear" w:color="auto" w:fill="auto"/>
            <w:noWrap/>
            <w:vAlign w:val="center"/>
          </w:tcPr>
          <w:p w14:paraId="28D16E9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058C9AA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2.4%</w:t>
            </w:r>
          </w:p>
        </w:tc>
        <w:tc>
          <w:tcPr>
            <w:tcW w:w="1108" w:type="dxa"/>
            <w:tcBorders>
              <w:top w:val="nil"/>
              <w:left w:val="nil"/>
              <w:bottom w:val="single" w:sz="4" w:space="0" w:color="auto"/>
              <w:right w:val="single" w:sz="4" w:space="0" w:color="auto"/>
            </w:tcBorders>
            <w:shd w:val="clear" w:color="auto" w:fill="auto"/>
            <w:noWrap/>
            <w:vAlign w:val="center"/>
          </w:tcPr>
          <w:p w14:paraId="7E15E5E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2922156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4.4%</w:t>
            </w:r>
          </w:p>
        </w:tc>
        <w:tc>
          <w:tcPr>
            <w:tcW w:w="1106" w:type="dxa"/>
            <w:tcBorders>
              <w:top w:val="nil"/>
              <w:left w:val="nil"/>
              <w:bottom w:val="single" w:sz="4" w:space="0" w:color="auto"/>
              <w:right w:val="single" w:sz="4" w:space="0" w:color="auto"/>
            </w:tcBorders>
            <w:shd w:val="clear" w:color="auto" w:fill="auto"/>
            <w:noWrap/>
            <w:vAlign w:val="center"/>
            <w:hideMark/>
          </w:tcPr>
          <w:p w14:paraId="1B9BF0B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2.4%</w:t>
            </w:r>
          </w:p>
        </w:tc>
      </w:tr>
      <w:tr w:rsidR="007B29DD" w:rsidRPr="008448BA" w14:paraId="67C92F6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C17C74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745505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3927765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2.4%</w:t>
            </w:r>
          </w:p>
        </w:tc>
        <w:tc>
          <w:tcPr>
            <w:tcW w:w="1108" w:type="dxa"/>
            <w:tcBorders>
              <w:top w:val="nil"/>
              <w:left w:val="nil"/>
              <w:bottom w:val="single" w:sz="4" w:space="0" w:color="auto"/>
              <w:right w:val="single" w:sz="4" w:space="0" w:color="auto"/>
            </w:tcBorders>
            <w:shd w:val="clear" w:color="auto" w:fill="auto"/>
            <w:noWrap/>
            <w:vAlign w:val="center"/>
          </w:tcPr>
          <w:p w14:paraId="39F2C62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tcPr>
          <w:p w14:paraId="31A7F5D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4.2%</w:t>
            </w:r>
          </w:p>
        </w:tc>
        <w:tc>
          <w:tcPr>
            <w:tcW w:w="1108" w:type="dxa"/>
            <w:tcBorders>
              <w:top w:val="nil"/>
              <w:left w:val="nil"/>
              <w:bottom w:val="single" w:sz="4" w:space="0" w:color="auto"/>
              <w:right w:val="single" w:sz="4" w:space="0" w:color="auto"/>
            </w:tcBorders>
            <w:shd w:val="clear" w:color="auto" w:fill="auto"/>
            <w:noWrap/>
            <w:vAlign w:val="center"/>
          </w:tcPr>
          <w:p w14:paraId="138F441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3.3%</w:t>
            </w:r>
          </w:p>
        </w:tc>
        <w:tc>
          <w:tcPr>
            <w:tcW w:w="960" w:type="dxa"/>
            <w:tcBorders>
              <w:top w:val="nil"/>
              <w:left w:val="nil"/>
              <w:bottom w:val="single" w:sz="4" w:space="0" w:color="auto"/>
              <w:right w:val="single" w:sz="4" w:space="0" w:color="auto"/>
            </w:tcBorders>
            <w:shd w:val="clear" w:color="auto" w:fill="auto"/>
            <w:noWrap/>
            <w:vAlign w:val="center"/>
          </w:tcPr>
          <w:p w14:paraId="7A344AB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7.0%</w:t>
            </w:r>
          </w:p>
        </w:tc>
        <w:tc>
          <w:tcPr>
            <w:tcW w:w="1106" w:type="dxa"/>
            <w:tcBorders>
              <w:top w:val="nil"/>
              <w:left w:val="nil"/>
              <w:bottom w:val="single" w:sz="4" w:space="0" w:color="auto"/>
              <w:right w:val="single" w:sz="4" w:space="0" w:color="auto"/>
            </w:tcBorders>
            <w:shd w:val="clear" w:color="auto" w:fill="auto"/>
            <w:noWrap/>
            <w:vAlign w:val="center"/>
            <w:hideMark/>
          </w:tcPr>
          <w:p w14:paraId="43246F2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4.9%</w:t>
            </w:r>
          </w:p>
        </w:tc>
      </w:tr>
      <w:tr w:rsidR="007B29DD" w:rsidRPr="008448BA" w14:paraId="6F6EC2F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C2CE63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188138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6C63376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auto"/>
            <w:noWrap/>
            <w:vAlign w:val="center"/>
          </w:tcPr>
          <w:p w14:paraId="35515E2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0D96FCF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8" w:type="dxa"/>
            <w:tcBorders>
              <w:top w:val="nil"/>
              <w:left w:val="nil"/>
              <w:bottom w:val="single" w:sz="4" w:space="0" w:color="auto"/>
              <w:right w:val="single" w:sz="4" w:space="0" w:color="auto"/>
            </w:tcBorders>
            <w:shd w:val="clear" w:color="auto" w:fill="auto"/>
            <w:noWrap/>
            <w:vAlign w:val="center"/>
          </w:tcPr>
          <w:p w14:paraId="7473DCB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auto"/>
            <w:noWrap/>
            <w:vAlign w:val="center"/>
          </w:tcPr>
          <w:p w14:paraId="1BE7F0F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10.9%</w:t>
            </w:r>
          </w:p>
        </w:tc>
        <w:tc>
          <w:tcPr>
            <w:tcW w:w="1106" w:type="dxa"/>
            <w:tcBorders>
              <w:top w:val="nil"/>
              <w:left w:val="nil"/>
              <w:bottom w:val="single" w:sz="4" w:space="0" w:color="auto"/>
              <w:right w:val="single" w:sz="4" w:space="0" w:color="auto"/>
            </w:tcBorders>
            <w:shd w:val="clear" w:color="auto" w:fill="auto"/>
            <w:noWrap/>
            <w:vAlign w:val="center"/>
            <w:hideMark/>
          </w:tcPr>
          <w:p w14:paraId="2C12FC8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6.4%</w:t>
            </w:r>
          </w:p>
        </w:tc>
      </w:tr>
      <w:tr w:rsidR="007B29DD" w:rsidRPr="008448BA" w14:paraId="34F0281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73AB4EF"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Bunyip</w:t>
            </w:r>
          </w:p>
          <w:p w14:paraId="723BECA5"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F25C2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FC5C7F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19618F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6479BD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43222C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26C20E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93803A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r>
      <w:tr w:rsidR="007B29DD" w:rsidRPr="008448BA" w14:paraId="51C54EC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C3F6DD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866EA9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F426FF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2.4%</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2CDE05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F238D3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4.3%</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1ED789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E38CC4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7.3%</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402280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r>
      <w:tr w:rsidR="007B29DD" w:rsidRPr="008448BA" w14:paraId="2DFEE1E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96D27A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B96097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5F5894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7A1008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69D0AD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1B49F0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944FA9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64DB3F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6.6%</w:t>
            </w:r>
          </w:p>
        </w:tc>
      </w:tr>
      <w:tr w:rsidR="007B29DD" w:rsidRPr="008448BA" w14:paraId="26CD10B7"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D3176"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Yarra</w:t>
            </w:r>
          </w:p>
          <w:p w14:paraId="2ECF4DD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(229)</w:t>
            </w:r>
          </w:p>
        </w:tc>
        <w:tc>
          <w:tcPr>
            <w:tcW w:w="1240" w:type="dxa"/>
            <w:tcBorders>
              <w:top w:val="nil"/>
              <w:left w:val="nil"/>
              <w:bottom w:val="single" w:sz="4" w:space="0" w:color="auto"/>
              <w:right w:val="single" w:sz="4" w:space="0" w:color="auto"/>
            </w:tcBorders>
            <w:shd w:val="clear" w:color="auto" w:fill="auto"/>
            <w:noWrap/>
            <w:vAlign w:val="bottom"/>
            <w:hideMark/>
          </w:tcPr>
          <w:p w14:paraId="61EA000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690F0A7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auto"/>
            <w:noWrap/>
            <w:vAlign w:val="center"/>
          </w:tcPr>
          <w:p w14:paraId="01116AD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tcPr>
          <w:p w14:paraId="143CC4B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7A53C86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tcPr>
          <w:p w14:paraId="7B3BB23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auto"/>
            <w:noWrap/>
            <w:vAlign w:val="center"/>
            <w:hideMark/>
          </w:tcPr>
          <w:p w14:paraId="3C305F8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r>
      <w:tr w:rsidR="007B29DD" w:rsidRPr="008448BA" w14:paraId="4A9964C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406F41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9CE749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405A953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auto"/>
            <w:noWrap/>
            <w:vAlign w:val="center"/>
          </w:tcPr>
          <w:p w14:paraId="6E1B8E8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2.1%</w:t>
            </w:r>
          </w:p>
        </w:tc>
        <w:tc>
          <w:tcPr>
            <w:tcW w:w="960" w:type="dxa"/>
            <w:tcBorders>
              <w:top w:val="nil"/>
              <w:left w:val="nil"/>
              <w:bottom w:val="single" w:sz="4" w:space="0" w:color="auto"/>
              <w:right w:val="single" w:sz="4" w:space="0" w:color="auto"/>
            </w:tcBorders>
            <w:shd w:val="clear" w:color="auto" w:fill="auto"/>
            <w:noWrap/>
            <w:vAlign w:val="center"/>
          </w:tcPr>
          <w:p w14:paraId="32380E0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4.6%</w:t>
            </w:r>
          </w:p>
        </w:tc>
        <w:tc>
          <w:tcPr>
            <w:tcW w:w="1108" w:type="dxa"/>
            <w:tcBorders>
              <w:top w:val="nil"/>
              <w:left w:val="nil"/>
              <w:bottom w:val="single" w:sz="4" w:space="0" w:color="auto"/>
              <w:right w:val="single" w:sz="4" w:space="0" w:color="auto"/>
            </w:tcBorders>
            <w:shd w:val="clear" w:color="auto" w:fill="auto"/>
            <w:noWrap/>
            <w:vAlign w:val="center"/>
          </w:tcPr>
          <w:p w14:paraId="2B7E66D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3.7%</w:t>
            </w:r>
          </w:p>
        </w:tc>
        <w:tc>
          <w:tcPr>
            <w:tcW w:w="960" w:type="dxa"/>
            <w:tcBorders>
              <w:top w:val="nil"/>
              <w:left w:val="nil"/>
              <w:bottom w:val="single" w:sz="4" w:space="0" w:color="auto"/>
              <w:right w:val="single" w:sz="4" w:space="0" w:color="auto"/>
            </w:tcBorders>
            <w:shd w:val="clear" w:color="auto" w:fill="auto"/>
            <w:noWrap/>
            <w:vAlign w:val="center"/>
          </w:tcPr>
          <w:p w14:paraId="2B3B8F6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7.6%</w:t>
            </w:r>
          </w:p>
        </w:tc>
        <w:tc>
          <w:tcPr>
            <w:tcW w:w="1106" w:type="dxa"/>
            <w:tcBorders>
              <w:top w:val="nil"/>
              <w:left w:val="nil"/>
              <w:bottom w:val="single" w:sz="4" w:space="0" w:color="auto"/>
              <w:right w:val="single" w:sz="4" w:space="0" w:color="auto"/>
            </w:tcBorders>
            <w:shd w:val="clear" w:color="auto" w:fill="auto"/>
            <w:noWrap/>
            <w:vAlign w:val="center"/>
            <w:hideMark/>
          </w:tcPr>
          <w:p w14:paraId="26F9720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5.6%</w:t>
            </w:r>
          </w:p>
        </w:tc>
      </w:tr>
      <w:tr w:rsidR="007B29DD" w:rsidRPr="008448BA" w14:paraId="4A6CCAA0"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9BC943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28DEA7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296919A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3.3%</w:t>
            </w:r>
          </w:p>
        </w:tc>
        <w:tc>
          <w:tcPr>
            <w:tcW w:w="1108" w:type="dxa"/>
            <w:tcBorders>
              <w:top w:val="nil"/>
              <w:left w:val="nil"/>
              <w:bottom w:val="single" w:sz="4" w:space="0" w:color="auto"/>
              <w:right w:val="single" w:sz="4" w:space="0" w:color="auto"/>
            </w:tcBorders>
            <w:shd w:val="clear" w:color="auto" w:fill="auto"/>
            <w:noWrap/>
            <w:vAlign w:val="center"/>
          </w:tcPr>
          <w:p w14:paraId="400A9CA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c>
          <w:tcPr>
            <w:tcW w:w="960" w:type="dxa"/>
            <w:tcBorders>
              <w:top w:val="nil"/>
              <w:left w:val="nil"/>
              <w:bottom w:val="single" w:sz="4" w:space="0" w:color="auto"/>
              <w:right w:val="single" w:sz="4" w:space="0" w:color="auto"/>
            </w:tcBorders>
            <w:shd w:val="clear" w:color="auto" w:fill="auto"/>
            <w:noWrap/>
            <w:vAlign w:val="center"/>
          </w:tcPr>
          <w:p w14:paraId="72294D5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5.9%</w:t>
            </w:r>
          </w:p>
        </w:tc>
        <w:tc>
          <w:tcPr>
            <w:tcW w:w="1108" w:type="dxa"/>
            <w:tcBorders>
              <w:top w:val="nil"/>
              <w:left w:val="nil"/>
              <w:bottom w:val="single" w:sz="4" w:space="0" w:color="auto"/>
              <w:right w:val="single" w:sz="4" w:space="0" w:color="auto"/>
            </w:tcBorders>
            <w:shd w:val="clear" w:color="auto" w:fill="auto"/>
            <w:noWrap/>
            <w:vAlign w:val="center"/>
          </w:tcPr>
          <w:p w14:paraId="358A1C0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5.5%</w:t>
            </w:r>
          </w:p>
        </w:tc>
        <w:tc>
          <w:tcPr>
            <w:tcW w:w="960" w:type="dxa"/>
            <w:tcBorders>
              <w:top w:val="nil"/>
              <w:left w:val="nil"/>
              <w:bottom w:val="single" w:sz="4" w:space="0" w:color="auto"/>
              <w:right w:val="single" w:sz="4" w:space="0" w:color="auto"/>
            </w:tcBorders>
            <w:shd w:val="clear" w:color="auto" w:fill="auto"/>
            <w:noWrap/>
            <w:vAlign w:val="center"/>
          </w:tcPr>
          <w:p w14:paraId="0E618B8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12.0%</w:t>
            </w:r>
          </w:p>
        </w:tc>
        <w:tc>
          <w:tcPr>
            <w:tcW w:w="1106" w:type="dxa"/>
            <w:tcBorders>
              <w:top w:val="nil"/>
              <w:left w:val="nil"/>
              <w:bottom w:val="single" w:sz="4" w:space="0" w:color="auto"/>
              <w:right w:val="single" w:sz="4" w:space="0" w:color="auto"/>
            </w:tcBorders>
            <w:shd w:val="clear" w:color="auto" w:fill="auto"/>
            <w:noWrap/>
            <w:vAlign w:val="center"/>
            <w:hideMark/>
          </w:tcPr>
          <w:p w14:paraId="4F31F40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7.0%</w:t>
            </w:r>
          </w:p>
        </w:tc>
      </w:tr>
      <w:tr w:rsidR="007B29DD" w:rsidRPr="008448BA" w14:paraId="268E0F4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AA63A89"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Maribyrnong</w:t>
            </w:r>
          </w:p>
          <w:p w14:paraId="66206E8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(230)</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3C822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D595DC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8700FD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E1D3FF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32BC6C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17607F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81CDE6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3.2%</w:t>
            </w:r>
          </w:p>
        </w:tc>
      </w:tr>
      <w:tr w:rsidR="007B29DD" w:rsidRPr="008448BA" w14:paraId="7F45B97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2ED178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CAC256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323C35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E09180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DEA917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ADB6E6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F28308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3DA784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5.1%</w:t>
            </w:r>
          </w:p>
        </w:tc>
      </w:tr>
      <w:tr w:rsidR="007B29DD" w:rsidRPr="008448BA" w14:paraId="32F3956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0EA3EB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73C20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4E743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3.4%</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70573D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739D89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1362E3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6987B6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3F75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13980CE7"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B83684"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Werribee</w:t>
            </w:r>
          </w:p>
          <w:p w14:paraId="47102E1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(231)</w:t>
            </w:r>
          </w:p>
        </w:tc>
        <w:tc>
          <w:tcPr>
            <w:tcW w:w="1240" w:type="dxa"/>
            <w:tcBorders>
              <w:top w:val="nil"/>
              <w:left w:val="nil"/>
              <w:bottom w:val="single" w:sz="4" w:space="0" w:color="auto"/>
              <w:right w:val="single" w:sz="4" w:space="0" w:color="auto"/>
            </w:tcBorders>
            <w:shd w:val="clear" w:color="auto" w:fill="auto"/>
            <w:noWrap/>
            <w:vAlign w:val="bottom"/>
            <w:hideMark/>
          </w:tcPr>
          <w:p w14:paraId="52C5BEF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073AE41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1.6%</w:t>
            </w:r>
          </w:p>
        </w:tc>
        <w:tc>
          <w:tcPr>
            <w:tcW w:w="1108" w:type="dxa"/>
            <w:tcBorders>
              <w:top w:val="nil"/>
              <w:left w:val="nil"/>
              <w:bottom w:val="single" w:sz="4" w:space="0" w:color="auto"/>
              <w:right w:val="single" w:sz="4" w:space="0" w:color="auto"/>
            </w:tcBorders>
            <w:shd w:val="clear" w:color="auto" w:fill="auto"/>
            <w:noWrap/>
            <w:vAlign w:val="center"/>
          </w:tcPr>
          <w:p w14:paraId="794C22B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78DC855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2.9%</w:t>
            </w:r>
          </w:p>
        </w:tc>
        <w:tc>
          <w:tcPr>
            <w:tcW w:w="1108" w:type="dxa"/>
            <w:tcBorders>
              <w:top w:val="nil"/>
              <w:left w:val="nil"/>
              <w:bottom w:val="single" w:sz="4" w:space="0" w:color="auto"/>
              <w:right w:val="single" w:sz="4" w:space="0" w:color="auto"/>
            </w:tcBorders>
            <w:shd w:val="clear" w:color="auto" w:fill="auto"/>
            <w:noWrap/>
            <w:vAlign w:val="center"/>
          </w:tcPr>
          <w:p w14:paraId="3EF46A1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tcPr>
          <w:p w14:paraId="4196EE9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6" w:type="dxa"/>
            <w:tcBorders>
              <w:top w:val="nil"/>
              <w:left w:val="nil"/>
              <w:bottom w:val="single" w:sz="4" w:space="0" w:color="auto"/>
              <w:right w:val="single" w:sz="4" w:space="0" w:color="auto"/>
            </w:tcBorders>
            <w:shd w:val="clear" w:color="auto" w:fill="auto"/>
            <w:noWrap/>
            <w:vAlign w:val="center"/>
            <w:hideMark/>
          </w:tcPr>
          <w:p w14:paraId="564AEDF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3.2%</w:t>
            </w:r>
          </w:p>
        </w:tc>
      </w:tr>
      <w:tr w:rsidR="007B29DD" w:rsidRPr="008448BA" w14:paraId="3F5A6FA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B33AA2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81432E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59F278E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auto"/>
            <w:noWrap/>
            <w:vAlign w:val="center"/>
          </w:tcPr>
          <w:p w14:paraId="46140DD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2.1%</w:t>
            </w:r>
          </w:p>
        </w:tc>
        <w:tc>
          <w:tcPr>
            <w:tcW w:w="960" w:type="dxa"/>
            <w:tcBorders>
              <w:top w:val="nil"/>
              <w:left w:val="nil"/>
              <w:bottom w:val="single" w:sz="4" w:space="0" w:color="auto"/>
              <w:right w:val="single" w:sz="4" w:space="0" w:color="auto"/>
            </w:tcBorders>
            <w:shd w:val="clear" w:color="auto" w:fill="auto"/>
            <w:noWrap/>
            <w:vAlign w:val="center"/>
          </w:tcPr>
          <w:p w14:paraId="0A64544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4.7%</w:t>
            </w:r>
          </w:p>
        </w:tc>
        <w:tc>
          <w:tcPr>
            <w:tcW w:w="1108" w:type="dxa"/>
            <w:tcBorders>
              <w:top w:val="nil"/>
              <w:left w:val="nil"/>
              <w:bottom w:val="single" w:sz="4" w:space="0" w:color="auto"/>
              <w:right w:val="single" w:sz="4" w:space="0" w:color="auto"/>
            </w:tcBorders>
            <w:shd w:val="clear" w:color="auto" w:fill="auto"/>
            <w:noWrap/>
            <w:vAlign w:val="center"/>
          </w:tcPr>
          <w:p w14:paraId="46026A8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3.7%</w:t>
            </w:r>
          </w:p>
        </w:tc>
        <w:tc>
          <w:tcPr>
            <w:tcW w:w="960" w:type="dxa"/>
            <w:tcBorders>
              <w:top w:val="nil"/>
              <w:left w:val="nil"/>
              <w:bottom w:val="single" w:sz="4" w:space="0" w:color="auto"/>
              <w:right w:val="single" w:sz="4" w:space="0" w:color="auto"/>
            </w:tcBorders>
            <w:shd w:val="clear" w:color="auto" w:fill="auto"/>
            <w:noWrap/>
            <w:vAlign w:val="center"/>
          </w:tcPr>
          <w:p w14:paraId="65BDC07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7.7%</w:t>
            </w:r>
          </w:p>
        </w:tc>
        <w:tc>
          <w:tcPr>
            <w:tcW w:w="1106" w:type="dxa"/>
            <w:tcBorders>
              <w:top w:val="nil"/>
              <w:left w:val="nil"/>
              <w:bottom w:val="single" w:sz="4" w:space="0" w:color="auto"/>
              <w:right w:val="single" w:sz="4" w:space="0" w:color="auto"/>
            </w:tcBorders>
            <w:shd w:val="clear" w:color="auto" w:fill="auto"/>
            <w:noWrap/>
            <w:vAlign w:val="center"/>
            <w:hideMark/>
          </w:tcPr>
          <w:p w14:paraId="3B8D860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5.1%</w:t>
            </w:r>
          </w:p>
        </w:tc>
      </w:tr>
      <w:tr w:rsidR="007B29DD" w:rsidRPr="008448BA" w14:paraId="3970A34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B799E8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3C454F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2DFDA94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3.3%</w:t>
            </w:r>
          </w:p>
        </w:tc>
        <w:tc>
          <w:tcPr>
            <w:tcW w:w="1108" w:type="dxa"/>
            <w:tcBorders>
              <w:top w:val="nil"/>
              <w:left w:val="nil"/>
              <w:bottom w:val="single" w:sz="4" w:space="0" w:color="auto"/>
              <w:right w:val="single" w:sz="4" w:space="0" w:color="auto"/>
            </w:tcBorders>
            <w:shd w:val="clear" w:color="auto" w:fill="auto"/>
            <w:noWrap/>
            <w:vAlign w:val="center"/>
          </w:tcPr>
          <w:p w14:paraId="7754FA0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1209304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5.9%</w:t>
            </w:r>
          </w:p>
        </w:tc>
        <w:tc>
          <w:tcPr>
            <w:tcW w:w="1108" w:type="dxa"/>
            <w:tcBorders>
              <w:top w:val="nil"/>
              <w:left w:val="nil"/>
              <w:bottom w:val="single" w:sz="4" w:space="0" w:color="auto"/>
              <w:right w:val="single" w:sz="4" w:space="0" w:color="auto"/>
            </w:tcBorders>
            <w:shd w:val="clear" w:color="auto" w:fill="auto"/>
            <w:noWrap/>
            <w:vAlign w:val="center"/>
          </w:tcPr>
          <w:p w14:paraId="058D8A6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5.1%</w:t>
            </w:r>
          </w:p>
        </w:tc>
        <w:tc>
          <w:tcPr>
            <w:tcW w:w="960" w:type="dxa"/>
            <w:tcBorders>
              <w:top w:val="nil"/>
              <w:left w:val="nil"/>
              <w:bottom w:val="single" w:sz="4" w:space="0" w:color="auto"/>
              <w:right w:val="single" w:sz="4" w:space="0" w:color="auto"/>
            </w:tcBorders>
            <w:shd w:val="clear" w:color="auto" w:fill="auto"/>
            <w:noWrap/>
            <w:vAlign w:val="center"/>
          </w:tcPr>
          <w:p w14:paraId="22045CC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11.5%</w:t>
            </w:r>
          </w:p>
        </w:tc>
        <w:tc>
          <w:tcPr>
            <w:tcW w:w="1106" w:type="dxa"/>
            <w:tcBorders>
              <w:top w:val="nil"/>
              <w:left w:val="nil"/>
              <w:bottom w:val="single" w:sz="4" w:space="0" w:color="auto"/>
              <w:right w:val="single" w:sz="4" w:space="0" w:color="auto"/>
            </w:tcBorders>
            <w:shd w:val="clear" w:color="auto" w:fill="auto"/>
            <w:noWrap/>
            <w:vAlign w:val="center"/>
            <w:hideMark/>
          </w:tcPr>
          <w:p w14:paraId="1C6713D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6AC9763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135A16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Moorabool</w:t>
            </w:r>
          </w:p>
          <w:p w14:paraId="717DE3DA"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(232)</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9B109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8D7539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7AE4AD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47A713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856845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A20591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605E25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r>
      <w:tr w:rsidR="007B29DD" w:rsidRPr="008448BA" w14:paraId="6CF264C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DC97F9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317D4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3A0056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CFD115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3903D3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F88EFF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36AF58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9592BC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r>
      <w:tr w:rsidR="007B29DD" w:rsidRPr="008448BA" w14:paraId="5F87A1A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A11630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8113F6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8B9A11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466C1F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52BA77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6C4B42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33F5AC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089BF9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3934C14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524EE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Barwon</w:t>
            </w:r>
          </w:p>
          <w:p w14:paraId="7DAAB535"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(233)</w:t>
            </w:r>
          </w:p>
        </w:tc>
        <w:tc>
          <w:tcPr>
            <w:tcW w:w="1240" w:type="dxa"/>
            <w:tcBorders>
              <w:top w:val="nil"/>
              <w:left w:val="nil"/>
              <w:bottom w:val="single" w:sz="4" w:space="0" w:color="auto"/>
              <w:right w:val="single" w:sz="4" w:space="0" w:color="auto"/>
            </w:tcBorders>
            <w:shd w:val="clear" w:color="auto" w:fill="auto"/>
            <w:noWrap/>
            <w:vAlign w:val="bottom"/>
            <w:hideMark/>
          </w:tcPr>
          <w:p w14:paraId="18F6ADA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4A710C8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1.3%</w:t>
            </w:r>
          </w:p>
        </w:tc>
        <w:tc>
          <w:tcPr>
            <w:tcW w:w="1108" w:type="dxa"/>
            <w:tcBorders>
              <w:top w:val="nil"/>
              <w:left w:val="nil"/>
              <w:bottom w:val="single" w:sz="4" w:space="0" w:color="auto"/>
              <w:right w:val="single" w:sz="4" w:space="0" w:color="auto"/>
            </w:tcBorders>
            <w:shd w:val="clear" w:color="auto" w:fill="auto"/>
            <w:noWrap/>
            <w:vAlign w:val="center"/>
          </w:tcPr>
          <w:p w14:paraId="6DFA729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3C0B7CC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2.3%</w:t>
            </w:r>
          </w:p>
        </w:tc>
        <w:tc>
          <w:tcPr>
            <w:tcW w:w="1108" w:type="dxa"/>
            <w:tcBorders>
              <w:top w:val="nil"/>
              <w:left w:val="nil"/>
              <w:bottom w:val="single" w:sz="4" w:space="0" w:color="auto"/>
              <w:right w:val="single" w:sz="4" w:space="0" w:color="auto"/>
            </w:tcBorders>
            <w:shd w:val="clear" w:color="auto" w:fill="auto"/>
            <w:noWrap/>
            <w:vAlign w:val="center"/>
          </w:tcPr>
          <w:p w14:paraId="1FBF8BE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auto"/>
            <w:noWrap/>
            <w:vAlign w:val="center"/>
          </w:tcPr>
          <w:p w14:paraId="1266148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6" w:type="dxa"/>
            <w:tcBorders>
              <w:top w:val="nil"/>
              <w:left w:val="nil"/>
              <w:bottom w:val="single" w:sz="4" w:space="0" w:color="auto"/>
              <w:right w:val="single" w:sz="4" w:space="0" w:color="auto"/>
            </w:tcBorders>
            <w:shd w:val="clear" w:color="auto" w:fill="auto"/>
            <w:noWrap/>
            <w:vAlign w:val="center"/>
            <w:hideMark/>
          </w:tcPr>
          <w:p w14:paraId="712F289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r>
      <w:tr w:rsidR="007B29DD" w:rsidRPr="008448BA" w14:paraId="3580903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7E7C96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225B9D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0C56ABD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2.2%</w:t>
            </w:r>
          </w:p>
        </w:tc>
        <w:tc>
          <w:tcPr>
            <w:tcW w:w="1108" w:type="dxa"/>
            <w:tcBorders>
              <w:top w:val="nil"/>
              <w:left w:val="nil"/>
              <w:bottom w:val="single" w:sz="4" w:space="0" w:color="auto"/>
              <w:right w:val="single" w:sz="4" w:space="0" w:color="auto"/>
            </w:tcBorders>
            <w:shd w:val="clear" w:color="auto" w:fill="auto"/>
            <w:noWrap/>
            <w:vAlign w:val="center"/>
          </w:tcPr>
          <w:p w14:paraId="740B4F4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70EDB13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4.0%</w:t>
            </w:r>
          </w:p>
        </w:tc>
        <w:tc>
          <w:tcPr>
            <w:tcW w:w="1108" w:type="dxa"/>
            <w:tcBorders>
              <w:top w:val="nil"/>
              <w:left w:val="nil"/>
              <w:bottom w:val="single" w:sz="4" w:space="0" w:color="auto"/>
              <w:right w:val="single" w:sz="4" w:space="0" w:color="auto"/>
            </w:tcBorders>
            <w:shd w:val="clear" w:color="auto" w:fill="auto"/>
            <w:noWrap/>
            <w:vAlign w:val="center"/>
          </w:tcPr>
          <w:p w14:paraId="69B42AA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3FD6026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7.0%</w:t>
            </w:r>
          </w:p>
        </w:tc>
        <w:tc>
          <w:tcPr>
            <w:tcW w:w="1106" w:type="dxa"/>
            <w:tcBorders>
              <w:top w:val="nil"/>
              <w:left w:val="nil"/>
              <w:bottom w:val="single" w:sz="4" w:space="0" w:color="auto"/>
              <w:right w:val="single" w:sz="4" w:space="0" w:color="auto"/>
            </w:tcBorders>
            <w:shd w:val="clear" w:color="auto" w:fill="auto"/>
            <w:noWrap/>
            <w:vAlign w:val="center"/>
            <w:hideMark/>
          </w:tcPr>
          <w:p w14:paraId="1026A47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4.8%</w:t>
            </w:r>
          </w:p>
        </w:tc>
      </w:tr>
      <w:tr w:rsidR="007B29DD" w:rsidRPr="008448BA" w14:paraId="73D1648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02A960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CC98B6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7AF54BC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auto"/>
            <w:noWrap/>
            <w:vAlign w:val="center"/>
          </w:tcPr>
          <w:p w14:paraId="2F69D47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0A08766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8" w:type="dxa"/>
            <w:tcBorders>
              <w:top w:val="nil"/>
              <w:left w:val="nil"/>
              <w:bottom w:val="single" w:sz="4" w:space="0" w:color="auto"/>
              <w:right w:val="single" w:sz="4" w:space="0" w:color="auto"/>
            </w:tcBorders>
            <w:shd w:val="clear" w:color="auto" w:fill="auto"/>
            <w:noWrap/>
            <w:vAlign w:val="center"/>
          </w:tcPr>
          <w:p w14:paraId="01B233F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auto"/>
            <w:noWrap/>
            <w:vAlign w:val="center"/>
          </w:tcPr>
          <w:p w14:paraId="2C80649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9.9%</w:t>
            </w:r>
          </w:p>
        </w:tc>
        <w:tc>
          <w:tcPr>
            <w:tcW w:w="1106" w:type="dxa"/>
            <w:tcBorders>
              <w:top w:val="nil"/>
              <w:left w:val="nil"/>
              <w:bottom w:val="single" w:sz="4" w:space="0" w:color="auto"/>
              <w:right w:val="single" w:sz="4" w:space="0" w:color="auto"/>
            </w:tcBorders>
            <w:shd w:val="clear" w:color="auto" w:fill="auto"/>
            <w:noWrap/>
            <w:vAlign w:val="center"/>
            <w:hideMark/>
          </w:tcPr>
          <w:p w14:paraId="549F06B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6.2%</w:t>
            </w:r>
          </w:p>
        </w:tc>
      </w:tr>
      <w:tr w:rsidR="007B29DD" w:rsidRPr="008448BA" w14:paraId="26B05FF9"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309BAC0"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Lake Corangamite</w:t>
            </w:r>
          </w:p>
          <w:p w14:paraId="674E2466"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(234)</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BD7564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F162AA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07007D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4EA7B0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27EC24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3EF74C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460F55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r>
      <w:tr w:rsidR="007B29DD" w:rsidRPr="008448BA" w14:paraId="7C8B67D0"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75E9FB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422C5B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506DB5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319496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C2117F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3.9%</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CA0E64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3AFD8B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C19958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4.8%</w:t>
            </w:r>
          </w:p>
        </w:tc>
      </w:tr>
      <w:tr w:rsidR="007B29DD" w:rsidRPr="008448BA" w14:paraId="6E7CEF8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B1A80E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2CF54B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6F1B89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2423C1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208E92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AE5FF2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47A174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9.8%</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DB69F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6.1%</w:t>
            </w:r>
          </w:p>
        </w:tc>
      </w:tr>
      <w:tr w:rsidR="007B29DD" w:rsidRPr="008448BA" w14:paraId="5A63EF5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FE4D8F"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Otway Coast</w:t>
            </w:r>
          </w:p>
          <w:p w14:paraId="3BF24B4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(235)</w:t>
            </w:r>
          </w:p>
        </w:tc>
        <w:tc>
          <w:tcPr>
            <w:tcW w:w="1240" w:type="dxa"/>
            <w:tcBorders>
              <w:top w:val="nil"/>
              <w:left w:val="nil"/>
              <w:bottom w:val="single" w:sz="4" w:space="0" w:color="auto"/>
              <w:right w:val="single" w:sz="4" w:space="0" w:color="auto"/>
            </w:tcBorders>
            <w:shd w:val="clear" w:color="auto" w:fill="auto"/>
            <w:noWrap/>
            <w:vAlign w:val="bottom"/>
            <w:hideMark/>
          </w:tcPr>
          <w:p w14:paraId="593EC4F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5816762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w:t>
            </w:r>
          </w:p>
        </w:tc>
        <w:tc>
          <w:tcPr>
            <w:tcW w:w="1108" w:type="dxa"/>
            <w:tcBorders>
              <w:top w:val="nil"/>
              <w:left w:val="nil"/>
              <w:bottom w:val="single" w:sz="4" w:space="0" w:color="auto"/>
              <w:right w:val="single" w:sz="4" w:space="0" w:color="auto"/>
            </w:tcBorders>
            <w:shd w:val="clear" w:color="auto" w:fill="auto"/>
            <w:noWrap/>
            <w:vAlign w:val="center"/>
          </w:tcPr>
          <w:p w14:paraId="70C02BE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1762414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1.8%</w:t>
            </w:r>
          </w:p>
        </w:tc>
        <w:tc>
          <w:tcPr>
            <w:tcW w:w="1108" w:type="dxa"/>
            <w:tcBorders>
              <w:top w:val="nil"/>
              <w:left w:val="nil"/>
              <w:bottom w:val="single" w:sz="4" w:space="0" w:color="auto"/>
              <w:right w:val="single" w:sz="4" w:space="0" w:color="auto"/>
            </w:tcBorders>
            <w:shd w:val="clear" w:color="auto" w:fill="auto"/>
            <w:noWrap/>
            <w:vAlign w:val="center"/>
          </w:tcPr>
          <w:p w14:paraId="2F6EDEF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auto"/>
            <w:noWrap/>
            <w:vAlign w:val="center"/>
          </w:tcPr>
          <w:p w14:paraId="4B6D717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3.9%</w:t>
            </w:r>
          </w:p>
        </w:tc>
        <w:tc>
          <w:tcPr>
            <w:tcW w:w="1106" w:type="dxa"/>
            <w:tcBorders>
              <w:top w:val="nil"/>
              <w:left w:val="nil"/>
              <w:bottom w:val="single" w:sz="4" w:space="0" w:color="auto"/>
              <w:right w:val="single" w:sz="4" w:space="0" w:color="auto"/>
            </w:tcBorders>
            <w:shd w:val="clear" w:color="auto" w:fill="auto"/>
            <w:noWrap/>
            <w:vAlign w:val="center"/>
            <w:hideMark/>
          </w:tcPr>
          <w:p w14:paraId="40A6CF1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2.3%</w:t>
            </w:r>
          </w:p>
        </w:tc>
      </w:tr>
      <w:tr w:rsidR="007B29DD" w:rsidRPr="008448BA" w14:paraId="5B99D66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6E2913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CEA8B7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4CF4C71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2.0%</w:t>
            </w:r>
          </w:p>
        </w:tc>
        <w:tc>
          <w:tcPr>
            <w:tcW w:w="1108" w:type="dxa"/>
            <w:tcBorders>
              <w:top w:val="nil"/>
              <w:left w:val="nil"/>
              <w:bottom w:val="single" w:sz="4" w:space="0" w:color="auto"/>
              <w:right w:val="single" w:sz="4" w:space="0" w:color="auto"/>
            </w:tcBorders>
            <w:shd w:val="clear" w:color="auto" w:fill="auto"/>
            <w:noWrap/>
            <w:vAlign w:val="center"/>
          </w:tcPr>
          <w:p w14:paraId="6587ABF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20DD8D1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3.7%</w:t>
            </w:r>
          </w:p>
        </w:tc>
        <w:tc>
          <w:tcPr>
            <w:tcW w:w="1108" w:type="dxa"/>
            <w:tcBorders>
              <w:top w:val="nil"/>
              <w:left w:val="nil"/>
              <w:bottom w:val="single" w:sz="4" w:space="0" w:color="auto"/>
              <w:right w:val="single" w:sz="4" w:space="0" w:color="auto"/>
            </w:tcBorders>
            <w:shd w:val="clear" w:color="auto" w:fill="auto"/>
            <w:noWrap/>
            <w:vAlign w:val="center"/>
          </w:tcPr>
          <w:p w14:paraId="6E7B253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nil"/>
              <w:left w:val="nil"/>
              <w:bottom w:val="single" w:sz="4" w:space="0" w:color="auto"/>
              <w:right w:val="single" w:sz="4" w:space="0" w:color="auto"/>
            </w:tcBorders>
            <w:shd w:val="clear" w:color="auto" w:fill="auto"/>
            <w:noWrap/>
            <w:vAlign w:val="center"/>
          </w:tcPr>
          <w:p w14:paraId="05508C9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6.4%</w:t>
            </w:r>
          </w:p>
        </w:tc>
        <w:tc>
          <w:tcPr>
            <w:tcW w:w="1106" w:type="dxa"/>
            <w:tcBorders>
              <w:top w:val="nil"/>
              <w:left w:val="nil"/>
              <w:bottom w:val="single" w:sz="4" w:space="0" w:color="auto"/>
              <w:right w:val="single" w:sz="4" w:space="0" w:color="auto"/>
            </w:tcBorders>
            <w:shd w:val="clear" w:color="auto" w:fill="auto"/>
            <w:noWrap/>
            <w:vAlign w:val="center"/>
            <w:hideMark/>
          </w:tcPr>
          <w:p w14:paraId="7E2E91B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4.2%</w:t>
            </w:r>
          </w:p>
        </w:tc>
      </w:tr>
      <w:tr w:rsidR="007B29DD" w:rsidRPr="008448BA" w14:paraId="7B6EAEB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7C3FAA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4729C9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6BEE769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2.9%</w:t>
            </w:r>
          </w:p>
        </w:tc>
        <w:tc>
          <w:tcPr>
            <w:tcW w:w="1108" w:type="dxa"/>
            <w:tcBorders>
              <w:top w:val="nil"/>
              <w:left w:val="nil"/>
              <w:bottom w:val="single" w:sz="4" w:space="0" w:color="auto"/>
              <w:right w:val="single" w:sz="4" w:space="0" w:color="auto"/>
            </w:tcBorders>
            <w:shd w:val="clear" w:color="auto" w:fill="auto"/>
            <w:noWrap/>
            <w:vAlign w:val="center"/>
          </w:tcPr>
          <w:p w14:paraId="3647828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c>
          <w:tcPr>
            <w:tcW w:w="960" w:type="dxa"/>
            <w:tcBorders>
              <w:top w:val="nil"/>
              <w:left w:val="nil"/>
              <w:bottom w:val="single" w:sz="4" w:space="0" w:color="auto"/>
              <w:right w:val="single" w:sz="4" w:space="0" w:color="auto"/>
            </w:tcBorders>
            <w:shd w:val="clear" w:color="auto" w:fill="auto"/>
            <w:noWrap/>
            <w:vAlign w:val="center"/>
          </w:tcPr>
          <w:p w14:paraId="7068280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5.3%</w:t>
            </w:r>
          </w:p>
        </w:tc>
        <w:tc>
          <w:tcPr>
            <w:tcW w:w="1108" w:type="dxa"/>
            <w:tcBorders>
              <w:top w:val="nil"/>
              <w:left w:val="nil"/>
              <w:bottom w:val="single" w:sz="4" w:space="0" w:color="auto"/>
              <w:right w:val="single" w:sz="4" w:space="0" w:color="auto"/>
            </w:tcBorders>
            <w:shd w:val="clear" w:color="auto" w:fill="auto"/>
            <w:noWrap/>
            <w:vAlign w:val="center"/>
          </w:tcPr>
          <w:p w14:paraId="66D44EF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4.6%</w:t>
            </w:r>
          </w:p>
        </w:tc>
        <w:tc>
          <w:tcPr>
            <w:tcW w:w="960" w:type="dxa"/>
            <w:tcBorders>
              <w:top w:val="nil"/>
              <w:left w:val="nil"/>
              <w:bottom w:val="single" w:sz="4" w:space="0" w:color="auto"/>
              <w:right w:val="single" w:sz="4" w:space="0" w:color="auto"/>
            </w:tcBorders>
            <w:shd w:val="clear" w:color="auto" w:fill="auto"/>
            <w:noWrap/>
            <w:vAlign w:val="center"/>
          </w:tcPr>
          <w:p w14:paraId="79E70D7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9.5%</w:t>
            </w:r>
          </w:p>
        </w:tc>
        <w:tc>
          <w:tcPr>
            <w:tcW w:w="1106" w:type="dxa"/>
            <w:tcBorders>
              <w:top w:val="nil"/>
              <w:left w:val="nil"/>
              <w:bottom w:val="single" w:sz="4" w:space="0" w:color="auto"/>
              <w:right w:val="single" w:sz="4" w:space="0" w:color="auto"/>
            </w:tcBorders>
            <w:shd w:val="clear" w:color="auto" w:fill="auto"/>
            <w:noWrap/>
            <w:vAlign w:val="center"/>
            <w:hideMark/>
          </w:tcPr>
          <w:p w14:paraId="2FFC41A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5.9%</w:t>
            </w:r>
          </w:p>
        </w:tc>
      </w:tr>
      <w:tr w:rsidR="007B29DD" w:rsidRPr="008448BA" w14:paraId="53D25DCD"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0311AD6"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Hopkins</w:t>
            </w:r>
          </w:p>
          <w:p w14:paraId="56DF6FDD"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(236)</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4D34F3F"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993F52F"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1.3%</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C31E8FC"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1C3EE6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2.3%</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49CC91E"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DDC617C"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5.1%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94A6DE"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2.8%</w:t>
            </w:r>
          </w:p>
        </w:tc>
      </w:tr>
      <w:tr w:rsidR="007B29DD" w:rsidRPr="008448BA" w14:paraId="741DF89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865626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47DF17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EA49A4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2.3%</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BC0476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A80F71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093122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52D41B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43F86A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r>
      <w:tr w:rsidR="007B29DD" w:rsidRPr="008448BA" w14:paraId="54C35A2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CD72BC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B7204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D5DF2F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8400B1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BF70F5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014FC4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01E66E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5DF66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6.4%</w:t>
            </w:r>
          </w:p>
        </w:tc>
      </w:tr>
      <w:tr w:rsidR="007B29DD" w:rsidRPr="008448BA" w14:paraId="0D67CD94"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67ABD1"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Portland Coast</w:t>
            </w:r>
          </w:p>
          <w:p w14:paraId="55375C99"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(237)</w:t>
            </w:r>
          </w:p>
        </w:tc>
        <w:tc>
          <w:tcPr>
            <w:tcW w:w="1240" w:type="dxa"/>
            <w:tcBorders>
              <w:top w:val="nil"/>
              <w:left w:val="nil"/>
              <w:bottom w:val="single" w:sz="4" w:space="0" w:color="auto"/>
              <w:right w:val="single" w:sz="4" w:space="0" w:color="auto"/>
            </w:tcBorders>
            <w:shd w:val="clear" w:color="auto" w:fill="auto"/>
            <w:noWrap/>
            <w:vAlign w:val="bottom"/>
            <w:hideMark/>
          </w:tcPr>
          <w:p w14:paraId="47E83418"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322366BE"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1.1%</w:t>
            </w:r>
          </w:p>
        </w:tc>
        <w:tc>
          <w:tcPr>
            <w:tcW w:w="1108" w:type="dxa"/>
            <w:tcBorders>
              <w:top w:val="nil"/>
              <w:left w:val="nil"/>
              <w:bottom w:val="single" w:sz="4" w:space="0" w:color="auto"/>
              <w:right w:val="single" w:sz="4" w:space="0" w:color="auto"/>
            </w:tcBorders>
            <w:shd w:val="clear" w:color="auto" w:fill="auto"/>
            <w:noWrap/>
            <w:vAlign w:val="center"/>
          </w:tcPr>
          <w:p w14:paraId="132961B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tcPr>
          <w:p w14:paraId="35956E89"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2.1%</w:t>
            </w:r>
          </w:p>
        </w:tc>
        <w:tc>
          <w:tcPr>
            <w:tcW w:w="1108" w:type="dxa"/>
            <w:tcBorders>
              <w:top w:val="nil"/>
              <w:left w:val="nil"/>
              <w:bottom w:val="single" w:sz="4" w:space="0" w:color="auto"/>
              <w:right w:val="single" w:sz="4" w:space="0" w:color="auto"/>
            </w:tcBorders>
            <w:shd w:val="clear" w:color="auto" w:fill="auto"/>
            <w:noWrap/>
            <w:vAlign w:val="center"/>
          </w:tcPr>
          <w:p w14:paraId="40BE503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60173A25"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4.2%</w:t>
            </w:r>
          </w:p>
        </w:tc>
        <w:tc>
          <w:tcPr>
            <w:tcW w:w="1106" w:type="dxa"/>
            <w:tcBorders>
              <w:top w:val="nil"/>
              <w:left w:val="nil"/>
              <w:bottom w:val="single" w:sz="4" w:space="0" w:color="auto"/>
              <w:right w:val="single" w:sz="4" w:space="0" w:color="auto"/>
            </w:tcBorders>
            <w:shd w:val="clear" w:color="auto" w:fill="auto"/>
            <w:noWrap/>
            <w:vAlign w:val="center"/>
            <w:hideMark/>
          </w:tcPr>
          <w:p w14:paraId="761E8F2E"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2.4%</w:t>
            </w:r>
          </w:p>
        </w:tc>
      </w:tr>
      <w:tr w:rsidR="007B29DD" w:rsidRPr="008448BA" w14:paraId="76773E1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2464F9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E68A08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4EE4711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1.9%</w:t>
            </w:r>
          </w:p>
        </w:tc>
        <w:tc>
          <w:tcPr>
            <w:tcW w:w="1108" w:type="dxa"/>
            <w:tcBorders>
              <w:top w:val="nil"/>
              <w:left w:val="nil"/>
              <w:bottom w:val="single" w:sz="4" w:space="0" w:color="auto"/>
              <w:right w:val="single" w:sz="4" w:space="0" w:color="auto"/>
            </w:tcBorders>
            <w:shd w:val="clear" w:color="auto" w:fill="auto"/>
            <w:noWrap/>
            <w:vAlign w:val="center"/>
          </w:tcPr>
          <w:p w14:paraId="2CD2F20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339B76E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3.4%</w:t>
            </w:r>
          </w:p>
        </w:tc>
        <w:tc>
          <w:tcPr>
            <w:tcW w:w="1108" w:type="dxa"/>
            <w:tcBorders>
              <w:top w:val="nil"/>
              <w:left w:val="nil"/>
              <w:bottom w:val="single" w:sz="4" w:space="0" w:color="auto"/>
              <w:right w:val="single" w:sz="4" w:space="0" w:color="auto"/>
            </w:tcBorders>
            <w:shd w:val="clear" w:color="auto" w:fill="auto"/>
            <w:noWrap/>
            <w:vAlign w:val="center"/>
          </w:tcPr>
          <w:p w14:paraId="6E2DEBB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2.4%</w:t>
            </w:r>
          </w:p>
        </w:tc>
        <w:tc>
          <w:tcPr>
            <w:tcW w:w="960" w:type="dxa"/>
            <w:tcBorders>
              <w:top w:val="nil"/>
              <w:left w:val="nil"/>
              <w:bottom w:val="single" w:sz="4" w:space="0" w:color="auto"/>
              <w:right w:val="single" w:sz="4" w:space="0" w:color="auto"/>
            </w:tcBorders>
            <w:shd w:val="clear" w:color="auto" w:fill="auto"/>
            <w:noWrap/>
            <w:vAlign w:val="center"/>
          </w:tcPr>
          <w:p w14:paraId="72B7A25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6.1%</w:t>
            </w:r>
          </w:p>
        </w:tc>
        <w:tc>
          <w:tcPr>
            <w:tcW w:w="1106" w:type="dxa"/>
            <w:tcBorders>
              <w:top w:val="nil"/>
              <w:left w:val="nil"/>
              <w:bottom w:val="single" w:sz="4" w:space="0" w:color="auto"/>
              <w:right w:val="single" w:sz="4" w:space="0" w:color="auto"/>
            </w:tcBorders>
            <w:shd w:val="clear" w:color="auto" w:fill="auto"/>
            <w:noWrap/>
            <w:vAlign w:val="center"/>
            <w:hideMark/>
          </w:tcPr>
          <w:p w14:paraId="09DCCB7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4.0%</w:t>
            </w:r>
          </w:p>
        </w:tc>
      </w:tr>
      <w:tr w:rsidR="007B29DD" w:rsidRPr="008448BA" w14:paraId="6ECF1B0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795133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D0E83A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00DCE49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2.8%</w:t>
            </w:r>
          </w:p>
        </w:tc>
        <w:tc>
          <w:tcPr>
            <w:tcW w:w="1108" w:type="dxa"/>
            <w:tcBorders>
              <w:top w:val="nil"/>
              <w:left w:val="nil"/>
              <w:bottom w:val="single" w:sz="4" w:space="0" w:color="auto"/>
              <w:right w:val="single" w:sz="4" w:space="0" w:color="auto"/>
            </w:tcBorders>
            <w:shd w:val="clear" w:color="auto" w:fill="auto"/>
            <w:noWrap/>
            <w:vAlign w:val="center"/>
          </w:tcPr>
          <w:p w14:paraId="3539A58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7F8F385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5.1%</w:t>
            </w:r>
          </w:p>
        </w:tc>
        <w:tc>
          <w:tcPr>
            <w:tcW w:w="1108" w:type="dxa"/>
            <w:tcBorders>
              <w:top w:val="nil"/>
              <w:left w:val="nil"/>
              <w:bottom w:val="single" w:sz="4" w:space="0" w:color="auto"/>
              <w:right w:val="single" w:sz="4" w:space="0" w:color="auto"/>
            </w:tcBorders>
            <w:shd w:val="clear" w:color="auto" w:fill="auto"/>
            <w:noWrap/>
            <w:vAlign w:val="center"/>
          </w:tcPr>
          <w:p w14:paraId="3471CF0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4.5%</w:t>
            </w:r>
          </w:p>
        </w:tc>
        <w:tc>
          <w:tcPr>
            <w:tcW w:w="960" w:type="dxa"/>
            <w:tcBorders>
              <w:top w:val="nil"/>
              <w:left w:val="nil"/>
              <w:bottom w:val="single" w:sz="4" w:space="0" w:color="auto"/>
              <w:right w:val="single" w:sz="4" w:space="0" w:color="auto"/>
            </w:tcBorders>
            <w:shd w:val="clear" w:color="auto" w:fill="auto"/>
            <w:noWrap/>
            <w:vAlign w:val="center"/>
          </w:tcPr>
          <w:p w14:paraId="0D1FA77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9.0%</w:t>
            </w:r>
          </w:p>
        </w:tc>
        <w:tc>
          <w:tcPr>
            <w:tcW w:w="1106" w:type="dxa"/>
            <w:tcBorders>
              <w:top w:val="nil"/>
              <w:left w:val="nil"/>
              <w:bottom w:val="single" w:sz="4" w:space="0" w:color="auto"/>
              <w:right w:val="single" w:sz="4" w:space="0" w:color="auto"/>
            </w:tcBorders>
            <w:shd w:val="clear" w:color="auto" w:fill="auto"/>
            <w:noWrap/>
            <w:vAlign w:val="center"/>
            <w:hideMark/>
          </w:tcPr>
          <w:p w14:paraId="12695AD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5.6%</w:t>
            </w:r>
          </w:p>
        </w:tc>
      </w:tr>
      <w:tr w:rsidR="007B29DD" w:rsidRPr="008448BA" w14:paraId="4E5BE08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A4C1650"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Glenelg</w:t>
            </w:r>
          </w:p>
          <w:p w14:paraId="7400B4D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A262AF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54A383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1.4%</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B5A851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AAFD22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61D774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376EF7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4CC58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r>
      <w:tr w:rsidR="007B29DD" w:rsidRPr="008448BA" w14:paraId="342F869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5C1EFD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C1ADF8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DFEF2E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2.1%</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8B930E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395F57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AF6D77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AB5702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D9DA77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4.5%</w:t>
            </w:r>
          </w:p>
        </w:tc>
      </w:tr>
      <w:tr w:rsidR="007B29DD" w:rsidRPr="008448BA" w14:paraId="7150963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E4BCF7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D63A67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2F5AB3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5B77A7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AE0D96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F011F8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923797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0F710E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6.4%</w:t>
            </w:r>
          </w:p>
        </w:tc>
      </w:tr>
      <w:tr w:rsidR="007B29DD" w:rsidRPr="008448BA" w14:paraId="7C263BC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F47BF"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Millicent</w:t>
            </w:r>
          </w:p>
          <w:p w14:paraId="689031CB"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(239)</w:t>
            </w:r>
          </w:p>
        </w:tc>
        <w:tc>
          <w:tcPr>
            <w:tcW w:w="1240" w:type="dxa"/>
            <w:tcBorders>
              <w:top w:val="nil"/>
              <w:left w:val="nil"/>
              <w:bottom w:val="single" w:sz="4" w:space="0" w:color="auto"/>
              <w:right w:val="single" w:sz="4" w:space="0" w:color="auto"/>
            </w:tcBorders>
            <w:shd w:val="clear" w:color="auto" w:fill="auto"/>
            <w:noWrap/>
            <w:vAlign w:val="bottom"/>
            <w:hideMark/>
          </w:tcPr>
          <w:p w14:paraId="7ED3168E"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03152F50"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1.4%</w:t>
            </w:r>
          </w:p>
        </w:tc>
        <w:tc>
          <w:tcPr>
            <w:tcW w:w="1108" w:type="dxa"/>
            <w:tcBorders>
              <w:top w:val="nil"/>
              <w:left w:val="nil"/>
              <w:bottom w:val="single" w:sz="4" w:space="0" w:color="auto"/>
              <w:right w:val="single" w:sz="4" w:space="0" w:color="auto"/>
            </w:tcBorders>
            <w:shd w:val="clear" w:color="auto" w:fill="auto"/>
            <w:noWrap/>
            <w:vAlign w:val="center"/>
          </w:tcPr>
          <w:p w14:paraId="5EC4CEED"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1.1%</w:t>
            </w:r>
          </w:p>
        </w:tc>
        <w:tc>
          <w:tcPr>
            <w:tcW w:w="960" w:type="dxa"/>
            <w:tcBorders>
              <w:top w:val="nil"/>
              <w:left w:val="nil"/>
              <w:bottom w:val="single" w:sz="4" w:space="0" w:color="auto"/>
              <w:right w:val="single" w:sz="4" w:space="0" w:color="auto"/>
            </w:tcBorders>
            <w:shd w:val="clear" w:color="auto" w:fill="auto"/>
            <w:noWrap/>
            <w:vAlign w:val="center"/>
          </w:tcPr>
          <w:p w14:paraId="3F434326"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auto"/>
            <w:noWrap/>
            <w:vAlign w:val="center"/>
          </w:tcPr>
          <w:p w14:paraId="1273EC9D"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tcPr>
          <w:p w14:paraId="0448F46B"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5.1%</w:t>
            </w:r>
          </w:p>
        </w:tc>
        <w:tc>
          <w:tcPr>
            <w:tcW w:w="1106" w:type="dxa"/>
            <w:tcBorders>
              <w:top w:val="nil"/>
              <w:left w:val="nil"/>
              <w:bottom w:val="single" w:sz="4" w:space="0" w:color="auto"/>
              <w:right w:val="single" w:sz="4" w:space="0" w:color="auto"/>
            </w:tcBorders>
            <w:shd w:val="clear" w:color="auto" w:fill="auto"/>
            <w:noWrap/>
            <w:vAlign w:val="center"/>
            <w:hideMark/>
          </w:tcPr>
          <w:p w14:paraId="7DD554E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2.7%</w:t>
            </w:r>
          </w:p>
        </w:tc>
      </w:tr>
      <w:tr w:rsidR="007B29DD" w:rsidRPr="008448BA" w14:paraId="4D30AB1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1D09E8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B5F964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3D1458A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2.1%</w:t>
            </w:r>
          </w:p>
        </w:tc>
        <w:tc>
          <w:tcPr>
            <w:tcW w:w="1108" w:type="dxa"/>
            <w:tcBorders>
              <w:top w:val="nil"/>
              <w:left w:val="nil"/>
              <w:bottom w:val="single" w:sz="4" w:space="0" w:color="auto"/>
              <w:right w:val="single" w:sz="4" w:space="0" w:color="auto"/>
            </w:tcBorders>
            <w:shd w:val="clear" w:color="auto" w:fill="auto"/>
            <w:noWrap/>
            <w:vAlign w:val="center"/>
          </w:tcPr>
          <w:p w14:paraId="509A40C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auto"/>
            <w:noWrap/>
            <w:vAlign w:val="center"/>
          </w:tcPr>
          <w:p w14:paraId="48B510E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3.8%</w:t>
            </w:r>
          </w:p>
        </w:tc>
        <w:tc>
          <w:tcPr>
            <w:tcW w:w="1108" w:type="dxa"/>
            <w:tcBorders>
              <w:top w:val="nil"/>
              <w:left w:val="nil"/>
              <w:bottom w:val="single" w:sz="4" w:space="0" w:color="auto"/>
              <w:right w:val="single" w:sz="4" w:space="0" w:color="auto"/>
            </w:tcBorders>
            <w:shd w:val="clear" w:color="auto" w:fill="auto"/>
            <w:noWrap/>
            <w:vAlign w:val="center"/>
          </w:tcPr>
          <w:p w14:paraId="65554CB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c>
          <w:tcPr>
            <w:tcW w:w="960" w:type="dxa"/>
            <w:tcBorders>
              <w:top w:val="nil"/>
              <w:left w:val="nil"/>
              <w:bottom w:val="single" w:sz="4" w:space="0" w:color="auto"/>
              <w:right w:val="single" w:sz="4" w:space="0" w:color="auto"/>
            </w:tcBorders>
            <w:shd w:val="clear" w:color="auto" w:fill="auto"/>
            <w:noWrap/>
            <w:vAlign w:val="center"/>
          </w:tcPr>
          <w:p w14:paraId="146E206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6.7%</w:t>
            </w:r>
          </w:p>
        </w:tc>
        <w:tc>
          <w:tcPr>
            <w:tcW w:w="1106" w:type="dxa"/>
            <w:tcBorders>
              <w:top w:val="nil"/>
              <w:left w:val="nil"/>
              <w:bottom w:val="single" w:sz="4" w:space="0" w:color="auto"/>
              <w:right w:val="single" w:sz="4" w:space="0" w:color="auto"/>
            </w:tcBorders>
            <w:shd w:val="clear" w:color="auto" w:fill="auto"/>
            <w:noWrap/>
            <w:vAlign w:val="center"/>
            <w:hideMark/>
          </w:tcPr>
          <w:p w14:paraId="5FDD707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4.4%</w:t>
            </w:r>
          </w:p>
        </w:tc>
      </w:tr>
      <w:tr w:rsidR="007B29DD" w:rsidRPr="008448BA" w14:paraId="2C39773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F21A3F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89B530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69CD24C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7E0811E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16A476B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8" w:type="dxa"/>
            <w:tcBorders>
              <w:top w:val="nil"/>
              <w:left w:val="nil"/>
              <w:bottom w:val="single" w:sz="4" w:space="0" w:color="auto"/>
              <w:right w:val="single" w:sz="4" w:space="0" w:color="auto"/>
            </w:tcBorders>
            <w:shd w:val="clear" w:color="auto" w:fill="auto"/>
            <w:noWrap/>
            <w:vAlign w:val="center"/>
          </w:tcPr>
          <w:p w14:paraId="3E6ACDD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4.5%</w:t>
            </w:r>
          </w:p>
        </w:tc>
        <w:tc>
          <w:tcPr>
            <w:tcW w:w="960" w:type="dxa"/>
            <w:tcBorders>
              <w:top w:val="nil"/>
              <w:left w:val="nil"/>
              <w:bottom w:val="single" w:sz="4" w:space="0" w:color="auto"/>
              <w:right w:val="single" w:sz="4" w:space="0" w:color="auto"/>
            </w:tcBorders>
            <w:shd w:val="clear" w:color="auto" w:fill="auto"/>
            <w:noWrap/>
            <w:vAlign w:val="center"/>
          </w:tcPr>
          <w:p w14:paraId="226804B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9.1%</w:t>
            </w:r>
          </w:p>
        </w:tc>
        <w:tc>
          <w:tcPr>
            <w:tcW w:w="1106" w:type="dxa"/>
            <w:tcBorders>
              <w:top w:val="nil"/>
              <w:left w:val="nil"/>
              <w:bottom w:val="single" w:sz="4" w:space="0" w:color="auto"/>
              <w:right w:val="single" w:sz="4" w:space="0" w:color="auto"/>
            </w:tcBorders>
            <w:shd w:val="clear" w:color="auto" w:fill="auto"/>
            <w:noWrap/>
            <w:vAlign w:val="center"/>
            <w:hideMark/>
          </w:tcPr>
          <w:p w14:paraId="0B89456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5.8%</w:t>
            </w:r>
          </w:p>
        </w:tc>
      </w:tr>
      <w:tr w:rsidR="007B29DD" w:rsidRPr="008448BA" w14:paraId="22BE9F2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39F1BD3"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Upper Murray</w:t>
            </w:r>
          </w:p>
          <w:p w14:paraId="79FB32E2"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(401)</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4DC020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745F4F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1D2C92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E7C6E2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699DD5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7CCA43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5.3%</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0C50E3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r>
      <w:tr w:rsidR="007B29DD" w:rsidRPr="008448BA" w14:paraId="2B24A94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5EC993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0BE0C6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5EFEAC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00EE4C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66AA1B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3CBE9D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0D796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8.1%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9A5727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5.4%</w:t>
            </w:r>
          </w:p>
        </w:tc>
      </w:tr>
      <w:tr w:rsidR="007B29DD" w:rsidRPr="008448BA" w14:paraId="5239E2B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87EDA2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584612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28F5A6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08CD1D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55B725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03E146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8A26E0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A62FAB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6.7%</w:t>
            </w:r>
          </w:p>
        </w:tc>
      </w:tr>
      <w:tr w:rsidR="007B29DD" w:rsidRPr="008448BA" w14:paraId="6F96300E"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BAD62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Kiewa</w:t>
            </w:r>
          </w:p>
          <w:p w14:paraId="47B669F0"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(402)</w:t>
            </w:r>
          </w:p>
        </w:tc>
        <w:tc>
          <w:tcPr>
            <w:tcW w:w="1240" w:type="dxa"/>
            <w:tcBorders>
              <w:top w:val="nil"/>
              <w:left w:val="nil"/>
              <w:bottom w:val="single" w:sz="4" w:space="0" w:color="auto"/>
              <w:right w:val="single" w:sz="4" w:space="0" w:color="auto"/>
            </w:tcBorders>
            <w:shd w:val="clear" w:color="auto" w:fill="auto"/>
            <w:noWrap/>
            <w:vAlign w:val="bottom"/>
            <w:hideMark/>
          </w:tcPr>
          <w:p w14:paraId="3C0AF8E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0BFA774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1.8%</w:t>
            </w:r>
          </w:p>
        </w:tc>
        <w:tc>
          <w:tcPr>
            <w:tcW w:w="1108" w:type="dxa"/>
            <w:tcBorders>
              <w:top w:val="nil"/>
              <w:left w:val="nil"/>
              <w:bottom w:val="single" w:sz="4" w:space="0" w:color="auto"/>
              <w:right w:val="single" w:sz="4" w:space="0" w:color="auto"/>
            </w:tcBorders>
            <w:shd w:val="clear" w:color="auto" w:fill="auto"/>
            <w:noWrap/>
            <w:vAlign w:val="center"/>
          </w:tcPr>
          <w:p w14:paraId="22BF9B3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auto"/>
            <w:noWrap/>
            <w:vAlign w:val="center"/>
          </w:tcPr>
          <w:p w14:paraId="2BB2697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auto"/>
            <w:noWrap/>
            <w:vAlign w:val="center"/>
          </w:tcPr>
          <w:p w14:paraId="7683F36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tcPr>
          <w:p w14:paraId="3F1ECBE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auto"/>
            <w:noWrap/>
            <w:vAlign w:val="center"/>
            <w:hideMark/>
          </w:tcPr>
          <w:p w14:paraId="1B8244C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r>
      <w:tr w:rsidR="007B29DD" w:rsidRPr="008448BA" w14:paraId="6A38A08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FBE832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AB9F83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4B74EEE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2.7%</w:t>
            </w:r>
          </w:p>
        </w:tc>
        <w:tc>
          <w:tcPr>
            <w:tcW w:w="1108" w:type="dxa"/>
            <w:tcBorders>
              <w:top w:val="nil"/>
              <w:left w:val="nil"/>
              <w:bottom w:val="single" w:sz="4" w:space="0" w:color="auto"/>
              <w:right w:val="single" w:sz="4" w:space="0" w:color="auto"/>
            </w:tcBorders>
            <w:shd w:val="clear" w:color="auto" w:fill="auto"/>
            <w:noWrap/>
            <w:vAlign w:val="center"/>
          </w:tcPr>
          <w:p w14:paraId="5FFD534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2.2%</w:t>
            </w:r>
          </w:p>
        </w:tc>
        <w:tc>
          <w:tcPr>
            <w:tcW w:w="960" w:type="dxa"/>
            <w:tcBorders>
              <w:top w:val="nil"/>
              <w:left w:val="nil"/>
              <w:bottom w:val="single" w:sz="4" w:space="0" w:color="auto"/>
              <w:right w:val="single" w:sz="4" w:space="0" w:color="auto"/>
            </w:tcBorders>
            <w:shd w:val="clear" w:color="auto" w:fill="auto"/>
            <w:noWrap/>
            <w:vAlign w:val="center"/>
          </w:tcPr>
          <w:p w14:paraId="146FC7D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8" w:type="dxa"/>
            <w:tcBorders>
              <w:top w:val="nil"/>
              <w:left w:val="nil"/>
              <w:bottom w:val="single" w:sz="4" w:space="0" w:color="auto"/>
              <w:right w:val="single" w:sz="4" w:space="0" w:color="auto"/>
            </w:tcBorders>
            <w:shd w:val="clear" w:color="auto" w:fill="auto"/>
            <w:noWrap/>
            <w:vAlign w:val="center"/>
          </w:tcPr>
          <w:p w14:paraId="1F5189A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3.9%</w:t>
            </w:r>
          </w:p>
        </w:tc>
        <w:tc>
          <w:tcPr>
            <w:tcW w:w="960" w:type="dxa"/>
            <w:tcBorders>
              <w:top w:val="nil"/>
              <w:left w:val="nil"/>
              <w:bottom w:val="single" w:sz="4" w:space="0" w:color="auto"/>
              <w:right w:val="single" w:sz="4" w:space="0" w:color="auto"/>
            </w:tcBorders>
            <w:shd w:val="clear" w:color="auto" w:fill="auto"/>
            <w:noWrap/>
            <w:vAlign w:val="center"/>
          </w:tcPr>
          <w:p w14:paraId="161A6E4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8.1%</w:t>
            </w:r>
          </w:p>
        </w:tc>
        <w:tc>
          <w:tcPr>
            <w:tcW w:w="1106" w:type="dxa"/>
            <w:tcBorders>
              <w:top w:val="nil"/>
              <w:left w:val="nil"/>
              <w:bottom w:val="single" w:sz="4" w:space="0" w:color="auto"/>
              <w:right w:val="single" w:sz="4" w:space="0" w:color="auto"/>
            </w:tcBorders>
            <w:shd w:val="clear" w:color="auto" w:fill="auto"/>
            <w:noWrap/>
            <w:vAlign w:val="center"/>
            <w:hideMark/>
          </w:tcPr>
          <w:p w14:paraId="0F05BD3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5.7%</w:t>
            </w:r>
          </w:p>
        </w:tc>
      </w:tr>
      <w:tr w:rsidR="007B29DD" w:rsidRPr="008448BA" w14:paraId="56D1049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197321B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0E0B4E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7788084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38B3A02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c>
          <w:tcPr>
            <w:tcW w:w="960" w:type="dxa"/>
            <w:tcBorders>
              <w:top w:val="nil"/>
              <w:left w:val="nil"/>
              <w:bottom w:val="single" w:sz="4" w:space="0" w:color="auto"/>
              <w:right w:val="single" w:sz="4" w:space="0" w:color="auto"/>
            </w:tcBorders>
            <w:shd w:val="clear" w:color="auto" w:fill="auto"/>
            <w:noWrap/>
            <w:vAlign w:val="center"/>
          </w:tcPr>
          <w:p w14:paraId="5E14EAB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auto"/>
            <w:noWrap/>
            <w:vAlign w:val="center"/>
          </w:tcPr>
          <w:p w14:paraId="637C43F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5.4%</w:t>
            </w:r>
          </w:p>
        </w:tc>
        <w:tc>
          <w:tcPr>
            <w:tcW w:w="960" w:type="dxa"/>
            <w:tcBorders>
              <w:top w:val="nil"/>
              <w:left w:val="nil"/>
              <w:bottom w:val="single" w:sz="4" w:space="0" w:color="auto"/>
              <w:right w:val="single" w:sz="4" w:space="0" w:color="auto"/>
            </w:tcBorders>
            <w:shd w:val="clear" w:color="auto" w:fill="auto"/>
            <w:noWrap/>
            <w:vAlign w:val="center"/>
          </w:tcPr>
          <w:p w14:paraId="314764D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11.4%</w:t>
            </w:r>
          </w:p>
        </w:tc>
        <w:tc>
          <w:tcPr>
            <w:tcW w:w="1106" w:type="dxa"/>
            <w:tcBorders>
              <w:top w:val="nil"/>
              <w:left w:val="nil"/>
              <w:bottom w:val="single" w:sz="4" w:space="0" w:color="auto"/>
              <w:right w:val="single" w:sz="4" w:space="0" w:color="auto"/>
            </w:tcBorders>
            <w:shd w:val="clear" w:color="auto" w:fill="auto"/>
            <w:noWrap/>
            <w:vAlign w:val="center"/>
            <w:hideMark/>
          </w:tcPr>
          <w:p w14:paraId="1AF57D3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6A86D691"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BA9E062"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Ovens</w:t>
            </w:r>
          </w:p>
          <w:p w14:paraId="2F11ED0A"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(403)</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DBF5F83"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1C01E5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2591C8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FA8BCA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75A9A2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9D7ABD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1E85EB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3.2%</w:t>
            </w:r>
          </w:p>
        </w:tc>
      </w:tr>
      <w:tr w:rsidR="007B29DD" w:rsidRPr="008448BA" w14:paraId="595F08A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1E26013"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48CAC37"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3B7A8B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7D0AD0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B8ACDF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70D6B0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8D0D38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8.1%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6E4EA00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5.7%</w:t>
            </w:r>
          </w:p>
        </w:tc>
      </w:tr>
      <w:tr w:rsidR="007B29DD" w:rsidRPr="008448BA" w14:paraId="543BAB8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DDC11A3"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E9D76AD"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9DEAA3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E357C1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4E746D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7958BE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F2623E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53BDA8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6.7%</w:t>
            </w:r>
          </w:p>
        </w:tc>
      </w:tr>
      <w:tr w:rsidR="007B29DD" w:rsidRPr="008448BA" w14:paraId="706AA1A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2F901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Broken</w:t>
            </w:r>
          </w:p>
          <w:p w14:paraId="0BB7917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(404)</w:t>
            </w:r>
          </w:p>
        </w:tc>
        <w:tc>
          <w:tcPr>
            <w:tcW w:w="1240" w:type="dxa"/>
            <w:tcBorders>
              <w:top w:val="nil"/>
              <w:left w:val="nil"/>
              <w:bottom w:val="single" w:sz="4" w:space="0" w:color="auto"/>
              <w:right w:val="single" w:sz="4" w:space="0" w:color="auto"/>
            </w:tcBorders>
            <w:shd w:val="clear" w:color="auto" w:fill="auto"/>
            <w:noWrap/>
            <w:vAlign w:val="bottom"/>
            <w:hideMark/>
          </w:tcPr>
          <w:p w14:paraId="1C54EE5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0147F3C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1.8%</w:t>
            </w:r>
          </w:p>
        </w:tc>
        <w:tc>
          <w:tcPr>
            <w:tcW w:w="1108" w:type="dxa"/>
            <w:tcBorders>
              <w:top w:val="nil"/>
              <w:left w:val="nil"/>
              <w:bottom w:val="single" w:sz="4" w:space="0" w:color="auto"/>
              <w:right w:val="single" w:sz="4" w:space="0" w:color="auto"/>
            </w:tcBorders>
            <w:shd w:val="clear" w:color="auto" w:fill="auto"/>
            <w:noWrap/>
            <w:vAlign w:val="center"/>
          </w:tcPr>
          <w:p w14:paraId="405F8B9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2C7AA3C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auto"/>
            <w:noWrap/>
            <w:vAlign w:val="center"/>
          </w:tcPr>
          <w:p w14:paraId="77E8F32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3EC45F4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6" w:type="dxa"/>
            <w:tcBorders>
              <w:top w:val="nil"/>
              <w:left w:val="nil"/>
              <w:bottom w:val="single" w:sz="4" w:space="0" w:color="auto"/>
              <w:right w:val="single" w:sz="4" w:space="0" w:color="auto"/>
            </w:tcBorders>
            <w:shd w:val="clear" w:color="auto" w:fill="auto"/>
            <w:noWrap/>
            <w:vAlign w:val="center"/>
            <w:hideMark/>
          </w:tcPr>
          <w:p w14:paraId="0E871CD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3.1%</w:t>
            </w:r>
          </w:p>
        </w:tc>
      </w:tr>
      <w:tr w:rsidR="007B29DD" w:rsidRPr="008448BA" w14:paraId="5765F7B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5C9327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2A1666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14E35F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2.8%</w:t>
            </w:r>
          </w:p>
        </w:tc>
        <w:tc>
          <w:tcPr>
            <w:tcW w:w="1108" w:type="dxa"/>
            <w:tcBorders>
              <w:top w:val="nil"/>
              <w:left w:val="nil"/>
              <w:bottom w:val="single" w:sz="4" w:space="0" w:color="auto"/>
              <w:right w:val="single" w:sz="4" w:space="0" w:color="auto"/>
            </w:tcBorders>
            <w:shd w:val="clear" w:color="auto" w:fill="auto"/>
            <w:noWrap/>
            <w:vAlign w:val="center"/>
          </w:tcPr>
          <w:p w14:paraId="71C3694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2.2%</w:t>
            </w:r>
          </w:p>
        </w:tc>
        <w:tc>
          <w:tcPr>
            <w:tcW w:w="960" w:type="dxa"/>
            <w:tcBorders>
              <w:top w:val="nil"/>
              <w:left w:val="nil"/>
              <w:bottom w:val="single" w:sz="4" w:space="0" w:color="auto"/>
              <w:right w:val="single" w:sz="4" w:space="0" w:color="auto"/>
            </w:tcBorders>
            <w:shd w:val="clear" w:color="auto" w:fill="auto"/>
            <w:noWrap/>
            <w:vAlign w:val="center"/>
          </w:tcPr>
          <w:p w14:paraId="70AB32B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5.0%</w:t>
            </w:r>
          </w:p>
        </w:tc>
        <w:tc>
          <w:tcPr>
            <w:tcW w:w="1108" w:type="dxa"/>
            <w:tcBorders>
              <w:top w:val="nil"/>
              <w:left w:val="nil"/>
              <w:bottom w:val="single" w:sz="4" w:space="0" w:color="auto"/>
              <w:right w:val="single" w:sz="4" w:space="0" w:color="auto"/>
            </w:tcBorders>
            <w:shd w:val="clear" w:color="auto" w:fill="auto"/>
            <w:noWrap/>
            <w:vAlign w:val="center"/>
          </w:tcPr>
          <w:p w14:paraId="72C599F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3.9%</w:t>
            </w:r>
          </w:p>
        </w:tc>
        <w:tc>
          <w:tcPr>
            <w:tcW w:w="960" w:type="dxa"/>
            <w:tcBorders>
              <w:top w:val="nil"/>
              <w:left w:val="nil"/>
              <w:bottom w:val="single" w:sz="4" w:space="0" w:color="auto"/>
              <w:right w:val="single" w:sz="4" w:space="0" w:color="auto"/>
            </w:tcBorders>
            <w:shd w:val="clear" w:color="auto" w:fill="auto"/>
            <w:noWrap/>
            <w:vAlign w:val="center"/>
          </w:tcPr>
          <w:p w14:paraId="21B103A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8.0%</w:t>
            </w:r>
          </w:p>
        </w:tc>
        <w:tc>
          <w:tcPr>
            <w:tcW w:w="1106" w:type="dxa"/>
            <w:tcBorders>
              <w:top w:val="nil"/>
              <w:left w:val="nil"/>
              <w:bottom w:val="single" w:sz="4" w:space="0" w:color="auto"/>
              <w:right w:val="single" w:sz="4" w:space="0" w:color="auto"/>
            </w:tcBorders>
            <w:shd w:val="clear" w:color="auto" w:fill="auto"/>
            <w:noWrap/>
            <w:vAlign w:val="center"/>
            <w:hideMark/>
          </w:tcPr>
          <w:p w14:paraId="1EE5226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r>
      <w:tr w:rsidR="007B29DD" w:rsidRPr="008448BA" w14:paraId="37A567B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DDC7AE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E63A07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1F10106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4652467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5D651CA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8" w:type="dxa"/>
            <w:tcBorders>
              <w:top w:val="nil"/>
              <w:left w:val="nil"/>
              <w:bottom w:val="single" w:sz="4" w:space="0" w:color="auto"/>
              <w:right w:val="single" w:sz="4" w:space="0" w:color="auto"/>
            </w:tcBorders>
            <w:shd w:val="clear" w:color="auto" w:fill="auto"/>
            <w:noWrap/>
            <w:vAlign w:val="center"/>
          </w:tcPr>
          <w:p w14:paraId="0B0987C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auto"/>
            <w:noWrap/>
            <w:vAlign w:val="center"/>
          </w:tcPr>
          <w:p w14:paraId="07AA342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11.0%</w:t>
            </w:r>
          </w:p>
        </w:tc>
        <w:tc>
          <w:tcPr>
            <w:tcW w:w="1106" w:type="dxa"/>
            <w:tcBorders>
              <w:top w:val="nil"/>
              <w:left w:val="nil"/>
              <w:bottom w:val="single" w:sz="4" w:space="0" w:color="auto"/>
              <w:right w:val="single" w:sz="4" w:space="0" w:color="auto"/>
            </w:tcBorders>
            <w:shd w:val="clear" w:color="auto" w:fill="auto"/>
            <w:noWrap/>
            <w:vAlign w:val="center"/>
            <w:hideMark/>
          </w:tcPr>
          <w:p w14:paraId="279FC71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5003857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F87BCD4"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Goulburn</w:t>
            </w:r>
          </w:p>
          <w:p w14:paraId="7563EE7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5BF9F0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3447CB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571B35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5FA5E2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0FA216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6E0719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B7198E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3.2%</w:t>
            </w:r>
          </w:p>
        </w:tc>
      </w:tr>
      <w:tr w:rsidR="007B29DD" w:rsidRPr="008448BA" w14:paraId="193ACB9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225402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A1B5BB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69AF1E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613FAE2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30993B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4.9%</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175BDF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D063DD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8.2%</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37F646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5.5%</w:t>
            </w:r>
          </w:p>
        </w:tc>
      </w:tr>
      <w:tr w:rsidR="007B29DD" w:rsidRPr="008448BA" w14:paraId="454BADB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FA0789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A3E30A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EDE1E8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A47394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96C3C4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850EBC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370DF9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11.4%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C3DAE1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7.0%</w:t>
            </w:r>
          </w:p>
        </w:tc>
      </w:tr>
      <w:tr w:rsidR="007B29DD" w:rsidRPr="008448BA" w14:paraId="4956916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53789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Campaspe</w:t>
            </w:r>
          </w:p>
          <w:p w14:paraId="34469E36"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(406)</w:t>
            </w:r>
          </w:p>
        </w:tc>
        <w:tc>
          <w:tcPr>
            <w:tcW w:w="1240" w:type="dxa"/>
            <w:tcBorders>
              <w:top w:val="nil"/>
              <w:left w:val="nil"/>
              <w:bottom w:val="single" w:sz="4" w:space="0" w:color="auto"/>
              <w:right w:val="single" w:sz="4" w:space="0" w:color="auto"/>
            </w:tcBorders>
            <w:shd w:val="clear" w:color="auto" w:fill="auto"/>
            <w:noWrap/>
            <w:vAlign w:val="bottom"/>
            <w:hideMark/>
          </w:tcPr>
          <w:p w14:paraId="1430578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1D9AEC0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auto"/>
            <w:noWrap/>
            <w:vAlign w:val="center"/>
          </w:tcPr>
          <w:p w14:paraId="5B5E7AE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529EA58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auto"/>
            <w:noWrap/>
            <w:vAlign w:val="center"/>
          </w:tcPr>
          <w:p w14:paraId="2B40CDD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tcPr>
          <w:p w14:paraId="7025618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6" w:type="dxa"/>
            <w:tcBorders>
              <w:top w:val="nil"/>
              <w:left w:val="nil"/>
              <w:bottom w:val="single" w:sz="4" w:space="0" w:color="auto"/>
              <w:right w:val="single" w:sz="4" w:space="0" w:color="auto"/>
            </w:tcBorders>
            <w:shd w:val="clear" w:color="auto" w:fill="auto"/>
            <w:noWrap/>
            <w:vAlign w:val="center"/>
            <w:hideMark/>
          </w:tcPr>
          <w:p w14:paraId="651A9F1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r>
      <w:tr w:rsidR="007B29DD" w:rsidRPr="008448BA" w14:paraId="4990D440"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915A21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DF74B1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430917F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auto"/>
            <w:noWrap/>
            <w:vAlign w:val="center"/>
          </w:tcPr>
          <w:p w14:paraId="4EE9FBF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2.1%</w:t>
            </w:r>
          </w:p>
        </w:tc>
        <w:tc>
          <w:tcPr>
            <w:tcW w:w="960" w:type="dxa"/>
            <w:tcBorders>
              <w:top w:val="nil"/>
              <w:left w:val="nil"/>
              <w:bottom w:val="single" w:sz="4" w:space="0" w:color="auto"/>
              <w:right w:val="single" w:sz="4" w:space="0" w:color="auto"/>
            </w:tcBorders>
            <w:shd w:val="clear" w:color="auto" w:fill="auto"/>
            <w:noWrap/>
            <w:vAlign w:val="center"/>
          </w:tcPr>
          <w:p w14:paraId="0174B96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4.7%</w:t>
            </w:r>
          </w:p>
        </w:tc>
        <w:tc>
          <w:tcPr>
            <w:tcW w:w="1108" w:type="dxa"/>
            <w:tcBorders>
              <w:top w:val="nil"/>
              <w:left w:val="nil"/>
              <w:bottom w:val="single" w:sz="4" w:space="0" w:color="auto"/>
              <w:right w:val="single" w:sz="4" w:space="0" w:color="auto"/>
            </w:tcBorders>
            <w:shd w:val="clear" w:color="auto" w:fill="auto"/>
            <w:noWrap/>
            <w:vAlign w:val="center"/>
          </w:tcPr>
          <w:p w14:paraId="75FA845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3.7%</w:t>
            </w:r>
          </w:p>
        </w:tc>
        <w:tc>
          <w:tcPr>
            <w:tcW w:w="960" w:type="dxa"/>
            <w:tcBorders>
              <w:top w:val="nil"/>
              <w:left w:val="nil"/>
              <w:bottom w:val="single" w:sz="4" w:space="0" w:color="auto"/>
              <w:right w:val="single" w:sz="4" w:space="0" w:color="auto"/>
            </w:tcBorders>
            <w:shd w:val="clear" w:color="auto" w:fill="auto"/>
            <w:noWrap/>
            <w:vAlign w:val="center"/>
          </w:tcPr>
          <w:p w14:paraId="26B4774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7.8%</w:t>
            </w:r>
          </w:p>
        </w:tc>
        <w:tc>
          <w:tcPr>
            <w:tcW w:w="1106" w:type="dxa"/>
            <w:tcBorders>
              <w:top w:val="nil"/>
              <w:left w:val="nil"/>
              <w:bottom w:val="single" w:sz="4" w:space="0" w:color="auto"/>
              <w:right w:val="single" w:sz="4" w:space="0" w:color="auto"/>
            </w:tcBorders>
            <w:shd w:val="clear" w:color="auto" w:fill="auto"/>
            <w:noWrap/>
            <w:vAlign w:val="center"/>
            <w:hideMark/>
          </w:tcPr>
          <w:p w14:paraId="745059C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5.3%</w:t>
            </w:r>
          </w:p>
        </w:tc>
      </w:tr>
      <w:tr w:rsidR="007B29DD" w:rsidRPr="008448BA" w14:paraId="1FCF754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42B747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2220C61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5E5B27C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3.3%</w:t>
            </w:r>
          </w:p>
        </w:tc>
        <w:tc>
          <w:tcPr>
            <w:tcW w:w="1108" w:type="dxa"/>
            <w:tcBorders>
              <w:top w:val="nil"/>
              <w:left w:val="nil"/>
              <w:bottom w:val="single" w:sz="4" w:space="0" w:color="auto"/>
              <w:right w:val="single" w:sz="4" w:space="0" w:color="auto"/>
            </w:tcBorders>
            <w:shd w:val="clear" w:color="auto" w:fill="auto"/>
            <w:noWrap/>
            <w:vAlign w:val="center"/>
          </w:tcPr>
          <w:p w14:paraId="6A12FB6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2.8%</w:t>
            </w:r>
          </w:p>
        </w:tc>
        <w:tc>
          <w:tcPr>
            <w:tcW w:w="960" w:type="dxa"/>
            <w:tcBorders>
              <w:top w:val="nil"/>
              <w:left w:val="nil"/>
              <w:bottom w:val="single" w:sz="4" w:space="0" w:color="auto"/>
              <w:right w:val="single" w:sz="4" w:space="0" w:color="auto"/>
            </w:tcBorders>
            <w:shd w:val="clear" w:color="auto" w:fill="auto"/>
            <w:noWrap/>
            <w:vAlign w:val="center"/>
          </w:tcPr>
          <w:p w14:paraId="75446C8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5.9%</w:t>
            </w:r>
          </w:p>
        </w:tc>
        <w:tc>
          <w:tcPr>
            <w:tcW w:w="1108" w:type="dxa"/>
            <w:tcBorders>
              <w:top w:val="nil"/>
              <w:left w:val="nil"/>
              <w:bottom w:val="single" w:sz="4" w:space="0" w:color="auto"/>
              <w:right w:val="single" w:sz="4" w:space="0" w:color="auto"/>
            </w:tcBorders>
            <w:shd w:val="clear" w:color="auto" w:fill="auto"/>
            <w:noWrap/>
            <w:vAlign w:val="center"/>
          </w:tcPr>
          <w:p w14:paraId="5D04280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c>
          <w:tcPr>
            <w:tcW w:w="960" w:type="dxa"/>
            <w:tcBorders>
              <w:top w:val="nil"/>
              <w:left w:val="nil"/>
              <w:bottom w:val="single" w:sz="4" w:space="0" w:color="auto"/>
              <w:right w:val="single" w:sz="4" w:space="0" w:color="auto"/>
            </w:tcBorders>
            <w:shd w:val="clear" w:color="auto" w:fill="auto"/>
            <w:noWrap/>
            <w:vAlign w:val="center"/>
          </w:tcPr>
          <w:p w14:paraId="0381266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10.3%</w:t>
            </w:r>
          </w:p>
        </w:tc>
        <w:tc>
          <w:tcPr>
            <w:tcW w:w="1106" w:type="dxa"/>
            <w:tcBorders>
              <w:top w:val="nil"/>
              <w:left w:val="nil"/>
              <w:bottom w:val="single" w:sz="4" w:space="0" w:color="auto"/>
              <w:right w:val="single" w:sz="4" w:space="0" w:color="auto"/>
            </w:tcBorders>
            <w:shd w:val="clear" w:color="auto" w:fill="auto"/>
            <w:noWrap/>
            <w:vAlign w:val="center"/>
            <w:hideMark/>
          </w:tcPr>
          <w:p w14:paraId="0CAB39A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6.7%</w:t>
            </w:r>
          </w:p>
        </w:tc>
      </w:tr>
      <w:tr w:rsidR="007B29DD" w:rsidRPr="008448BA" w14:paraId="14C6EF99"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4D3658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Loddon</w:t>
            </w:r>
          </w:p>
          <w:p w14:paraId="6CEA0CF5"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(407)</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A00000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D0DCB1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3535BE5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9D4399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0DB341B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0EC986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9F13C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r>
      <w:tr w:rsidR="007B29DD" w:rsidRPr="008448BA" w14:paraId="6A42E4B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EE2718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029798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227AF5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77F910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3EA7D6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5D9881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546087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7.7%</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ABF5C4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5.2%</w:t>
            </w:r>
          </w:p>
        </w:tc>
      </w:tr>
      <w:tr w:rsidR="007B29DD" w:rsidRPr="008448BA" w14:paraId="0EA6EF3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34DBFD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8C54FC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49279B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4254DF4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D05EF7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7C1B30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5CFDEFD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9.9%</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4E7760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6.8%</w:t>
            </w:r>
          </w:p>
        </w:tc>
      </w:tr>
      <w:tr w:rsidR="007B29DD" w:rsidRPr="008448BA" w14:paraId="32343C5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33C535"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Avoca</w:t>
            </w:r>
          </w:p>
          <w:p w14:paraId="1E214CE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(408)</w:t>
            </w:r>
          </w:p>
        </w:tc>
        <w:tc>
          <w:tcPr>
            <w:tcW w:w="1240" w:type="dxa"/>
            <w:tcBorders>
              <w:top w:val="nil"/>
              <w:left w:val="nil"/>
              <w:bottom w:val="single" w:sz="4" w:space="0" w:color="auto"/>
              <w:right w:val="single" w:sz="4" w:space="0" w:color="auto"/>
            </w:tcBorders>
            <w:shd w:val="clear" w:color="auto" w:fill="auto"/>
            <w:noWrap/>
            <w:vAlign w:val="bottom"/>
            <w:hideMark/>
          </w:tcPr>
          <w:p w14:paraId="7E8F50A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5B159BE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1.6%</w:t>
            </w:r>
          </w:p>
        </w:tc>
        <w:tc>
          <w:tcPr>
            <w:tcW w:w="1108" w:type="dxa"/>
            <w:tcBorders>
              <w:top w:val="nil"/>
              <w:left w:val="nil"/>
              <w:bottom w:val="single" w:sz="4" w:space="0" w:color="auto"/>
              <w:right w:val="single" w:sz="4" w:space="0" w:color="auto"/>
            </w:tcBorders>
            <w:shd w:val="clear" w:color="auto" w:fill="auto"/>
            <w:noWrap/>
            <w:vAlign w:val="center"/>
          </w:tcPr>
          <w:p w14:paraId="670B2F0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33191E2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2.9%</w:t>
            </w:r>
          </w:p>
        </w:tc>
        <w:tc>
          <w:tcPr>
            <w:tcW w:w="1108" w:type="dxa"/>
            <w:tcBorders>
              <w:top w:val="nil"/>
              <w:left w:val="nil"/>
              <w:bottom w:val="single" w:sz="4" w:space="0" w:color="auto"/>
              <w:right w:val="single" w:sz="4" w:space="0" w:color="auto"/>
            </w:tcBorders>
            <w:shd w:val="clear" w:color="auto" w:fill="auto"/>
            <w:noWrap/>
            <w:vAlign w:val="center"/>
          </w:tcPr>
          <w:p w14:paraId="65A59CF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1D84C7A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6" w:type="dxa"/>
            <w:tcBorders>
              <w:top w:val="nil"/>
              <w:left w:val="nil"/>
              <w:bottom w:val="single" w:sz="4" w:space="0" w:color="auto"/>
              <w:right w:val="single" w:sz="4" w:space="0" w:color="auto"/>
            </w:tcBorders>
            <w:shd w:val="clear" w:color="auto" w:fill="auto"/>
            <w:noWrap/>
            <w:vAlign w:val="center"/>
            <w:hideMark/>
          </w:tcPr>
          <w:p w14:paraId="09EBB2B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3.0%</w:t>
            </w:r>
          </w:p>
        </w:tc>
      </w:tr>
      <w:tr w:rsidR="007B29DD" w:rsidRPr="008448BA" w14:paraId="07ABF32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8FCE83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9649E4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6418FB0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2.4%</w:t>
            </w:r>
          </w:p>
        </w:tc>
        <w:tc>
          <w:tcPr>
            <w:tcW w:w="1108" w:type="dxa"/>
            <w:tcBorders>
              <w:top w:val="nil"/>
              <w:left w:val="nil"/>
              <w:bottom w:val="single" w:sz="4" w:space="0" w:color="auto"/>
              <w:right w:val="single" w:sz="4" w:space="0" w:color="auto"/>
            </w:tcBorders>
            <w:shd w:val="clear" w:color="auto" w:fill="auto"/>
            <w:noWrap/>
            <w:vAlign w:val="center"/>
          </w:tcPr>
          <w:p w14:paraId="2D62672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1.9%</w:t>
            </w:r>
          </w:p>
        </w:tc>
        <w:tc>
          <w:tcPr>
            <w:tcW w:w="960" w:type="dxa"/>
            <w:tcBorders>
              <w:top w:val="nil"/>
              <w:left w:val="nil"/>
              <w:bottom w:val="single" w:sz="4" w:space="0" w:color="auto"/>
              <w:right w:val="single" w:sz="4" w:space="0" w:color="auto"/>
            </w:tcBorders>
            <w:shd w:val="clear" w:color="auto" w:fill="auto"/>
            <w:noWrap/>
            <w:vAlign w:val="center"/>
          </w:tcPr>
          <w:p w14:paraId="331CEEF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4.3%</w:t>
            </w:r>
          </w:p>
        </w:tc>
        <w:tc>
          <w:tcPr>
            <w:tcW w:w="1108" w:type="dxa"/>
            <w:tcBorders>
              <w:top w:val="nil"/>
              <w:left w:val="nil"/>
              <w:bottom w:val="single" w:sz="4" w:space="0" w:color="auto"/>
              <w:right w:val="single" w:sz="4" w:space="0" w:color="auto"/>
            </w:tcBorders>
            <w:shd w:val="clear" w:color="auto" w:fill="auto"/>
            <w:noWrap/>
            <w:vAlign w:val="center"/>
          </w:tcPr>
          <w:p w14:paraId="7807FD0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3.4%</w:t>
            </w:r>
          </w:p>
        </w:tc>
        <w:tc>
          <w:tcPr>
            <w:tcW w:w="960" w:type="dxa"/>
            <w:tcBorders>
              <w:top w:val="nil"/>
              <w:left w:val="nil"/>
              <w:bottom w:val="single" w:sz="4" w:space="0" w:color="auto"/>
              <w:right w:val="single" w:sz="4" w:space="0" w:color="auto"/>
            </w:tcBorders>
            <w:shd w:val="clear" w:color="auto" w:fill="auto"/>
            <w:noWrap/>
            <w:vAlign w:val="center"/>
          </w:tcPr>
          <w:p w14:paraId="6582CF1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7.1%</w:t>
            </w:r>
          </w:p>
        </w:tc>
        <w:tc>
          <w:tcPr>
            <w:tcW w:w="1106" w:type="dxa"/>
            <w:tcBorders>
              <w:top w:val="nil"/>
              <w:left w:val="nil"/>
              <w:bottom w:val="single" w:sz="4" w:space="0" w:color="auto"/>
              <w:right w:val="single" w:sz="4" w:space="0" w:color="auto"/>
            </w:tcBorders>
            <w:shd w:val="clear" w:color="auto" w:fill="auto"/>
            <w:noWrap/>
            <w:vAlign w:val="center"/>
            <w:hideMark/>
          </w:tcPr>
          <w:p w14:paraId="664F34D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4.9%</w:t>
            </w:r>
          </w:p>
        </w:tc>
      </w:tr>
      <w:tr w:rsidR="007B29DD" w:rsidRPr="008448BA" w14:paraId="25B2064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A9B019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798FE6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2365B67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auto"/>
            <w:noWrap/>
            <w:vAlign w:val="center"/>
          </w:tcPr>
          <w:p w14:paraId="10162B1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c>
          <w:tcPr>
            <w:tcW w:w="960" w:type="dxa"/>
            <w:tcBorders>
              <w:top w:val="nil"/>
              <w:left w:val="nil"/>
              <w:bottom w:val="single" w:sz="4" w:space="0" w:color="auto"/>
              <w:right w:val="single" w:sz="4" w:space="0" w:color="auto"/>
            </w:tcBorders>
            <w:shd w:val="clear" w:color="auto" w:fill="auto"/>
            <w:noWrap/>
            <w:vAlign w:val="center"/>
          </w:tcPr>
          <w:p w14:paraId="3D807AE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8" w:type="dxa"/>
            <w:tcBorders>
              <w:top w:val="nil"/>
              <w:left w:val="nil"/>
              <w:bottom w:val="single" w:sz="4" w:space="0" w:color="auto"/>
              <w:right w:val="single" w:sz="4" w:space="0" w:color="auto"/>
            </w:tcBorders>
            <w:shd w:val="clear" w:color="auto" w:fill="auto"/>
            <w:noWrap/>
            <w:vAlign w:val="center"/>
          </w:tcPr>
          <w:p w14:paraId="04F7F6C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4.6%</w:t>
            </w:r>
          </w:p>
        </w:tc>
        <w:tc>
          <w:tcPr>
            <w:tcW w:w="960" w:type="dxa"/>
            <w:tcBorders>
              <w:top w:val="nil"/>
              <w:left w:val="nil"/>
              <w:bottom w:val="single" w:sz="4" w:space="0" w:color="auto"/>
              <w:right w:val="single" w:sz="4" w:space="0" w:color="auto"/>
            </w:tcBorders>
            <w:shd w:val="clear" w:color="auto" w:fill="auto"/>
            <w:noWrap/>
            <w:vAlign w:val="center"/>
          </w:tcPr>
          <w:p w14:paraId="37C37B6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9.9%</w:t>
            </w:r>
          </w:p>
        </w:tc>
        <w:tc>
          <w:tcPr>
            <w:tcW w:w="1106" w:type="dxa"/>
            <w:tcBorders>
              <w:top w:val="nil"/>
              <w:left w:val="nil"/>
              <w:bottom w:val="single" w:sz="4" w:space="0" w:color="auto"/>
              <w:right w:val="single" w:sz="4" w:space="0" w:color="auto"/>
            </w:tcBorders>
            <w:shd w:val="clear" w:color="auto" w:fill="auto"/>
            <w:noWrap/>
            <w:vAlign w:val="center"/>
            <w:hideMark/>
          </w:tcPr>
          <w:p w14:paraId="6162C87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6.5%</w:t>
            </w:r>
          </w:p>
        </w:tc>
      </w:tr>
      <w:tr w:rsidR="007B29DD" w:rsidRPr="008448BA" w14:paraId="3EF547C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9A6B0D9"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Lower Murray</w:t>
            </w:r>
          </w:p>
          <w:p w14:paraId="4ADB4860"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(409)</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974790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4538F1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1.6%</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4A5D3E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8C0122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2.8%</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B84262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7B949F1"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5A5661D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2.9%</w:t>
            </w:r>
          </w:p>
        </w:tc>
      </w:tr>
      <w:tr w:rsidR="007B29DD" w:rsidRPr="008448BA" w14:paraId="248E27A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2CF9E1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1F0E1C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11247B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55608B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098B75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4.5%</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DBE1ED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3.5%</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1B19AE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7.6%</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758FB13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5.2%</w:t>
            </w:r>
          </w:p>
        </w:tc>
      </w:tr>
      <w:tr w:rsidR="007B29DD" w:rsidRPr="008448BA" w14:paraId="5259244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C95079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C5018D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7D6084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908AF0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D30CAC9"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5.3%</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13E04FE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F66CE7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10.0%</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60BEB9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6.5%</w:t>
            </w:r>
          </w:p>
        </w:tc>
      </w:tr>
      <w:tr w:rsidR="007B29DD" w:rsidRPr="008448BA" w14:paraId="3438CEF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D22C6F"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Mallee</w:t>
            </w:r>
          </w:p>
          <w:p w14:paraId="59FF7A56"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(414)</w:t>
            </w:r>
          </w:p>
        </w:tc>
        <w:tc>
          <w:tcPr>
            <w:tcW w:w="1240" w:type="dxa"/>
            <w:tcBorders>
              <w:top w:val="nil"/>
              <w:left w:val="nil"/>
              <w:bottom w:val="single" w:sz="4" w:space="0" w:color="auto"/>
              <w:right w:val="single" w:sz="4" w:space="0" w:color="auto"/>
            </w:tcBorders>
            <w:shd w:val="clear" w:color="auto" w:fill="auto"/>
            <w:noWrap/>
            <w:vAlign w:val="bottom"/>
            <w:hideMark/>
          </w:tcPr>
          <w:p w14:paraId="3905112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1270E6A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auto"/>
            <w:noWrap/>
            <w:vAlign w:val="center"/>
          </w:tcPr>
          <w:p w14:paraId="104E7A4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2DB6B4B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auto"/>
            <w:noWrap/>
            <w:vAlign w:val="center"/>
          </w:tcPr>
          <w:p w14:paraId="553EA02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auto"/>
            <w:noWrap/>
            <w:vAlign w:val="center"/>
          </w:tcPr>
          <w:p w14:paraId="5E93A8D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6" w:type="dxa"/>
            <w:tcBorders>
              <w:top w:val="nil"/>
              <w:left w:val="nil"/>
              <w:bottom w:val="single" w:sz="4" w:space="0" w:color="auto"/>
              <w:right w:val="single" w:sz="4" w:space="0" w:color="auto"/>
            </w:tcBorders>
            <w:shd w:val="clear" w:color="auto" w:fill="auto"/>
            <w:noWrap/>
            <w:vAlign w:val="center"/>
            <w:hideMark/>
          </w:tcPr>
          <w:p w14:paraId="61C0959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3.2%</w:t>
            </w:r>
          </w:p>
        </w:tc>
      </w:tr>
      <w:tr w:rsidR="007B29DD" w:rsidRPr="008448BA" w14:paraId="0C91E08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2691AF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53C873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4E1D25A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2.3%</w:t>
            </w:r>
          </w:p>
        </w:tc>
        <w:tc>
          <w:tcPr>
            <w:tcW w:w="1108" w:type="dxa"/>
            <w:tcBorders>
              <w:top w:val="nil"/>
              <w:left w:val="nil"/>
              <w:bottom w:val="single" w:sz="4" w:space="0" w:color="auto"/>
              <w:right w:val="single" w:sz="4" w:space="0" w:color="auto"/>
            </w:tcBorders>
            <w:shd w:val="clear" w:color="auto" w:fill="auto"/>
            <w:noWrap/>
            <w:vAlign w:val="center"/>
          </w:tcPr>
          <w:p w14:paraId="4F393C4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tcPr>
          <w:p w14:paraId="61CA186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4.2%</w:t>
            </w:r>
          </w:p>
        </w:tc>
        <w:tc>
          <w:tcPr>
            <w:tcW w:w="1108" w:type="dxa"/>
            <w:tcBorders>
              <w:top w:val="nil"/>
              <w:left w:val="nil"/>
              <w:bottom w:val="single" w:sz="4" w:space="0" w:color="auto"/>
              <w:right w:val="single" w:sz="4" w:space="0" w:color="auto"/>
            </w:tcBorders>
            <w:shd w:val="clear" w:color="auto" w:fill="auto"/>
            <w:noWrap/>
            <w:vAlign w:val="center"/>
          </w:tcPr>
          <w:p w14:paraId="2117127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3.3%</w:t>
            </w:r>
          </w:p>
        </w:tc>
        <w:tc>
          <w:tcPr>
            <w:tcW w:w="960" w:type="dxa"/>
            <w:tcBorders>
              <w:top w:val="nil"/>
              <w:left w:val="nil"/>
              <w:bottom w:val="single" w:sz="4" w:space="0" w:color="auto"/>
              <w:right w:val="single" w:sz="4" w:space="0" w:color="auto"/>
            </w:tcBorders>
            <w:shd w:val="clear" w:color="auto" w:fill="auto"/>
            <w:noWrap/>
            <w:vAlign w:val="center"/>
          </w:tcPr>
          <w:p w14:paraId="0D2D34E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7.0%</w:t>
            </w:r>
          </w:p>
        </w:tc>
        <w:tc>
          <w:tcPr>
            <w:tcW w:w="1106" w:type="dxa"/>
            <w:tcBorders>
              <w:top w:val="nil"/>
              <w:left w:val="nil"/>
              <w:bottom w:val="single" w:sz="4" w:space="0" w:color="auto"/>
              <w:right w:val="single" w:sz="4" w:space="0" w:color="auto"/>
            </w:tcBorders>
            <w:shd w:val="clear" w:color="auto" w:fill="auto"/>
            <w:noWrap/>
            <w:vAlign w:val="center"/>
            <w:hideMark/>
          </w:tcPr>
          <w:p w14:paraId="1A53668D"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4.7%</w:t>
            </w:r>
          </w:p>
        </w:tc>
      </w:tr>
      <w:tr w:rsidR="007B29DD" w:rsidRPr="008448BA" w14:paraId="68CDA6C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35F627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D50B39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6C066B3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2.9%</w:t>
            </w:r>
          </w:p>
        </w:tc>
        <w:tc>
          <w:tcPr>
            <w:tcW w:w="1108" w:type="dxa"/>
            <w:tcBorders>
              <w:top w:val="nil"/>
              <w:left w:val="nil"/>
              <w:bottom w:val="single" w:sz="4" w:space="0" w:color="auto"/>
              <w:right w:val="single" w:sz="4" w:space="0" w:color="auto"/>
            </w:tcBorders>
            <w:shd w:val="clear" w:color="auto" w:fill="auto"/>
            <w:noWrap/>
            <w:vAlign w:val="center"/>
          </w:tcPr>
          <w:p w14:paraId="4D4C022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77FAB49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5.2%</w:t>
            </w:r>
          </w:p>
        </w:tc>
        <w:tc>
          <w:tcPr>
            <w:tcW w:w="1108" w:type="dxa"/>
            <w:tcBorders>
              <w:top w:val="nil"/>
              <w:left w:val="nil"/>
              <w:bottom w:val="single" w:sz="4" w:space="0" w:color="auto"/>
              <w:right w:val="single" w:sz="4" w:space="0" w:color="auto"/>
            </w:tcBorders>
            <w:shd w:val="clear" w:color="auto" w:fill="auto"/>
            <w:noWrap/>
            <w:vAlign w:val="center"/>
          </w:tcPr>
          <w:p w14:paraId="67EE96F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4.5%</w:t>
            </w:r>
          </w:p>
        </w:tc>
        <w:tc>
          <w:tcPr>
            <w:tcW w:w="960" w:type="dxa"/>
            <w:tcBorders>
              <w:top w:val="nil"/>
              <w:left w:val="nil"/>
              <w:bottom w:val="single" w:sz="4" w:space="0" w:color="auto"/>
              <w:right w:val="single" w:sz="4" w:space="0" w:color="auto"/>
            </w:tcBorders>
            <w:shd w:val="clear" w:color="auto" w:fill="auto"/>
            <w:noWrap/>
            <w:vAlign w:val="center"/>
          </w:tcPr>
          <w:p w14:paraId="4723404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9.5%</w:t>
            </w:r>
          </w:p>
        </w:tc>
        <w:tc>
          <w:tcPr>
            <w:tcW w:w="1106" w:type="dxa"/>
            <w:tcBorders>
              <w:top w:val="nil"/>
              <w:left w:val="nil"/>
              <w:bottom w:val="single" w:sz="4" w:space="0" w:color="auto"/>
              <w:right w:val="single" w:sz="4" w:space="0" w:color="auto"/>
            </w:tcBorders>
            <w:shd w:val="clear" w:color="auto" w:fill="auto"/>
            <w:noWrap/>
            <w:vAlign w:val="center"/>
            <w:hideMark/>
          </w:tcPr>
          <w:p w14:paraId="2E64B70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6.0%</w:t>
            </w:r>
          </w:p>
        </w:tc>
      </w:tr>
      <w:tr w:rsidR="007B29DD" w:rsidRPr="008448BA" w14:paraId="4CA5E8E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485404C"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Wimmera</w:t>
            </w:r>
          </w:p>
          <w:p w14:paraId="77006911"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5CB99A0"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ED1710E"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53EB0F6F"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7BBBFDFF"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760C1652"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48C13D34"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855BFA5"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3.1%</w:t>
            </w:r>
          </w:p>
        </w:tc>
      </w:tr>
      <w:tr w:rsidR="007B29DD" w:rsidRPr="008448BA" w14:paraId="746FD06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3E5604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1AA722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2E957FE"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2.3%</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CE19CB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6645F27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4.2%</w:t>
            </w:r>
          </w:p>
        </w:tc>
        <w:tc>
          <w:tcPr>
            <w:tcW w:w="1108" w:type="dxa"/>
            <w:tcBorders>
              <w:top w:val="nil"/>
              <w:left w:val="nil"/>
              <w:bottom w:val="single" w:sz="4" w:space="0" w:color="auto"/>
              <w:right w:val="single" w:sz="4" w:space="0" w:color="auto"/>
            </w:tcBorders>
            <w:shd w:val="clear" w:color="auto" w:fill="D9D9D9" w:themeFill="background1" w:themeFillShade="D9"/>
            <w:noWrap/>
            <w:vAlign w:val="center"/>
          </w:tcPr>
          <w:p w14:paraId="2473C534"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08612D0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7.1%</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9A79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5.0%</w:t>
            </w:r>
          </w:p>
        </w:tc>
      </w:tr>
      <w:tr w:rsidR="007B29DD" w:rsidRPr="008448BA" w14:paraId="433D42A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09A08B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4DD29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93B5FB"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B9311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2.7%</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9D2BD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A6B4B3"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4.9%</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6F0900"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9.8%</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B913E6"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6.5%</w:t>
            </w:r>
          </w:p>
        </w:tc>
      </w:tr>
      <w:tr w:rsidR="007B29DD" w:rsidRPr="008448BA" w14:paraId="36B9ED1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331AA6" w14:textId="77777777" w:rsidR="007B29DD"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Victoria*</w:t>
            </w:r>
          </w:p>
          <w:p w14:paraId="63921032" w14:textId="77777777" w:rsidR="007B29DD" w:rsidRPr="008448BA" w:rsidRDefault="007B29DD" w:rsidP="00306AF1">
            <w:pPr>
              <w:keepNext/>
              <w:spacing w:line="240" w:lineRule="auto"/>
              <w:jc w:val="center"/>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5842959"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6A333DB4"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1.7%</w:t>
            </w:r>
          </w:p>
        </w:tc>
        <w:tc>
          <w:tcPr>
            <w:tcW w:w="1108" w:type="dxa"/>
            <w:tcBorders>
              <w:top w:val="nil"/>
              <w:left w:val="nil"/>
              <w:bottom w:val="single" w:sz="4" w:space="0" w:color="auto"/>
              <w:right w:val="single" w:sz="4" w:space="0" w:color="auto"/>
            </w:tcBorders>
            <w:shd w:val="clear" w:color="auto" w:fill="auto"/>
            <w:noWrap/>
            <w:vAlign w:val="center"/>
          </w:tcPr>
          <w:p w14:paraId="4AD324B1"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21336F46"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3.1%</w:t>
            </w:r>
          </w:p>
        </w:tc>
        <w:tc>
          <w:tcPr>
            <w:tcW w:w="1108" w:type="dxa"/>
            <w:tcBorders>
              <w:top w:val="nil"/>
              <w:left w:val="nil"/>
              <w:bottom w:val="single" w:sz="4" w:space="0" w:color="auto"/>
              <w:right w:val="single" w:sz="4" w:space="0" w:color="auto"/>
            </w:tcBorders>
            <w:shd w:val="clear" w:color="auto" w:fill="auto"/>
            <w:noWrap/>
            <w:vAlign w:val="center"/>
          </w:tcPr>
          <w:p w14:paraId="4D408328"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1.7%</w:t>
            </w:r>
          </w:p>
        </w:tc>
        <w:tc>
          <w:tcPr>
            <w:tcW w:w="960" w:type="dxa"/>
            <w:tcBorders>
              <w:top w:val="nil"/>
              <w:left w:val="nil"/>
              <w:bottom w:val="single" w:sz="4" w:space="0" w:color="auto"/>
              <w:right w:val="single" w:sz="4" w:space="0" w:color="auto"/>
            </w:tcBorders>
            <w:shd w:val="clear" w:color="auto" w:fill="auto"/>
            <w:noWrap/>
            <w:vAlign w:val="center"/>
          </w:tcPr>
          <w:p w14:paraId="3EF46E3F"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color w:val="000000"/>
              </w:rPr>
              <w:t>5.4%</w:t>
            </w:r>
          </w:p>
        </w:tc>
        <w:tc>
          <w:tcPr>
            <w:tcW w:w="1106" w:type="dxa"/>
            <w:tcBorders>
              <w:top w:val="nil"/>
              <w:left w:val="nil"/>
              <w:bottom w:val="single" w:sz="4" w:space="0" w:color="auto"/>
              <w:right w:val="single" w:sz="4" w:space="0" w:color="auto"/>
            </w:tcBorders>
            <w:shd w:val="clear" w:color="auto" w:fill="auto"/>
            <w:noWrap/>
            <w:vAlign w:val="center"/>
          </w:tcPr>
          <w:p w14:paraId="42364320" w14:textId="77777777" w:rsidR="007B29DD" w:rsidRPr="004521CC" w:rsidRDefault="007B29DD" w:rsidP="00306AF1">
            <w:pPr>
              <w:keepNext/>
              <w:spacing w:line="240" w:lineRule="auto"/>
              <w:jc w:val="right"/>
              <w:rPr>
                <w:rFonts w:ascii="Calibri" w:hAnsi="Calibri" w:cs="Calibri"/>
                <w:color w:val="000000"/>
                <w:lang w:val="en-US" w:eastAsia="zh-CN"/>
              </w:rPr>
            </w:pPr>
            <w:r w:rsidRPr="004521CC">
              <w:rPr>
                <w:rFonts w:ascii="Calibri" w:hAnsi="Calibri" w:cs="Calibri"/>
              </w:rPr>
              <w:t>3.1%</w:t>
            </w:r>
          </w:p>
        </w:tc>
      </w:tr>
      <w:tr w:rsidR="007B29DD" w:rsidRPr="008448BA" w14:paraId="05DF121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5C9ED6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EA5D5B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3B04E85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2.5%</w:t>
            </w:r>
          </w:p>
        </w:tc>
        <w:tc>
          <w:tcPr>
            <w:tcW w:w="1108" w:type="dxa"/>
            <w:tcBorders>
              <w:top w:val="nil"/>
              <w:left w:val="nil"/>
              <w:bottom w:val="single" w:sz="4" w:space="0" w:color="auto"/>
              <w:right w:val="single" w:sz="4" w:space="0" w:color="auto"/>
            </w:tcBorders>
            <w:shd w:val="clear" w:color="auto" w:fill="auto"/>
            <w:noWrap/>
            <w:vAlign w:val="center"/>
          </w:tcPr>
          <w:p w14:paraId="4652D64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1.9%</w:t>
            </w:r>
          </w:p>
        </w:tc>
        <w:tc>
          <w:tcPr>
            <w:tcW w:w="960" w:type="dxa"/>
            <w:tcBorders>
              <w:top w:val="nil"/>
              <w:left w:val="nil"/>
              <w:bottom w:val="single" w:sz="4" w:space="0" w:color="auto"/>
              <w:right w:val="single" w:sz="4" w:space="0" w:color="auto"/>
            </w:tcBorders>
            <w:shd w:val="clear" w:color="auto" w:fill="auto"/>
            <w:noWrap/>
            <w:vAlign w:val="center"/>
          </w:tcPr>
          <w:p w14:paraId="72F35F38"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4.5%</w:t>
            </w:r>
          </w:p>
        </w:tc>
        <w:tc>
          <w:tcPr>
            <w:tcW w:w="1108" w:type="dxa"/>
            <w:tcBorders>
              <w:top w:val="nil"/>
              <w:left w:val="nil"/>
              <w:bottom w:val="single" w:sz="4" w:space="0" w:color="auto"/>
              <w:right w:val="single" w:sz="4" w:space="0" w:color="auto"/>
            </w:tcBorders>
            <w:shd w:val="clear" w:color="auto" w:fill="auto"/>
            <w:noWrap/>
            <w:vAlign w:val="center"/>
          </w:tcPr>
          <w:p w14:paraId="7D98EA17"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3.5%</w:t>
            </w:r>
          </w:p>
        </w:tc>
        <w:tc>
          <w:tcPr>
            <w:tcW w:w="960" w:type="dxa"/>
            <w:tcBorders>
              <w:top w:val="nil"/>
              <w:left w:val="nil"/>
              <w:bottom w:val="single" w:sz="4" w:space="0" w:color="auto"/>
              <w:right w:val="single" w:sz="4" w:space="0" w:color="auto"/>
            </w:tcBorders>
            <w:shd w:val="clear" w:color="auto" w:fill="auto"/>
            <w:noWrap/>
            <w:vAlign w:val="center"/>
          </w:tcPr>
          <w:p w14:paraId="6E59733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7.4%</w:t>
            </w:r>
          </w:p>
        </w:tc>
        <w:tc>
          <w:tcPr>
            <w:tcW w:w="1106" w:type="dxa"/>
            <w:tcBorders>
              <w:top w:val="nil"/>
              <w:left w:val="nil"/>
              <w:bottom w:val="single" w:sz="4" w:space="0" w:color="auto"/>
              <w:right w:val="single" w:sz="4" w:space="0" w:color="auto"/>
            </w:tcBorders>
            <w:shd w:val="clear" w:color="auto" w:fill="auto"/>
            <w:noWrap/>
            <w:vAlign w:val="center"/>
          </w:tcPr>
          <w:p w14:paraId="78A5A60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5.2%</w:t>
            </w:r>
          </w:p>
        </w:tc>
      </w:tr>
      <w:tr w:rsidR="007B29DD" w:rsidRPr="008448BA" w14:paraId="28726F7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9C4E09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0E875C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20FABE8A"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3.0%</w:t>
            </w:r>
          </w:p>
        </w:tc>
        <w:tc>
          <w:tcPr>
            <w:tcW w:w="1108" w:type="dxa"/>
            <w:tcBorders>
              <w:top w:val="nil"/>
              <w:left w:val="nil"/>
              <w:bottom w:val="single" w:sz="4" w:space="0" w:color="auto"/>
              <w:right w:val="single" w:sz="4" w:space="0" w:color="auto"/>
            </w:tcBorders>
            <w:shd w:val="clear" w:color="auto" w:fill="auto"/>
            <w:noWrap/>
            <w:vAlign w:val="center"/>
          </w:tcPr>
          <w:p w14:paraId="4E6C81FC"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2.6%</w:t>
            </w:r>
          </w:p>
        </w:tc>
        <w:tc>
          <w:tcPr>
            <w:tcW w:w="960" w:type="dxa"/>
            <w:tcBorders>
              <w:top w:val="nil"/>
              <w:left w:val="nil"/>
              <w:bottom w:val="single" w:sz="4" w:space="0" w:color="auto"/>
              <w:right w:val="single" w:sz="4" w:space="0" w:color="auto"/>
            </w:tcBorders>
            <w:shd w:val="clear" w:color="auto" w:fill="auto"/>
            <w:noWrap/>
            <w:vAlign w:val="center"/>
          </w:tcPr>
          <w:p w14:paraId="33C36FD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5.5%</w:t>
            </w:r>
          </w:p>
        </w:tc>
        <w:tc>
          <w:tcPr>
            <w:tcW w:w="1108" w:type="dxa"/>
            <w:tcBorders>
              <w:top w:val="nil"/>
              <w:left w:val="nil"/>
              <w:bottom w:val="single" w:sz="4" w:space="0" w:color="auto"/>
              <w:right w:val="single" w:sz="4" w:space="0" w:color="auto"/>
            </w:tcBorders>
            <w:shd w:val="clear" w:color="auto" w:fill="auto"/>
            <w:noWrap/>
            <w:vAlign w:val="center"/>
          </w:tcPr>
          <w:p w14:paraId="6BA5ABDF"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4.6%</w:t>
            </w:r>
          </w:p>
        </w:tc>
        <w:tc>
          <w:tcPr>
            <w:tcW w:w="960" w:type="dxa"/>
            <w:tcBorders>
              <w:top w:val="nil"/>
              <w:left w:val="nil"/>
              <w:bottom w:val="single" w:sz="4" w:space="0" w:color="auto"/>
              <w:right w:val="single" w:sz="4" w:space="0" w:color="auto"/>
            </w:tcBorders>
            <w:shd w:val="clear" w:color="auto" w:fill="auto"/>
            <w:noWrap/>
            <w:vAlign w:val="center"/>
          </w:tcPr>
          <w:p w14:paraId="4DBF6905"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color w:val="000000"/>
              </w:rPr>
              <w:t>10.2%</w:t>
            </w:r>
          </w:p>
        </w:tc>
        <w:tc>
          <w:tcPr>
            <w:tcW w:w="1106" w:type="dxa"/>
            <w:tcBorders>
              <w:top w:val="nil"/>
              <w:left w:val="nil"/>
              <w:bottom w:val="single" w:sz="4" w:space="0" w:color="auto"/>
              <w:right w:val="single" w:sz="4" w:space="0" w:color="auto"/>
            </w:tcBorders>
            <w:shd w:val="clear" w:color="auto" w:fill="auto"/>
            <w:noWrap/>
            <w:vAlign w:val="center"/>
          </w:tcPr>
          <w:p w14:paraId="432CCAF2" w14:textId="77777777" w:rsidR="007B29DD" w:rsidRPr="004521CC" w:rsidRDefault="007B29DD" w:rsidP="00306AF1">
            <w:pPr>
              <w:spacing w:line="240" w:lineRule="auto"/>
              <w:jc w:val="right"/>
              <w:rPr>
                <w:rFonts w:ascii="Calibri" w:hAnsi="Calibri" w:cs="Calibri"/>
                <w:color w:val="000000"/>
                <w:lang w:val="en-US" w:eastAsia="zh-CN"/>
              </w:rPr>
            </w:pPr>
            <w:r w:rsidRPr="004521CC">
              <w:rPr>
                <w:rFonts w:ascii="Calibri" w:hAnsi="Calibri" w:cs="Calibri"/>
              </w:rPr>
              <w:t>6.5%</w:t>
            </w:r>
          </w:p>
        </w:tc>
      </w:tr>
    </w:tbl>
    <w:p w14:paraId="492C1CD9" w14:textId="77777777" w:rsidR="007B29DD" w:rsidRDefault="007B29DD" w:rsidP="007B29DD">
      <w:pPr>
        <w:pStyle w:val="BodyText"/>
        <w:rPr>
          <w:lang w:eastAsia="en-AU"/>
        </w:rPr>
      </w:pPr>
      <w:r w:rsidRPr="002A58CE">
        <w:rPr>
          <w:sz w:val="18"/>
          <w:szCs w:val="18"/>
        </w:rPr>
        <w:t>* The statewide change is not an average of the changes for each river basin. This is because the river basins vary in size and some basins include areas that fall within New South Wales.</w:t>
      </w:r>
    </w:p>
    <w:p w14:paraId="3C5B9623"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509" w:name="_Ref40179480"/>
      <w:bookmarkStart w:id="510" w:name="_Ref40190728"/>
      <w:bookmarkStart w:id="511" w:name="_Toc43476490"/>
      <w:bookmarkStart w:id="512" w:name="_Toc44928735"/>
      <w:bookmarkStart w:id="513" w:name="_Toc51658007"/>
      <w:bookmarkStart w:id="514" w:name="_Toc53585912"/>
      <w:bookmarkStart w:id="515" w:name="_Toc57377163"/>
      <w:r w:rsidRPr="00306AF1">
        <w:rPr>
          <w:b/>
          <w:bCs/>
          <w:color w:val="000000" w:themeColor="text1"/>
        </w:rPr>
        <w:t>Applying climate change projections to rainfall</w:t>
      </w:r>
      <w:bookmarkEnd w:id="509"/>
      <w:bookmarkEnd w:id="510"/>
      <w:bookmarkEnd w:id="511"/>
      <w:bookmarkEnd w:id="512"/>
      <w:bookmarkEnd w:id="513"/>
      <w:bookmarkEnd w:id="514"/>
      <w:bookmarkEnd w:id="515"/>
    </w:p>
    <w:p w14:paraId="209B865F"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16" w:name="_Toc43476491"/>
      <w:bookmarkStart w:id="517" w:name="_Toc44928736"/>
      <w:bookmarkStart w:id="518" w:name="_Toc51658008"/>
      <w:bookmarkStart w:id="519" w:name="_Toc53585913"/>
      <w:bookmarkStart w:id="520" w:name="_Toc57377164"/>
      <w:r w:rsidRPr="00306AF1">
        <w:rPr>
          <w:b/>
          <w:bCs/>
          <w:color w:val="000000" w:themeColor="text1"/>
        </w:rPr>
        <w:t>Average annual rainfall changes</w:t>
      </w:r>
      <w:bookmarkEnd w:id="516"/>
      <w:bookmarkEnd w:id="517"/>
      <w:bookmarkEnd w:id="518"/>
      <w:bookmarkEnd w:id="519"/>
      <w:bookmarkEnd w:id="520"/>
    </w:p>
    <w:p w14:paraId="097EB332" w14:textId="77777777" w:rsidR="007B29DD" w:rsidRDefault="007B29DD" w:rsidP="007B29DD">
      <w:pPr>
        <w:pStyle w:val="BodyText"/>
        <w:rPr>
          <w:lang w:eastAsia="en-AU"/>
        </w:rPr>
      </w:pPr>
      <w:r w:rsidRPr="00721167">
        <w:rPr>
          <w:lang w:eastAsia="en-AU"/>
        </w:rPr>
        <w:t xml:space="preserve">The </w:t>
      </w:r>
      <w:r>
        <w:rPr>
          <w:lang w:eastAsia="en-AU"/>
        </w:rPr>
        <w:t xml:space="preserve">projected </w:t>
      </w:r>
      <w:r w:rsidRPr="00721167">
        <w:rPr>
          <w:lang w:eastAsia="en-AU"/>
        </w:rPr>
        <w:t xml:space="preserve">changes in </w:t>
      </w:r>
      <w:r>
        <w:rPr>
          <w:lang w:eastAsia="en-AU"/>
        </w:rPr>
        <w:t>average annual rainfall</w:t>
      </w:r>
      <w:r w:rsidRPr="00721167">
        <w:rPr>
          <w:lang w:eastAsia="en-AU"/>
        </w:rPr>
        <w:t xml:space="preserve"> </w:t>
      </w:r>
      <w:r>
        <w:rPr>
          <w:lang w:eastAsia="en-AU"/>
        </w:rPr>
        <w:t>for each river basin are</w:t>
      </w:r>
      <w:r w:rsidRPr="00721167">
        <w:rPr>
          <w:lang w:eastAsia="en-AU"/>
        </w:rPr>
        <w:t xml:space="preserve"> presented in </w:t>
      </w:r>
      <w:r>
        <w:rPr>
          <w:lang w:eastAsia="en-AU"/>
        </w:rPr>
        <w:fldChar w:fldCharType="begin"/>
      </w:r>
      <w:r>
        <w:rPr>
          <w:lang w:eastAsia="en-AU"/>
        </w:rPr>
        <w:instrText xml:space="preserve"> REF _Ref40087641 \h </w:instrText>
      </w:r>
      <w:r>
        <w:rPr>
          <w:lang w:eastAsia="en-AU"/>
        </w:rPr>
      </w:r>
      <w:r>
        <w:rPr>
          <w:lang w:eastAsia="en-AU"/>
        </w:rPr>
        <w:fldChar w:fldCharType="separate"/>
      </w:r>
      <w:r w:rsidRPr="00414330">
        <w:t xml:space="preserve">Table </w:t>
      </w:r>
      <w:r>
        <w:rPr>
          <w:noProof/>
        </w:rPr>
        <w:t>5</w:t>
      </w:r>
      <w:r>
        <w:rPr>
          <w:lang w:eastAsia="en-AU"/>
        </w:rPr>
        <w:fldChar w:fldCharType="end"/>
      </w:r>
      <w:r w:rsidRPr="00721167">
        <w:rPr>
          <w:lang w:eastAsia="en-AU"/>
        </w:rPr>
        <w:t xml:space="preserve">. </w:t>
      </w:r>
      <w:r>
        <w:rPr>
          <w:lang w:eastAsia="en-AU"/>
        </w:rPr>
        <w:t>These should only be applied to the post-1975 historic climate reference period (not the post-1997 historic climate reference period).</w:t>
      </w:r>
    </w:p>
    <w:p w14:paraId="5CAD3FFB" w14:textId="77777777" w:rsidR="007B29DD" w:rsidRDefault="007B29DD" w:rsidP="007B29DD">
      <w:pPr>
        <w:pStyle w:val="BodyText"/>
        <w:rPr>
          <w:lang w:eastAsia="en-AU"/>
        </w:rPr>
      </w:pPr>
      <w:r w:rsidRPr="00721167">
        <w:rPr>
          <w:lang w:eastAsia="en-AU"/>
        </w:rPr>
        <w:t xml:space="preserve">In the East Gippsland </w:t>
      </w:r>
      <w:r>
        <w:rPr>
          <w:lang w:eastAsia="en-AU"/>
        </w:rPr>
        <w:t>B</w:t>
      </w:r>
      <w:r w:rsidRPr="00721167">
        <w:rPr>
          <w:lang w:eastAsia="en-AU"/>
        </w:rPr>
        <w:t>asin</w:t>
      </w:r>
      <w:r w:rsidRPr="009F5525">
        <w:rPr>
          <w:lang w:eastAsia="en-AU"/>
        </w:rPr>
        <w:t xml:space="preserve"> </w:t>
      </w:r>
      <w:r w:rsidRPr="00721167">
        <w:rPr>
          <w:lang w:eastAsia="en-AU"/>
        </w:rPr>
        <w:t xml:space="preserve">for example, </w:t>
      </w:r>
      <w:r>
        <w:rPr>
          <w:lang w:eastAsia="en-AU"/>
        </w:rPr>
        <w:t>under the RCP8.5 emissions scenario</w:t>
      </w:r>
      <w:r w:rsidRPr="00721167">
        <w:rPr>
          <w:lang w:eastAsia="en-AU"/>
        </w:rPr>
        <w:t xml:space="preserve">, average </w:t>
      </w:r>
      <w:r>
        <w:rPr>
          <w:lang w:eastAsia="en-AU"/>
        </w:rPr>
        <w:t>annual</w:t>
      </w:r>
      <w:r w:rsidRPr="00721167">
        <w:rPr>
          <w:lang w:eastAsia="en-AU"/>
        </w:rPr>
        <w:t xml:space="preserve"> </w:t>
      </w:r>
      <w:r>
        <w:rPr>
          <w:lang w:eastAsia="en-AU"/>
        </w:rPr>
        <w:t>rainfall</w:t>
      </w:r>
      <w:r w:rsidRPr="00721167">
        <w:rPr>
          <w:lang w:eastAsia="en-AU"/>
        </w:rPr>
        <w:t xml:space="preserve"> is projected to increase by </w:t>
      </w:r>
      <w:r>
        <w:rPr>
          <w:lang w:eastAsia="en-AU"/>
        </w:rPr>
        <w:t>up to 6.8% or decrease by up to 10.8</w:t>
      </w:r>
      <w:r w:rsidRPr="00266F67">
        <w:rPr>
          <w:lang w:eastAsia="en-AU"/>
        </w:rPr>
        <w:t>%</w:t>
      </w:r>
      <w:r w:rsidRPr="00721167">
        <w:rPr>
          <w:lang w:eastAsia="en-AU"/>
        </w:rPr>
        <w:t xml:space="preserve"> by 2040 relative to </w:t>
      </w:r>
      <w:r>
        <w:rPr>
          <w:lang w:eastAsia="en-AU"/>
        </w:rPr>
        <w:t>1995, with a median projection of a 1.0% decrease.</w:t>
      </w:r>
    </w:p>
    <w:p w14:paraId="7D7C7093" w14:textId="77777777" w:rsidR="007B29DD" w:rsidRDefault="007B29DD" w:rsidP="007B29DD">
      <w:pPr>
        <w:pStyle w:val="BodyText"/>
        <w:rPr>
          <w:lang w:eastAsia="en-AU"/>
        </w:rPr>
      </w:pPr>
      <w:r>
        <w:rPr>
          <w:lang w:eastAsia="en-AU"/>
        </w:rPr>
        <w:t>In this table, the year 2020 projection has been linearly interpolated between the mid-point of the reference period climate reference period used in the global climate modelling (1995) and the year 2040 projection. The year 2040 and 2065 projections have been extracted from the GCMs by CSIRO.</w:t>
      </w:r>
    </w:p>
    <w:p w14:paraId="29F7A2ED" w14:textId="77777777" w:rsidR="007B29DD" w:rsidRDefault="007B29DD" w:rsidP="007B29DD">
      <w:pPr>
        <w:pStyle w:val="Caption"/>
      </w:pPr>
      <w:bookmarkStart w:id="521" w:name="_Ref40087641"/>
      <w:bookmarkStart w:id="522" w:name="_Toc43476559"/>
      <w:bookmarkStart w:id="523" w:name="_Toc44928804"/>
      <w:bookmarkStart w:id="524" w:name="_Ref49874424"/>
      <w:bookmarkStart w:id="525" w:name="_Toc51237467"/>
      <w:bookmarkStart w:id="526" w:name="_Toc53585982"/>
      <w:bookmarkStart w:id="527" w:name="_Toc57377233"/>
      <w:r w:rsidRPr="00414330">
        <w:lastRenderedPageBreak/>
        <w:t xml:space="preserve">Table </w:t>
      </w:r>
      <w:r>
        <w:fldChar w:fldCharType="begin"/>
      </w:r>
      <w:r>
        <w:instrText>SEQ Table \* ARABIC</w:instrText>
      </w:r>
      <w:r>
        <w:fldChar w:fldCharType="separate"/>
      </w:r>
      <w:r>
        <w:rPr>
          <w:noProof/>
        </w:rPr>
        <w:t>5</w:t>
      </w:r>
      <w:r>
        <w:fldChar w:fldCharType="end"/>
      </w:r>
      <w:bookmarkEnd w:id="521"/>
      <w:r w:rsidRPr="00414330">
        <w:t xml:space="preserve"> Projected change in average annual rainfall</w:t>
      </w:r>
      <w:bookmarkEnd w:id="522"/>
      <w:bookmarkEnd w:id="523"/>
      <w:bookmarkEnd w:id="524"/>
      <w:bookmarkEnd w:id="525"/>
      <w:bookmarkEnd w:id="526"/>
      <w:bookmarkEnd w:id="527"/>
    </w:p>
    <w:tbl>
      <w:tblPr>
        <w:tblW w:w="9126" w:type="dxa"/>
        <w:jc w:val="center"/>
        <w:tblLook w:val="04A0" w:firstRow="1" w:lastRow="0" w:firstColumn="1" w:lastColumn="0" w:noHBand="0" w:noVBand="1"/>
      </w:tblPr>
      <w:tblGrid>
        <w:gridCol w:w="1780"/>
        <w:gridCol w:w="1240"/>
        <w:gridCol w:w="987"/>
        <w:gridCol w:w="1004"/>
        <w:gridCol w:w="987"/>
        <w:gridCol w:w="1116"/>
        <w:gridCol w:w="987"/>
        <w:gridCol w:w="1106"/>
      </w:tblGrid>
      <w:tr w:rsidR="007B29DD" w:rsidRPr="00D47BF0" w14:paraId="3534AF9A" w14:textId="77777777" w:rsidTr="003F54F1">
        <w:trPr>
          <w:trHeight w:val="345"/>
          <w:tblHeader/>
          <w:jc w:val="center"/>
        </w:trPr>
        <w:tc>
          <w:tcPr>
            <w:tcW w:w="1780" w:type="dxa"/>
            <w:tcBorders>
              <w:top w:val="nil"/>
              <w:left w:val="nil"/>
              <w:bottom w:val="nil"/>
              <w:right w:val="nil"/>
            </w:tcBorders>
            <w:shd w:val="clear" w:color="auto" w:fill="auto"/>
            <w:noWrap/>
            <w:vAlign w:val="bottom"/>
            <w:hideMark/>
          </w:tcPr>
          <w:p w14:paraId="1C322AC0" w14:textId="77777777" w:rsidR="007B29DD" w:rsidRPr="00D47BF0" w:rsidRDefault="007B29DD" w:rsidP="00306AF1">
            <w:pPr>
              <w:keepNext/>
              <w:spacing w:line="240" w:lineRule="auto"/>
              <w:rPr>
                <w:rFonts w:ascii="Times New Roman" w:hAnsi="Times New Roman" w:cs="Times New Roman"/>
                <w:sz w:val="24"/>
                <w:szCs w:val="24"/>
                <w:lang w:val="en-US" w:eastAsia="zh-CN"/>
              </w:rPr>
            </w:pPr>
          </w:p>
        </w:tc>
        <w:tc>
          <w:tcPr>
            <w:tcW w:w="1240" w:type="dxa"/>
            <w:tcBorders>
              <w:top w:val="nil"/>
              <w:left w:val="nil"/>
              <w:bottom w:val="nil"/>
              <w:right w:val="nil"/>
            </w:tcBorders>
            <w:shd w:val="clear" w:color="auto" w:fill="auto"/>
            <w:noWrap/>
            <w:vAlign w:val="bottom"/>
            <w:hideMark/>
          </w:tcPr>
          <w:p w14:paraId="4B9EDA9F" w14:textId="77777777" w:rsidR="007B29DD" w:rsidRPr="00D47BF0" w:rsidRDefault="007B29DD" w:rsidP="00306AF1">
            <w:pPr>
              <w:keepNext/>
              <w:spacing w:line="240" w:lineRule="auto"/>
              <w:rPr>
                <w:rFonts w:ascii="Times New Roman" w:hAnsi="Times New Roman" w:cs="Times New Roman"/>
                <w:lang w:val="en-US" w:eastAsia="zh-CN"/>
              </w:rPr>
            </w:pPr>
          </w:p>
        </w:tc>
        <w:tc>
          <w:tcPr>
            <w:tcW w:w="6106"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835DB8E" w14:textId="77777777" w:rsidR="007B29DD" w:rsidRPr="00D47BF0" w:rsidRDefault="007B29DD" w:rsidP="00306AF1">
            <w:pPr>
              <w:keepNext/>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Change relative to 1995 (</w:t>
            </w:r>
            <w:r w:rsidRPr="008448BA">
              <w:rPr>
                <w:rFonts w:ascii="Calibri" w:hAnsi="Calibri" w:cs="Calibri"/>
                <w:b/>
                <w:bCs/>
                <w:color w:val="000000"/>
                <w:lang w:val="en-US" w:eastAsia="zh-CN"/>
              </w:rPr>
              <w:t>%</w:t>
            </w:r>
            <w:r w:rsidRPr="00D47BF0">
              <w:rPr>
                <w:rFonts w:ascii="Calibri" w:hAnsi="Calibri" w:cs="Calibri"/>
                <w:b/>
                <w:bCs/>
                <w:color w:val="000000"/>
                <w:lang w:val="en-US" w:eastAsia="zh-CN"/>
              </w:rPr>
              <w:t>)</w:t>
            </w:r>
          </w:p>
        </w:tc>
      </w:tr>
      <w:tr w:rsidR="007B29DD" w:rsidRPr="00D47BF0" w14:paraId="6B8ABB10" w14:textId="77777777" w:rsidTr="00306AF1">
        <w:trPr>
          <w:trHeight w:val="300"/>
          <w:tblHeader/>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178B1" w14:textId="77777777" w:rsidR="007B29DD" w:rsidRDefault="007B29DD" w:rsidP="00306AF1">
            <w:pPr>
              <w:keepNext/>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River basin</w:t>
            </w:r>
            <w:r>
              <w:rPr>
                <w:rFonts w:ascii="Calibri" w:hAnsi="Calibri" w:cs="Calibri"/>
                <w:b/>
                <w:bCs/>
                <w:color w:val="000000"/>
                <w:lang w:val="en-US" w:eastAsia="zh-CN"/>
              </w:rPr>
              <w:t xml:space="preserve"> </w:t>
            </w:r>
          </w:p>
          <w:p w14:paraId="07BFFEAA" w14:textId="77777777" w:rsidR="007B29DD" w:rsidRPr="00D47BF0" w:rsidRDefault="007B29DD" w:rsidP="00306AF1">
            <w:pPr>
              <w:keepNext/>
              <w:spacing w:line="240" w:lineRule="auto"/>
              <w:jc w:val="center"/>
              <w:rPr>
                <w:rFonts w:ascii="Calibri" w:hAnsi="Calibri" w:cs="Calibri"/>
                <w:b/>
                <w:bCs/>
                <w:color w:val="000000"/>
                <w:lang w:val="en-US" w:eastAsia="zh-CN"/>
              </w:rPr>
            </w:pPr>
            <w:r w:rsidRPr="00116EB6">
              <w:rPr>
                <w:rFonts w:ascii="Calibri" w:hAnsi="Calibri" w:cs="Calibri"/>
                <w:b/>
                <w:bCs/>
                <w:color w:val="000000"/>
                <w:sz w:val="18"/>
                <w:szCs w:val="18"/>
                <w:lang w:val="en-US" w:eastAsia="zh-CN"/>
              </w:rPr>
              <w:t>(and basin number)</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B99637F" w14:textId="77777777" w:rsidR="007B29DD" w:rsidRPr="00D47BF0" w:rsidRDefault="007B29DD" w:rsidP="00306AF1">
            <w:pPr>
              <w:keepNext/>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Projection</w:t>
            </w:r>
          </w:p>
        </w:tc>
        <w:tc>
          <w:tcPr>
            <w:tcW w:w="1964" w:type="dxa"/>
            <w:gridSpan w:val="2"/>
            <w:tcBorders>
              <w:top w:val="single" w:sz="4" w:space="0" w:color="auto"/>
              <w:left w:val="nil"/>
              <w:bottom w:val="single" w:sz="4" w:space="0" w:color="auto"/>
              <w:right w:val="single" w:sz="4" w:space="0" w:color="auto"/>
            </w:tcBorders>
            <w:shd w:val="clear" w:color="auto" w:fill="auto"/>
            <w:vAlign w:val="center"/>
            <w:hideMark/>
          </w:tcPr>
          <w:p w14:paraId="768AF1A0"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Year 2020</w:t>
            </w:r>
          </w:p>
        </w:tc>
        <w:tc>
          <w:tcPr>
            <w:tcW w:w="2076" w:type="dxa"/>
            <w:gridSpan w:val="2"/>
            <w:tcBorders>
              <w:top w:val="single" w:sz="4" w:space="0" w:color="auto"/>
              <w:left w:val="nil"/>
              <w:bottom w:val="single" w:sz="4" w:space="0" w:color="auto"/>
              <w:right w:val="single" w:sz="4" w:space="0" w:color="auto"/>
            </w:tcBorders>
            <w:shd w:val="clear" w:color="auto" w:fill="auto"/>
            <w:vAlign w:val="center"/>
            <w:hideMark/>
          </w:tcPr>
          <w:p w14:paraId="4B6475F2"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Year 2040</w:t>
            </w: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14:paraId="680D9144"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Year 2065</w:t>
            </w:r>
          </w:p>
        </w:tc>
      </w:tr>
      <w:tr w:rsidR="007B29DD" w:rsidRPr="00D47BF0" w14:paraId="6C77B2D0" w14:textId="77777777" w:rsidTr="00306AF1">
        <w:trPr>
          <w:trHeight w:val="315"/>
          <w:tblHeader/>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44373B17" w14:textId="77777777" w:rsidR="007B29DD" w:rsidRPr="00D47BF0" w:rsidRDefault="007B29DD" w:rsidP="00306AF1">
            <w:pPr>
              <w:keepNext/>
              <w:spacing w:line="240" w:lineRule="auto"/>
              <w:rPr>
                <w:rFonts w:ascii="Calibri" w:hAnsi="Calibri" w:cs="Calibri"/>
                <w:b/>
                <w:bCs/>
                <w:color w:val="000000"/>
                <w:lang w:val="en-US" w:eastAsia="zh-CN"/>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15E2B8F3" w14:textId="77777777" w:rsidR="007B29DD" w:rsidRPr="00D47BF0" w:rsidRDefault="007B29DD" w:rsidP="00306AF1">
            <w:pPr>
              <w:keepNext/>
              <w:spacing w:line="240" w:lineRule="auto"/>
              <w:rPr>
                <w:rFonts w:ascii="Calibri" w:hAnsi="Calibri" w:cs="Calibri"/>
                <w:b/>
                <w:bCs/>
                <w:color w:val="000000"/>
                <w:lang w:val="en-US" w:eastAsia="zh-CN"/>
              </w:rPr>
            </w:pPr>
          </w:p>
        </w:tc>
        <w:tc>
          <w:tcPr>
            <w:tcW w:w="960" w:type="dxa"/>
            <w:tcBorders>
              <w:top w:val="nil"/>
              <w:left w:val="nil"/>
              <w:bottom w:val="single" w:sz="4" w:space="0" w:color="auto"/>
              <w:right w:val="single" w:sz="4" w:space="0" w:color="auto"/>
            </w:tcBorders>
            <w:shd w:val="clear" w:color="auto" w:fill="auto"/>
            <w:noWrap/>
            <w:vAlign w:val="center"/>
            <w:hideMark/>
          </w:tcPr>
          <w:p w14:paraId="35DE02B7"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004" w:type="dxa"/>
            <w:tcBorders>
              <w:top w:val="nil"/>
              <w:left w:val="nil"/>
              <w:bottom w:val="single" w:sz="4" w:space="0" w:color="auto"/>
              <w:right w:val="single" w:sz="4" w:space="0" w:color="auto"/>
            </w:tcBorders>
            <w:shd w:val="clear" w:color="auto" w:fill="auto"/>
            <w:vAlign w:val="center"/>
            <w:hideMark/>
          </w:tcPr>
          <w:p w14:paraId="211B086A"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960" w:type="dxa"/>
            <w:tcBorders>
              <w:top w:val="nil"/>
              <w:left w:val="nil"/>
              <w:bottom w:val="single" w:sz="4" w:space="0" w:color="auto"/>
              <w:right w:val="single" w:sz="4" w:space="0" w:color="auto"/>
            </w:tcBorders>
            <w:shd w:val="clear" w:color="auto" w:fill="auto"/>
            <w:noWrap/>
            <w:vAlign w:val="center"/>
            <w:hideMark/>
          </w:tcPr>
          <w:p w14:paraId="251E8D7F"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16" w:type="dxa"/>
            <w:tcBorders>
              <w:top w:val="nil"/>
              <w:left w:val="nil"/>
              <w:bottom w:val="single" w:sz="4" w:space="0" w:color="auto"/>
              <w:right w:val="single" w:sz="4" w:space="0" w:color="auto"/>
            </w:tcBorders>
            <w:shd w:val="clear" w:color="auto" w:fill="auto"/>
            <w:vAlign w:val="center"/>
            <w:hideMark/>
          </w:tcPr>
          <w:p w14:paraId="20270373"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960" w:type="dxa"/>
            <w:tcBorders>
              <w:top w:val="nil"/>
              <w:left w:val="nil"/>
              <w:bottom w:val="single" w:sz="4" w:space="0" w:color="auto"/>
              <w:right w:val="single" w:sz="4" w:space="0" w:color="auto"/>
            </w:tcBorders>
            <w:shd w:val="clear" w:color="auto" w:fill="auto"/>
            <w:vAlign w:val="center"/>
            <w:hideMark/>
          </w:tcPr>
          <w:p w14:paraId="13BC231A"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06" w:type="dxa"/>
            <w:tcBorders>
              <w:top w:val="nil"/>
              <w:left w:val="nil"/>
              <w:bottom w:val="single" w:sz="4" w:space="0" w:color="auto"/>
              <w:right w:val="single" w:sz="4" w:space="0" w:color="auto"/>
            </w:tcBorders>
            <w:shd w:val="clear" w:color="auto" w:fill="auto"/>
            <w:vAlign w:val="center"/>
            <w:hideMark/>
          </w:tcPr>
          <w:p w14:paraId="339B6B7F" w14:textId="77777777" w:rsidR="007B29DD" w:rsidRPr="00D47BF0" w:rsidRDefault="007B29DD" w:rsidP="00306AF1">
            <w:pPr>
              <w:keepNext/>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r>
      <w:tr w:rsidR="007B29DD" w:rsidRPr="008448BA" w14:paraId="0860EDF5" w14:textId="77777777" w:rsidTr="00306AF1">
        <w:trPr>
          <w:trHeight w:val="300"/>
          <w:jc w:val="center"/>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13C0EF"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East Gippsland</w:t>
            </w:r>
          </w:p>
          <w:p w14:paraId="5BDD75E7"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A00FA08"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284D9F2"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3.8%</w:t>
            </w:r>
          </w:p>
        </w:tc>
        <w:tc>
          <w:tcPr>
            <w:tcW w:w="1004" w:type="dxa"/>
            <w:tcBorders>
              <w:top w:val="single" w:sz="4" w:space="0" w:color="auto"/>
              <w:left w:val="nil"/>
              <w:bottom w:val="single" w:sz="4" w:space="0" w:color="auto"/>
              <w:right w:val="single" w:sz="4" w:space="0" w:color="auto"/>
            </w:tcBorders>
            <w:shd w:val="clear" w:color="auto" w:fill="auto"/>
            <w:noWrap/>
            <w:vAlign w:val="bottom"/>
          </w:tcPr>
          <w:p w14:paraId="6DAA1F55"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3.1%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280FAFD"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6.8%</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1929802C"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5.6%</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826DDAA"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7.9%</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3612C01D"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6.6%</w:t>
            </w:r>
          </w:p>
        </w:tc>
      </w:tr>
      <w:tr w:rsidR="007B29DD" w:rsidRPr="008448BA" w14:paraId="2721DDB5" w14:textId="77777777" w:rsidTr="00306AF1">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0995862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84952B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3FF67B8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-0.5%</w:t>
            </w:r>
          </w:p>
        </w:tc>
        <w:tc>
          <w:tcPr>
            <w:tcW w:w="1004" w:type="dxa"/>
            <w:tcBorders>
              <w:top w:val="nil"/>
              <w:left w:val="nil"/>
              <w:bottom w:val="single" w:sz="4" w:space="0" w:color="auto"/>
              <w:right w:val="single" w:sz="4" w:space="0" w:color="auto"/>
            </w:tcBorders>
            <w:shd w:val="clear" w:color="auto" w:fill="auto"/>
            <w:noWrap/>
            <w:vAlign w:val="bottom"/>
          </w:tcPr>
          <w:p w14:paraId="6DED2C4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-0.4%</w:t>
            </w:r>
          </w:p>
        </w:tc>
        <w:tc>
          <w:tcPr>
            <w:tcW w:w="960" w:type="dxa"/>
            <w:tcBorders>
              <w:top w:val="nil"/>
              <w:left w:val="nil"/>
              <w:bottom w:val="single" w:sz="4" w:space="0" w:color="auto"/>
              <w:right w:val="single" w:sz="4" w:space="0" w:color="auto"/>
            </w:tcBorders>
            <w:shd w:val="clear" w:color="auto" w:fill="auto"/>
            <w:noWrap/>
            <w:vAlign w:val="bottom"/>
          </w:tcPr>
          <w:p w14:paraId="3EC96C6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w:t>
            </w:r>
          </w:p>
        </w:tc>
        <w:tc>
          <w:tcPr>
            <w:tcW w:w="1116" w:type="dxa"/>
            <w:tcBorders>
              <w:top w:val="nil"/>
              <w:left w:val="nil"/>
              <w:bottom w:val="single" w:sz="4" w:space="0" w:color="auto"/>
              <w:right w:val="single" w:sz="4" w:space="0" w:color="auto"/>
            </w:tcBorders>
            <w:shd w:val="clear" w:color="auto" w:fill="auto"/>
            <w:noWrap/>
            <w:vAlign w:val="bottom"/>
          </w:tcPr>
          <w:p w14:paraId="50506A9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auto"/>
            <w:noWrap/>
            <w:vAlign w:val="bottom"/>
          </w:tcPr>
          <w:p w14:paraId="3815B4B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106" w:type="dxa"/>
            <w:tcBorders>
              <w:top w:val="nil"/>
              <w:left w:val="nil"/>
              <w:bottom w:val="single" w:sz="4" w:space="0" w:color="auto"/>
              <w:right w:val="single" w:sz="4" w:space="0" w:color="auto"/>
            </w:tcBorders>
            <w:shd w:val="clear" w:color="auto" w:fill="auto"/>
            <w:noWrap/>
            <w:vAlign w:val="bottom"/>
            <w:hideMark/>
          </w:tcPr>
          <w:p w14:paraId="33C1A69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w:t>
            </w:r>
          </w:p>
        </w:tc>
      </w:tr>
      <w:tr w:rsidR="007B29DD" w:rsidRPr="008448BA" w14:paraId="22F1DB61" w14:textId="77777777" w:rsidTr="00306AF1">
        <w:trPr>
          <w:trHeight w:val="300"/>
          <w:jc w:val="center"/>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5943283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06AC06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1A6474B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-6.0%</w:t>
            </w:r>
          </w:p>
        </w:tc>
        <w:tc>
          <w:tcPr>
            <w:tcW w:w="1004" w:type="dxa"/>
            <w:tcBorders>
              <w:top w:val="nil"/>
              <w:left w:val="nil"/>
              <w:bottom w:val="single" w:sz="4" w:space="0" w:color="auto"/>
              <w:right w:val="single" w:sz="4" w:space="0" w:color="auto"/>
            </w:tcBorders>
            <w:shd w:val="clear" w:color="auto" w:fill="auto"/>
            <w:noWrap/>
            <w:vAlign w:val="bottom"/>
          </w:tcPr>
          <w:p w14:paraId="1ADE013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-5.1%</w:t>
            </w:r>
          </w:p>
        </w:tc>
        <w:tc>
          <w:tcPr>
            <w:tcW w:w="960" w:type="dxa"/>
            <w:tcBorders>
              <w:top w:val="nil"/>
              <w:left w:val="nil"/>
              <w:bottom w:val="single" w:sz="4" w:space="0" w:color="auto"/>
              <w:right w:val="single" w:sz="4" w:space="0" w:color="auto"/>
            </w:tcBorders>
            <w:shd w:val="clear" w:color="auto" w:fill="auto"/>
            <w:noWrap/>
            <w:vAlign w:val="bottom"/>
          </w:tcPr>
          <w:p w14:paraId="51E0BE6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-10.8%</w:t>
            </w:r>
          </w:p>
        </w:tc>
        <w:tc>
          <w:tcPr>
            <w:tcW w:w="1116" w:type="dxa"/>
            <w:tcBorders>
              <w:top w:val="nil"/>
              <w:left w:val="nil"/>
              <w:bottom w:val="single" w:sz="4" w:space="0" w:color="auto"/>
              <w:right w:val="single" w:sz="4" w:space="0" w:color="auto"/>
            </w:tcBorders>
            <w:shd w:val="clear" w:color="auto" w:fill="auto"/>
            <w:noWrap/>
            <w:vAlign w:val="bottom"/>
          </w:tcPr>
          <w:p w14:paraId="35F578C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-9.2%</w:t>
            </w:r>
          </w:p>
        </w:tc>
        <w:tc>
          <w:tcPr>
            <w:tcW w:w="960" w:type="dxa"/>
            <w:tcBorders>
              <w:top w:val="nil"/>
              <w:left w:val="nil"/>
              <w:bottom w:val="single" w:sz="4" w:space="0" w:color="auto"/>
              <w:right w:val="single" w:sz="4" w:space="0" w:color="auto"/>
            </w:tcBorders>
            <w:shd w:val="clear" w:color="auto" w:fill="auto"/>
            <w:noWrap/>
            <w:vAlign w:val="bottom"/>
          </w:tcPr>
          <w:p w14:paraId="252850E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-15.0%</w:t>
            </w:r>
          </w:p>
        </w:tc>
        <w:tc>
          <w:tcPr>
            <w:tcW w:w="1106" w:type="dxa"/>
            <w:tcBorders>
              <w:top w:val="nil"/>
              <w:left w:val="nil"/>
              <w:bottom w:val="single" w:sz="4" w:space="0" w:color="auto"/>
              <w:right w:val="single" w:sz="4" w:space="0" w:color="auto"/>
            </w:tcBorders>
            <w:shd w:val="clear" w:color="auto" w:fill="auto"/>
            <w:noWrap/>
            <w:vAlign w:val="bottom"/>
            <w:hideMark/>
          </w:tcPr>
          <w:p w14:paraId="16B46E2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-10.9%</w:t>
            </w:r>
          </w:p>
        </w:tc>
      </w:tr>
      <w:tr w:rsidR="007B29DD" w:rsidRPr="008448BA" w14:paraId="060D95E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379E797"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Snowy</w:t>
            </w:r>
          </w:p>
          <w:p w14:paraId="66B64D0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(222)</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AB679E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56EB9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43D3355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8B32A9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7.6%</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2C76D69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612A3C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423374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6.7%</w:t>
            </w:r>
          </w:p>
        </w:tc>
      </w:tr>
      <w:tr w:rsidR="007B29DD" w:rsidRPr="008448BA" w14:paraId="1337D10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23BE45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3539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099AE7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42C75F2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599428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139A81E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9761F6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39FC43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w:t>
            </w:r>
          </w:p>
        </w:tc>
      </w:tr>
      <w:tr w:rsidR="007B29DD" w:rsidRPr="008448BA" w14:paraId="4181996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F5B630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FF2905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798CF3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-5.8%</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2C52813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4340E1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C0CA26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BBE34F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-14.9%</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B0387E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-12.3%</w:t>
            </w:r>
          </w:p>
        </w:tc>
      </w:tr>
      <w:tr w:rsidR="007B29DD" w:rsidRPr="008448BA" w14:paraId="39A31243"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6371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Tambo</w:t>
            </w:r>
          </w:p>
          <w:p w14:paraId="51DC5C2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(223)</w:t>
            </w:r>
          </w:p>
        </w:tc>
        <w:tc>
          <w:tcPr>
            <w:tcW w:w="1240" w:type="dxa"/>
            <w:tcBorders>
              <w:top w:val="nil"/>
              <w:left w:val="nil"/>
              <w:bottom w:val="single" w:sz="4" w:space="0" w:color="auto"/>
              <w:right w:val="single" w:sz="4" w:space="0" w:color="auto"/>
            </w:tcBorders>
            <w:shd w:val="clear" w:color="auto" w:fill="auto"/>
            <w:noWrap/>
            <w:vAlign w:val="bottom"/>
            <w:hideMark/>
          </w:tcPr>
          <w:p w14:paraId="0DC8F6A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71AA2E8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3.3%</w:t>
            </w:r>
          </w:p>
        </w:tc>
        <w:tc>
          <w:tcPr>
            <w:tcW w:w="1004" w:type="dxa"/>
            <w:tcBorders>
              <w:top w:val="nil"/>
              <w:left w:val="nil"/>
              <w:bottom w:val="single" w:sz="4" w:space="0" w:color="auto"/>
              <w:right w:val="single" w:sz="4" w:space="0" w:color="auto"/>
            </w:tcBorders>
            <w:shd w:val="clear" w:color="auto" w:fill="auto"/>
            <w:noWrap/>
            <w:vAlign w:val="bottom"/>
          </w:tcPr>
          <w:p w14:paraId="28C7685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tcPr>
          <w:p w14:paraId="04FB1BD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5.9%</w:t>
            </w:r>
          </w:p>
        </w:tc>
        <w:tc>
          <w:tcPr>
            <w:tcW w:w="1116" w:type="dxa"/>
            <w:tcBorders>
              <w:top w:val="nil"/>
              <w:left w:val="nil"/>
              <w:bottom w:val="single" w:sz="4" w:space="0" w:color="auto"/>
              <w:right w:val="single" w:sz="4" w:space="0" w:color="auto"/>
            </w:tcBorders>
            <w:shd w:val="clear" w:color="auto" w:fill="auto"/>
            <w:noWrap/>
            <w:vAlign w:val="bottom"/>
          </w:tcPr>
          <w:p w14:paraId="3067C41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5.4%</w:t>
            </w:r>
          </w:p>
        </w:tc>
        <w:tc>
          <w:tcPr>
            <w:tcW w:w="960" w:type="dxa"/>
            <w:tcBorders>
              <w:top w:val="nil"/>
              <w:left w:val="nil"/>
              <w:bottom w:val="single" w:sz="4" w:space="0" w:color="auto"/>
              <w:right w:val="single" w:sz="4" w:space="0" w:color="auto"/>
            </w:tcBorders>
            <w:shd w:val="clear" w:color="auto" w:fill="auto"/>
            <w:noWrap/>
            <w:vAlign w:val="bottom"/>
          </w:tcPr>
          <w:p w14:paraId="17DAC76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7.1%</w:t>
            </w:r>
          </w:p>
        </w:tc>
        <w:tc>
          <w:tcPr>
            <w:tcW w:w="1106" w:type="dxa"/>
            <w:tcBorders>
              <w:top w:val="nil"/>
              <w:left w:val="nil"/>
              <w:bottom w:val="single" w:sz="4" w:space="0" w:color="auto"/>
              <w:right w:val="single" w:sz="4" w:space="0" w:color="auto"/>
            </w:tcBorders>
            <w:shd w:val="clear" w:color="auto" w:fill="auto"/>
            <w:noWrap/>
            <w:vAlign w:val="bottom"/>
            <w:hideMark/>
          </w:tcPr>
          <w:p w14:paraId="3F1F94F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5.3%</w:t>
            </w:r>
          </w:p>
        </w:tc>
      </w:tr>
      <w:tr w:rsidR="007B29DD" w:rsidRPr="008448BA" w14:paraId="2E8D340F"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0006D3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B6A4E1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6841A46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004" w:type="dxa"/>
            <w:tcBorders>
              <w:top w:val="nil"/>
              <w:left w:val="nil"/>
              <w:bottom w:val="single" w:sz="4" w:space="0" w:color="auto"/>
              <w:right w:val="single" w:sz="4" w:space="0" w:color="auto"/>
            </w:tcBorders>
            <w:shd w:val="clear" w:color="auto" w:fill="auto"/>
            <w:noWrap/>
            <w:vAlign w:val="bottom"/>
          </w:tcPr>
          <w:p w14:paraId="394D3FD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-0.4%</w:t>
            </w:r>
          </w:p>
        </w:tc>
        <w:tc>
          <w:tcPr>
            <w:tcW w:w="960" w:type="dxa"/>
            <w:tcBorders>
              <w:top w:val="nil"/>
              <w:left w:val="nil"/>
              <w:bottom w:val="single" w:sz="4" w:space="0" w:color="auto"/>
              <w:right w:val="single" w:sz="4" w:space="0" w:color="auto"/>
            </w:tcBorders>
            <w:shd w:val="clear" w:color="auto" w:fill="auto"/>
            <w:noWrap/>
            <w:vAlign w:val="bottom"/>
          </w:tcPr>
          <w:p w14:paraId="6397D47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116" w:type="dxa"/>
            <w:tcBorders>
              <w:top w:val="nil"/>
              <w:left w:val="nil"/>
              <w:bottom w:val="single" w:sz="4" w:space="0" w:color="auto"/>
              <w:right w:val="single" w:sz="4" w:space="0" w:color="auto"/>
            </w:tcBorders>
            <w:shd w:val="clear" w:color="auto" w:fill="auto"/>
            <w:noWrap/>
            <w:vAlign w:val="bottom"/>
          </w:tcPr>
          <w:p w14:paraId="52BE57C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auto"/>
            <w:noWrap/>
            <w:vAlign w:val="bottom"/>
          </w:tcPr>
          <w:p w14:paraId="6B3B68B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c>
          <w:tcPr>
            <w:tcW w:w="1106" w:type="dxa"/>
            <w:tcBorders>
              <w:top w:val="nil"/>
              <w:left w:val="nil"/>
              <w:bottom w:val="single" w:sz="4" w:space="0" w:color="auto"/>
              <w:right w:val="single" w:sz="4" w:space="0" w:color="auto"/>
            </w:tcBorders>
            <w:shd w:val="clear" w:color="auto" w:fill="auto"/>
            <w:noWrap/>
            <w:vAlign w:val="bottom"/>
            <w:hideMark/>
          </w:tcPr>
          <w:p w14:paraId="612DA12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r>
      <w:tr w:rsidR="007B29DD" w:rsidRPr="008448BA" w14:paraId="5B78012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A12EED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3610A8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7CDD392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-6.0%</w:t>
            </w:r>
          </w:p>
        </w:tc>
        <w:tc>
          <w:tcPr>
            <w:tcW w:w="1004" w:type="dxa"/>
            <w:tcBorders>
              <w:top w:val="nil"/>
              <w:left w:val="nil"/>
              <w:bottom w:val="single" w:sz="4" w:space="0" w:color="auto"/>
              <w:right w:val="single" w:sz="4" w:space="0" w:color="auto"/>
            </w:tcBorders>
            <w:shd w:val="clear" w:color="auto" w:fill="auto"/>
            <w:noWrap/>
            <w:vAlign w:val="bottom"/>
          </w:tcPr>
          <w:p w14:paraId="4DE666C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-6.1%</w:t>
            </w:r>
          </w:p>
        </w:tc>
        <w:tc>
          <w:tcPr>
            <w:tcW w:w="960" w:type="dxa"/>
            <w:tcBorders>
              <w:top w:val="nil"/>
              <w:left w:val="nil"/>
              <w:bottom w:val="single" w:sz="4" w:space="0" w:color="auto"/>
              <w:right w:val="single" w:sz="4" w:space="0" w:color="auto"/>
            </w:tcBorders>
            <w:shd w:val="clear" w:color="auto" w:fill="auto"/>
            <w:noWrap/>
            <w:vAlign w:val="bottom"/>
          </w:tcPr>
          <w:p w14:paraId="1B01E9C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-10.8%</w:t>
            </w:r>
          </w:p>
        </w:tc>
        <w:tc>
          <w:tcPr>
            <w:tcW w:w="1116" w:type="dxa"/>
            <w:tcBorders>
              <w:top w:val="nil"/>
              <w:left w:val="nil"/>
              <w:bottom w:val="single" w:sz="4" w:space="0" w:color="auto"/>
              <w:right w:val="single" w:sz="4" w:space="0" w:color="auto"/>
            </w:tcBorders>
            <w:shd w:val="clear" w:color="auto" w:fill="auto"/>
            <w:noWrap/>
            <w:vAlign w:val="bottom"/>
          </w:tcPr>
          <w:p w14:paraId="3372A9C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-10.9%</w:t>
            </w:r>
          </w:p>
        </w:tc>
        <w:tc>
          <w:tcPr>
            <w:tcW w:w="960" w:type="dxa"/>
            <w:tcBorders>
              <w:top w:val="nil"/>
              <w:left w:val="nil"/>
              <w:bottom w:val="single" w:sz="4" w:space="0" w:color="auto"/>
              <w:right w:val="single" w:sz="4" w:space="0" w:color="auto"/>
            </w:tcBorders>
            <w:shd w:val="clear" w:color="auto" w:fill="auto"/>
            <w:noWrap/>
            <w:vAlign w:val="bottom"/>
          </w:tcPr>
          <w:p w14:paraId="50E7DE0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-16.6%</w:t>
            </w:r>
          </w:p>
        </w:tc>
        <w:tc>
          <w:tcPr>
            <w:tcW w:w="1106" w:type="dxa"/>
            <w:tcBorders>
              <w:top w:val="nil"/>
              <w:left w:val="nil"/>
              <w:bottom w:val="single" w:sz="4" w:space="0" w:color="auto"/>
              <w:right w:val="single" w:sz="4" w:space="0" w:color="auto"/>
            </w:tcBorders>
            <w:shd w:val="clear" w:color="auto" w:fill="auto"/>
            <w:noWrap/>
            <w:vAlign w:val="bottom"/>
            <w:hideMark/>
          </w:tcPr>
          <w:p w14:paraId="6A3DAF3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-13.2%</w:t>
            </w:r>
          </w:p>
        </w:tc>
      </w:tr>
      <w:tr w:rsidR="007B29DD" w:rsidRPr="008448BA" w14:paraId="699E380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5D076F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Mitchell</w:t>
            </w:r>
          </w:p>
          <w:p w14:paraId="497137CD"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(224)</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7768B4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9CA6B3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258065A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9C808B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4.3%</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1A02260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F7A799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89790E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r>
      <w:tr w:rsidR="007B29DD" w:rsidRPr="008448BA" w14:paraId="0FAE07D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5D8E74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D2D23C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7C2375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20D32C8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060EC6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15AC4D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23E9BF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-4.8%</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6F2122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-3.6%</w:t>
            </w:r>
          </w:p>
        </w:tc>
      </w:tr>
      <w:tr w:rsidR="007B29DD" w:rsidRPr="008448BA" w14:paraId="7940671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2708E4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30E111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DB28DC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25F5514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F3CBA2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-9.7%</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67BF744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6DD253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-18.5%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E9326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-14.8%</w:t>
            </w:r>
          </w:p>
        </w:tc>
      </w:tr>
      <w:tr w:rsidR="007B29DD" w:rsidRPr="008448BA" w14:paraId="35EE90E5"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F17D3"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Thomson</w:t>
            </w:r>
          </w:p>
          <w:p w14:paraId="5C01BDE9"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(225)</w:t>
            </w:r>
          </w:p>
        </w:tc>
        <w:tc>
          <w:tcPr>
            <w:tcW w:w="1240" w:type="dxa"/>
            <w:tcBorders>
              <w:top w:val="nil"/>
              <w:left w:val="nil"/>
              <w:bottom w:val="single" w:sz="4" w:space="0" w:color="auto"/>
              <w:right w:val="single" w:sz="4" w:space="0" w:color="auto"/>
            </w:tcBorders>
            <w:shd w:val="clear" w:color="auto" w:fill="auto"/>
            <w:noWrap/>
            <w:vAlign w:val="bottom"/>
            <w:hideMark/>
          </w:tcPr>
          <w:p w14:paraId="49DF7FB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1E32804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1004" w:type="dxa"/>
            <w:tcBorders>
              <w:top w:val="nil"/>
              <w:left w:val="nil"/>
              <w:bottom w:val="single" w:sz="4" w:space="0" w:color="auto"/>
              <w:right w:val="single" w:sz="4" w:space="0" w:color="auto"/>
            </w:tcBorders>
            <w:shd w:val="clear" w:color="auto" w:fill="auto"/>
            <w:noWrap/>
            <w:vAlign w:val="bottom"/>
          </w:tcPr>
          <w:p w14:paraId="127092A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tcPr>
          <w:p w14:paraId="03B7604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4.1%</w:t>
            </w:r>
          </w:p>
        </w:tc>
        <w:tc>
          <w:tcPr>
            <w:tcW w:w="1116" w:type="dxa"/>
            <w:tcBorders>
              <w:top w:val="nil"/>
              <w:left w:val="nil"/>
              <w:bottom w:val="single" w:sz="4" w:space="0" w:color="auto"/>
              <w:right w:val="single" w:sz="4" w:space="0" w:color="auto"/>
            </w:tcBorders>
            <w:shd w:val="clear" w:color="auto" w:fill="auto"/>
            <w:noWrap/>
            <w:vAlign w:val="bottom"/>
          </w:tcPr>
          <w:p w14:paraId="2CF603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c>
          <w:tcPr>
            <w:tcW w:w="960" w:type="dxa"/>
            <w:tcBorders>
              <w:top w:val="nil"/>
              <w:left w:val="nil"/>
              <w:bottom w:val="single" w:sz="4" w:space="0" w:color="auto"/>
              <w:right w:val="single" w:sz="4" w:space="0" w:color="auto"/>
            </w:tcBorders>
            <w:shd w:val="clear" w:color="auto" w:fill="auto"/>
            <w:noWrap/>
            <w:vAlign w:val="bottom"/>
          </w:tcPr>
          <w:p w14:paraId="74F4E31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auto"/>
            <w:noWrap/>
            <w:vAlign w:val="bottom"/>
            <w:hideMark/>
          </w:tcPr>
          <w:p w14:paraId="71B7DEE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r>
      <w:tr w:rsidR="007B29DD" w:rsidRPr="008448BA" w14:paraId="0DE4A4A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1C39605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032619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07D7CD1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1004" w:type="dxa"/>
            <w:tcBorders>
              <w:top w:val="nil"/>
              <w:left w:val="nil"/>
              <w:bottom w:val="single" w:sz="4" w:space="0" w:color="auto"/>
              <w:right w:val="single" w:sz="4" w:space="0" w:color="auto"/>
            </w:tcBorders>
            <w:shd w:val="clear" w:color="auto" w:fill="auto"/>
            <w:noWrap/>
            <w:vAlign w:val="bottom"/>
          </w:tcPr>
          <w:p w14:paraId="7CE35A9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960" w:type="dxa"/>
            <w:tcBorders>
              <w:top w:val="nil"/>
              <w:left w:val="nil"/>
              <w:bottom w:val="single" w:sz="4" w:space="0" w:color="auto"/>
              <w:right w:val="single" w:sz="4" w:space="0" w:color="auto"/>
            </w:tcBorders>
            <w:shd w:val="clear" w:color="auto" w:fill="auto"/>
            <w:noWrap/>
            <w:vAlign w:val="bottom"/>
          </w:tcPr>
          <w:p w14:paraId="391678D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116" w:type="dxa"/>
            <w:tcBorders>
              <w:top w:val="nil"/>
              <w:left w:val="nil"/>
              <w:bottom w:val="single" w:sz="4" w:space="0" w:color="auto"/>
              <w:right w:val="single" w:sz="4" w:space="0" w:color="auto"/>
            </w:tcBorders>
            <w:shd w:val="clear" w:color="auto" w:fill="auto"/>
            <w:noWrap/>
            <w:vAlign w:val="bottom"/>
          </w:tcPr>
          <w:p w14:paraId="2E27B0C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tcPr>
          <w:p w14:paraId="43B634E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-4.1%</w:t>
            </w:r>
          </w:p>
        </w:tc>
        <w:tc>
          <w:tcPr>
            <w:tcW w:w="1106" w:type="dxa"/>
            <w:tcBorders>
              <w:top w:val="nil"/>
              <w:left w:val="nil"/>
              <w:bottom w:val="single" w:sz="4" w:space="0" w:color="auto"/>
              <w:right w:val="single" w:sz="4" w:space="0" w:color="auto"/>
            </w:tcBorders>
            <w:shd w:val="clear" w:color="auto" w:fill="auto"/>
            <w:noWrap/>
            <w:vAlign w:val="bottom"/>
            <w:hideMark/>
          </w:tcPr>
          <w:p w14:paraId="4018AE5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-3.0%</w:t>
            </w:r>
          </w:p>
        </w:tc>
      </w:tr>
      <w:tr w:rsidR="007B29DD" w:rsidRPr="008448BA" w14:paraId="2DF3382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178CA5B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9BDD5D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52C15EB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-5.9%</w:t>
            </w:r>
          </w:p>
        </w:tc>
        <w:tc>
          <w:tcPr>
            <w:tcW w:w="1004" w:type="dxa"/>
            <w:tcBorders>
              <w:top w:val="nil"/>
              <w:left w:val="nil"/>
              <w:bottom w:val="single" w:sz="4" w:space="0" w:color="auto"/>
              <w:right w:val="single" w:sz="4" w:space="0" w:color="auto"/>
            </w:tcBorders>
            <w:shd w:val="clear" w:color="auto" w:fill="auto"/>
            <w:noWrap/>
            <w:vAlign w:val="bottom"/>
          </w:tcPr>
          <w:p w14:paraId="5F5B628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-6.5%</w:t>
            </w:r>
          </w:p>
        </w:tc>
        <w:tc>
          <w:tcPr>
            <w:tcW w:w="960" w:type="dxa"/>
            <w:tcBorders>
              <w:top w:val="nil"/>
              <w:left w:val="nil"/>
              <w:bottom w:val="single" w:sz="4" w:space="0" w:color="auto"/>
              <w:right w:val="single" w:sz="4" w:space="0" w:color="auto"/>
            </w:tcBorders>
            <w:shd w:val="clear" w:color="auto" w:fill="auto"/>
            <w:noWrap/>
            <w:vAlign w:val="bottom"/>
          </w:tcPr>
          <w:p w14:paraId="4FDEC86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-10.6%</w:t>
            </w:r>
          </w:p>
        </w:tc>
        <w:tc>
          <w:tcPr>
            <w:tcW w:w="1116" w:type="dxa"/>
            <w:tcBorders>
              <w:top w:val="nil"/>
              <w:left w:val="nil"/>
              <w:bottom w:val="single" w:sz="4" w:space="0" w:color="auto"/>
              <w:right w:val="single" w:sz="4" w:space="0" w:color="auto"/>
            </w:tcBorders>
            <w:shd w:val="clear" w:color="auto" w:fill="auto"/>
            <w:noWrap/>
            <w:vAlign w:val="bottom"/>
          </w:tcPr>
          <w:p w14:paraId="30BAF39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-11.7%</w:t>
            </w:r>
          </w:p>
        </w:tc>
        <w:tc>
          <w:tcPr>
            <w:tcW w:w="960" w:type="dxa"/>
            <w:tcBorders>
              <w:top w:val="nil"/>
              <w:left w:val="nil"/>
              <w:bottom w:val="single" w:sz="4" w:space="0" w:color="auto"/>
              <w:right w:val="single" w:sz="4" w:space="0" w:color="auto"/>
            </w:tcBorders>
            <w:shd w:val="clear" w:color="auto" w:fill="auto"/>
            <w:noWrap/>
            <w:vAlign w:val="bottom"/>
          </w:tcPr>
          <w:p w14:paraId="0F1F5EA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-19.9%</w:t>
            </w:r>
          </w:p>
        </w:tc>
        <w:tc>
          <w:tcPr>
            <w:tcW w:w="1106" w:type="dxa"/>
            <w:tcBorders>
              <w:top w:val="nil"/>
              <w:left w:val="nil"/>
              <w:bottom w:val="single" w:sz="4" w:space="0" w:color="auto"/>
              <w:right w:val="single" w:sz="4" w:space="0" w:color="auto"/>
            </w:tcBorders>
            <w:shd w:val="clear" w:color="auto" w:fill="auto"/>
            <w:noWrap/>
            <w:vAlign w:val="bottom"/>
            <w:hideMark/>
          </w:tcPr>
          <w:p w14:paraId="417E864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-15.1%</w:t>
            </w:r>
          </w:p>
        </w:tc>
      </w:tr>
      <w:tr w:rsidR="007B29DD" w:rsidRPr="008448BA" w14:paraId="1972EC2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6BEE804"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Latrobe</w:t>
            </w:r>
          </w:p>
          <w:p w14:paraId="44D7E135"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(226)</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8E77C7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39F466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1.8%</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205E02A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19914A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3.3%</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78B9AC1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60C10B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7EA7AB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r>
      <w:tr w:rsidR="007B29DD" w:rsidRPr="008448BA" w14:paraId="6E4C2CB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8DAE2B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0398AE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92D81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E790D8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509A53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E14751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1DCD71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03437C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r>
      <w:tr w:rsidR="007B29DD" w:rsidRPr="008448BA" w14:paraId="0CA570D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B5BA85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560D9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E550B3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-6.3%</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0F9B116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AF72B2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740553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A12AA4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-16.7%</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491A2FB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-14.2%</w:t>
            </w:r>
          </w:p>
        </w:tc>
      </w:tr>
      <w:tr w:rsidR="007B29DD" w:rsidRPr="008448BA" w14:paraId="1875C32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E707DA"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South Gippsland</w:t>
            </w:r>
          </w:p>
          <w:p w14:paraId="572519E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(227)</w:t>
            </w:r>
          </w:p>
        </w:tc>
        <w:tc>
          <w:tcPr>
            <w:tcW w:w="1240" w:type="dxa"/>
            <w:tcBorders>
              <w:top w:val="nil"/>
              <w:left w:val="nil"/>
              <w:bottom w:val="single" w:sz="4" w:space="0" w:color="auto"/>
              <w:right w:val="single" w:sz="4" w:space="0" w:color="auto"/>
            </w:tcBorders>
            <w:shd w:val="clear" w:color="auto" w:fill="auto"/>
            <w:noWrap/>
            <w:vAlign w:val="bottom"/>
            <w:hideMark/>
          </w:tcPr>
          <w:p w14:paraId="456069D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1ECA628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004" w:type="dxa"/>
            <w:tcBorders>
              <w:top w:val="nil"/>
              <w:left w:val="nil"/>
              <w:bottom w:val="single" w:sz="4" w:space="0" w:color="auto"/>
              <w:right w:val="single" w:sz="4" w:space="0" w:color="auto"/>
            </w:tcBorders>
            <w:shd w:val="clear" w:color="auto" w:fill="auto"/>
            <w:noWrap/>
            <w:vAlign w:val="bottom"/>
          </w:tcPr>
          <w:p w14:paraId="5531EE8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960" w:type="dxa"/>
            <w:tcBorders>
              <w:top w:val="nil"/>
              <w:left w:val="nil"/>
              <w:bottom w:val="single" w:sz="4" w:space="0" w:color="auto"/>
              <w:right w:val="single" w:sz="4" w:space="0" w:color="auto"/>
            </w:tcBorders>
            <w:shd w:val="clear" w:color="auto" w:fill="auto"/>
            <w:noWrap/>
            <w:vAlign w:val="bottom"/>
          </w:tcPr>
          <w:p w14:paraId="779911C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116" w:type="dxa"/>
            <w:tcBorders>
              <w:top w:val="nil"/>
              <w:left w:val="nil"/>
              <w:bottom w:val="single" w:sz="4" w:space="0" w:color="auto"/>
              <w:right w:val="single" w:sz="4" w:space="0" w:color="auto"/>
            </w:tcBorders>
            <w:shd w:val="clear" w:color="auto" w:fill="auto"/>
            <w:noWrap/>
            <w:vAlign w:val="bottom"/>
          </w:tcPr>
          <w:p w14:paraId="464AE8F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4.4%</w:t>
            </w:r>
          </w:p>
        </w:tc>
        <w:tc>
          <w:tcPr>
            <w:tcW w:w="960" w:type="dxa"/>
            <w:tcBorders>
              <w:top w:val="nil"/>
              <w:left w:val="nil"/>
              <w:bottom w:val="single" w:sz="4" w:space="0" w:color="auto"/>
              <w:right w:val="single" w:sz="4" w:space="0" w:color="auto"/>
            </w:tcBorders>
            <w:shd w:val="clear" w:color="auto" w:fill="auto"/>
            <w:noWrap/>
            <w:vAlign w:val="bottom"/>
          </w:tcPr>
          <w:p w14:paraId="42D8FDA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106" w:type="dxa"/>
            <w:tcBorders>
              <w:top w:val="nil"/>
              <w:left w:val="nil"/>
              <w:bottom w:val="single" w:sz="4" w:space="0" w:color="auto"/>
              <w:right w:val="single" w:sz="4" w:space="0" w:color="auto"/>
            </w:tcBorders>
            <w:shd w:val="clear" w:color="auto" w:fill="auto"/>
            <w:noWrap/>
            <w:vAlign w:val="bottom"/>
            <w:hideMark/>
          </w:tcPr>
          <w:p w14:paraId="19882EB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r>
      <w:tr w:rsidR="007B29DD" w:rsidRPr="008448BA" w14:paraId="1DFB861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8CD903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122FD1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3653B36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1004" w:type="dxa"/>
            <w:tcBorders>
              <w:top w:val="nil"/>
              <w:left w:val="nil"/>
              <w:bottom w:val="single" w:sz="4" w:space="0" w:color="auto"/>
              <w:right w:val="single" w:sz="4" w:space="0" w:color="auto"/>
            </w:tcBorders>
            <w:shd w:val="clear" w:color="auto" w:fill="auto"/>
            <w:noWrap/>
            <w:vAlign w:val="bottom"/>
          </w:tcPr>
          <w:p w14:paraId="4416F0D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auto"/>
            <w:noWrap/>
            <w:vAlign w:val="bottom"/>
          </w:tcPr>
          <w:p w14:paraId="3F21DBF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c>
          <w:tcPr>
            <w:tcW w:w="1116" w:type="dxa"/>
            <w:tcBorders>
              <w:top w:val="nil"/>
              <w:left w:val="nil"/>
              <w:bottom w:val="single" w:sz="4" w:space="0" w:color="auto"/>
              <w:right w:val="single" w:sz="4" w:space="0" w:color="auto"/>
            </w:tcBorders>
            <w:shd w:val="clear" w:color="auto" w:fill="auto"/>
            <w:noWrap/>
            <w:vAlign w:val="bottom"/>
          </w:tcPr>
          <w:p w14:paraId="110082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tcPr>
          <w:p w14:paraId="5B9F08B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-4.4%</w:t>
            </w:r>
          </w:p>
        </w:tc>
        <w:tc>
          <w:tcPr>
            <w:tcW w:w="1106" w:type="dxa"/>
            <w:tcBorders>
              <w:top w:val="nil"/>
              <w:left w:val="nil"/>
              <w:bottom w:val="single" w:sz="4" w:space="0" w:color="auto"/>
              <w:right w:val="single" w:sz="4" w:space="0" w:color="auto"/>
            </w:tcBorders>
            <w:shd w:val="clear" w:color="auto" w:fill="auto"/>
            <w:noWrap/>
            <w:vAlign w:val="bottom"/>
            <w:hideMark/>
          </w:tcPr>
          <w:p w14:paraId="7F1D315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r>
      <w:tr w:rsidR="007B29DD" w:rsidRPr="008448BA" w14:paraId="36ECEB2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553068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D2E466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234FC3B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-6.5%</w:t>
            </w:r>
          </w:p>
        </w:tc>
        <w:tc>
          <w:tcPr>
            <w:tcW w:w="1004" w:type="dxa"/>
            <w:tcBorders>
              <w:top w:val="nil"/>
              <w:left w:val="nil"/>
              <w:bottom w:val="single" w:sz="4" w:space="0" w:color="auto"/>
              <w:right w:val="single" w:sz="4" w:space="0" w:color="auto"/>
            </w:tcBorders>
            <w:shd w:val="clear" w:color="auto" w:fill="auto"/>
            <w:noWrap/>
            <w:vAlign w:val="bottom"/>
          </w:tcPr>
          <w:p w14:paraId="46135B4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-7.3%</w:t>
            </w:r>
          </w:p>
        </w:tc>
        <w:tc>
          <w:tcPr>
            <w:tcW w:w="960" w:type="dxa"/>
            <w:tcBorders>
              <w:top w:val="nil"/>
              <w:left w:val="nil"/>
              <w:bottom w:val="single" w:sz="4" w:space="0" w:color="auto"/>
              <w:right w:val="single" w:sz="4" w:space="0" w:color="auto"/>
            </w:tcBorders>
            <w:shd w:val="clear" w:color="auto" w:fill="auto"/>
            <w:noWrap/>
            <w:vAlign w:val="bottom"/>
          </w:tcPr>
          <w:p w14:paraId="6FA0B36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-11.7%</w:t>
            </w:r>
          </w:p>
        </w:tc>
        <w:tc>
          <w:tcPr>
            <w:tcW w:w="1116" w:type="dxa"/>
            <w:tcBorders>
              <w:top w:val="nil"/>
              <w:left w:val="nil"/>
              <w:bottom w:val="single" w:sz="4" w:space="0" w:color="auto"/>
              <w:right w:val="single" w:sz="4" w:space="0" w:color="auto"/>
            </w:tcBorders>
            <w:shd w:val="clear" w:color="auto" w:fill="auto"/>
            <w:noWrap/>
            <w:vAlign w:val="bottom"/>
          </w:tcPr>
          <w:p w14:paraId="030FCB7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-13.1%</w:t>
            </w:r>
          </w:p>
        </w:tc>
        <w:tc>
          <w:tcPr>
            <w:tcW w:w="960" w:type="dxa"/>
            <w:tcBorders>
              <w:top w:val="nil"/>
              <w:left w:val="nil"/>
              <w:bottom w:val="single" w:sz="4" w:space="0" w:color="auto"/>
              <w:right w:val="single" w:sz="4" w:space="0" w:color="auto"/>
            </w:tcBorders>
            <w:shd w:val="clear" w:color="auto" w:fill="auto"/>
            <w:noWrap/>
            <w:vAlign w:val="bottom"/>
          </w:tcPr>
          <w:p w14:paraId="0FFC711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-15.9%</w:t>
            </w:r>
          </w:p>
        </w:tc>
        <w:tc>
          <w:tcPr>
            <w:tcW w:w="1106" w:type="dxa"/>
            <w:tcBorders>
              <w:top w:val="nil"/>
              <w:left w:val="nil"/>
              <w:bottom w:val="single" w:sz="4" w:space="0" w:color="auto"/>
              <w:right w:val="single" w:sz="4" w:space="0" w:color="auto"/>
            </w:tcBorders>
            <w:shd w:val="clear" w:color="auto" w:fill="auto"/>
            <w:noWrap/>
            <w:vAlign w:val="bottom"/>
            <w:hideMark/>
          </w:tcPr>
          <w:p w14:paraId="628C2ED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-13.4%</w:t>
            </w:r>
          </w:p>
        </w:tc>
      </w:tr>
      <w:tr w:rsidR="007B29DD" w:rsidRPr="008448BA" w14:paraId="09129E8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A053DB6"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Bunyip</w:t>
            </w:r>
          </w:p>
          <w:p w14:paraId="761D3818"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9FDEDC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D97A4E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3D9E72A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2A0919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64FDEE1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CA32CC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AFA22B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r>
      <w:tr w:rsidR="007B29DD" w:rsidRPr="008448BA" w14:paraId="20188B3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A583E91"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66509E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D38E85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4B35FEC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17C532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498F4C8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9786C0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-5.0%</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BD61CB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-4.3%</w:t>
            </w:r>
          </w:p>
        </w:tc>
      </w:tr>
      <w:tr w:rsidR="007B29DD" w:rsidRPr="008448BA" w14:paraId="36486E7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8A0DA8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DEC2CF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8858A8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661FF02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24CC7D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-10.9%</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69C058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8D1EA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-16.1%</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2DEBEC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-13.9%</w:t>
            </w:r>
          </w:p>
        </w:tc>
      </w:tr>
      <w:tr w:rsidR="007B29DD" w:rsidRPr="008448BA" w14:paraId="2D1E3C37"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C1C2B7"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Yarra</w:t>
            </w:r>
          </w:p>
          <w:p w14:paraId="0B57B2E9"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(229)</w:t>
            </w:r>
          </w:p>
        </w:tc>
        <w:tc>
          <w:tcPr>
            <w:tcW w:w="1240" w:type="dxa"/>
            <w:tcBorders>
              <w:top w:val="nil"/>
              <w:left w:val="nil"/>
              <w:bottom w:val="single" w:sz="4" w:space="0" w:color="auto"/>
              <w:right w:val="single" w:sz="4" w:space="0" w:color="auto"/>
            </w:tcBorders>
            <w:shd w:val="clear" w:color="auto" w:fill="auto"/>
            <w:noWrap/>
            <w:vAlign w:val="bottom"/>
            <w:hideMark/>
          </w:tcPr>
          <w:p w14:paraId="3E77529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02A90CD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004" w:type="dxa"/>
            <w:tcBorders>
              <w:top w:val="nil"/>
              <w:left w:val="nil"/>
              <w:bottom w:val="single" w:sz="4" w:space="0" w:color="auto"/>
              <w:right w:val="single" w:sz="4" w:space="0" w:color="auto"/>
            </w:tcBorders>
            <w:shd w:val="clear" w:color="auto" w:fill="auto"/>
            <w:noWrap/>
            <w:vAlign w:val="bottom"/>
          </w:tcPr>
          <w:p w14:paraId="2A5DF8E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960" w:type="dxa"/>
            <w:tcBorders>
              <w:top w:val="nil"/>
              <w:left w:val="nil"/>
              <w:bottom w:val="single" w:sz="4" w:space="0" w:color="auto"/>
              <w:right w:val="single" w:sz="4" w:space="0" w:color="auto"/>
            </w:tcBorders>
            <w:shd w:val="clear" w:color="auto" w:fill="auto"/>
            <w:noWrap/>
            <w:vAlign w:val="bottom"/>
          </w:tcPr>
          <w:p w14:paraId="7222B89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c>
          <w:tcPr>
            <w:tcW w:w="1116" w:type="dxa"/>
            <w:tcBorders>
              <w:top w:val="nil"/>
              <w:left w:val="nil"/>
              <w:bottom w:val="single" w:sz="4" w:space="0" w:color="auto"/>
              <w:right w:val="single" w:sz="4" w:space="0" w:color="auto"/>
            </w:tcBorders>
            <w:shd w:val="clear" w:color="auto" w:fill="auto"/>
            <w:noWrap/>
            <w:vAlign w:val="bottom"/>
          </w:tcPr>
          <w:p w14:paraId="391087A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c>
          <w:tcPr>
            <w:tcW w:w="960" w:type="dxa"/>
            <w:tcBorders>
              <w:top w:val="nil"/>
              <w:left w:val="nil"/>
              <w:bottom w:val="single" w:sz="4" w:space="0" w:color="auto"/>
              <w:right w:val="single" w:sz="4" w:space="0" w:color="auto"/>
            </w:tcBorders>
            <w:shd w:val="clear" w:color="auto" w:fill="auto"/>
            <w:noWrap/>
            <w:vAlign w:val="bottom"/>
          </w:tcPr>
          <w:p w14:paraId="4A318D0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bottom"/>
            <w:hideMark/>
          </w:tcPr>
          <w:p w14:paraId="69FD151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r>
      <w:tr w:rsidR="007B29DD" w:rsidRPr="008448BA" w14:paraId="6CCBFB5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BF8DA4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4DBB16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4B30EEB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1004" w:type="dxa"/>
            <w:tcBorders>
              <w:top w:val="nil"/>
              <w:left w:val="nil"/>
              <w:bottom w:val="single" w:sz="4" w:space="0" w:color="auto"/>
              <w:right w:val="single" w:sz="4" w:space="0" w:color="auto"/>
            </w:tcBorders>
            <w:shd w:val="clear" w:color="auto" w:fill="auto"/>
            <w:noWrap/>
            <w:vAlign w:val="bottom"/>
          </w:tcPr>
          <w:p w14:paraId="2F42D4D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960" w:type="dxa"/>
            <w:tcBorders>
              <w:top w:val="nil"/>
              <w:left w:val="nil"/>
              <w:bottom w:val="single" w:sz="4" w:space="0" w:color="auto"/>
              <w:right w:val="single" w:sz="4" w:space="0" w:color="auto"/>
            </w:tcBorders>
            <w:shd w:val="clear" w:color="auto" w:fill="auto"/>
            <w:noWrap/>
            <w:vAlign w:val="bottom"/>
          </w:tcPr>
          <w:p w14:paraId="31EB5D2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1116" w:type="dxa"/>
            <w:tcBorders>
              <w:top w:val="nil"/>
              <w:left w:val="nil"/>
              <w:bottom w:val="single" w:sz="4" w:space="0" w:color="auto"/>
              <w:right w:val="single" w:sz="4" w:space="0" w:color="auto"/>
            </w:tcBorders>
            <w:shd w:val="clear" w:color="auto" w:fill="auto"/>
            <w:noWrap/>
            <w:vAlign w:val="bottom"/>
          </w:tcPr>
          <w:p w14:paraId="2D62358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tcPr>
          <w:p w14:paraId="2BAB6B8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-4.3%</w:t>
            </w:r>
          </w:p>
        </w:tc>
        <w:tc>
          <w:tcPr>
            <w:tcW w:w="1106" w:type="dxa"/>
            <w:tcBorders>
              <w:top w:val="nil"/>
              <w:left w:val="nil"/>
              <w:bottom w:val="single" w:sz="4" w:space="0" w:color="auto"/>
              <w:right w:val="single" w:sz="4" w:space="0" w:color="auto"/>
            </w:tcBorders>
            <w:shd w:val="clear" w:color="auto" w:fill="auto"/>
            <w:noWrap/>
            <w:vAlign w:val="bottom"/>
            <w:hideMark/>
          </w:tcPr>
          <w:p w14:paraId="6A48254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r>
      <w:tr w:rsidR="007B29DD" w:rsidRPr="008448BA" w14:paraId="7BAEA7C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8757EC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E8CCFF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7B13EBE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-5.9%</w:t>
            </w:r>
          </w:p>
        </w:tc>
        <w:tc>
          <w:tcPr>
            <w:tcW w:w="1004" w:type="dxa"/>
            <w:tcBorders>
              <w:top w:val="nil"/>
              <w:left w:val="nil"/>
              <w:bottom w:val="single" w:sz="4" w:space="0" w:color="auto"/>
              <w:right w:val="single" w:sz="4" w:space="0" w:color="auto"/>
            </w:tcBorders>
            <w:shd w:val="clear" w:color="auto" w:fill="auto"/>
            <w:noWrap/>
            <w:vAlign w:val="bottom"/>
          </w:tcPr>
          <w:p w14:paraId="464D285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-6.9%</w:t>
            </w:r>
          </w:p>
        </w:tc>
        <w:tc>
          <w:tcPr>
            <w:tcW w:w="960" w:type="dxa"/>
            <w:tcBorders>
              <w:top w:val="nil"/>
              <w:left w:val="nil"/>
              <w:bottom w:val="single" w:sz="4" w:space="0" w:color="auto"/>
              <w:right w:val="single" w:sz="4" w:space="0" w:color="auto"/>
            </w:tcBorders>
            <w:shd w:val="clear" w:color="auto" w:fill="auto"/>
            <w:noWrap/>
            <w:vAlign w:val="bottom"/>
          </w:tcPr>
          <w:p w14:paraId="1910CF4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-10.5%</w:t>
            </w:r>
          </w:p>
        </w:tc>
        <w:tc>
          <w:tcPr>
            <w:tcW w:w="1116" w:type="dxa"/>
            <w:tcBorders>
              <w:top w:val="nil"/>
              <w:left w:val="nil"/>
              <w:bottom w:val="single" w:sz="4" w:space="0" w:color="auto"/>
              <w:right w:val="single" w:sz="4" w:space="0" w:color="auto"/>
            </w:tcBorders>
            <w:shd w:val="clear" w:color="auto" w:fill="auto"/>
            <w:noWrap/>
            <w:vAlign w:val="bottom"/>
          </w:tcPr>
          <w:p w14:paraId="34ED53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-12.5%</w:t>
            </w:r>
          </w:p>
        </w:tc>
        <w:tc>
          <w:tcPr>
            <w:tcW w:w="960" w:type="dxa"/>
            <w:tcBorders>
              <w:top w:val="nil"/>
              <w:left w:val="nil"/>
              <w:bottom w:val="single" w:sz="4" w:space="0" w:color="auto"/>
              <w:right w:val="single" w:sz="4" w:space="0" w:color="auto"/>
            </w:tcBorders>
            <w:shd w:val="clear" w:color="auto" w:fill="auto"/>
            <w:noWrap/>
            <w:vAlign w:val="bottom"/>
          </w:tcPr>
          <w:p w14:paraId="0FAD0F3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-20.6%</w:t>
            </w:r>
          </w:p>
        </w:tc>
        <w:tc>
          <w:tcPr>
            <w:tcW w:w="1106" w:type="dxa"/>
            <w:tcBorders>
              <w:top w:val="nil"/>
              <w:left w:val="nil"/>
              <w:bottom w:val="single" w:sz="4" w:space="0" w:color="auto"/>
              <w:right w:val="single" w:sz="4" w:space="0" w:color="auto"/>
            </w:tcBorders>
            <w:shd w:val="clear" w:color="auto" w:fill="auto"/>
            <w:noWrap/>
            <w:vAlign w:val="bottom"/>
            <w:hideMark/>
          </w:tcPr>
          <w:p w14:paraId="7D2E7E4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-14.8%</w:t>
            </w:r>
          </w:p>
        </w:tc>
      </w:tr>
      <w:tr w:rsidR="007B29DD" w:rsidRPr="008448BA" w14:paraId="6C12C0D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6677C9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Maribyrnong</w:t>
            </w:r>
          </w:p>
          <w:p w14:paraId="7B23C46F"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(230)</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633C1D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A06E7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67BB5DE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A0ED62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463AE24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C07692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35AC3B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3.8%</w:t>
            </w:r>
          </w:p>
        </w:tc>
      </w:tr>
      <w:tr w:rsidR="007B29DD" w:rsidRPr="008448BA" w14:paraId="7C038A6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67D840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83FAF2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E3043F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CAD174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763CF7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B1A268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544C1E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9D002A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-3.3%</w:t>
            </w:r>
          </w:p>
        </w:tc>
      </w:tr>
      <w:tr w:rsidR="007B29DD" w:rsidRPr="008448BA" w14:paraId="480B57C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EE260C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DA84CD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C98F96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-6.7%</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3A48C5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A951D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CB60D6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F2C45B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-21.6%</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07C350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-15.3%</w:t>
            </w:r>
          </w:p>
        </w:tc>
      </w:tr>
      <w:tr w:rsidR="007B29DD" w:rsidRPr="008448BA" w14:paraId="2D0B964B"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3398BA"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Werribee</w:t>
            </w:r>
          </w:p>
          <w:p w14:paraId="34770830"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(231)</w:t>
            </w:r>
          </w:p>
        </w:tc>
        <w:tc>
          <w:tcPr>
            <w:tcW w:w="1240" w:type="dxa"/>
            <w:tcBorders>
              <w:top w:val="nil"/>
              <w:left w:val="nil"/>
              <w:bottom w:val="single" w:sz="4" w:space="0" w:color="auto"/>
              <w:right w:val="single" w:sz="4" w:space="0" w:color="auto"/>
            </w:tcBorders>
            <w:shd w:val="clear" w:color="auto" w:fill="auto"/>
            <w:noWrap/>
            <w:vAlign w:val="bottom"/>
            <w:hideMark/>
          </w:tcPr>
          <w:p w14:paraId="5581F39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756A3BF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004" w:type="dxa"/>
            <w:tcBorders>
              <w:top w:val="nil"/>
              <w:left w:val="nil"/>
              <w:bottom w:val="single" w:sz="4" w:space="0" w:color="auto"/>
              <w:right w:val="single" w:sz="4" w:space="0" w:color="auto"/>
            </w:tcBorders>
            <w:shd w:val="clear" w:color="auto" w:fill="auto"/>
            <w:noWrap/>
            <w:vAlign w:val="bottom"/>
          </w:tcPr>
          <w:p w14:paraId="078AA23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tcPr>
          <w:p w14:paraId="6C7CB4D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116" w:type="dxa"/>
            <w:tcBorders>
              <w:top w:val="nil"/>
              <w:left w:val="nil"/>
              <w:bottom w:val="single" w:sz="4" w:space="0" w:color="auto"/>
              <w:right w:val="single" w:sz="4" w:space="0" w:color="auto"/>
            </w:tcBorders>
            <w:shd w:val="clear" w:color="auto" w:fill="auto"/>
            <w:noWrap/>
            <w:vAlign w:val="bottom"/>
          </w:tcPr>
          <w:p w14:paraId="0733BA0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5.2%</w:t>
            </w:r>
          </w:p>
        </w:tc>
        <w:tc>
          <w:tcPr>
            <w:tcW w:w="960" w:type="dxa"/>
            <w:tcBorders>
              <w:top w:val="nil"/>
              <w:left w:val="nil"/>
              <w:bottom w:val="single" w:sz="4" w:space="0" w:color="auto"/>
              <w:right w:val="single" w:sz="4" w:space="0" w:color="auto"/>
            </w:tcBorders>
            <w:shd w:val="clear" w:color="auto" w:fill="auto"/>
            <w:noWrap/>
            <w:vAlign w:val="bottom"/>
          </w:tcPr>
          <w:p w14:paraId="6673C74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auto"/>
            <w:noWrap/>
            <w:vAlign w:val="bottom"/>
            <w:hideMark/>
          </w:tcPr>
          <w:p w14:paraId="02AFCB0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r>
      <w:tr w:rsidR="007B29DD" w:rsidRPr="008448BA" w14:paraId="619FD4E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091862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9D54F6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6754013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1004" w:type="dxa"/>
            <w:tcBorders>
              <w:top w:val="nil"/>
              <w:left w:val="nil"/>
              <w:bottom w:val="single" w:sz="4" w:space="0" w:color="auto"/>
              <w:right w:val="single" w:sz="4" w:space="0" w:color="auto"/>
            </w:tcBorders>
            <w:shd w:val="clear" w:color="auto" w:fill="auto"/>
            <w:noWrap/>
            <w:vAlign w:val="bottom"/>
          </w:tcPr>
          <w:p w14:paraId="1CBEF91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-0.9%</w:t>
            </w:r>
          </w:p>
        </w:tc>
        <w:tc>
          <w:tcPr>
            <w:tcW w:w="960" w:type="dxa"/>
            <w:tcBorders>
              <w:top w:val="nil"/>
              <w:left w:val="nil"/>
              <w:bottom w:val="single" w:sz="4" w:space="0" w:color="auto"/>
              <w:right w:val="single" w:sz="4" w:space="0" w:color="auto"/>
            </w:tcBorders>
            <w:shd w:val="clear" w:color="auto" w:fill="auto"/>
            <w:noWrap/>
            <w:vAlign w:val="bottom"/>
          </w:tcPr>
          <w:p w14:paraId="6567A37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1116" w:type="dxa"/>
            <w:tcBorders>
              <w:top w:val="nil"/>
              <w:left w:val="nil"/>
              <w:bottom w:val="single" w:sz="4" w:space="0" w:color="auto"/>
              <w:right w:val="single" w:sz="4" w:space="0" w:color="auto"/>
            </w:tcBorders>
            <w:shd w:val="clear" w:color="auto" w:fill="auto"/>
            <w:noWrap/>
            <w:vAlign w:val="bottom"/>
          </w:tcPr>
          <w:p w14:paraId="53F7664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tcPr>
          <w:p w14:paraId="551B54E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-6.2%</w:t>
            </w:r>
          </w:p>
        </w:tc>
        <w:tc>
          <w:tcPr>
            <w:tcW w:w="1106" w:type="dxa"/>
            <w:tcBorders>
              <w:top w:val="nil"/>
              <w:left w:val="nil"/>
              <w:bottom w:val="single" w:sz="4" w:space="0" w:color="auto"/>
              <w:right w:val="single" w:sz="4" w:space="0" w:color="auto"/>
            </w:tcBorders>
            <w:shd w:val="clear" w:color="auto" w:fill="auto"/>
            <w:noWrap/>
            <w:vAlign w:val="bottom"/>
            <w:hideMark/>
          </w:tcPr>
          <w:p w14:paraId="149635E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-3.4%</w:t>
            </w:r>
          </w:p>
        </w:tc>
      </w:tr>
      <w:tr w:rsidR="007B29DD" w:rsidRPr="008448BA" w14:paraId="788D5D8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BB6D1B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F99589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78E8684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-6.5%</w:t>
            </w:r>
          </w:p>
        </w:tc>
        <w:tc>
          <w:tcPr>
            <w:tcW w:w="1004" w:type="dxa"/>
            <w:tcBorders>
              <w:top w:val="nil"/>
              <w:left w:val="nil"/>
              <w:bottom w:val="single" w:sz="4" w:space="0" w:color="auto"/>
              <w:right w:val="single" w:sz="4" w:space="0" w:color="auto"/>
            </w:tcBorders>
            <w:shd w:val="clear" w:color="auto" w:fill="auto"/>
            <w:noWrap/>
            <w:vAlign w:val="bottom"/>
          </w:tcPr>
          <w:p w14:paraId="06F55A5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-8.0%</w:t>
            </w:r>
          </w:p>
        </w:tc>
        <w:tc>
          <w:tcPr>
            <w:tcW w:w="960" w:type="dxa"/>
            <w:tcBorders>
              <w:top w:val="nil"/>
              <w:left w:val="nil"/>
              <w:bottom w:val="single" w:sz="4" w:space="0" w:color="auto"/>
              <w:right w:val="single" w:sz="4" w:space="0" w:color="auto"/>
            </w:tcBorders>
            <w:shd w:val="clear" w:color="auto" w:fill="auto"/>
            <w:noWrap/>
            <w:vAlign w:val="bottom"/>
          </w:tcPr>
          <w:p w14:paraId="0D9685E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-11.7%</w:t>
            </w:r>
          </w:p>
        </w:tc>
        <w:tc>
          <w:tcPr>
            <w:tcW w:w="1116" w:type="dxa"/>
            <w:tcBorders>
              <w:top w:val="nil"/>
              <w:left w:val="nil"/>
              <w:bottom w:val="single" w:sz="4" w:space="0" w:color="auto"/>
              <w:right w:val="single" w:sz="4" w:space="0" w:color="auto"/>
            </w:tcBorders>
            <w:shd w:val="clear" w:color="auto" w:fill="auto"/>
            <w:noWrap/>
            <w:vAlign w:val="bottom"/>
          </w:tcPr>
          <w:p w14:paraId="629BDCC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-14.4%</w:t>
            </w:r>
          </w:p>
        </w:tc>
        <w:tc>
          <w:tcPr>
            <w:tcW w:w="960" w:type="dxa"/>
            <w:tcBorders>
              <w:top w:val="nil"/>
              <w:left w:val="nil"/>
              <w:bottom w:val="single" w:sz="4" w:space="0" w:color="auto"/>
              <w:right w:val="single" w:sz="4" w:space="0" w:color="auto"/>
            </w:tcBorders>
            <w:shd w:val="clear" w:color="auto" w:fill="auto"/>
            <w:noWrap/>
            <w:vAlign w:val="bottom"/>
          </w:tcPr>
          <w:p w14:paraId="1071099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-21.4%</w:t>
            </w:r>
          </w:p>
        </w:tc>
        <w:tc>
          <w:tcPr>
            <w:tcW w:w="1106" w:type="dxa"/>
            <w:tcBorders>
              <w:top w:val="nil"/>
              <w:left w:val="nil"/>
              <w:bottom w:val="single" w:sz="4" w:space="0" w:color="auto"/>
              <w:right w:val="single" w:sz="4" w:space="0" w:color="auto"/>
            </w:tcBorders>
            <w:shd w:val="clear" w:color="auto" w:fill="auto"/>
            <w:noWrap/>
            <w:vAlign w:val="bottom"/>
            <w:hideMark/>
          </w:tcPr>
          <w:p w14:paraId="5B8AD80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-16.1%</w:t>
            </w:r>
          </w:p>
        </w:tc>
      </w:tr>
      <w:tr w:rsidR="007B29DD" w:rsidRPr="008448BA" w14:paraId="4FF51094"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249E29A"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Moorabool</w:t>
            </w:r>
          </w:p>
          <w:p w14:paraId="478710C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(232)</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39B6C2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C91B19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C5602D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B87D1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2A322D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77D2D6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843E6A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r>
      <w:tr w:rsidR="007B29DD" w:rsidRPr="008448BA" w14:paraId="4F616BB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789CB2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C43FC7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7389AB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019487F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A3109F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659010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F89783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-5.9%</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7D55D1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-3.2%</w:t>
            </w:r>
          </w:p>
        </w:tc>
      </w:tr>
      <w:tr w:rsidR="007B29DD" w:rsidRPr="008448BA" w14:paraId="5BB3869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76EFB9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7B79A9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9B2638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BA20A1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26AD7F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-11.6%</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7EC325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B54072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-21.4%</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1A32AF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-16.1%</w:t>
            </w:r>
          </w:p>
        </w:tc>
      </w:tr>
      <w:tr w:rsidR="007B29DD" w:rsidRPr="008448BA" w14:paraId="3D24B0F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3E3DC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Barwon</w:t>
            </w:r>
          </w:p>
          <w:p w14:paraId="1BD57BC6"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(233)</w:t>
            </w:r>
          </w:p>
        </w:tc>
        <w:tc>
          <w:tcPr>
            <w:tcW w:w="1240" w:type="dxa"/>
            <w:tcBorders>
              <w:top w:val="nil"/>
              <w:left w:val="nil"/>
              <w:bottom w:val="single" w:sz="4" w:space="0" w:color="auto"/>
              <w:right w:val="single" w:sz="4" w:space="0" w:color="auto"/>
            </w:tcBorders>
            <w:shd w:val="clear" w:color="auto" w:fill="auto"/>
            <w:noWrap/>
            <w:vAlign w:val="bottom"/>
            <w:hideMark/>
          </w:tcPr>
          <w:p w14:paraId="67FA2B6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035FEB6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1004" w:type="dxa"/>
            <w:tcBorders>
              <w:top w:val="nil"/>
              <w:left w:val="nil"/>
              <w:bottom w:val="single" w:sz="4" w:space="0" w:color="auto"/>
              <w:right w:val="single" w:sz="4" w:space="0" w:color="auto"/>
            </w:tcBorders>
            <w:shd w:val="clear" w:color="auto" w:fill="auto"/>
            <w:noWrap/>
            <w:vAlign w:val="bottom"/>
          </w:tcPr>
          <w:p w14:paraId="11D6B83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tcPr>
          <w:p w14:paraId="7566021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116" w:type="dxa"/>
            <w:tcBorders>
              <w:top w:val="nil"/>
              <w:left w:val="nil"/>
              <w:bottom w:val="single" w:sz="4" w:space="0" w:color="auto"/>
              <w:right w:val="single" w:sz="4" w:space="0" w:color="auto"/>
            </w:tcBorders>
            <w:shd w:val="clear" w:color="auto" w:fill="auto"/>
            <w:noWrap/>
            <w:vAlign w:val="bottom"/>
          </w:tcPr>
          <w:p w14:paraId="656B7D6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tcPr>
          <w:p w14:paraId="67B6D03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106" w:type="dxa"/>
            <w:tcBorders>
              <w:top w:val="nil"/>
              <w:left w:val="nil"/>
              <w:bottom w:val="single" w:sz="4" w:space="0" w:color="auto"/>
              <w:right w:val="single" w:sz="4" w:space="0" w:color="auto"/>
            </w:tcBorders>
            <w:shd w:val="clear" w:color="auto" w:fill="auto"/>
            <w:noWrap/>
            <w:vAlign w:val="bottom"/>
            <w:hideMark/>
          </w:tcPr>
          <w:p w14:paraId="6B5F2BE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r>
      <w:tr w:rsidR="007B29DD" w:rsidRPr="008448BA" w14:paraId="116D519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3A5981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2C7C80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0552689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w:t>
            </w:r>
          </w:p>
        </w:tc>
        <w:tc>
          <w:tcPr>
            <w:tcW w:w="1004" w:type="dxa"/>
            <w:tcBorders>
              <w:top w:val="nil"/>
              <w:left w:val="nil"/>
              <w:bottom w:val="single" w:sz="4" w:space="0" w:color="auto"/>
              <w:right w:val="single" w:sz="4" w:space="0" w:color="auto"/>
            </w:tcBorders>
            <w:shd w:val="clear" w:color="auto" w:fill="auto"/>
            <w:noWrap/>
            <w:vAlign w:val="bottom"/>
          </w:tcPr>
          <w:p w14:paraId="45829EA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-0.5%</w:t>
            </w:r>
          </w:p>
        </w:tc>
        <w:tc>
          <w:tcPr>
            <w:tcW w:w="960" w:type="dxa"/>
            <w:tcBorders>
              <w:top w:val="nil"/>
              <w:left w:val="nil"/>
              <w:bottom w:val="single" w:sz="4" w:space="0" w:color="auto"/>
              <w:right w:val="single" w:sz="4" w:space="0" w:color="auto"/>
            </w:tcBorders>
            <w:shd w:val="clear" w:color="auto" w:fill="auto"/>
            <w:noWrap/>
            <w:vAlign w:val="bottom"/>
          </w:tcPr>
          <w:p w14:paraId="3F0E336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-3.0%</w:t>
            </w:r>
          </w:p>
        </w:tc>
        <w:tc>
          <w:tcPr>
            <w:tcW w:w="1116" w:type="dxa"/>
            <w:tcBorders>
              <w:top w:val="nil"/>
              <w:left w:val="nil"/>
              <w:bottom w:val="single" w:sz="4" w:space="0" w:color="auto"/>
              <w:right w:val="single" w:sz="4" w:space="0" w:color="auto"/>
            </w:tcBorders>
            <w:shd w:val="clear" w:color="auto" w:fill="auto"/>
            <w:noWrap/>
            <w:vAlign w:val="bottom"/>
          </w:tcPr>
          <w:p w14:paraId="1ED7E1F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-0.9%</w:t>
            </w:r>
          </w:p>
        </w:tc>
        <w:tc>
          <w:tcPr>
            <w:tcW w:w="960" w:type="dxa"/>
            <w:tcBorders>
              <w:top w:val="nil"/>
              <w:left w:val="nil"/>
              <w:bottom w:val="single" w:sz="4" w:space="0" w:color="auto"/>
              <w:right w:val="single" w:sz="4" w:space="0" w:color="auto"/>
            </w:tcBorders>
            <w:shd w:val="clear" w:color="auto" w:fill="auto"/>
            <w:noWrap/>
            <w:vAlign w:val="bottom"/>
          </w:tcPr>
          <w:p w14:paraId="5B04CD3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-5.2%</w:t>
            </w:r>
          </w:p>
        </w:tc>
        <w:tc>
          <w:tcPr>
            <w:tcW w:w="1106" w:type="dxa"/>
            <w:tcBorders>
              <w:top w:val="nil"/>
              <w:left w:val="nil"/>
              <w:bottom w:val="single" w:sz="4" w:space="0" w:color="auto"/>
              <w:right w:val="single" w:sz="4" w:space="0" w:color="auto"/>
            </w:tcBorders>
            <w:shd w:val="clear" w:color="auto" w:fill="auto"/>
            <w:noWrap/>
            <w:vAlign w:val="bottom"/>
            <w:hideMark/>
          </w:tcPr>
          <w:p w14:paraId="6241CD4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-3.6%</w:t>
            </w:r>
          </w:p>
        </w:tc>
      </w:tr>
      <w:tr w:rsidR="007B29DD" w:rsidRPr="008448BA" w14:paraId="138C9AE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9E0198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53FF35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5166F2E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-6.4%</w:t>
            </w:r>
          </w:p>
        </w:tc>
        <w:tc>
          <w:tcPr>
            <w:tcW w:w="1004" w:type="dxa"/>
            <w:tcBorders>
              <w:top w:val="nil"/>
              <w:left w:val="nil"/>
              <w:bottom w:val="single" w:sz="4" w:space="0" w:color="auto"/>
              <w:right w:val="single" w:sz="4" w:space="0" w:color="auto"/>
            </w:tcBorders>
            <w:shd w:val="clear" w:color="auto" w:fill="auto"/>
            <w:noWrap/>
            <w:vAlign w:val="bottom"/>
          </w:tcPr>
          <w:p w14:paraId="758228E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-7.5%</w:t>
            </w:r>
          </w:p>
        </w:tc>
        <w:tc>
          <w:tcPr>
            <w:tcW w:w="960" w:type="dxa"/>
            <w:tcBorders>
              <w:top w:val="nil"/>
              <w:left w:val="nil"/>
              <w:bottom w:val="single" w:sz="4" w:space="0" w:color="auto"/>
              <w:right w:val="single" w:sz="4" w:space="0" w:color="auto"/>
            </w:tcBorders>
            <w:shd w:val="clear" w:color="auto" w:fill="auto"/>
            <w:noWrap/>
            <w:vAlign w:val="bottom"/>
          </w:tcPr>
          <w:p w14:paraId="1D68896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-11.5%</w:t>
            </w:r>
          </w:p>
        </w:tc>
        <w:tc>
          <w:tcPr>
            <w:tcW w:w="1116" w:type="dxa"/>
            <w:tcBorders>
              <w:top w:val="nil"/>
              <w:left w:val="nil"/>
              <w:bottom w:val="single" w:sz="4" w:space="0" w:color="auto"/>
              <w:right w:val="single" w:sz="4" w:space="0" w:color="auto"/>
            </w:tcBorders>
            <w:shd w:val="clear" w:color="auto" w:fill="auto"/>
            <w:noWrap/>
            <w:vAlign w:val="bottom"/>
          </w:tcPr>
          <w:p w14:paraId="4E6BF99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-13.5%</w:t>
            </w:r>
          </w:p>
        </w:tc>
        <w:tc>
          <w:tcPr>
            <w:tcW w:w="960" w:type="dxa"/>
            <w:tcBorders>
              <w:top w:val="nil"/>
              <w:left w:val="nil"/>
              <w:bottom w:val="single" w:sz="4" w:space="0" w:color="auto"/>
              <w:right w:val="single" w:sz="4" w:space="0" w:color="auto"/>
            </w:tcBorders>
            <w:shd w:val="clear" w:color="auto" w:fill="auto"/>
            <w:noWrap/>
            <w:vAlign w:val="bottom"/>
          </w:tcPr>
          <w:p w14:paraId="1F526F5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-19.6%</w:t>
            </w:r>
          </w:p>
        </w:tc>
        <w:tc>
          <w:tcPr>
            <w:tcW w:w="1106" w:type="dxa"/>
            <w:tcBorders>
              <w:top w:val="nil"/>
              <w:left w:val="nil"/>
              <w:bottom w:val="single" w:sz="4" w:space="0" w:color="auto"/>
              <w:right w:val="single" w:sz="4" w:space="0" w:color="auto"/>
            </w:tcBorders>
            <w:shd w:val="clear" w:color="auto" w:fill="auto"/>
            <w:noWrap/>
            <w:vAlign w:val="bottom"/>
            <w:hideMark/>
          </w:tcPr>
          <w:p w14:paraId="38864ED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-13.6%</w:t>
            </w:r>
          </w:p>
        </w:tc>
      </w:tr>
      <w:tr w:rsidR="007B29DD" w:rsidRPr="008448BA" w14:paraId="35385F05"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4204EB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Lake Corangamite</w:t>
            </w:r>
          </w:p>
          <w:p w14:paraId="36797DE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(234)</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DE0E20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74D480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AD1ABB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8B607B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7A51D43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046FD6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-0.2%</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E740D8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w:t>
            </w:r>
          </w:p>
        </w:tc>
      </w:tr>
      <w:tr w:rsidR="007B29DD" w:rsidRPr="008448BA" w14:paraId="32E830E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EA20E4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A0A438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6CDA9C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0AF6E3F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C93C50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BF9AE8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4A8370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-5.3%</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4452ADF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r>
      <w:tr w:rsidR="007B29DD" w:rsidRPr="008448BA" w14:paraId="24206168"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0A8B76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391C29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9E1F2B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6C293F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579F12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-11.6%</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22548E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B6A705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-19.1%</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D64190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-14.5%</w:t>
            </w:r>
          </w:p>
        </w:tc>
      </w:tr>
      <w:tr w:rsidR="007B29DD" w:rsidRPr="008448BA" w14:paraId="2669C7C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459A0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Otway Coast</w:t>
            </w:r>
          </w:p>
          <w:p w14:paraId="4E334181"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(235)</w:t>
            </w:r>
          </w:p>
        </w:tc>
        <w:tc>
          <w:tcPr>
            <w:tcW w:w="1240" w:type="dxa"/>
            <w:tcBorders>
              <w:top w:val="nil"/>
              <w:left w:val="nil"/>
              <w:bottom w:val="single" w:sz="4" w:space="0" w:color="auto"/>
              <w:right w:val="single" w:sz="4" w:space="0" w:color="auto"/>
            </w:tcBorders>
            <w:shd w:val="clear" w:color="auto" w:fill="auto"/>
            <w:noWrap/>
            <w:vAlign w:val="bottom"/>
            <w:hideMark/>
          </w:tcPr>
          <w:p w14:paraId="1F64E3D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7C85206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004" w:type="dxa"/>
            <w:tcBorders>
              <w:top w:val="nil"/>
              <w:left w:val="nil"/>
              <w:bottom w:val="single" w:sz="4" w:space="0" w:color="auto"/>
              <w:right w:val="single" w:sz="4" w:space="0" w:color="auto"/>
            </w:tcBorders>
            <w:shd w:val="clear" w:color="auto" w:fill="auto"/>
            <w:noWrap/>
            <w:vAlign w:val="bottom"/>
          </w:tcPr>
          <w:p w14:paraId="1A39920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tcPr>
          <w:p w14:paraId="2DA2B77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116" w:type="dxa"/>
            <w:tcBorders>
              <w:top w:val="nil"/>
              <w:left w:val="nil"/>
              <w:bottom w:val="single" w:sz="4" w:space="0" w:color="auto"/>
              <w:right w:val="single" w:sz="4" w:space="0" w:color="auto"/>
            </w:tcBorders>
            <w:shd w:val="clear" w:color="auto" w:fill="auto"/>
            <w:noWrap/>
            <w:vAlign w:val="bottom"/>
          </w:tcPr>
          <w:p w14:paraId="5665CD5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4.1%</w:t>
            </w:r>
          </w:p>
        </w:tc>
        <w:tc>
          <w:tcPr>
            <w:tcW w:w="960" w:type="dxa"/>
            <w:tcBorders>
              <w:top w:val="nil"/>
              <w:left w:val="nil"/>
              <w:bottom w:val="single" w:sz="4" w:space="0" w:color="auto"/>
              <w:right w:val="single" w:sz="4" w:space="0" w:color="auto"/>
            </w:tcBorders>
            <w:shd w:val="clear" w:color="auto" w:fill="auto"/>
            <w:noWrap/>
            <w:vAlign w:val="bottom"/>
          </w:tcPr>
          <w:p w14:paraId="1A834C6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0.5%</w:t>
            </w:r>
          </w:p>
        </w:tc>
        <w:tc>
          <w:tcPr>
            <w:tcW w:w="1106" w:type="dxa"/>
            <w:tcBorders>
              <w:top w:val="nil"/>
              <w:left w:val="nil"/>
              <w:bottom w:val="single" w:sz="4" w:space="0" w:color="auto"/>
              <w:right w:val="single" w:sz="4" w:space="0" w:color="auto"/>
            </w:tcBorders>
            <w:shd w:val="clear" w:color="auto" w:fill="auto"/>
            <w:noWrap/>
            <w:vAlign w:val="bottom"/>
            <w:hideMark/>
          </w:tcPr>
          <w:p w14:paraId="3A172EC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w:t>
            </w:r>
          </w:p>
        </w:tc>
      </w:tr>
      <w:tr w:rsidR="007B29DD" w:rsidRPr="008448BA" w14:paraId="7731AC5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3220E6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0C909CC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22DC549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004" w:type="dxa"/>
            <w:tcBorders>
              <w:top w:val="nil"/>
              <w:left w:val="nil"/>
              <w:bottom w:val="single" w:sz="4" w:space="0" w:color="auto"/>
              <w:right w:val="single" w:sz="4" w:space="0" w:color="auto"/>
            </w:tcBorders>
            <w:shd w:val="clear" w:color="auto" w:fill="auto"/>
            <w:noWrap/>
            <w:vAlign w:val="bottom"/>
          </w:tcPr>
          <w:p w14:paraId="79A50E5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-0.4%</w:t>
            </w:r>
          </w:p>
        </w:tc>
        <w:tc>
          <w:tcPr>
            <w:tcW w:w="960" w:type="dxa"/>
            <w:tcBorders>
              <w:top w:val="nil"/>
              <w:left w:val="nil"/>
              <w:bottom w:val="single" w:sz="4" w:space="0" w:color="auto"/>
              <w:right w:val="single" w:sz="4" w:space="0" w:color="auto"/>
            </w:tcBorders>
            <w:shd w:val="clear" w:color="auto" w:fill="auto"/>
            <w:noWrap/>
            <w:vAlign w:val="bottom"/>
          </w:tcPr>
          <w:p w14:paraId="4C23633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-3.6%</w:t>
            </w:r>
          </w:p>
        </w:tc>
        <w:tc>
          <w:tcPr>
            <w:tcW w:w="1116" w:type="dxa"/>
            <w:tcBorders>
              <w:top w:val="nil"/>
              <w:left w:val="nil"/>
              <w:bottom w:val="single" w:sz="4" w:space="0" w:color="auto"/>
              <w:right w:val="single" w:sz="4" w:space="0" w:color="auto"/>
            </w:tcBorders>
            <w:shd w:val="clear" w:color="auto" w:fill="auto"/>
            <w:noWrap/>
            <w:vAlign w:val="bottom"/>
          </w:tcPr>
          <w:p w14:paraId="04A1FF8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960" w:type="dxa"/>
            <w:tcBorders>
              <w:top w:val="nil"/>
              <w:left w:val="nil"/>
              <w:bottom w:val="single" w:sz="4" w:space="0" w:color="auto"/>
              <w:right w:val="single" w:sz="4" w:space="0" w:color="auto"/>
            </w:tcBorders>
            <w:shd w:val="clear" w:color="auto" w:fill="auto"/>
            <w:noWrap/>
            <w:vAlign w:val="bottom"/>
          </w:tcPr>
          <w:p w14:paraId="55D4FA5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-5.8%</w:t>
            </w:r>
          </w:p>
        </w:tc>
        <w:tc>
          <w:tcPr>
            <w:tcW w:w="1106" w:type="dxa"/>
            <w:tcBorders>
              <w:top w:val="nil"/>
              <w:left w:val="nil"/>
              <w:bottom w:val="single" w:sz="4" w:space="0" w:color="auto"/>
              <w:right w:val="single" w:sz="4" w:space="0" w:color="auto"/>
            </w:tcBorders>
            <w:shd w:val="clear" w:color="auto" w:fill="auto"/>
            <w:noWrap/>
            <w:vAlign w:val="bottom"/>
            <w:hideMark/>
          </w:tcPr>
          <w:p w14:paraId="6694D80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r>
      <w:tr w:rsidR="007B29DD" w:rsidRPr="008448BA" w14:paraId="5B473A5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7AD46D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D84949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4244DB1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-6.5%</w:t>
            </w:r>
          </w:p>
        </w:tc>
        <w:tc>
          <w:tcPr>
            <w:tcW w:w="1004" w:type="dxa"/>
            <w:tcBorders>
              <w:top w:val="nil"/>
              <w:left w:val="nil"/>
              <w:bottom w:val="single" w:sz="4" w:space="0" w:color="auto"/>
              <w:right w:val="single" w:sz="4" w:space="0" w:color="auto"/>
            </w:tcBorders>
            <w:shd w:val="clear" w:color="auto" w:fill="auto"/>
            <w:noWrap/>
            <w:vAlign w:val="bottom"/>
          </w:tcPr>
          <w:p w14:paraId="6696D03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-7.3%</w:t>
            </w:r>
          </w:p>
        </w:tc>
        <w:tc>
          <w:tcPr>
            <w:tcW w:w="960" w:type="dxa"/>
            <w:tcBorders>
              <w:top w:val="nil"/>
              <w:left w:val="nil"/>
              <w:bottom w:val="single" w:sz="4" w:space="0" w:color="auto"/>
              <w:right w:val="single" w:sz="4" w:space="0" w:color="auto"/>
            </w:tcBorders>
            <w:shd w:val="clear" w:color="auto" w:fill="auto"/>
            <w:noWrap/>
            <w:vAlign w:val="bottom"/>
          </w:tcPr>
          <w:p w14:paraId="42BE77F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-11.7%</w:t>
            </w:r>
          </w:p>
        </w:tc>
        <w:tc>
          <w:tcPr>
            <w:tcW w:w="1116" w:type="dxa"/>
            <w:tcBorders>
              <w:top w:val="nil"/>
              <w:left w:val="nil"/>
              <w:bottom w:val="single" w:sz="4" w:space="0" w:color="auto"/>
              <w:right w:val="single" w:sz="4" w:space="0" w:color="auto"/>
            </w:tcBorders>
            <w:shd w:val="clear" w:color="auto" w:fill="auto"/>
            <w:noWrap/>
            <w:vAlign w:val="bottom"/>
          </w:tcPr>
          <w:p w14:paraId="200C27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-13.1%</w:t>
            </w:r>
          </w:p>
        </w:tc>
        <w:tc>
          <w:tcPr>
            <w:tcW w:w="960" w:type="dxa"/>
            <w:tcBorders>
              <w:top w:val="nil"/>
              <w:left w:val="nil"/>
              <w:bottom w:val="single" w:sz="4" w:space="0" w:color="auto"/>
              <w:right w:val="single" w:sz="4" w:space="0" w:color="auto"/>
            </w:tcBorders>
            <w:shd w:val="clear" w:color="auto" w:fill="auto"/>
            <w:noWrap/>
            <w:vAlign w:val="bottom"/>
          </w:tcPr>
          <w:p w14:paraId="0D580AA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-19.0%</w:t>
            </w:r>
          </w:p>
        </w:tc>
        <w:tc>
          <w:tcPr>
            <w:tcW w:w="1106" w:type="dxa"/>
            <w:tcBorders>
              <w:top w:val="nil"/>
              <w:left w:val="nil"/>
              <w:bottom w:val="single" w:sz="4" w:space="0" w:color="auto"/>
              <w:right w:val="single" w:sz="4" w:space="0" w:color="auto"/>
            </w:tcBorders>
            <w:shd w:val="clear" w:color="auto" w:fill="auto"/>
            <w:noWrap/>
            <w:vAlign w:val="bottom"/>
            <w:hideMark/>
          </w:tcPr>
          <w:p w14:paraId="059C612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-13.0%</w:t>
            </w:r>
          </w:p>
        </w:tc>
      </w:tr>
      <w:tr w:rsidR="007B29DD" w:rsidRPr="008448BA" w14:paraId="3B9BF6DA"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6968934"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Hopkins</w:t>
            </w:r>
          </w:p>
          <w:p w14:paraId="681A690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(236)</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83D1DC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BABE6A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4CBD926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FA74B0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6FF6D0F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ABB8A1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7AE7A7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r>
      <w:tr w:rsidR="007B29DD" w:rsidRPr="008448BA" w14:paraId="301FA555"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959CCB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50F087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CC5308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3E3565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374941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A61DE3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796D61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-5.7%</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0A0490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-4.9%</w:t>
            </w:r>
          </w:p>
        </w:tc>
      </w:tr>
      <w:tr w:rsidR="007B29DD" w:rsidRPr="008448BA" w14:paraId="3452C9B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9168266"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9558B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F78961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-6.5%</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02363F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8BE287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-11.6%</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5222FFE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3C0DE6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-20.9%</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920A47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-14.7%</w:t>
            </w:r>
          </w:p>
        </w:tc>
      </w:tr>
      <w:tr w:rsidR="007B29DD" w:rsidRPr="008448BA" w14:paraId="442AAB42"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1152CF"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Portland Coast</w:t>
            </w:r>
          </w:p>
          <w:p w14:paraId="1EA2CD88"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(237)</w:t>
            </w:r>
          </w:p>
        </w:tc>
        <w:tc>
          <w:tcPr>
            <w:tcW w:w="1240" w:type="dxa"/>
            <w:tcBorders>
              <w:top w:val="nil"/>
              <w:left w:val="nil"/>
              <w:bottom w:val="single" w:sz="4" w:space="0" w:color="auto"/>
              <w:right w:val="single" w:sz="4" w:space="0" w:color="auto"/>
            </w:tcBorders>
            <w:shd w:val="clear" w:color="auto" w:fill="auto"/>
            <w:noWrap/>
            <w:vAlign w:val="bottom"/>
            <w:hideMark/>
          </w:tcPr>
          <w:p w14:paraId="66B39752"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12C1187B"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1004" w:type="dxa"/>
            <w:tcBorders>
              <w:top w:val="nil"/>
              <w:left w:val="nil"/>
              <w:bottom w:val="single" w:sz="4" w:space="0" w:color="auto"/>
              <w:right w:val="single" w:sz="4" w:space="0" w:color="auto"/>
            </w:tcBorders>
            <w:shd w:val="clear" w:color="auto" w:fill="auto"/>
            <w:noWrap/>
            <w:vAlign w:val="bottom"/>
          </w:tcPr>
          <w:p w14:paraId="14D4EB8C"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tcPr>
          <w:p w14:paraId="475D0A90"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116" w:type="dxa"/>
            <w:tcBorders>
              <w:top w:val="nil"/>
              <w:left w:val="nil"/>
              <w:bottom w:val="single" w:sz="4" w:space="0" w:color="auto"/>
              <w:right w:val="single" w:sz="4" w:space="0" w:color="auto"/>
            </w:tcBorders>
            <w:shd w:val="clear" w:color="auto" w:fill="auto"/>
            <w:noWrap/>
            <w:vAlign w:val="bottom"/>
          </w:tcPr>
          <w:p w14:paraId="576B12B3"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tcPr>
          <w:p w14:paraId="41B93571"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-0.2%</w:t>
            </w:r>
          </w:p>
        </w:tc>
        <w:tc>
          <w:tcPr>
            <w:tcW w:w="1106" w:type="dxa"/>
            <w:tcBorders>
              <w:top w:val="nil"/>
              <w:left w:val="nil"/>
              <w:bottom w:val="single" w:sz="4" w:space="0" w:color="auto"/>
              <w:right w:val="single" w:sz="4" w:space="0" w:color="auto"/>
            </w:tcBorders>
            <w:shd w:val="clear" w:color="auto" w:fill="auto"/>
            <w:noWrap/>
            <w:vAlign w:val="bottom"/>
            <w:hideMark/>
          </w:tcPr>
          <w:p w14:paraId="794416C6"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2.5%</w:t>
            </w:r>
          </w:p>
        </w:tc>
      </w:tr>
      <w:tr w:rsidR="007B29DD" w:rsidRPr="008448BA" w14:paraId="11885E0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3F8CA3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A732FA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5FF8A51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1004" w:type="dxa"/>
            <w:tcBorders>
              <w:top w:val="nil"/>
              <w:left w:val="nil"/>
              <w:bottom w:val="single" w:sz="4" w:space="0" w:color="auto"/>
              <w:right w:val="single" w:sz="4" w:space="0" w:color="auto"/>
            </w:tcBorders>
            <w:shd w:val="clear" w:color="auto" w:fill="auto"/>
            <w:noWrap/>
            <w:vAlign w:val="bottom"/>
          </w:tcPr>
          <w:p w14:paraId="60E2216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tcPr>
          <w:p w14:paraId="5E2808D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-4.6%</w:t>
            </w:r>
          </w:p>
        </w:tc>
        <w:tc>
          <w:tcPr>
            <w:tcW w:w="1116" w:type="dxa"/>
            <w:tcBorders>
              <w:top w:val="nil"/>
              <w:left w:val="nil"/>
              <w:bottom w:val="single" w:sz="4" w:space="0" w:color="auto"/>
              <w:right w:val="single" w:sz="4" w:space="0" w:color="auto"/>
            </w:tcBorders>
            <w:shd w:val="clear" w:color="auto" w:fill="auto"/>
            <w:noWrap/>
            <w:vAlign w:val="bottom"/>
          </w:tcPr>
          <w:p w14:paraId="40E70DB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tcPr>
          <w:p w14:paraId="7B05425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-8.4%</w:t>
            </w:r>
          </w:p>
        </w:tc>
        <w:tc>
          <w:tcPr>
            <w:tcW w:w="1106" w:type="dxa"/>
            <w:tcBorders>
              <w:top w:val="nil"/>
              <w:left w:val="nil"/>
              <w:bottom w:val="single" w:sz="4" w:space="0" w:color="auto"/>
              <w:right w:val="single" w:sz="4" w:space="0" w:color="auto"/>
            </w:tcBorders>
            <w:shd w:val="clear" w:color="auto" w:fill="auto"/>
            <w:noWrap/>
            <w:vAlign w:val="bottom"/>
            <w:hideMark/>
          </w:tcPr>
          <w:p w14:paraId="13CF44A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r>
      <w:tr w:rsidR="007B29DD" w:rsidRPr="008448BA" w14:paraId="6C02127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78B28D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0AA060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45B669E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-6.1%</w:t>
            </w:r>
          </w:p>
        </w:tc>
        <w:tc>
          <w:tcPr>
            <w:tcW w:w="1004" w:type="dxa"/>
            <w:tcBorders>
              <w:top w:val="nil"/>
              <w:left w:val="nil"/>
              <w:bottom w:val="single" w:sz="4" w:space="0" w:color="auto"/>
              <w:right w:val="single" w:sz="4" w:space="0" w:color="auto"/>
            </w:tcBorders>
            <w:shd w:val="clear" w:color="auto" w:fill="auto"/>
            <w:noWrap/>
            <w:vAlign w:val="bottom"/>
          </w:tcPr>
          <w:p w14:paraId="020891B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-7.6%</w:t>
            </w:r>
          </w:p>
        </w:tc>
        <w:tc>
          <w:tcPr>
            <w:tcW w:w="960" w:type="dxa"/>
            <w:tcBorders>
              <w:top w:val="nil"/>
              <w:left w:val="nil"/>
              <w:bottom w:val="single" w:sz="4" w:space="0" w:color="auto"/>
              <w:right w:val="single" w:sz="4" w:space="0" w:color="auto"/>
            </w:tcBorders>
            <w:shd w:val="clear" w:color="auto" w:fill="auto"/>
            <w:noWrap/>
            <w:vAlign w:val="bottom"/>
          </w:tcPr>
          <w:p w14:paraId="1DCADD1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-10.9%</w:t>
            </w:r>
          </w:p>
        </w:tc>
        <w:tc>
          <w:tcPr>
            <w:tcW w:w="1116" w:type="dxa"/>
            <w:tcBorders>
              <w:top w:val="nil"/>
              <w:left w:val="nil"/>
              <w:bottom w:val="single" w:sz="4" w:space="0" w:color="auto"/>
              <w:right w:val="single" w:sz="4" w:space="0" w:color="auto"/>
            </w:tcBorders>
            <w:shd w:val="clear" w:color="auto" w:fill="auto"/>
            <w:noWrap/>
            <w:vAlign w:val="bottom"/>
          </w:tcPr>
          <w:p w14:paraId="0A8FA8E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-13.7%</w:t>
            </w:r>
          </w:p>
        </w:tc>
        <w:tc>
          <w:tcPr>
            <w:tcW w:w="960" w:type="dxa"/>
            <w:tcBorders>
              <w:top w:val="nil"/>
              <w:left w:val="nil"/>
              <w:bottom w:val="single" w:sz="4" w:space="0" w:color="auto"/>
              <w:right w:val="single" w:sz="4" w:space="0" w:color="auto"/>
            </w:tcBorders>
            <w:shd w:val="clear" w:color="auto" w:fill="auto"/>
            <w:noWrap/>
            <w:vAlign w:val="bottom"/>
          </w:tcPr>
          <w:p w14:paraId="444E5FB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-19.0%</w:t>
            </w:r>
          </w:p>
        </w:tc>
        <w:tc>
          <w:tcPr>
            <w:tcW w:w="1106" w:type="dxa"/>
            <w:tcBorders>
              <w:top w:val="nil"/>
              <w:left w:val="nil"/>
              <w:bottom w:val="single" w:sz="4" w:space="0" w:color="auto"/>
              <w:right w:val="single" w:sz="4" w:space="0" w:color="auto"/>
            </w:tcBorders>
            <w:shd w:val="clear" w:color="auto" w:fill="auto"/>
            <w:noWrap/>
            <w:vAlign w:val="bottom"/>
            <w:hideMark/>
          </w:tcPr>
          <w:p w14:paraId="0DBB784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-13.6%</w:t>
            </w:r>
          </w:p>
        </w:tc>
      </w:tr>
      <w:tr w:rsidR="007B29DD" w:rsidRPr="008448BA" w14:paraId="243098EF"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68BFEF5"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Glenelg</w:t>
            </w:r>
          </w:p>
          <w:p w14:paraId="63C0C3A9"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(238)</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51F0F3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398D07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0.6%</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881F9F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D601E7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B7CFCD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4FBAC0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602602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r>
      <w:tr w:rsidR="007B29DD" w:rsidRPr="008448BA" w14:paraId="4B93102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767C297"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2A11CC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9D9FD4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-2.8%</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AD721E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A3B835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682A68D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E04B77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-8.4%</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5FFA61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r>
      <w:tr w:rsidR="007B29DD" w:rsidRPr="008448BA" w14:paraId="1CDF0B63"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3E0700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4379D8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4A3391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4D1A9D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A6D03A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-12.7%</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53311A9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DD7052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-21.7%</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ED764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-14.9%</w:t>
            </w:r>
          </w:p>
        </w:tc>
      </w:tr>
      <w:tr w:rsidR="007B29DD" w:rsidRPr="008448BA" w14:paraId="6E9948B4"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C4920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Millicent</w:t>
            </w:r>
          </w:p>
          <w:p w14:paraId="1723182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(239)</w:t>
            </w:r>
          </w:p>
        </w:tc>
        <w:tc>
          <w:tcPr>
            <w:tcW w:w="1240" w:type="dxa"/>
            <w:tcBorders>
              <w:top w:val="nil"/>
              <w:left w:val="nil"/>
              <w:bottom w:val="single" w:sz="4" w:space="0" w:color="auto"/>
              <w:right w:val="single" w:sz="4" w:space="0" w:color="auto"/>
            </w:tcBorders>
            <w:shd w:val="clear" w:color="auto" w:fill="auto"/>
            <w:noWrap/>
            <w:vAlign w:val="bottom"/>
            <w:hideMark/>
          </w:tcPr>
          <w:p w14:paraId="38630C9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4AE747C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1004" w:type="dxa"/>
            <w:tcBorders>
              <w:top w:val="nil"/>
              <w:left w:val="nil"/>
              <w:bottom w:val="single" w:sz="4" w:space="0" w:color="auto"/>
              <w:right w:val="single" w:sz="4" w:space="0" w:color="auto"/>
            </w:tcBorders>
            <w:shd w:val="clear" w:color="auto" w:fill="auto"/>
            <w:noWrap/>
            <w:vAlign w:val="bottom"/>
          </w:tcPr>
          <w:p w14:paraId="25B8D92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tcPr>
          <w:p w14:paraId="3F70B5A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116" w:type="dxa"/>
            <w:tcBorders>
              <w:top w:val="nil"/>
              <w:left w:val="nil"/>
              <w:bottom w:val="single" w:sz="4" w:space="0" w:color="auto"/>
              <w:right w:val="single" w:sz="4" w:space="0" w:color="auto"/>
            </w:tcBorders>
            <w:shd w:val="clear" w:color="auto" w:fill="auto"/>
            <w:noWrap/>
            <w:vAlign w:val="bottom"/>
          </w:tcPr>
          <w:p w14:paraId="61F53F0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tcPr>
          <w:p w14:paraId="1880B3D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1106" w:type="dxa"/>
            <w:tcBorders>
              <w:top w:val="nil"/>
              <w:left w:val="nil"/>
              <w:bottom w:val="single" w:sz="4" w:space="0" w:color="auto"/>
              <w:right w:val="single" w:sz="4" w:space="0" w:color="auto"/>
            </w:tcBorders>
            <w:shd w:val="clear" w:color="auto" w:fill="auto"/>
            <w:noWrap/>
            <w:vAlign w:val="bottom"/>
            <w:hideMark/>
          </w:tcPr>
          <w:p w14:paraId="1C7FD19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r>
      <w:tr w:rsidR="007B29DD" w:rsidRPr="008448BA" w14:paraId="76A7EB2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98704F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BD6875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101402D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c>
          <w:tcPr>
            <w:tcW w:w="1004" w:type="dxa"/>
            <w:tcBorders>
              <w:top w:val="nil"/>
              <w:left w:val="nil"/>
              <w:bottom w:val="single" w:sz="4" w:space="0" w:color="auto"/>
              <w:right w:val="single" w:sz="4" w:space="0" w:color="auto"/>
            </w:tcBorders>
            <w:shd w:val="clear" w:color="auto" w:fill="auto"/>
            <w:noWrap/>
            <w:vAlign w:val="bottom"/>
          </w:tcPr>
          <w:p w14:paraId="6ABE600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tcPr>
          <w:p w14:paraId="2475D50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c>
          <w:tcPr>
            <w:tcW w:w="1116" w:type="dxa"/>
            <w:tcBorders>
              <w:top w:val="nil"/>
              <w:left w:val="nil"/>
              <w:bottom w:val="single" w:sz="4" w:space="0" w:color="auto"/>
              <w:right w:val="single" w:sz="4" w:space="0" w:color="auto"/>
            </w:tcBorders>
            <w:shd w:val="clear" w:color="auto" w:fill="auto"/>
            <w:noWrap/>
            <w:vAlign w:val="bottom"/>
          </w:tcPr>
          <w:p w14:paraId="577AAFD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tcPr>
          <w:p w14:paraId="18B857F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-8.5%</w:t>
            </w:r>
          </w:p>
        </w:tc>
        <w:tc>
          <w:tcPr>
            <w:tcW w:w="1106" w:type="dxa"/>
            <w:tcBorders>
              <w:top w:val="nil"/>
              <w:left w:val="nil"/>
              <w:bottom w:val="single" w:sz="4" w:space="0" w:color="auto"/>
              <w:right w:val="single" w:sz="4" w:space="0" w:color="auto"/>
            </w:tcBorders>
            <w:shd w:val="clear" w:color="auto" w:fill="auto"/>
            <w:noWrap/>
            <w:vAlign w:val="bottom"/>
            <w:hideMark/>
          </w:tcPr>
          <w:p w14:paraId="73148E6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-4.9%</w:t>
            </w:r>
          </w:p>
        </w:tc>
      </w:tr>
      <w:tr w:rsidR="007B29DD" w:rsidRPr="008448BA" w14:paraId="47490016"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2F5C43D"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976162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523BABC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-8.3%</w:t>
            </w:r>
          </w:p>
        </w:tc>
        <w:tc>
          <w:tcPr>
            <w:tcW w:w="1004" w:type="dxa"/>
            <w:tcBorders>
              <w:top w:val="nil"/>
              <w:left w:val="nil"/>
              <w:bottom w:val="single" w:sz="4" w:space="0" w:color="auto"/>
              <w:right w:val="single" w:sz="4" w:space="0" w:color="auto"/>
            </w:tcBorders>
            <w:shd w:val="clear" w:color="auto" w:fill="auto"/>
            <w:noWrap/>
            <w:vAlign w:val="bottom"/>
          </w:tcPr>
          <w:p w14:paraId="5639EF8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-8.0%</w:t>
            </w:r>
          </w:p>
        </w:tc>
        <w:tc>
          <w:tcPr>
            <w:tcW w:w="960" w:type="dxa"/>
            <w:tcBorders>
              <w:top w:val="nil"/>
              <w:left w:val="nil"/>
              <w:bottom w:val="single" w:sz="4" w:space="0" w:color="auto"/>
              <w:right w:val="single" w:sz="4" w:space="0" w:color="auto"/>
            </w:tcBorders>
            <w:shd w:val="clear" w:color="auto" w:fill="auto"/>
            <w:noWrap/>
            <w:vAlign w:val="bottom"/>
          </w:tcPr>
          <w:p w14:paraId="07A7AA2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-15.0%</w:t>
            </w:r>
          </w:p>
        </w:tc>
        <w:tc>
          <w:tcPr>
            <w:tcW w:w="1116" w:type="dxa"/>
            <w:tcBorders>
              <w:top w:val="nil"/>
              <w:left w:val="nil"/>
              <w:bottom w:val="single" w:sz="4" w:space="0" w:color="auto"/>
              <w:right w:val="single" w:sz="4" w:space="0" w:color="auto"/>
            </w:tcBorders>
            <w:shd w:val="clear" w:color="auto" w:fill="auto"/>
            <w:noWrap/>
            <w:vAlign w:val="bottom"/>
          </w:tcPr>
          <w:p w14:paraId="46382B6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-14.4%</w:t>
            </w:r>
          </w:p>
        </w:tc>
        <w:tc>
          <w:tcPr>
            <w:tcW w:w="960" w:type="dxa"/>
            <w:tcBorders>
              <w:top w:val="nil"/>
              <w:left w:val="nil"/>
              <w:bottom w:val="single" w:sz="4" w:space="0" w:color="auto"/>
              <w:right w:val="single" w:sz="4" w:space="0" w:color="auto"/>
            </w:tcBorders>
            <w:shd w:val="clear" w:color="auto" w:fill="auto"/>
            <w:noWrap/>
            <w:vAlign w:val="bottom"/>
          </w:tcPr>
          <w:p w14:paraId="73E705C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-22.9%</w:t>
            </w:r>
          </w:p>
        </w:tc>
        <w:tc>
          <w:tcPr>
            <w:tcW w:w="1106" w:type="dxa"/>
            <w:tcBorders>
              <w:top w:val="nil"/>
              <w:left w:val="nil"/>
              <w:bottom w:val="single" w:sz="4" w:space="0" w:color="auto"/>
              <w:right w:val="single" w:sz="4" w:space="0" w:color="auto"/>
            </w:tcBorders>
            <w:shd w:val="clear" w:color="auto" w:fill="auto"/>
            <w:noWrap/>
            <w:vAlign w:val="bottom"/>
            <w:hideMark/>
          </w:tcPr>
          <w:p w14:paraId="00D6B0C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-16.7%</w:t>
            </w:r>
          </w:p>
        </w:tc>
      </w:tr>
      <w:tr w:rsidR="007B29DD" w:rsidRPr="008448BA" w14:paraId="6DB345EE"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695298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Upper Murray</w:t>
            </w:r>
          </w:p>
          <w:p w14:paraId="3366132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(401)</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DFA92F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0E503F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2CD60CD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B7ACD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7.5%</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636D621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658942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8.2%</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3F384B7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6.6%</w:t>
            </w:r>
          </w:p>
        </w:tc>
      </w:tr>
      <w:tr w:rsidR="007B29DD" w:rsidRPr="008448BA" w14:paraId="220D427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18E9C6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713908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49BAAB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2EFE52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836BA0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468B3C2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668F014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72FDBB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r>
      <w:tr w:rsidR="007B29DD" w:rsidRPr="008448BA" w14:paraId="323888F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1BCA008"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C543EF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6FFEDC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351F51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A34285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-8.5%</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DFC087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8DD90E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-14.4%</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0DA9D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-14.1%</w:t>
            </w:r>
          </w:p>
        </w:tc>
      </w:tr>
      <w:tr w:rsidR="007B29DD" w:rsidRPr="008448BA" w14:paraId="4AC48E97"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EB8E53"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Kiewa</w:t>
            </w:r>
          </w:p>
          <w:p w14:paraId="10BFE62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(402)</w:t>
            </w:r>
          </w:p>
        </w:tc>
        <w:tc>
          <w:tcPr>
            <w:tcW w:w="1240" w:type="dxa"/>
            <w:tcBorders>
              <w:top w:val="nil"/>
              <w:left w:val="nil"/>
              <w:bottom w:val="single" w:sz="4" w:space="0" w:color="auto"/>
              <w:right w:val="single" w:sz="4" w:space="0" w:color="auto"/>
            </w:tcBorders>
            <w:shd w:val="clear" w:color="auto" w:fill="auto"/>
            <w:noWrap/>
            <w:vAlign w:val="bottom"/>
            <w:hideMark/>
          </w:tcPr>
          <w:p w14:paraId="2CEC9A5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0BE9DC5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c>
          <w:tcPr>
            <w:tcW w:w="1004" w:type="dxa"/>
            <w:tcBorders>
              <w:top w:val="nil"/>
              <w:left w:val="nil"/>
              <w:bottom w:val="single" w:sz="4" w:space="0" w:color="auto"/>
              <w:right w:val="single" w:sz="4" w:space="0" w:color="auto"/>
            </w:tcBorders>
            <w:shd w:val="clear" w:color="auto" w:fill="auto"/>
            <w:noWrap/>
            <w:vAlign w:val="bottom"/>
          </w:tcPr>
          <w:p w14:paraId="25B6BC3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960" w:type="dxa"/>
            <w:tcBorders>
              <w:top w:val="nil"/>
              <w:left w:val="nil"/>
              <w:bottom w:val="single" w:sz="4" w:space="0" w:color="auto"/>
              <w:right w:val="single" w:sz="4" w:space="0" w:color="auto"/>
            </w:tcBorders>
            <w:shd w:val="clear" w:color="auto" w:fill="auto"/>
            <w:noWrap/>
            <w:vAlign w:val="bottom"/>
          </w:tcPr>
          <w:p w14:paraId="6E5E5B5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c>
          <w:tcPr>
            <w:tcW w:w="1116" w:type="dxa"/>
            <w:tcBorders>
              <w:top w:val="nil"/>
              <w:left w:val="nil"/>
              <w:bottom w:val="single" w:sz="4" w:space="0" w:color="auto"/>
              <w:right w:val="single" w:sz="4" w:space="0" w:color="auto"/>
            </w:tcBorders>
            <w:shd w:val="clear" w:color="auto" w:fill="auto"/>
            <w:noWrap/>
            <w:vAlign w:val="bottom"/>
          </w:tcPr>
          <w:p w14:paraId="34E2497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4.9%</w:t>
            </w:r>
          </w:p>
        </w:tc>
        <w:tc>
          <w:tcPr>
            <w:tcW w:w="960" w:type="dxa"/>
            <w:tcBorders>
              <w:top w:val="nil"/>
              <w:left w:val="nil"/>
              <w:bottom w:val="single" w:sz="4" w:space="0" w:color="auto"/>
              <w:right w:val="single" w:sz="4" w:space="0" w:color="auto"/>
            </w:tcBorders>
            <w:shd w:val="clear" w:color="auto" w:fill="auto"/>
            <w:noWrap/>
            <w:vAlign w:val="bottom"/>
          </w:tcPr>
          <w:p w14:paraId="6829D4B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c>
          <w:tcPr>
            <w:tcW w:w="1106" w:type="dxa"/>
            <w:tcBorders>
              <w:top w:val="nil"/>
              <w:left w:val="nil"/>
              <w:bottom w:val="single" w:sz="4" w:space="0" w:color="auto"/>
              <w:right w:val="single" w:sz="4" w:space="0" w:color="auto"/>
            </w:tcBorders>
            <w:shd w:val="clear" w:color="auto" w:fill="auto"/>
            <w:noWrap/>
            <w:vAlign w:val="bottom"/>
            <w:hideMark/>
          </w:tcPr>
          <w:p w14:paraId="27D252F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r>
      <w:tr w:rsidR="007B29DD" w:rsidRPr="008448BA" w14:paraId="6CAB9B3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719F02A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C36C68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5C6AB92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004" w:type="dxa"/>
            <w:tcBorders>
              <w:top w:val="nil"/>
              <w:left w:val="nil"/>
              <w:bottom w:val="single" w:sz="4" w:space="0" w:color="auto"/>
              <w:right w:val="single" w:sz="4" w:space="0" w:color="auto"/>
            </w:tcBorders>
            <w:shd w:val="clear" w:color="auto" w:fill="auto"/>
            <w:noWrap/>
            <w:vAlign w:val="bottom"/>
          </w:tcPr>
          <w:p w14:paraId="054DE91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960" w:type="dxa"/>
            <w:tcBorders>
              <w:top w:val="nil"/>
              <w:left w:val="nil"/>
              <w:bottom w:val="single" w:sz="4" w:space="0" w:color="auto"/>
              <w:right w:val="single" w:sz="4" w:space="0" w:color="auto"/>
            </w:tcBorders>
            <w:shd w:val="clear" w:color="auto" w:fill="auto"/>
            <w:noWrap/>
            <w:vAlign w:val="bottom"/>
          </w:tcPr>
          <w:p w14:paraId="18F485C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1116" w:type="dxa"/>
            <w:tcBorders>
              <w:top w:val="nil"/>
              <w:left w:val="nil"/>
              <w:bottom w:val="single" w:sz="4" w:space="0" w:color="auto"/>
              <w:right w:val="single" w:sz="4" w:space="0" w:color="auto"/>
            </w:tcBorders>
            <w:shd w:val="clear" w:color="auto" w:fill="auto"/>
            <w:noWrap/>
            <w:vAlign w:val="bottom"/>
          </w:tcPr>
          <w:p w14:paraId="77BCFC6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tcPr>
          <w:p w14:paraId="282B145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106" w:type="dxa"/>
            <w:tcBorders>
              <w:top w:val="nil"/>
              <w:left w:val="nil"/>
              <w:bottom w:val="single" w:sz="4" w:space="0" w:color="auto"/>
              <w:right w:val="single" w:sz="4" w:space="0" w:color="auto"/>
            </w:tcBorders>
            <w:shd w:val="clear" w:color="auto" w:fill="auto"/>
            <w:noWrap/>
            <w:vAlign w:val="bottom"/>
            <w:hideMark/>
          </w:tcPr>
          <w:p w14:paraId="17B743A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r>
      <w:tr w:rsidR="007B29DD" w:rsidRPr="008448BA" w14:paraId="7FB0B21D"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0E6F3BC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C54A87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36D0BEE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-5.3%</w:t>
            </w:r>
          </w:p>
        </w:tc>
        <w:tc>
          <w:tcPr>
            <w:tcW w:w="1004" w:type="dxa"/>
            <w:tcBorders>
              <w:top w:val="nil"/>
              <w:left w:val="nil"/>
              <w:bottom w:val="single" w:sz="4" w:space="0" w:color="auto"/>
              <w:right w:val="single" w:sz="4" w:space="0" w:color="auto"/>
            </w:tcBorders>
            <w:shd w:val="clear" w:color="auto" w:fill="auto"/>
            <w:noWrap/>
            <w:vAlign w:val="bottom"/>
          </w:tcPr>
          <w:p w14:paraId="013817D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-7.1%</w:t>
            </w:r>
          </w:p>
        </w:tc>
        <w:tc>
          <w:tcPr>
            <w:tcW w:w="960" w:type="dxa"/>
            <w:tcBorders>
              <w:top w:val="nil"/>
              <w:left w:val="nil"/>
              <w:bottom w:val="single" w:sz="4" w:space="0" w:color="auto"/>
              <w:right w:val="single" w:sz="4" w:space="0" w:color="auto"/>
            </w:tcBorders>
            <w:shd w:val="clear" w:color="auto" w:fill="auto"/>
            <w:noWrap/>
            <w:vAlign w:val="bottom"/>
          </w:tcPr>
          <w:p w14:paraId="5FF7FD0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-9.5%</w:t>
            </w:r>
          </w:p>
        </w:tc>
        <w:tc>
          <w:tcPr>
            <w:tcW w:w="1116" w:type="dxa"/>
            <w:tcBorders>
              <w:top w:val="nil"/>
              <w:left w:val="nil"/>
              <w:bottom w:val="single" w:sz="4" w:space="0" w:color="auto"/>
              <w:right w:val="single" w:sz="4" w:space="0" w:color="auto"/>
            </w:tcBorders>
            <w:shd w:val="clear" w:color="auto" w:fill="auto"/>
            <w:noWrap/>
            <w:vAlign w:val="bottom"/>
          </w:tcPr>
          <w:p w14:paraId="47B2F8E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-12.8%</w:t>
            </w:r>
          </w:p>
        </w:tc>
        <w:tc>
          <w:tcPr>
            <w:tcW w:w="960" w:type="dxa"/>
            <w:tcBorders>
              <w:top w:val="nil"/>
              <w:left w:val="nil"/>
              <w:bottom w:val="single" w:sz="4" w:space="0" w:color="auto"/>
              <w:right w:val="single" w:sz="4" w:space="0" w:color="auto"/>
            </w:tcBorders>
            <w:shd w:val="clear" w:color="auto" w:fill="auto"/>
            <w:noWrap/>
            <w:vAlign w:val="bottom"/>
          </w:tcPr>
          <w:p w14:paraId="3803381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-16.0%</w:t>
            </w:r>
          </w:p>
        </w:tc>
        <w:tc>
          <w:tcPr>
            <w:tcW w:w="1106" w:type="dxa"/>
            <w:tcBorders>
              <w:top w:val="nil"/>
              <w:left w:val="nil"/>
              <w:bottom w:val="single" w:sz="4" w:space="0" w:color="auto"/>
              <w:right w:val="single" w:sz="4" w:space="0" w:color="auto"/>
            </w:tcBorders>
            <w:shd w:val="clear" w:color="auto" w:fill="auto"/>
            <w:noWrap/>
            <w:vAlign w:val="bottom"/>
            <w:hideMark/>
          </w:tcPr>
          <w:p w14:paraId="6E8BAE7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-14.6%</w:t>
            </w:r>
          </w:p>
        </w:tc>
      </w:tr>
      <w:tr w:rsidR="007B29DD" w:rsidRPr="008448BA" w14:paraId="2571EB85"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8AE0D3A"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Ovens</w:t>
            </w:r>
          </w:p>
          <w:p w14:paraId="083E4C4E"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(403)</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90204D5"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D803792"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AE0ADDC"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87AB840"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5.3%</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6FB354F"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4.8%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E38EB2B"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3.8%</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48A2B7CC" w14:textId="77777777" w:rsidR="007B29DD" w:rsidRPr="007F07AD" w:rsidRDefault="007B29DD" w:rsidP="00306AF1">
            <w:pPr>
              <w:keepNext/>
              <w:spacing w:line="240" w:lineRule="auto"/>
              <w:jc w:val="right"/>
              <w:rPr>
                <w:rFonts w:ascii="Calibri" w:hAnsi="Calibri" w:cs="Calibri"/>
                <w:color w:val="000000"/>
                <w:lang w:val="en-US" w:eastAsia="zh-CN"/>
              </w:rPr>
            </w:pPr>
            <w:r w:rsidRPr="007F07AD">
              <w:rPr>
                <w:rFonts w:ascii="Calibri" w:hAnsi="Calibri" w:cs="Calibri"/>
                <w:color w:val="000000"/>
              </w:rPr>
              <w:t>4.4%</w:t>
            </w:r>
          </w:p>
        </w:tc>
      </w:tr>
      <w:tr w:rsidR="007B29DD" w:rsidRPr="008448BA" w14:paraId="60ED1A54"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E652210"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8D8840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54CB2B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3A70F19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9F1294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-3.4%</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53C8CF6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9C950A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B27CCE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-2.8%</w:t>
            </w:r>
          </w:p>
        </w:tc>
      </w:tr>
      <w:tr w:rsidR="007B29DD" w:rsidRPr="008448BA" w14:paraId="2C72067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317E2E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67ADD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2845A9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-5.3%</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A9307C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59F13D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-9.5%</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72CA281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071626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-17.5%</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8D91E7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-14.7%</w:t>
            </w:r>
          </w:p>
        </w:tc>
      </w:tr>
      <w:tr w:rsidR="007B29DD" w:rsidRPr="008448BA" w14:paraId="43664C6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6F7B52"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Broken</w:t>
            </w:r>
          </w:p>
          <w:p w14:paraId="28DABC1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(404)</w:t>
            </w:r>
          </w:p>
        </w:tc>
        <w:tc>
          <w:tcPr>
            <w:tcW w:w="1240" w:type="dxa"/>
            <w:tcBorders>
              <w:top w:val="nil"/>
              <w:left w:val="nil"/>
              <w:bottom w:val="single" w:sz="4" w:space="0" w:color="auto"/>
              <w:right w:val="single" w:sz="4" w:space="0" w:color="auto"/>
            </w:tcBorders>
            <w:shd w:val="clear" w:color="auto" w:fill="auto"/>
            <w:noWrap/>
            <w:vAlign w:val="bottom"/>
            <w:hideMark/>
          </w:tcPr>
          <w:p w14:paraId="6A6E031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1979493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3.3%</w:t>
            </w:r>
          </w:p>
        </w:tc>
        <w:tc>
          <w:tcPr>
            <w:tcW w:w="1004" w:type="dxa"/>
            <w:tcBorders>
              <w:top w:val="nil"/>
              <w:left w:val="nil"/>
              <w:bottom w:val="single" w:sz="4" w:space="0" w:color="auto"/>
              <w:right w:val="single" w:sz="4" w:space="0" w:color="auto"/>
            </w:tcBorders>
            <w:shd w:val="clear" w:color="auto" w:fill="auto"/>
            <w:noWrap/>
            <w:vAlign w:val="bottom"/>
          </w:tcPr>
          <w:p w14:paraId="5CF9D3B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tcPr>
          <w:p w14:paraId="773BD11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6.0%</w:t>
            </w:r>
          </w:p>
        </w:tc>
        <w:tc>
          <w:tcPr>
            <w:tcW w:w="1116" w:type="dxa"/>
            <w:tcBorders>
              <w:top w:val="nil"/>
              <w:left w:val="nil"/>
              <w:bottom w:val="single" w:sz="4" w:space="0" w:color="auto"/>
              <w:right w:val="single" w:sz="4" w:space="0" w:color="auto"/>
            </w:tcBorders>
            <w:shd w:val="clear" w:color="auto" w:fill="auto"/>
            <w:noWrap/>
            <w:vAlign w:val="bottom"/>
          </w:tcPr>
          <w:p w14:paraId="4CD0853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5.2%</w:t>
            </w:r>
          </w:p>
        </w:tc>
        <w:tc>
          <w:tcPr>
            <w:tcW w:w="960" w:type="dxa"/>
            <w:tcBorders>
              <w:top w:val="nil"/>
              <w:left w:val="nil"/>
              <w:bottom w:val="single" w:sz="4" w:space="0" w:color="auto"/>
              <w:right w:val="single" w:sz="4" w:space="0" w:color="auto"/>
            </w:tcBorders>
            <w:shd w:val="clear" w:color="auto" w:fill="auto"/>
            <w:noWrap/>
            <w:vAlign w:val="bottom"/>
          </w:tcPr>
          <w:p w14:paraId="76937B8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6.8%</w:t>
            </w:r>
          </w:p>
        </w:tc>
        <w:tc>
          <w:tcPr>
            <w:tcW w:w="1106" w:type="dxa"/>
            <w:tcBorders>
              <w:top w:val="nil"/>
              <w:left w:val="nil"/>
              <w:bottom w:val="single" w:sz="4" w:space="0" w:color="auto"/>
              <w:right w:val="single" w:sz="4" w:space="0" w:color="auto"/>
            </w:tcBorders>
            <w:shd w:val="clear" w:color="auto" w:fill="auto"/>
            <w:noWrap/>
            <w:vAlign w:val="bottom"/>
            <w:hideMark/>
          </w:tcPr>
          <w:p w14:paraId="12F7B1A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4.9%</w:t>
            </w:r>
          </w:p>
        </w:tc>
      </w:tr>
      <w:tr w:rsidR="007B29DD" w:rsidRPr="008448BA" w14:paraId="1B67591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68EAA65"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A2BB26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29678E0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004" w:type="dxa"/>
            <w:tcBorders>
              <w:top w:val="nil"/>
              <w:left w:val="nil"/>
              <w:bottom w:val="single" w:sz="4" w:space="0" w:color="auto"/>
              <w:right w:val="single" w:sz="4" w:space="0" w:color="auto"/>
            </w:tcBorders>
            <w:shd w:val="clear" w:color="auto" w:fill="auto"/>
            <w:noWrap/>
            <w:vAlign w:val="bottom"/>
          </w:tcPr>
          <w:p w14:paraId="04C08B5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-0.7%</w:t>
            </w:r>
          </w:p>
        </w:tc>
        <w:tc>
          <w:tcPr>
            <w:tcW w:w="960" w:type="dxa"/>
            <w:tcBorders>
              <w:top w:val="nil"/>
              <w:left w:val="nil"/>
              <w:bottom w:val="single" w:sz="4" w:space="0" w:color="auto"/>
              <w:right w:val="single" w:sz="4" w:space="0" w:color="auto"/>
            </w:tcBorders>
            <w:shd w:val="clear" w:color="auto" w:fill="auto"/>
            <w:noWrap/>
            <w:vAlign w:val="bottom"/>
          </w:tcPr>
          <w:p w14:paraId="69AF736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c>
          <w:tcPr>
            <w:tcW w:w="1116" w:type="dxa"/>
            <w:tcBorders>
              <w:top w:val="nil"/>
              <w:left w:val="nil"/>
              <w:bottom w:val="single" w:sz="4" w:space="0" w:color="auto"/>
              <w:right w:val="single" w:sz="4" w:space="0" w:color="auto"/>
            </w:tcBorders>
            <w:shd w:val="clear" w:color="auto" w:fill="auto"/>
            <w:noWrap/>
            <w:vAlign w:val="bottom"/>
          </w:tcPr>
          <w:p w14:paraId="0AEB49F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tcPr>
          <w:p w14:paraId="7F80E21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-3.5%</w:t>
            </w:r>
          </w:p>
        </w:tc>
        <w:tc>
          <w:tcPr>
            <w:tcW w:w="1106" w:type="dxa"/>
            <w:tcBorders>
              <w:top w:val="nil"/>
              <w:left w:val="nil"/>
              <w:bottom w:val="single" w:sz="4" w:space="0" w:color="auto"/>
              <w:right w:val="single" w:sz="4" w:space="0" w:color="auto"/>
            </w:tcBorders>
            <w:shd w:val="clear" w:color="auto" w:fill="auto"/>
            <w:noWrap/>
            <w:vAlign w:val="bottom"/>
            <w:hideMark/>
          </w:tcPr>
          <w:p w14:paraId="0E6D8A8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r>
      <w:tr w:rsidR="007B29DD" w:rsidRPr="008448BA" w14:paraId="3101F4B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6D1CC9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9A221F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7BFD85D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-7.9%</w:t>
            </w:r>
          </w:p>
        </w:tc>
        <w:tc>
          <w:tcPr>
            <w:tcW w:w="1004" w:type="dxa"/>
            <w:tcBorders>
              <w:top w:val="nil"/>
              <w:left w:val="nil"/>
              <w:bottom w:val="single" w:sz="4" w:space="0" w:color="auto"/>
              <w:right w:val="single" w:sz="4" w:space="0" w:color="auto"/>
            </w:tcBorders>
            <w:shd w:val="clear" w:color="auto" w:fill="auto"/>
            <w:noWrap/>
            <w:vAlign w:val="bottom"/>
          </w:tcPr>
          <w:p w14:paraId="4803D6F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-7.2%</w:t>
            </w:r>
          </w:p>
        </w:tc>
        <w:tc>
          <w:tcPr>
            <w:tcW w:w="960" w:type="dxa"/>
            <w:tcBorders>
              <w:top w:val="nil"/>
              <w:left w:val="nil"/>
              <w:bottom w:val="single" w:sz="4" w:space="0" w:color="auto"/>
              <w:right w:val="single" w:sz="4" w:space="0" w:color="auto"/>
            </w:tcBorders>
            <w:shd w:val="clear" w:color="auto" w:fill="auto"/>
            <w:noWrap/>
            <w:vAlign w:val="bottom"/>
          </w:tcPr>
          <w:p w14:paraId="565B213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-14.2%</w:t>
            </w:r>
          </w:p>
        </w:tc>
        <w:tc>
          <w:tcPr>
            <w:tcW w:w="1116" w:type="dxa"/>
            <w:tcBorders>
              <w:top w:val="nil"/>
              <w:left w:val="nil"/>
              <w:bottom w:val="single" w:sz="4" w:space="0" w:color="auto"/>
              <w:right w:val="single" w:sz="4" w:space="0" w:color="auto"/>
            </w:tcBorders>
            <w:shd w:val="clear" w:color="auto" w:fill="auto"/>
            <w:noWrap/>
            <w:vAlign w:val="bottom"/>
          </w:tcPr>
          <w:p w14:paraId="01171AF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-12.9%</w:t>
            </w:r>
          </w:p>
        </w:tc>
        <w:tc>
          <w:tcPr>
            <w:tcW w:w="960" w:type="dxa"/>
            <w:tcBorders>
              <w:top w:val="nil"/>
              <w:left w:val="nil"/>
              <w:bottom w:val="single" w:sz="4" w:space="0" w:color="auto"/>
              <w:right w:val="single" w:sz="4" w:space="0" w:color="auto"/>
            </w:tcBorders>
            <w:shd w:val="clear" w:color="auto" w:fill="auto"/>
            <w:noWrap/>
            <w:vAlign w:val="bottom"/>
          </w:tcPr>
          <w:p w14:paraId="6E73697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-18.3%</w:t>
            </w:r>
          </w:p>
        </w:tc>
        <w:tc>
          <w:tcPr>
            <w:tcW w:w="1106" w:type="dxa"/>
            <w:tcBorders>
              <w:top w:val="nil"/>
              <w:left w:val="nil"/>
              <w:bottom w:val="single" w:sz="4" w:space="0" w:color="auto"/>
              <w:right w:val="single" w:sz="4" w:space="0" w:color="auto"/>
            </w:tcBorders>
            <w:shd w:val="clear" w:color="auto" w:fill="auto"/>
            <w:noWrap/>
            <w:vAlign w:val="bottom"/>
            <w:hideMark/>
          </w:tcPr>
          <w:p w14:paraId="5CA13F3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-16.9%</w:t>
            </w:r>
          </w:p>
        </w:tc>
      </w:tr>
      <w:tr w:rsidR="007B29DD" w:rsidRPr="008448BA" w14:paraId="2B792200"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316205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Goulburn</w:t>
            </w:r>
          </w:p>
          <w:p w14:paraId="72E3A03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1864C6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82EC18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4C3EA6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B055E3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37FD5A1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D76484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DC075F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4.4%</w:t>
            </w:r>
          </w:p>
        </w:tc>
      </w:tr>
      <w:tr w:rsidR="007B29DD" w:rsidRPr="008448BA" w14:paraId="42446D3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11A1B1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18EFB7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5517BC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4205D3E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49E827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7FFF97E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B74154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60DE7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r>
      <w:tr w:rsidR="007B29DD" w:rsidRPr="008448BA" w14:paraId="05FD4DC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61F21CF"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360F6F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9EE2EE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-7.6%</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0189317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73BD09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-13.6%</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1CBDFE5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FD2E12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-20.7%</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81558D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-16.3%</w:t>
            </w:r>
          </w:p>
        </w:tc>
      </w:tr>
      <w:tr w:rsidR="007B29DD" w:rsidRPr="008448BA" w14:paraId="48967890"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9E7F52"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Campaspe</w:t>
            </w:r>
          </w:p>
          <w:p w14:paraId="1887626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(406)</w:t>
            </w:r>
          </w:p>
        </w:tc>
        <w:tc>
          <w:tcPr>
            <w:tcW w:w="1240" w:type="dxa"/>
            <w:tcBorders>
              <w:top w:val="nil"/>
              <w:left w:val="nil"/>
              <w:bottom w:val="single" w:sz="4" w:space="0" w:color="auto"/>
              <w:right w:val="single" w:sz="4" w:space="0" w:color="auto"/>
            </w:tcBorders>
            <w:shd w:val="clear" w:color="auto" w:fill="auto"/>
            <w:noWrap/>
            <w:vAlign w:val="bottom"/>
            <w:hideMark/>
          </w:tcPr>
          <w:p w14:paraId="1CD7D02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1E5A53B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1004" w:type="dxa"/>
            <w:tcBorders>
              <w:top w:val="nil"/>
              <w:left w:val="nil"/>
              <w:bottom w:val="single" w:sz="4" w:space="0" w:color="auto"/>
              <w:right w:val="single" w:sz="4" w:space="0" w:color="auto"/>
            </w:tcBorders>
            <w:shd w:val="clear" w:color="auto" w:fill="auto"/>
            <w:noWrap/>
            <w:vAlign w:val="bottom"/>
          </w:tcPr>
          <w:p w14:paraId="0A4A9FF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2.8%</w:t>
            </w:r>
          </w:p>
        </w:tc>
        <w:tc>
          <w:tcPr>
            <w:tcW w:w="960" w:type="dxa"/>
            <w:tcBorders>
              <w:top w:val="nil"/>
              <w:left w:val="nil"/>
              <w:bottom w:val="single" w:sz="4" w:space="0" w:color="auto"/>
              <w:right w:val="single" w:sz="4" w:space="0" w:color="auto"/>
            </w:tcBorders>
            <w:shd w:val="clear" w:color="auto" w:fill="auto"/>
            <w:noWrap/>
            <w:vAlign w:val="bottom"/>
          </w:tcPr>
          <w:p w14:paraId="6BE7DD0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2.4%</w:t>
            </w:r>
          </w:p>
        </w:tc>
        <w:tc>
          <w:tcPr>
            <w:tcW w:w="1116" w:type="dxa"/>
            <w:tcBorders>
              <w:top w:val="nil"/>
              <w:left w:val="nil"/>
              <w:bottom w:val="single" w:sz="4" w:space="0" w:color="auto"/>
              <w:right w:val="single" w:sz="4" w:space="0" w:color="auto"/>
            </w:tcBorders>
            <w:shd w:val="clear" w:color="auto" w:fill="auto"/>
            <w:noWrap/>
            <w:vAlign w:val="bottom"/>
          </w:tcPr>
          <w:p w14:paraId="39178A5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5.1%</w:t>
            </w:r>
          </w:p>
        </w:tc>
        <w:tc>
          <w:tcPr>
            <w:tcW w:w="960" w:type="dxa"/>
            <w:tcBorders>
              <w:top w:val="nil"/>
              <w:left w:val="nil"/>
              <w:bottom w:val="single" w:sz="4" w:space="0" w:color="auto"/>
              <w:right w:val="single" w:sz="4" w:space="0" w:color="auto"/>
            </w:tcBorders>
            <w:shd w:val="clear" w:color="auto" w:fill="auto"/>
            <w:noWrap/>
            <w:vAlign w:val="bottom"/>
          </w:tcPr>
          <w:p w14:paraId="5723375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106" w:type="dxa"/>
            <w:tcBorders>
              <w:top w:val="nil"/>
              <w:left w:val="nil"/>
              <w:bottom w:val="single" w:sz="4" w:space="0" w:color="auto"/>
              <w:right w:val="single" w:sz="4" w:space="0" w:color="auto"/>
            </w:tcBorders>
            <w:shd w:val="clear" w:color="auto" w:fill="auto"/>
            <w:noWrap/>
            <w:vAlign w:val="bottom"/>
            <w:hideMark/>
          </w:tcPr>
          <w:p w14:paraId="7D0F21F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3.8%</w:t>
            </w:r>
          </w:p>
        </w:tc>
      </w:tr>
      <w:tr w:rsidR="007B29DD" w:rsidRPr="008448BA" w14:paraId="66A7E5E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4F9C0DF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30CFCA6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2E94312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w:t>
            </w:r>
          </w:p>
        </w:tc>
        <w:tc>
          <w:tcPr>
            <w:tcW w:w="1004" w:type="dxa"/>
            <w:tcBorders>
              <w:top w:val="nil"/>
              <w:left w:val="nil"/>
              <w:bottom w:val="single" w:sz="4" w:space="0" w:color="auto"/>
              <w:right w:val="single" w:sz="4" w:space="0" w:color="auto"/>
            </w:tcBorders>
            <w:shd w:val="clear" w:color="auto" w:fill="auto"/>
            <w:noWrap/>
            <w:vAlign w:val="bottom"/>
          </w:tcPr>
          <w:p w14:paraId="062D677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-0.9%</w:t>
            </w:r>
          </w:p>
        </w:tc>
        <w:tc>
          <w:tcPr>
            <w:tcW w:w="960" w:type="dxa"/>
            <w:tcBorders>
              <w:top w:val="nil"/>
              <w:left w:val="nil"/>
              <w:bottom w:val="single" w:sz="4" w:space="0" w:color="auto"/>
              <w:right w:val="single" w:sz="4" w:space="0" w:color="auto"/>
            </w:tcBorders>
            <w:shd w:val="clear" w:color="auto" w:fill="auto"/>
            <w:noWrap/>
            <w:vAlign w:val="bottom"/>
          </w:tcPr>
          <w:p w14:paraId="16E683E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w:t>
            </w:r>
          </w:p>
        </w:tc>
        <w:tc>
          <w:tcPr>
            <w:tcW w:w="1116" w:type="dxa"/>
            <w:tcBorders>
              <w:top w:val="nil"/>
              <w:left w:val="nil"/>
              <w:bottom w:val="single" w:sz="4" w:space="0" w:color="auto"/>
              <w:right w:val="single" w:sz="4" w:space="0" w:color="auto"/>
            </w:tcBorders>
            <w:shd w:val="clear" w:color="auto" w:fill="auto"/>
            <w:noWrap/>
            <w:vAlign w:val="bottom"/>
          </w:tcPr>
          <w:p w14:paraId="245F796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tcPr>
          <w:p w14:paraId="7DC0621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-6.1%</w:t>
            </w:r>
          </w:p>
        </w:tc>
        <w:tc>
          <w:tcPr>
            <w:tcW w:w="1106" w:type="dxa"/>
            <w:tcBorders>
              <w:top w:val="nil"/>
              <w:left w:val="nil"/>
              <w:bottom w:val="single" w:sz="4" w:space="0" w:color="auto"/>
              <w:right w:val="single" w:sz="4" w:space="0" w:color="auto"/>
            </w:tcBorders>
            <w:shd w:val="clear" w:color="auto" w:fill="auto"/>
            <w:noWrap/>
            <w:vAlign w:val="bottom"/>
            <w:hideMark/>
          </w:tcPr>
          <w:p w14:paraId="5880F79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-3.3%</w:t>
            </w:r>
          </w:p>
        </w:tc>
      </w:tr>
      <w:tr w:rsidR="007B29DD" w:rsidRPr="008448BA" w14:paraId="3F31DAC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22C8F2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27CFE7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603B34F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-8.4%</w:t>
            </w:r>
          </w:p>
        </w:tc>
        <w:tc>
          <w:tcPr>
            <w:tcW w:w="1004" w:type="dxa"/>
            <w:tcBorders>
              <w:top w:val="nil"/>
              <w:left w:val="nil"/>
              <w:bottom w:val="single" w:sz="4" w:space="0" w:color="auto"/>
              <w:right w:val="single" w:sz="4" w:space="0" w:color="auto"/>
            </w:tcBorders>
            <w:shd w:val="clear" w:color="auto" w:fill="auto"/>
            <w:noWrap/>
            <w:vAlign w:val="bottom"/>
          </w:tcPr>
          <w:p w14:paraId="5A6C76E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-8.3%</w:t>
            </w:r>
          </w:p>
        </w:tc>
        <w:tc>
          <w:tcPr>
            <w:tcW w:w="960" w:type="dxa"/>
            <w:tcBorders>
              <w:top w:val="nil"/>
              <w:left w:val="nil"/>
              <w:bottom w:val="single" w:sz="4" w:space="0" w:color="auto"/>
              <w:right w:val="single" w:sz="4" w:space="0" w:color="auto"/>
            </w:tcBorders>
            <w:shd w:val="clear" w:color="auto" w:fill="auto"/>
            <w:noWrap/>
            <w:vAlign w:val="bottom"/>
          </w:tcPr>
          <w:p w14:paraId="0E1A16B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-15.2%</w:t>
            </w:r>
          </w:p>
        </w:tc>
        <w:tc>
          <w:tcPr>
            <w:tcW w:w="1116" w:type="dxa"/>
            <w:tcBorders>
              <w:top w:val="nil"/>
              <w:left w:val="nil"/>
              <w:bottom w:val="single" w:sz="4" w:space="0" w:color="auto"/>
              <w:right w:val="single" w:sz="4" w:space="0" w:color="auto"/>
            </w:tcBorders>
            <w:shd w:val="clear" w:color="auto" w:fill="auto"/>
            <w:noWrap/>
            <w:vAlign w:val="bottom"/>
          </w:tcPr>
          <w:p w14:paraId="19E751E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-15.0%</w:t>
            </w:r>
          </w:p>
        </w:tc>
        <w:tc>
          <w:tcPr>
            <w:tcW w:w="960" w:type="dxa"/>
            <w:tcBorders>
              <w:top w:val="nil"/>
              <w:left w:val="nil"/>
              <w:bottom w:val="single" w:sz="4" w:space="0" w:color="auto"/>
              <w:right w:val="single" w:sz="4" w:space="0" w:color="auto"/>
            </w:tcBorders>
            <w:shd w:val="clear" w:color="auto" w:fill="auto"/>
            <w:noWrap/>
            <w:vAlign w:val="bottom"/>
          </w:tcPr>
          <w:p w14:paraId="5A3E3E2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-23.2%</w:t>
            </w:r>
          </w:p>
        </w:tc>
        <w:tc>
          <w:tcPr>
            <w:tcW w:w="1106" w:type="dxa"/>
            <w:tcBorders>
              <w:top w:val="nil"/>
              <w:left w:val="nil"/>
              <w:bottom w:val="single" w:sz="4" w:space="0" w:color="auto"/>
              <w:right w:val="single" w:sz="4" w:space="0" w:color="auto"/>
            </w:tcBorders>
            <w:shd w:val="clear" w:color="auto" w:fill="auto"/>
            <w:noWrap/>
            <w:vAlign w:val="bottom"/>
            <w:hideMark/>
          </w:tcPr>
          <w:p w14:paraId="20E2FDD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-17.3%</w:t>
            </w:r>
          </w:p>
        </w:tc>
      </w:tr>
      <w:tr w:rsidR="007B29DD" w:rsidRPr="008448BA" w14:paraId="26D06325"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6A20549"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Loddon</w:t>
            </w:r>
          </w:p>
          <w:p w14:paraId="40B1C64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(407)</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10FFF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A39777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19A8A8B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65DF6F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DD8EE5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63CAD3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3.2%</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0CDEB7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4.3%</w:t>
            </w:r>
          </w:p>
        </w:tc>
      </w:tr>
      <w:tr w:rsidR="007B29DD" w:rsidRPr="008448BA" w14:paraId="73CDED89"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3784D99"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945A12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F4516D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889E14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5C93B92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-2.8%</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2A330A1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3164CE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-5.6%</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98FFC4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r>
      <w:tr w:rsidR="007B29DD" w:rsidRPr="008448BA" w14:paraId="02E4FA15"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E1E850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3E1B68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5235AB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-7.9%</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685BEEE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9E803D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-14.3%</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44E7D0E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C46158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-22.9%</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77B5575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-17.1%</w:t>
            </w:r>
          </w:p>
        </w:tc>
      </w:tr>
      <w:tr w:rsidR="007B29DD" w:rsidRPr="008448BA" w14:paraId="52AD3598"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5A97C6"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Avoca</w:t>
            </w:r>
          </w:p>
          <w:p w14:paraId="1F7D5DDA"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(408)</w:t>
            </w:r>
          </w:p>
        </w:tc>
        <w:tc>
          <w:tcPr>
            <w:tcW w:w="1240" w:type="dxa"/>
            <w:tcBorders>
              <w:top w:val="nil"/>
              <w:left w:val="nil"/>
              <w:bottom w:val="single" w:sz="4" w:space="0" w:color="auto"/>
              <w:right w:val="single" w:sz="4" w:space="0" w:color="auto"/>
            </w:tcBorders>
            <w:shd w:val="clear" w:color="auto" w:fill="auto"/>
            <w:noWrap/>
            <w:vAlign w:val="bottom"/>
            <w:hideMark/>
          </w:tcPr>
          <w:p w14:paraId="2786334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626A4F1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1004" w:type="dxa"/>
            <w:tcBorders>
              <w:top w:val="nil"/>
              <w:left w:val="nil"/>
              <w:bottom w:val="single" w:sz="4" w:space="0" w:color="auto"/>
              <w:right w:val="single" w:sz="4" w:space="0" w:color="auto"/>
            </w:tcBorders>
            <w:shd w:val="clear" w:color="auto" w:fill="auto"/>
            <w:noWrap/>
            <w:vAlign w:val="bottom"/>
          </w:tcPr>
          <w:p w14:paraId="2369CBF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tcPr>
          <w:p w14:paraId="2CC2F16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4.8%</w:t>
            </w:r>
          </w:p>
        </w:tc>
        <w:tc>
          <w:tcPr>
            <w:tcW w:w="1116" w:type="dxa"/>
            <w:tcBorders>
              <w:top w:val="nil"/>
              <w:left w:val="nil"/>
              <w:bottom w:val="single" w:sz="4" w:space="0" w:color="auto"/>
              <w:right w:val="single" w:sz="4" w:space="0" w:color="auto"/>
            </w:tcBorders>
            <w:shd w:val="clear" w:color="auto" w:fill="auto"/>
            <w:noWrap/>
            <w:vAlign w:val="bottom"/>
          </w:tcPr>
          <w:p w14:paraId="4DB34C5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5.5%</w:t>
            </w:r>
          </w:p>
        </w:tc>
        <w:tc>
          <w:tcPr>
            <w:tcW w:w="960" w:type="dxa"/>
            <w:tcBorders>
              <w:top w:val="nil"/>
              <w:left w:val="nil"/>
              <w:bottom w:val="single" w:sz="4" w:space="0" w:color="auto"/>
              <w:right w:val="single" w:sz="4" w:space="0" w:color="auto"/>
            </w:tcBorders>
            <w:shd w:val="clear" w:color="auto" w:fill="auto"/>
            <w:noWrap/>
            <w:vAlign w:val="bottom"/>
          </w:tcPr>
          <w:p w14:paraId="728381B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6.9%</w:t>
            </w:r>
          </w:p>
        </w:tc>
        <w:tc>
          <w:tcPr>
            <w:tcW w:w="1106" w:type="dxa"/>
            <w:tcBorders>
              <w:top w:val="nil"/>
              <w:left w:val="nil"/>
              <w:bottom w:val="single" w:sz="4" w:space="0" w:color="auto"/>
              <w:right w:val="single" w:sz="4" w:space="0" w:color="auto"/>
            </w:tcBorders>
            <w:shd w:val="clear" w:color="auto" w:fill="auto"/>
            <w:noWrap/>
            <w:vAlign w:val="bottom"/>
            <w:hideMark/>
          </w:tcPr>
          <w:p w14:paraId="3A14FFF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6.0%</w:t>
            </w:r>
          </w:p>
        </w:tc>
      </w:tr>
      <w:tr w:rsidR="007B29DD" w:rsidRPr="008448BA" w14:paraId="58CF88A1"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59EDFA42"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9A6A15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2888B85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004" w:type="dxa"/>
            <w:tcBorders>
              <w:top w:val="nil"/>
              <w:left w:val="nil"/>
              <w:bottom w:val="single" w:sz="4" w:space="0" w:color="auto"/>
              <w:right w:val="single" w:sz="4" w:space="0" w:color="auto"/>
            </w:tcBorders>
            <w:shd w:val="clear" w:color="auto" w:fill="auto"/>
            <w:noWrap/>
            <w:vAlign w:val="bottom"/>
          </w:tcPr>
          <w:p w14:paraId="20148F6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tcPr>
          <w:p w14:paraId="4FCDA22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-3.8%</w:t>
            </w:r>
          </w:p>
        </w:tc>
        <w:tc>
          <w:tcPr>
            <w:tcW w:w="1116" w:type="dxa"/>
            <w:tcBorders>
              <w:top w:val="nil"/>
              <w:left w:val="nil"/>
              <w:bottom w:val="single" w:sz="4" w:space="0" w:color="auto"/>
              <w:right w:val="single" w:sz="4" w:space="0" w:color="auto"/>
            </w:tcBorders>
            <w:shd w:val="clear" w:color="auto" w:fill="auto"/>
            <w:noWrap/>
            <w:vAlign w:val="bottom"/>
          </w:tcPr>
          <w:p w14:paraId="1ED1ABA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tcPr>
          <w:p w14:paraId="6CB3BD9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-3.4%</w:t>
            </w:r>
          </w:p>
        </w:tc>
        <w:tc>
          <w:tcPr>
            <w:tcW w:w="1106" w:type="dxa"/>
            <w:tcBorders>
              <w:top w:val="nil"/>
              <w:left w:val="nil"/>
              <w:bottom w:val="single" w:sz="4" w:space="0" w:color="auto"/>
              <w:right w:val="single" w:sz="4" w:space="0" w:color="auto"/>
            </w:tcBorders>
            <w:shd w:val="clear" w:color="auto" w:fill="auto"/>
            <w:noWrap/>
            <w:vAlign w:val="bottom"/>
            <w:hideMark/>
          </w:tcPr>
          <w:p w14:paraId="467D87C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-1.4%</w:t>
            </w:r>
          </w:p>
        </w:tc>
      </w:tr>
      <w:tr w:rsidR="007B29DD" w:rsidRPr="008448BA" w14:paraId="365D3187"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2CB97B6E"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2C0F6D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1FCB563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-8.6%</w:t>
            </w:r>
          </w:p>
        </w:tc>
        <w:tc>
          <w:tcPr>
            <w:tcW w:w="1004" w:type="dxa"/>
            <w:tcBorders>
              <w:top w:val="nil"/>
              <w:left w:val="nil"/>
              <w:bottom w:val="single" w:sz="4" w:space="0" w:color="auto"/>
              <w:right w:val="single" w:sz="4" w:space="0" w:color="auto"/>
            </w:tcBorders>
            <w:shd w:val="clear" w:color="auto" w:fill="auto"/>
            <w:noWrap/>
            <w:vAlign w:val="bottom"/>
          </w:tcPr>
          <w:p w14:paraId="56B6BB2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-9.0%</w:t>
            </w:r>
          </w:p>
        </w:tc>
        <w:tc>
          <w:tcPr>
            <w:tcW w:w="960" w:type="dxa"/>
            <w:tcBorders>
              <w:top w:val="nil"/>
              <w:left w:val="nil"/>
              <w:bottom w:val="single" w:sz="4" w:space="0" w:color="auto"/>
              <w:right w:val="single" w:sz="4" w:space="0" w:color="auto"/>
            </w:tcBorders>
            <w:shd w:val="clear" w:color="auto" w:fill="auto"/>
            <w:noWrap/>
            <w:vAlign w:val="bottom"/>
          </w:tcPr>
          <w:p w14:paraId="3B3735E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-15.5%</w:t>
            </w:r>
          </w:p>
        </w:tc>
        <w:tc>
          <w:tcPr>
            <w:tcW w:w="1116" w:type="dxa"/>
            <w:tcBorders>
              <w:top w:val="nil"/>
              <w:left w:val="nil"/>
              <w:bottom w:val="single" w:sz="4" w:space="0" w:color="auto"/>
              <w:right w:val="single" w:sz="4" w:space="0" w:color="auto"/>
            </w:tcBorders>
            <w:shd w:val="clear" w:color="auto" w:fill="auto"/>
            <w:noWrap/>
            <w:vAlign w:val="bottom"/>
          </w:tcPr>
          <w:p w14:paraId="501B3A6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-16.2%</w:t>
            </w:r>
          </w:p>
        </w:tc>
        <w:tc>
          <w:tcPr>
            <w:tcW w:w="960" w:type="dxa"/>
            <w:tcBorders>
              <w:top w:val="nil"/>
              <w:left w:val="nil"/>
              <w:bottom w:val="single" w:sz="4" w:space="0" w:color="auto"/>
              <w:right w:val="single" w:sz="4" w:space="0" w:color="auto"/>
            </w:tcBorders>
            <w:shd w:val="clear" w:color="auto" w:fill="auto"/>
            <w:noWrap/>
            <w:vAlign w:val="bottom"/>
          </w:tcPr>
          <w:p w14:paraId="3F9D563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-20.6%</w:t>
            </w:r>
          </w:p>
        </w:tc>
        <w:tc>
          <w:tcPr>
            <w:tcW w:w="1106" w:type="dxa"/>
            <w:tcBorders>
              <w:top w:val="nil"/>
              <w:left w:val="nil"/>
              <w:bottom w:val="single" w:sz="4" w:space="0" w:color="auto"/>
              <w:right w:val="single" w:sz="4" w:space="0" w:color="auto"/>
            </w:tcBorders>
            <w:shd w:val="clear" w:color="auto" w:fill="auto"/>
            <w:noWrap/>
            <w:vAlign w:val="bottom"/>
            <w:hideMark/>
          </w:tcPr>
          <w:p w14:paraId="1200738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-18.2%</w:t>
            </w:r>
          </w:p>
        </w:tc>
      </w:tr>
      <w:tr w:rsidR="007B29DD" w:rsidRPr="008448BA" w14:paraId="07488CC6"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041CAF5"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Lower Murray</w:t>
            </w:r>
          </w:p>
          <w:p w14:paraId="6713D458"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(409)</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EC62EC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3FD56F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8FE377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4BA1D19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7.3%</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19F2DBF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6.2%</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4EE20A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9.1%</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0E6657F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7.4%</w:t>
            </w:r>
          </w:p>
        </w:tc>
      </w:tr>
      <w:tr w:rsidR="007B29DD" w:rsidRPr="008448BA" w14:paraId="73CC4A7E"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54D41B4"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DE4B9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E06B85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32DAF5B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512317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-3.8%</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7600B25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3C5B29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260BA0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-0.8%</w:t>
            </w:r>
          </w:p>
        </w:tc>
      </w:tr>
      <w:tr w:rsidR="007B29DD" w:rsidRPr="008448BA" w14:paraId="6C85A22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F52C25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F5E26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7FBC48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60AEC4C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BC01BC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03F6631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-12.3%</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E43E28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-19.1%</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D568DA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-16.0%</w:t>
            </w:r>
          </w:p>
        </w:tc>
      </w:tr>
      <w:tr w:rsidR="007B29DD" w:rsidRPr="008448BA" w14:paraId="48351DF4"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AB7602"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Mallee</w:t>
            </w:r>
          </w:p>
          <w:p w14:paraId="15DB06AB"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(414)</w:t>
            </w:r>
          </w:p>
        </w:tc>
        <w:tc>
          <w:tcPr>
            <w:tcW w:w="1240" w:type="dxa"/>
            <w:tcBorders>
              <w:top w:val="nil"/>
              <w:left w:val="nil"/>
              <w:bottom w:val="single" w:sz="4" w:space="0" w:color="auto"/>
              <w:right w:val="single" w:sz="4" w:space="0" w:color="auto"/>
            </w:tcBorders>
            <w:shd w:val="clear" w:color="auto" w:fill="auto"/>
            <w:noWrap/>
            <w:vAlign w:val="bottom"/>
            <w:hideMark/>
          </w:tcPr>
          <w:p w14:paraId="0E9B7CBB"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bottom"/>
          </w:tcPr>
          <w:p w14:paraId="7E0CC4A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2.6%</w:t>
            </w:r>
          </w:p>
        </w:tc>
        <w:tc>
          <w:tcPr>
            <w:tcW w:w="1004" w:type="dxa"/>
            <w:tcBorders>
              <w:top w:val="nil"/>
              <w:left w:val="nil"/>
              <w:bottom w:val="single" w:sz="4" w:space="0" w:color="auto"/>
              <w:right w:val="single" w:sz="4" w:space="0" w:color="auto"/>
            </w:tcBorders>
            <w:shd w:val="clear" w:color="auto" w:fill="auto"/>
            <w:noWrap/>
            <w:vAlign w:val="bottom"/>
          </w:tcPr>
          <w:p w14:paraId="4AE1601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tcPr>
          <w:p w14:paraId="4330EE6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4.7%</w:t>
            </w:r>
          </w:p>
        </w:tc>
        <w:tc>
          <w:tcPr>
            <w:tcW w:w="1116" w:type="dxa"/>
            <w:tcBorders>
              <w:top w:val="nil"/>
              <w:left w:val="nil"/>
              <w:bottom w:val="single" w:sz="4" w:space="0" w:color="auto"/>
              <w:right w:val="single" w:sz="4" w:space="0" w:color="auto"/>
            </w:tcBorders>
            <w:shd w:val="clear" w:color="auto" w:fill="auto"/>
            <w:noWrap/>
            <w:vAlign w:val="bottom"/>
          </w:tcPr>
          <w:p w14:paraId="4736FCA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4.5%</w:t>
            </w:r>
          </w:p>
        </w:tc>
        <w:tc>
          <w:tcPr>
            <w:tcW w:w="960" w:type="dxa"/>
            <w:tcBorders>
              <w:top w:val="nil"/>
              <w:left w:val="nil"/>
              <w:bottom w:val="single" w:sz="4" w:space="0" w:color="auto"/>
              <w:right w:val="single" w:sz="4" w:space="0" w:color="auto"/>
            </w:tcBorders>
            <w:shd w:val="clear" w:color="auto" w:fill="auto"/>
            <w:noWrap/>
            <w:vAlign w:val="bottom"/>
          </w:tcPr>
          <w:p w14:paraId="23864EB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6.9%</w:t>
            </w:r>
          </w:p>
        </w:tc>
        <w:tc>
          <w:tcPr>
            <w:tcW w:w="1106" w:type="dxa"/>
            <w:tcBorders>
              <w:top w:val="nil"/>
              <w:left w:val="nil"/>
              <w:bottom w:val="single" w:sz="4" w:space="0" w:color="auto"/>
              <w:right w:val="single" w:sz="4" w:space="0" w:color="auto"/>
            </w:tcBorders>
            <w:shd w:val="clear" w:color="auto" w:fill="auto"/>
            <w:noWrap/>
            <w:vAlign w:val="bottom"/>
            <w:hideMark/>
          </w:tcPr>
          <w:p w14:paraId="7287362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7.1%</w:t>
            </w:r>
          </w:p>
        </w:tc>
      </w:tr>
      <w:tr w:rsidR="007B29DD" w:rsidRPr="008448BA" w14:paraId="055D3E15"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38CB04DD"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5F86695A"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bottom"/>
          </w:tcPr>
          <w:p w14:paraId="42847E15"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-3.0%</w:t>
            </w:r>
          </w:p>
        </w:tc>
        <w:tc>
          <w:tcPr>
            <w:tcW w:w="1004" w:type="dxa"/>
            <w:tcBorders>
              <w:top w:val="nil"/>
              <w:left w:val="nil"/>
              <w:bottom w:val="single" w:sz="4" w:space="0" w:color="auto"/>
              <w:right w:val="single" w:sz="4" w:space="0" w:color="auto"/>
            </w:tcBorders>
            <w:shd w:val="clear" w:color="auto" w:fill="auto"/>
            <w:noWrap/>
            <w:vAlign w:val="bottom"/>
          </w:tcPr>
          <w:p w14:paraId="6FE5C40B"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tcPr>
          <w:p w14:paraId="5C9EC0B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-5.3%</w:t>
            </w:r>
          </w:p>
        </w:tc>
        <w:tc>
          <w:tcPr>
            <w:tcW w:w="1116" w:type="dxa"/>
            <w:tcBorders>
              <w:top w:val="nil"/>
              <w:left w:val="nil"/>
              <w:bottom w:val="single" w:sz="4" w:space="0" w:color="auto"/>
              <w:right w:val="single" w:sz="4" w:space="0" w:color="auto"/>
            </w:tcBorders>
            <w:shd w:val="clear" w:color="auto" w:fill="auto"/>
            <w:noWrap/>
            <w:vAlign w:val="bottom"/>
          </w:tcPr>
          <w:p w14:paraId="5154543F"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tcPr>
          <w:p w14:paraId="2B30C2F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-6.5%</w:t>
            </w:r>
          </w:p>
        </w:tc>
        <w:tc>
          <w:tcPr>
            <w:tcW w:w="1106" w:type="dxa"/>
            <w:tcBorders>
              <w:top w:val="nil"/>
              <w:left w:val="nil"/>
              <w:bottom w:val="single" w:sz="4" w:space="0" w:color="auto"/>
              <w:right w:val="single" w:sz="4" w:space="0" w:color="auto"/>
            </w:tcBorders>
            <w:shd w:val="clear" w:color="auto" w:fill="auto"/>
            <w:noWrap/>
            <w:vAlign w:val="bottom"/>
            <w:hideMark/>
          </w:tcPr>
          <w:p w14:paraId="08B43B8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w:t>
            </w:r>
          </w:p>
        </w:tc>
      </w:tr>
      <w:tr w:rsidR="007B29DD" w:rsidRPr="008448BA" w14:paraId="3566C36C"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5236566" w14:textId="77777777" w:rsidR="007B29DD" w:rsidRPr="008448BA" w:rsidRDefault="007B29DD" w:rsidP="00306AF1">
            <w:pPr>
              <w:keepNext/>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19F5D59F"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bottom"/>
          </w:tcPr>
          <w:p w14:paraId="0710E6E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-9.9%</w:t>
            </w:r>
          </w:p>
        </w:tc>
        <w:tc>
          <w:tcPr>
            <w:tcW w:w="1004" w:type="dxa"/>
            <w:tcBorders>
              <w:top w:val="nil"/>
              <w:left w:val="nil"/>
              <w:bottom w:val="single" w:sz="4" w:space="0" w:color="auto"/>
              <w:right w:val="single" w:sz="4" w:space="0" w:color="auto"/>
            </w:tcBorders>
            <w:shd w:val="clear" w:color="auto" w:fill="auto"/>
            <w:noWrap/>
            <w:vAlign w:val="bottom"/>
          </w:tcPr>
          <w:p w14:paraId="2E76802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-9.7%</w:t>
            </w:r>
          </w:p>
        </w:tc>
        <w:tc>
          <w:tcPr>
            <w:tcW w:w="960" w:type="dxa"/>
            <w:tcBorders>
              <w:top w:val="nil"/>
              <w:left w:val="nil"/>
              <w:bottom w:val="single" w:sz="4" w:space="0" w:color="auto"/>
              <w:right w:val="single" w:sz="4" w:space="0" w:color="auto"/>
            </w:tcBorders>
            <w:shd w:val="clear" w:color="auto" w:fill="auto"/>
            <w:noWrap/>
            <w:vAlign w:val="bottom"/>
          </w:tcPr>
          <w:p w14:paraId="131F7BB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-17.8%</w:t>
            </w:r>
          </w:p>
        </w:tc>
        <w:tc>
          <w:tcPr>
            <w:tcW w:w="1116" w:type="dxa"/>
            <w:tcBorders>
              <w:top w:val="nil"/>
              <w:left w:val="nil"/>
              <w:bottom w:val="single" w:sz="4" w:space="0" w:color="auto"/>
              <w:right w:val="single" w:sz="4" w:space="0" w:color="auto"/>
            </w:tcBorders>
            <w:shd w:val="clear" w:color="auto" w:fill="auto"/>
            <w:noWrap/>
            <w:vAlign w:val="bottom"/>
          </w:tcPr>
          <w:p w14:paraId="39DAC92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-17.5%</w:t>
            </w:r>
          </w:p>
        </w:tc>
        <w:tc>
          <w:tcPr>
            <w:tcW w:w="960" w:type="dxa"/>
            <w:tcBorders>
              <w:top w:val="nil"/>
              <w:left w:val="nil"/>
              <w:bottom w:val="single" w:sz="4" w:space="0" w:color="auto"/>
              <w:right w:val="single" w:sz="4" w:space="0" w:color="auto"/>
            </w:tcBorders>
            <w:shd w:val="clear" w:color="auto" w:fill="auto"/>
            <w:noWrap/>
            <w:vAlign w:val="bottom"/>
          </w:tcPr>
          <w:p w14:paraId="19634EDC"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-23.6%</w:t>
            </w:r>
          </w:p>
        </w:tc>
        <w:tc>
          <w:tcPr>
            <w:tcW w:w="1106" w:type="dxa"/>
            <w:tcBorders>
              <w:top w:val="nil"/>
              <w:left w:val="nil"/>
              <w:bottom w:val="single" w:sz="4" w:space="0" w:color="auto"/>
              <w:right w:val="single" w:sz="4" w:space="0" w:color="auto"/>
            </w:tcBorders>
            <w:shd w:val="clear" w:color="auto" w:fill="auto"/>
            <w:noWrap/>
            <w:vAlign w:val="bottom"/>
            <w:hideMark/>
          </w:tcPr>
          <w:p w14:paraId="11D50D2A"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-19.1%</w:t>
            </w:r>
          </w:p>
        </w:tc>
      </w:tr>
      <w:tr w:rsidR="007B29DD" w:rsidRPr="008448BA" w14:paraId="2662A81C"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263E4C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Wimmera</w:t>
            </w:r>
          </w:p>
          <w:p w14:paraId="0D4D226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(415)</w:t>
            </w: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32E91E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0CA030C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787AE37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2.7%</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1D74D1B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2.0%</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259DA3E9"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BA5D9F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3.9%</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14A8AF88"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4.2%</w:t>
            </w:r>
          </w:p>
        </w:tc>
      </w:tr>
      <w:tr w:rsidR="007B29DD" w:rsidRPr="008448BA" w14:paraId="5DC1E39A"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1D7FA63"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5AD74F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2A6E03A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tcPr>
          <w:p w14:paraId="598DD250"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30CA21F4"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-3.7%</w:t>
            </w:r>
          </w:p>
        </w:tc>
        <w:tc>
          <w:tcPr>
            <w:tcW w:w="1116" w:type="dxa"/>
            <w:tcBorders>
              <w:top w:val="nil"/>
              <w:left w:val="nil"/>
              <w:bottom w:val="single" w:sz="4" w:space="0" w:color="auto"/>
              <w:right w:val="single" w:sz="4" w:space="0" w:color="auto"/>
            </w:tcBorders>
            <w:shd w:val="clear" w:color="auto" w:fill="D9D9D9" w:themeFill="background1" w:themeFillShade="D9"/>
            <w:noWrap/>
            <w:vAlign w:val="bottom"/>
          </w:tcPr>
          <w:p w14:paraId="55854DC7"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-2.8%</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14:paraId="7605B7B6"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-5.9%</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5465BAF3"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-3.8%</w:t>
            </w:r>
          </w:p>
        </w:tc>
      </w:tr>
      <w:tr w:rsidR="007B29DD" w:rsidRPr="008448BA" w14:paraId="6CFFC3B8"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245774A"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DFE44B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EA03EC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-7.4%</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4947D8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-8.5%</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FA18BB2"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-13.3%</w:t>
            </w:r>
          </w:p>
        </w:tc>
        <w:tc>
          <w:tcPr>
            <w:tcW w:w="111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792711"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-15.3%</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DCBDAD"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-22.3%</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654B1E" w14:textId="77777777" w:rsidR="007B29DD" w:rsidRPr="007F07AD" w:rsidRDefault="007B29DD" w:rsidP="00306AF1">
            <w:pPr>
              <w:spacing w:line="240" w:lineRule="auto"/>
              <w:jc w:val="right"/>
              <w:rPr>
                <w:rFonts w:ascii="Calibri" w:hAnsi="Calibri" w:cs="Calibri"/>
                <w:color w:val="000000"/>
                <w:lang w:val="en-US" w:eastAsia="zh-CN"/>
              </w:rPr>
            </w:pPr>
            <w:r w:rsidRPr="007F07AD">
              <w:rPr>
                <w:rFonts w:ascii="Calibri" w:hAnsi="Calibri" w:cs="Calibri"/>
                <w:color w:val="000000"/>
              </w:rPr>
              <w:t>-17.8%</w:t>
            </w:r>
          </w:p>
        </w:tc>
      </w:tr>
      <w:tr w:rsidR="007B29DD" w:rsidRPr="008448BA" w14:paraId="6CF0C69D" w14:textId="77777777" w:rsidTr="00306AF1">
        <w:trPr>
          <w:trHeight w:val="300"/>
          <w:jc w:val="center"/>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045392" w14:textId="77777777" w:rsidR="007B29DD"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Victoria*</w:t>
            </w:r>
          </w:p>
          <w:p w14:paraId="6006C6E7" w14:textId="77777777" w:rsidR="007B29DD" w:rsidRPr="008448BA" w:rsidRDefault="007B29DD" w:rsidP="00306AF1">
            <w:pPr>
              <w:keepNext/>
              <w:spacing w:line="240" w:lineRule="auto"/>
              <w:jc w:val="center"/>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7F0974F7"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960" w:type="dxa"/>
            <w:tcBorders>
              <w:top w:val="nil"/>
              <w:left w:val="nil"/>
              <w:bottom w:val="single" w:sz="4" w:space="0" w:color="auto"/>
              <w:right w:val="single" w:sz="4" w:space="0" w:color="auto"/>
            </w:tcBorders>
            <w:shd w:val="clear" w:color="auto" w:fill="auto"/>
            <w:noWrap/>
            <w:vAlign w:val="center"/>
          </w:tcPr>
          <w:p w14:paraId="28D91AE6" w14:textId="77777777" w:rsidR="007B29DD" w:rsidRPr="00053D4A" w:rsidRDefault="007B29DD" w:rsidP="00306AF1">
            <w:pPr>
              <w:keepNext/>
              <w:spacing w:line="240" w:lineRule="auto"/>
              <w:jc w:val="right"/>
              <w:rPr>
                <w:rFonts w:ascii="Calibri" w:hAnsi="Calibri" w:cs="Calibri"/>
                <w:color w:val="000000"/>
                <w:lang w:val="en-US" w:eastAsia="zh-CN"/>
              </w:rPr>
            </w:pPr>
            <w:r w:rsidRPr="00053D4A">
              <w:rPr>
                <w:rFonts w:ascii="Calibri" w:hAnsi="Calibri" w:cs="Calibri"/>
                <w:color w:val="000000"/>
              </w:rPr>
              <w:t>1.3%</w:t>
            </w:r>
          </w:p>
        </w:tc>
        <w:tc>
          <w:tcPr>
            <w:tcW w:w="1004" w:type="dxa"/>
            <w:tcBorders>
              <w:top w:val="nil"/>
              <w:left w:val="nil"/>
              <w:bottom w:val="single" w:sz="4" w:space="0" w:color="auto"/>
              <w:right w:val="single" w:sz="4" w:space="0" w:color="auto"/>
            </w:tcBorders>
            <w:shd w:val="clear" w:color="auto" w:fill="auto"/>
            <w:noWrap/>
            <w:vAlign w:val="center"/>
          </w:tcPr>
          <w:p w14:paraId="2BE9A413" w14:textId="77777777" w:rsidR="007B29DD" w:rsidRPr="00053D4A" w:rsidRDefault="007B29DD" w:rsidP="00306AF1">
            <w:pPr>
              <w:keepNext/>
              <w:spacing w:line="240" w:lineRule="auto"/>
              <w:jc w:val="right"/>
              <w:rPr>
                <w:rFonts w:ascii="Calibri" w:hAnsi="Calibri" w:cs="Calibri"/>
                <w:color w:val="000000"/>
                <w:lang w:val="en-US" w:eastAsia="zh-CN"/>
              </w:rPr>
            </w:pPr>
            <w:r w:rsidRPr="00053D4A">
              <w:rPr>
                <w:rFonts w:ascii="Calibri" w:hAnsi="Calibri" w:cs="Calibri"/>
              </w:rPr>
              <w:t>2.2%</w:t>
            </w:r>
          </w:p>
        </w:tc>
        <w:tc>
          <w:tcPr>
            <w:tcW w:w="960" w:type="dxa"/>
            <w:tcBorders>
              <w:top w:val="nil"/>
              <w:left w:val="nil"/>
              <w:bottom w:val="single" w:sz="4" w:space="0" w:color="auto"/>
              <w:right w:val="single" w:sz="4" w:space="0" w:color="auto"/>
            </w:tcBorders>
            <w:shd w:val="clear" w:color="auto" w:fill="auto"/>
            <w:noWrap/>
            <w:vAlign w:val="center"/>
          </w:tcPr>
          <w:p w14:paraId="3D48416C" w14:textId="77777777" w:rsidR="007B29DD" w:rsidRPr="00053D4A" w:rsidRDefault="007B29DD" w:rsidP="00306AF1">
            <w:pPr>
              <w:keepNext/>
              <w:spacing w:line="240" w:lineRule="auto"/>
              <w:jc w:val="right"/>
              <w:rPr>
                <w:rFonts w:ascii="Calibri" w:hAnsi="Calibri" w:cs="Calibri"/>
                <w:color w:val="000000"/>
                <w:lang w:val="en-US" w:eastAsia="zh-CN"/>
              </w:rPr>
            </w:pPr>
            <w:r w:rsidRPr="00053D4A">
              <w:rPr>
                <w:rFonts w:ascii="Calibri" w:hAnsi="Calibri" w:cs="Calibri"/>
                <w:color w:val="000000"/>
              </w:rPr>
              <w:t>2.4%</w:t>
            </w:r>
          </w:p>
        </w:tc>
        <w:tc>
          <w:tcPr>
            <w:tcW w:w="1116" w:type="dxa"/>
            <w:tcBorders>
              <w:top w:val="nil"/>
              <w:left w:val="nil"/>
              <w:bottom w:val="single" w:sz="4" w:space="0" w:color="auto"/>
              <w:right w:val="single" w:sz="4" w:space="0" w:color="auto"/>
            </w:tcBorders>
            <w:shd w:val="clear" w:color="auto" w:fill="auto"/>
            <w:noWrap/>
            <w:vAlign w:val="center"/>
          </w:tcPr>
          <w:p w14:paraId="1802A1E1" w14:textId="77777777" w:rsidR="007B29DD" w:rsidRPr="00053D4A" w:rsidRDefault="007B29DD" w:rsidP="00306AF1">
            <w:pPr>
              <w:keepNext/>
              <w:spacing w:line="240" w:lineRule="auto"/>
              <w:jc w:val="right"/>
              <w:rPr>
                <w:rFonts w:ascii="Calibri" w:hAnsi="Calibri" w:cs="Calibri"/>
                <w:color w:val="000000"/>
                <w:lang w:val="en-US" w:eastAsia="zh-CN"/>
              </w:rPr>
            </w:pPr>
            <w:r w:rsidRPr="00053D4A">
              <w:rPr>
                <w:rFonts w:ascii="Calibri" w:hAnsi="Calibri" w:cs="Calibri"/>
              </w:rPr>
              <w:t>4.0%</w:t>
            </w:r>
          </w:p>
        </w:tc>
        <w:tc>
          <w:tcPr>
            <w:tcW w:w="960" w:type="dxa"/>
            <w:tcBorders>
              <w:top w:val="nil"/>
              <w:left w:val="nil"/>
              <w:bottom w:val="single" w:sz="4" w:space="0" w:color="auto"/>
              <w:right w:val="single" w:sz="4" w:space="0" w:color="auto"/>
            </w:tcBorders>
            <w:shd w:val="clear" w:color="auto" w:fill="auto"/>
            <w:noWrap/>
            <w:vAlign w:val="center"/>
          </w:tcPr>
          <w:p w14:paraId="3808FFD1" w14:textId="77777777" w:rsidR="007B29DD" w:rsidRPr="00053D4A" w:rsidRDefault="007B29DD" w:rsidP="00306AF1">
            <w:pPr>
              <w:keepNext/>
              <w:spacing w:line="240" w:lineRule="auto"/>
              <w:jc w:val="right"/>
              <w:rPr>
                <w:rFonts w:ascii="Calibri" w:hAnsi="Calibri" w:cs="Calibri"/>
                <w:color w:val="000000"/>
                <w:lang w:val="en-US" w:eastAsia="zh-CN"/>
              </w:rPr>
            </w:pPr>
            <w:r w:rsidRPr="00053D4A">
              <w:rPr>
                <w:rFonts w:ascii="Calibri" w:hAnsi="Calibri" w:cs="Calibri"/>
                <w:color w:val="000000"/>
              </w:rPr>
              <w:t>2.7%</w:t>
            </w:r>
          </w:p>
        </w:tc>
        <w:tc>
          <w:tcPr>
            <w:tcW w:w="1106" w:type="dxa"/>
            <w:tcBorders>
              <w:top w:val="nil"/>
              <w:left w:val="nil"/>
              <w:bottom w:val="single" w:sz="4" w:space="0" w:color="auto"/>
              <w:right w:val="single" w:sz="4" w:space="0" w:color="auto"/>
            </w:tcBorders>
            <w:shd w:val="clear" w:color="auto" w:fill="auto"/>
            <w:noWrap/>
            <w:vAlign w:val="center"/>
          </w:tcPr>
          <w:p w14:paraId="4C4ACEEA" w14:textId="77777777" w:rsidR="007B29DD" w:rsidRPr="00053D4A" w:rsidRDefault="007B29DD" w:rsidP="00306AF1">
            <w:pPr>
              <w:keepNext/>
              <w:spacing w:line="240" w:lineRule="auto"/>
              <w:jc w:val="right"/>
              <w:rPr>
                <w:rFonts w:ascii="Calibri" w:hAnsi="Calibri" w:cs="Calibri"/>
                <w:color w:val="000000"/>
                <w:lang w:val="en-US" w:eastAsia="zh-CN"/>
              </w:rPr>
            </w:pPr>
            <w:r w:rsidRPr="00053D4A">
              <w:rPr>
                <w:rFonts w:ascii="Calibri" w:hAnsi="Calibri" w:cs="Calibri"/>
              </w:rPr>
              <w:t>3.3%</w:t>
            </w:r>
          </w:p>
        </w:tc>
      </w:tr>
      <w:tr w:rsidR="007B29DD" w:rsidRPr="008448BA" w14:paraId="1E814452"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C006C8B"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675105E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960" w:type="dxa"/>
            <w:tcBorders>
              <w:top w:val="nil"/>
              <w:left w:val="nil"/>
              <w:bottom w:val="single" w:sz="4" w:space="0" w:color="auto"/>
              <w:right w:val="single" w:sz="4" w:space="0" w:color="auto"/>
            </w:tcBorders>
            <w:shd w:val="clear" w:color="auto" w:fill="auto"/>
            <w:noWrap/>
            <w:vAlign w:val="center"/>
          </w:tcPr>
          <w:p w14:paraId="2A5C8766"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color w:val="000000"/>
              </w:rPr>
              <w:t>-2.0%</w:t>
            </w:r>
          </w:p>
        </w:tc>
        <w:tc>
          <w:tcPr>
            <w:tcW w:w="1004" w:type="dxa"/>
            <w:tcBorders>
              <w:top w:val="nil"/>
              <w:left w:val="nil"/>
              <w:bottom w:val="single" w:sz="4" w:space="0" w:color="auto"/>
              <w:right w:val="single" w:sz="4" w:space="0" w:color="auto"/>
            </w:tcBorders>
            <w:shd w:val="clear" w:color="auto" w:fill="auto"/>
            <w:noWrap/>
            <w:vAlign w:val="center"/>
          </w:tcPr>
          <w:p w14:paraId="3AC32008"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rPr>
              <w:t>-0.9%</w:t>
            </w:r>
          </w:p>
        </w:tc>
        <w:tc>
          <w:tcPr>
            <w:tcW w:w="960" w:type="dxa"/>
            <w:tcBorders>
              <w:top w:val="nil"/>
              <w:left w:val="nil"/>
              <w:bottom w:val="single" w:sz="4" w:space="0" w:color="auto"/>
              <w:right w:val="single" w:sz="4" w:space="0" w:color="auto"/>
            </w:tcBorders>
            <w:shd w:val="clear" w:color="auto" w:fill="auto"/>
            <w:noWrap/>
            <w:vAlign w:val="center"/>
          </w:tcPr>
          <w:p w14:paraId="6AB0B3C9"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color w:val="000000"/>
              </w:rPr>
              <w:t>-3.6%</w:t>
            </w:r>
          </w:p>
        </w:tc>
        <w:tc>
          <w:tcPr>
            <w:tcW w:w="1116" w:type="dxa"/>
            <w:tcBorders>
              <w:top w:val="nil"/>
              <w:left w:val="nil"/>
              <w:bottom w:val="single" w:sz="4" w:space="0" w:color="auto"/>
              <w:right w:val="single" w:sz="4" w:space="0" w:color="auto"/>
            </w:tcBorders>
            <w:shd w:val="clear" w:color="auto" w:fill="auto"/>
            <w:noWrap/>
            <w:vAlign w:val="center"/>
          </w:tcPr>
          <w:p w14:paraId="17EE20E8"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25711390"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color w:val="000000"/>
              </w:rPr>
              <w:t>-4.7%</w:t>
            </w:r>
          </w:p>
        </w:tc>
        <w:tc>
          <w:tcPr>
            <w:tcW w:w="1106" w:type="dxa"/>
            <w:tcBorders>
              <w:top w:val="nil"/>
              <w:left w:val="nil"/>
              <w:bottom w:val="single" w:sz="4" w:space="0" w:color="auto"/>
              <w:right w:val="single" w:sz="4" w:space="0" w:color="auto"/>
            </w:tcBorders>
            <w:shd w:val="clear" w:color="auto" w:fill="auto"/>
            <w:noWrap/>
            <w:vAlign w:val="center"/>
          </w:tcPr>
          <w:p w14:paraId="7E084663"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rPr>
              <w:t>-3.0%</w:t>
            </w:r>
          </w:p>
        </w:tc>
      </w:tr>
      <w:tr w:rsidR="007B29DD" w:rsidRPr="008448BA" w14:paraId="54E3A46B" w14:textId="77777777" w:rsidTr="00306AF1">
        <w:trPr>
          <w:trHeight w:val="300"/>
          <w:jc w:val="center"/>
        </w:trPr>
        <w:tc>
          <w:tcPr>
            <w:tcW w:w="1780" w:type="dxa"/>
            <w:vMerge/>
            <w:tcBorders>
              <w:top w:val="nil"/>
              <w:left w:val="single" w:sz="4" w:space="0" w:color="auto"/>
              <w:bottom w:val="single" w:sz="4" w:space="0" w:color="000000"/>
              <w:right w:val="single" w:sz="4" w:space="0" w:color="auto"/>
            </w:tcBorders>
            <w:vAlign w:val="center"/>
            <w:hideMark/>
          </w:tcPr>
          <w:p w14:paraId="6026B71C" w14:textId="77777777" w:rsidR="007B29DD" w:rsidRPr="008448BA" w:rsidRDefault="007B29DD" w:rsidP="00306AF1">
            <w:pPr>
              <w:spacing w:line="240" w:lineRule="auto"/>
              <w:rPr>
                <w:rFonts w:ascii="Calibri" w:hAnsi="Calibri" w:cs="Calibri"/>
                <w:b/>
                <w:bCs/>
                <w:color w:val="000000"/>
                <w:lang w:val="en-US" w:eastAsia="zh-CN"/>
              </w:rPr>
            </w:pPr>
          </w:p>
        </w:tc>
        <w:tc>
          <w:tcPr>
            <w:tcW w:w="1240" w:type="dxa"/>
            <w:tcBorders>
              <w:top w:val="nil"/>
              <w:left w:val="nil"/>
              <w:bottom w:val="single" w:sz="4" w:space="0" w:color="auto"/>
              <w:right w:val="single" w:sz="4" w:space="0" w:color="auto"/>
            </w:tcBorders>
            <w:shd w:val="clear" w:color="auto" w:fill="auto"/>
            <w:noWrap/>
            <w:vAlign w:val="bottom"/>
            <w:hideMark/>
          </w:tcPr>
          <w:p w14:paraId="484B854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960" w:type="dxa"/>
            <w:tcBorders>
              <w:top w:val="nil"/>
              <w:left w:val="nil"/>
              <w:bottom w:val="single" w:sz="4" w:space="0" w:color="auto"/>
              <w:right w:val="single" w:sz="4" w:space="0" w:color="auto"/>
            </w:tcBorders>
            <w:shd w:val="clear" w:color="auto" w:fill="auto"/>
            <w:noWrap/>
            <w:vAlign w:val="center"/>
          </w:tcPr>
          <w:p w14:paraId="144532BD"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color w:val="000000"/>
              </w:rPr>
              <w:t>-5.8%</w:t>
            </w:r>
          </w:p>
        </w:tc>
        <w:tc>
          <w:tcPr>
            <w:tcW w:w="1004" w:type="dxa"/>
            <w:tcBorders>
              <w:top w:val="nil"/>
              <w:left w:val="nil"/>
              <w:bottom w:val="single" w:sz="4" w:space="0" w:color="auto"/>
              <w:right w:val="single" w:sz="4" w:space="0" w:color="auto"/>
            </w:tcBorders>
            <w:shd w:val="clear" w:color="auto" w:fill="auto"/>
            <w:noWrap/>
            <w:vAlign w:val="center"/>
          </w:tcPr>
          <w:p w14:paraId="3DB841BF"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rPr>
              <w:t>-7.6%</w:t>
            </w:r>
          </w:p>
        </w:tc>
        <w:tc>
          <w:tcPr>
            <w:tcW w:w="960" w:type="dxa"/>
            <w:tcBorders>
              <w:top w:val="nil"/>
              <w:left w:val="nil"/>
              <w:bottom w:val="single" w:sz="4" w:space="0" w:color="auto"/>
              <w:right w:val="single" w:sz="4" w:space="0" w:color="auto"/>
            </w:tcBorders>
            <w:shd w:val="clear" w:color="auto" w:fill="auto"/>
            <w:noWrap/>
            <w:vAlign w:val="center"/>
          </w:tcPr>
          <w:p w14:paraId="60BF01FE"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color w:val="000000"/>
              </w:rPr>
              <w:t>-10.4%</w:t>
            </w:r>
          </w:p>
        </w:tc>
        <w:tc>
          <w:tcPr>
            <w:tcW w:w="1116" w:type="dxa"/>
            <w:tcBorders>
              <w:top w:val="nil"/>
              <w:left w:val="nil"/>
              <w:bottom w:val="single" w:sz="4" w:space="0" w:color="auto"/>
              <w:right w:val="single" w:sz="4" w:space="0" w:color="auto"/>
            </w:tcBorders>
            <w:shd w:val="clear" w:color="auto" w:fill="auto"/>
            <w:noWrap/>
            <w:vAlign w:val="center"/>
          </w:tcPr>
          <w:p w14:paraId="1ABC63AA"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rPr>
              <w:t>-13.6%</w:t>
            </w:r>
          </w:p>
        </w:tc>
        <w:tc>
          <w:tcPr>
            <w:tcW w:w="960" w:type="dxa"/>
            <w:tcBorders>
              <w:top w:val="nil"/>
              <w:left w:val="nil"/>
              <w:bottom w:val="single" w:sz="4" w:space="0" w:color="auto"/>
              <w:right w:val="single" w:sz="4" w:space="0" w:color="auto"/>
            </w:tcBorders>
            <w:shd w:val="clear" w:color="auto" w:fill="auto"/>
            <w:noWrap/>
            <w:vAlign w:val="center"/>
          </w:tcPr>
          <w:p w14:paraId="484823EF"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color w:val="000000"/>
              </w:rPr>
              <w:t>-19.4%</w:t>
            </w:r>
          </w:p>
        </w:tc>
        <w:tc>
          <w:tcPr>
            <w:tcW w:w="1106" w:type="dxa"/>
            <w:tcBorders>
              <w:top w:val="nil"/>
              <w:left w:val="nil"/>
              <w:bottom w:val="single" w:sz="4" w:space="0" w:color="auto"/>
              <w:right w:val="single" w:sz="4" w:space="0" w:color="auto"/>
            </w:tcBorders>
            <w:shd w:val="clear" w:color="auto" w:fill="auto"/>
            <w:noWrap/>
            <w:vAlign w:val="center"/>
          </w:tcPr>
          <w:p w14:paraId="129763FD" w14:textId="77777777" w:rsidR="007B29DD" w:rsidRPr="00053D4A" w:rsidRDefault="007B29DD" w:rsidP="00306AF1">
            <w:pPr>
              <w:spacing w:line="240" w:lineRule="auto"/>
              <w:jc w:val="right"/>
              <w:rPr>
                <w:rFonts w:ascii="Calibri" w:hAnsi="Calibri" w:cs="Calibri"/>
                <w:color w:val="000000"/>
                <w:lang w:val="en-US" w:eastAsia="zh-CN"/>
              </w:rPr>
            </w:pPr>
            <w:r w:rsidRPr="00053D4A">
              <w:rPr>
                <w:rFonts w:ascii="Calibri" w:hAnsi="Calibri" w:cs="Calibri"/>
              </w:rPr>
              <w:t>-14.9%</w:t>
            </w:r>
          </w:p>
        </w:tc>
      </w:tr>
    </w:tbl>
    <w:p w14:paraId="3C278FF6" w14:textId="77777777" w:rsidR="007B29DD" w:rsidRDefault="007B29DD" w:rsidP="007B29DD">
      <w:pPr>
        <w:pStyle w:val="BodyText"/>
        <w:rPr>
          <w:lang w:eastAsia="en-AU"/>
        </w:rPr>
      </w:pPr>
      <w:r w:rsidRPr="002A58CE">
        <w:rPr>
          <w:sz w:val="18"/>
          <w:szCs w:val="18"/>
        </w:rPr>
        <w:t>* The statewide change is not an average of the changes for each river basin. This is because the river basins vary in size and some basins include areas that fall within New South Wales.</w:t>
      </w:r>
    </w:p>
    <w:p w14:paraId="54CAAA35" w14:textId="77777777" w:rsidR="007B29DD" w:rsidRPr="00F27FE5" w:rsidRDefault="007B29DD" w:rsidP="007B29DD">
      <w:pPr>
        <w:pStyle w:val="BodyText"/>
        <w:rPr>
          <w:lang w:eastAsia="en-AU"/>
        </w:rPr>
      </w:pPr>
    </w:p>
    <w:p w14:paraId="7DF084EC"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28" w:name="_Ref40108897"/>
      <w:bookmarkStart w:id="529" w:name="_Toc43476492"/>
      <w:bookmarkStart w:id="530" w:name="_Toc44928737"/>
      <w:bookmarkStart w:id="531" w:name="_Ref48747144"/>
      <w:bookmarkStart w:id="532" w:name="_Toc51658009"/>
      <w:bookmarkStart w:id="533" w:name="_Toc53585914"/>
      <w:bookmarkStart w:id="534" w:name="_Toc57377165"/>
      <w:r w:rsidRPr="00306AF1">
        <w:rPr>
          <w:b/>
          <w:bCs/>
          <w:color w:val="000000" w:themeColor="text1"/>
        </w:rPr>
        <w:t>Average seasonal rainfall changes</w:t>
      </w:r>
      <w:bookmarkEnd w:id="528"/>
      <w:bookmarkEnd w:id="529"/>
      <w:bookmarkEnd w:id="530"/>
      <w:bookmarkEnd w:id="531"/>
      <w:bookmarkEnd w:id="532"/>
      <w:bookmarkEnd w:id="533"/>
      <w:bookmarkEnd w:id="534"/>
    </w:p>
    <w:p w14:paraId="0F28517E" w14:textId="77777777" w:rsidR="007B29DD" w:rsidRDefault="007B29DD" w:rsidP="007B29DD">
      <w:pPr>
        <w:pStyle w:val="BodyText"/>
        <w:rPr>
          <w:lang w:eastAsia="en-AU"/>
        </w:rPr>
      </w:pPr>
      <w:r w:rsidRPr="00E94B42">
        <w:rPr>
          <w:lang w:eastAsia="en-AU"/>
        </w:rPr>
        <w:t xml:space="preserve">As discussed previously in </w:t>
      </w:r>
      <w:r w:rsidRPr="0057686D">
        <w:rPr>
          <w:lang w:eastAsia="en-AU"/>
        </w:rPr>
        <w:t xml:space="preserve">Section </w:t>
      </w:r>
      <w:r w:rsidRPr="0057686D">
        <w:rPr>
          <w:lang w:eastAsia="en-AU"/>
        </w:rPr>
        <w:fldChar w:fldCharType="begin"/>
      </w:r>
      <w:r w:rsidRPr="0057686D">
        <w:rPr>
          <w:lang w:eastAsia="en-AU"/>
        </w:rPr>
        <w:instrText xml:space="preserve"> REF _Ref44338450 \r \h </w:instrText>
      </w:r>
      <w:r>
        <w:rPr>
          <w:lang w:eastAsia="en-AU"/>
        </w:rPr>
        <w:instrText xml:space="preserve"> \* MERGEFORMAT </w:instrText>
      </w:r>
      <w:r w:rsidRPr="0057686D">
        <w:rPr>
          <w:lang w:eastAsia="en-AU"/>
        </w:rPr>
      </w:r>
      <w:r w:rsidRPr="0057686D">
        <w:rPr>
          <w:lang w:eastAsia="en-AU"/>
        </w:rPr>
        <w:fldChar w:fldCharType="separate"/>
      </w:r>
      <w:r>
        <w:rPr>
          <w:lang w:eastAsia="en-AU"/>
        </w:rPr>
        <w:t>4.5</w:t>
      </w:r>
      <w:r w:rsidRPr="0057686D">
        <w:rPr>
          <w:lang w:eastAsia="en-AU"/>
        </w:rPr>
        <w:fldChar w:fldCharType="end"/>
      </w:r>
      <w:r w:rsidRPr="00E94B42">
        <w:rPr>
          <w:lang w:eastAsia="en-AU"/>
        </w:rPr>
        <w:t xml:space="preserve">, in the </w:t>
      </w:r>
      <w:r>
        <w:rPr>
          <w:lang w:eastAsia="en-AU"/>
        </w:rPr>
        <w:t>GCM</w:t>
      </w:r>
      <w:r w:rsidRPr="00E94B42">
        <w:rPr>
          <w:lang w:eastAsia="en-AU"/>
        </w:rPr>
        <w:t>s there is no consistency in projected seasonal rainfall changes for a given projected annual change in Victoria. For this reason, seasonal rainfall projections have not been tabulated in the guidelines. When the projected seasonal rainfall changes are considered in isolation from the projected annual changes, some spatial patterns emerge across Victoria</w:t>
      </w:r>
      <w:r>
        <w:rPr>
          <w:lang w:eastAsia="en-AU"/>
        </w:rPr>
        <w:t xml:space="preserve">. This is shown in </w:t>
      </w:r>
      <w:r>
        <w:rPr>
          <w:lang w:eastAsia="en-AU"/>
        </w:rPr>
        <w:fldChar w:fldCharType="begin"/>
      </w:r>
      <w:r>
        <w:rPr>
          <w:lang w:eastAsia="en-AU"/>
        </w:rPr>
        <w:instrText xml:space="preserve"> REF _Ref40105834 \h </w:instrText>
      </w:r>
      <w:r>
        <w:rPr>
          <w:lang w:eastAsia="en-AU"/>
        </w:rPr>
      </w:r>
      <w:r>
        <w:rPr>
          <w:lang w:eastAsia="en-AU"/>
        </w:rPr>
        <w:fldChar w:fldCharType="separate"/>
      </w:r>
      <w:r>
        <w:t xml:space="preserve">Figure </w:t>
      </w:r>
      <w:r>
        <w:rPr>
          <w:noProof/>
        </w:rPr>
        <w:t>20</w:t>
      </w:r>
      <w:r>
        <w:rPr>
          <w:lang w:eastAsia="en-AU"/>
        </w:rPr>
        <w:fldChar w:fldCharType="end"/>
      </w:r>
      <w:r>
        <w:rPr>
          <w:lang w:eastAsia="en-AU"/>
        </w:rPr>
        <w:t xml:space="preserve"> and </w:t>
      </w:r>
      <w:r>
        <w:rPr>
          <w:lang w:eastAsia="en-AU"/>
        </w:rPr>
        <w:fldChar w:fldCharType="begin"/>
      </w:r>
      <w:r>
        <w:rPr>
          <w:lang w:eastAsia="en-AU"/>
        </w:rPr>
        <w:instrText xml:space="preserve"> REF _Ref40105207 \h </w:instrText>
      </w:r>
      <w:r>
        <w:rPr>
          <w:lang w:eastAsia="en-AU"/>
        </w:rPr>
      </w:r>
      <w:r>
        <w:rPr>
          <w:lang w:eastAsia="en-AU"/>
        </w:rPr>
        <w:fldChar w:fldCharType="separate"/>
      </w:r>
      <w:r>
        <w:t xml:space="preserve">Figure </w:t>
      </w:r>
      <w:r>
        <w:rPr>
          <w:noProof/>
        </w:rPr>
        <w:t>21</w:t>
      </w:r>
      <w:r>
        <w:rPr>
          <w:lang w:eastAsia="en-AU"/>
        </w:rPr>
        <w:fldChar w:fldCharType="end"/>
      </w:r>
      <w:r>
        <w:rPr>
          <w:lang w:eastAsia="en-AU"/>
        </w:rPr>
        <w:t xml:space="preserve"> for the four seasons under RCP8.5 in 2040 and 2065, with </w:t>
      </w:r>
      <w:r>
        <w:rPr>
          <w:lang w:eastAsia="en-AU"/>
        </w:rPr>
        <w:fldChar w:fldCharType="begin"/>
      </w:r>
      <w:r>
        <w:rPr>
          <w:lang w:eastAsia="en-AU"/>
        </w:rPr>
        <w:instrText xml:space="preserve"> REF _Ref40105207 \h </w:instrText>
      </w:r>
      <w:r>
        <w:rPr>
          <w:lang w:eastAsia="en-AU"/>
        </w:rPr>
      </w:r>
      <w:r>
        <w:rPr>
          <w:lang w:eastAsia="en-AU"/>
        </w:rPr>
        <w:fldChar w:fldCharType="separate"/>
      </w:r>
      <w:r>
        <w:t xml:space="preserve">Figure </w:t>
      </w:r>
      <w:r>
        <w:rPr>
          <w:noProof/>
        </w:rPr>
        <w:t>21</w:t>
      </w:r>
      <w:r>
        <w:rPr>
          <w:lang w:eastAsia="en-AU"/>
        </w:rPr>
        <w:fldChar w:fldCharType="end"/>
      </w:r>
      <w:r>
        <w:rPr>
          <w:lang w:eastAsia="en-AU"/>
        </w:rPr>
        <w:t xml:space="preserve"> highlighting the same information for the year 2065 but using the cool and warm season</w:t>
      </w:r>
      <w:r w:rsidRPr="00E94B42">
        <w:rPr>
          <w:lang w:eastAsia="en-AU"/>
        </w:rPr>
        <w:t>.</w:t>
      </w:r>
    </w:p>
    <w:p w14:paraId="18CAF6B7" w14:textId="77777777" w:rsidR="007B29DD" w:rsidRDefault="007B29DD" w:rsidP="007B29DD">
      <w:r w:rsidRPr="00447011">
        <w:t xml:space="preserve">Two sources of information are presented below to better understand anticipated seasonal changes in climate under future climate change. These are </w:t>
      </w:r>
      <w:r>
        <w:t xml:space="preserve">(i) </w:t>
      </w:r>
      <w:r w:rsidRPr="00447011">
        <w:t>an overview of the GCM outputs for individual seasons</w:t>
      </w:r>
      <w:r>
        <w:t xml:space="preserve"> (and the associated plausible range of seasonal changes for sensitivity testing climate change impacts in </w:t>
      </w:r>
      <w:r>
        <w:fldChar w:fldCharType="begin"/>
      </w:r>
      <w:r>
        <w:instrText xml:space="preserve"> REF _Ref39853552 \r \h </w:instrText>
      </w:r>
      <w:r>
        <w:fldChar w:fldCharType="separate"/>
      </w:r>
      <w:r>
        <w:t>Appendix B</w:t>
      </w:r>
      <w:r>
        <w:fldChar w:fldCharType="end"/>
      </w:r>
      <w:r>
        <w:t xml:space="preserve">.6.2), </w:t>
      </w:r>
      <w:r w:rsidRPr="00447011">
        <w:t xml:space="preserve">and </w:t>
      </w:r>
      <w:r>
        <w:t xml:space="preserve">(ii) </w:t>
      </w:r>
      <w:r w:rsidRPr="00447011">
        <w:t>the analysis of recent historical changes in seasonal climate behaviour. The GCM outputs do not replicate some changes in seasonal behaviour that have recently been observed, as previously discussed in Section</w:t>
      </w:r>
      <w:r>
        <w:t> </w:t>
      </w:r>
      <w:r>
        <w:fldChar w:fldCharType="begin"/>
      </w:r>
      <w:r>
        <w:instrText xml:space="preserve"> REF _Ref39916314 \r \h </w:instrText>
      </w:r>
      <w:r>
        <w:fldChar w:fldCharType="separate"/>
      </w:r>
      <w:r>
        <w:t>4.8</w:t>
      </w:r>
      <w:r>
        <w:fldChar w:fldCharType="end"/>
      </w:r>
      <w:r w:rsidRPr="00447011">
        <w:t>. Recent historical changes in seasonal climate will be most relevant for short</w:t>
      </w:r>
      <w:r>
        <w:t>-</w:t>
      </w:r>
      <w:r w:rsidRPr="00447011">
        <w:t xml:space="preserve"> to medium-term projections</w:t>
      </w:r>
      <w:r>
        <w:t>, while GCM outputs are more relevant for long-term projections</w:t>
      </w:r>
      <w:r w:rsidRPr="00447011">
        <w:t>.</w:t>
      </w:r>
    </w:p>
    <w:p w14:paraId="3D6776D7" w14:textId="77777777" w:rsidR="007B29DD" w:rsidRPr="00447011" w:rsidRDefault="007B29DD" w:rsidP="007B29DD"/>
    <w:tbl>
      <w:tblPr>
        <w:tblStyle w:val="HighlightTable"/>
        <w:tblW w:w="0" w:type="auto"/>
        <w:tblLook w:val="04A0" w:firstRow="1" w:lastRow="0" w:firstColumn="1" w:lastColumn="0" w:noHBand="0" w:noVBand="1"/>
      </w:tblPr>
      <w:tblGrid>
        <w:gridCol w:w="9639"/>
      </w:tblGrid>
      <w:tr w:rsidR="007B29DD" w14:paraId="4ABE07A0" w14:textId="77777777" w:rsidTr="00306AF1">
        <w:tc>
          <w:tcPr>
            <w:tcW w:w="9639" w:type="dxa"/>
            <w:hideMark/>
          </w:tcPr>
          <w:p w14:paraId="4546DDF6" w14:textId="77777777" w:rsidR="007B29DD" w:rsidRDefault="007B29DD" w:rsidP="00306AF1">
            <w:pPr>
              <w:pStyle w:val="HighlightBoxText"/>
              <w:jc w:val="both"/>
            </w:pPr>
            <w:r w:rsidRPr="002F3BA7">
              <w:rPr>
                <w:color w:val="000000" w:themeColor="text1"/>
              </w:rPr>
              <w:t>To test the sensitivity of your river or supply system to the potential range of different seasonal rainfall projections under the RCP scenarios, refer to the tabulated ranges for this purpose in Appendix B.6.2.</w:t>
            </w:r>
          </w:p>
        </w:tc>
      </w:tr>
    </w:tbl>
    <w:p w14:paraId="7737561F" w14:textId="77777777" w:rsidR="007B29DD" w:rsidRPr="00447011" w:rsidRDefault="007B29DD" w:rsidP="007B29DD">
      <w:pPr>
        <w:pStyle w:val="BodyText"/>
      </w:pPr>
    </w:p>
    <w:p w14:paraId="20EFCAAA" w14:textId="77777777" w:rsidR="007B29DD" w:rsidRDefault="007B29DD" w:rsidP="007B29DD">
      <w:pPr>
        <w:pStyle w:val="Heading4"/>
        <w:numPr>
          <w:ilvl w:val="3"/>
          <w:numId w:val="5"/>
        </w:numPr>
      </w:pPr>
      <w:r w:rsidRPr="00447011">
        <w:t>GCM outputs for individual seasons</w:t>
      </w:r>
    </w:p>
    <w:p w14:paraId="2A3EA8B6" w14:textId="77777777" w:rsidR="007B29DD" w:rsidRPr="00447011" w:rsidRDefault="007B29DD" w:rsidP="007B29DD">
      <w:pPr>
        <w:pStyle w:val="BodyText"/>
      </w:pPr>
      <w:r>
        <w:t>The annual projected changes are considered a reasonable indicator of the projected changes in individual seasons</w:t>
      </w:r>
      <w:r w:rsidRPr="00497998">
        <w:t xml:space="preserve"> </w:t>
      </w:r>
      <w:r>
        <w:t>for both temperature and potential evapotranspiration. For example, for potential evapotranspiration, the range of annual projected changes was for a 2–6% increase in potential evapotranspiration, while, for individual seasons, the largest deviation from this range was in summer where projected changes ranged from 1–7%.</w:t>
      </w:r>
    </w:p>
    <w:p w14:paraId="40DB1680" w14:textId="77777777" w:rsidR="007B29DD" w:rsidRDefault="007B29DD" w:rsidP="007B29DD">
      <w:pPr>
        <w:pStyle w:val="BodyText"/>
      </w:pPr>
      <w:r>
        <w:t xml:space="preserve">Annual projected changes in rainfall are considered a reasonable indicator of the projected direction of rainfall change in individual seasons for the medium and high climate change scenarios, but less so for the low climate change scenario, where there was less model agreement on the direction of seasonal rainfall changes. </w:t>
      </w:r>
      <w:r w:rsidRPr="00447011">
        <w:t xml:space="preserve">Relative to the projected annual changes in rainfall for the </w:t>
      </w:r>
      <w:r>
        <w:t>y</w:t>
      </w:r>
      <w:r w:rsidRPr="00447011">
        <w:t>ear 2040</w:t>
      </w:r>
      <w:r>
        <w:t xml:space="preserve"> time slice</w:t>
      </w:r>
      <w:r w:rsidRPr="00447011">
        <w:t xml:space="preserve"> and relative to the </w:t>
      </w:r>
      <w:r>
        <w:t>post-1975 historic</w:t>
      </w:r>
      <w:r w:rsidRPr="00447011">
        <w:t xml:space="preserve"> climate </w:t>
      </w:r>
      <w:r>
        <w:t>reference period</w:t>
      </w:r>
      <w:r w:rsidRPr="00447011">
        <w:t>:</w:t>
      </w:r>
    </w:p>
    <w:p w14:paraId="2FFAF1CF" w14:textId="77777777" w:rsidR="007B29DD" w:rsidRDefault="007B29DD" w:rsidP="007B29DD">
      <w:r>
        <w:rPr>
          <w:noProof/>
        </w:rPr>
        <w:lastRenderedPageBreak/>
        <w:drawing>
          <wp:inline distT="0" distB="0" distL="0" distR="0" wp14:anchorId="6E72C2BD" wp14:editId="3160133C">
            <wp:extent cx="6020010" cy="8721865"/>
            <wp:effectExtent l="19050" t="19050" r="19050" b="22225"/>
            <wp:docPr id="1999120092" name="Picture 1311563985" descr="Infographic showing projected changes in rainfall for the RCP8.5 emissions scenario up to 2065 across river basins in South East Australia.  The infographic shows moderate increases in rainfall for the 10th percentile projection, moderate decreases for the median projection, and significant decreases for the 90th percentil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63985"/>
                    <pic:cNvPicPr/>
                  </pic:nvPicPr>
                  <pic:blipFill>
                    <a:blip r:embed="rId41">
                      <a:extLst>
                        <a:ext uri="{28A0092B-C50C-407E-A947-70E740481C1C}">
                          <a14:useLocalDpi xmlns:a14="http://schemas.microsoft.com/office/drawing/2010/main" val="0"/>
                        </a:ext>
                      </a:extLst>
                    </a:blip>
                    <a:stretch>
                      <a:fillRect/>
                    </a:stretch>
                  </pic:blipFill>
                  <pic:spPr>
                    <a:xfrm>
                      <a:off x="0" y="0"/>
                      <a:ext cx="6029636" cy="8735812"/>
                    </a:xfrm>
                    <a:prstGeom prst="rect">
                      <a:avLst/>
                    </a:prstGeom>
                    <a:ln>
                      <a:solidFill>
                        <a:schemeClr val="bg1">
                          <a:lumMod val="65000"/>
                        </a:schemeClr>
                      </a:solidFill>
                    </a:ln>
                  </pic:spPr>
                </pic:pic>
              </a:graphicData>
            </a:graphic>
          </wp:inline>
        </w:drawing>
      </w:r>
    </w:p>
    <w:p w14:paraId="491B6CB6" w14:textId="77777777" w:rsidR="007B29DD" w:rsidRDefault="007B29DD" w:rsidP="007B29DD">
      <w:pPr>
        <w:pStyle w:val="Caption"/>
        <w:keepNext w:val="0"/>
        <w:spacing w:before="0"/>
      </w:pPr>
      <w:bookmarkStart w:id="535" w:name="_Ref40105834"/>
      <w:bookmarkStart w:id="536" w:name="_Toc43476590"/>
      <w:bookmarkStart w:id="537" w:name="_Toc44928833"/>
      <w:bookmarkStart w:id="538" w:name="_Toc51237496"/>
      <w:bookmarkStart w:id="539" w:name="_Toc53586011"/>
      <w:bookmarkStart w:id="540" w:name="_Toc57377262"/>
      <w:r>
        <w:t xml:space="preserve">Figure </w:t>
      </w:r>
      <w:r>
        <w:fldChar w:fldCharType="begin"/>
      </w:r>
      <w:r>
        <w:instrText>SEQ Figure \* ARABIC</w:instrText>
      </w:r>
      <w:r>
        <w:fldChar w:fldCharType="separate"/>
      </w:r>
      <w:r>
        <w:rPr>
          <w:noProof/>
        </w:rPr>
        <w:t>20</w:t>
      </w:r>
      <w:r>
        <w:fldChar w:fldCharType="end"/>
      </w:r>
      <w:bookmarkEnd w:id="535"/>
      <w:r>
        <w:t xml:space="preserve"> Projected changes in seasonal rainfall under emissions scenario RCP8.5 by 2065 relative to 1995 climate for study region, outlines correspond to Australian river basins (Source: Potter et al., 2016)</w:t>
      </w:r>
      <w:bookmarkEnd w:id="536"/>
      <w:bookmarkEnd w:id="537"/>
      <w:bookmarkEnd w:id="538"/>
      <w:bookmarkEnd w:id="539"/>
      <w:bookmarkEnd w:id="540"/>
    </w:p>
    <w:p w14:paraId="3C266C24" w14:textId="77777777" w:rsidR="007B29DD" w:rsidRDefault="007B29DD" w:rsidP="007B29DD">
      <w:pPr>
        <w:pStyle w:val="BodyText"/>
        <w:spacing w:after="0"/>
        <w:rPr>
          <w:lang w:eastAsia="en-AU"/>
        </w:rPr>
      </w:pPr>
      <w:r>
        <w:rPr>
          <w:noProof/>
        </w:rPr>
        <w:lastRenderedPageBreak/>
        <w:drawing>
          <wp:inline distT="0" distB="0" distL="0" distR="0" wp14:anchorId="46D43885" wp14:editId="61FF50BE">
            <wp:extent cx="6333041" cy="4099728"/>
            <wp:effectExtent l="19050" t="19050" r="10795" b="15240"/>
            <wp:docPr id="364511152" name="Picture 57" descr="Infographic with maps of Victoria showing annual, warm season and cool season rainfall changes for the RCP8.5 emissions scenario for the year 2065. The 90th percentile projection shows a significant decrease in rainfall, the median projection shows a moderate decrease, and the 10th percentile projection shows a moderate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2">
                      <a:extLst>
                        <a:ext uri="{28A0092B-C50C-407E-A947-70E740481C1C}">
                          <a14:useLocalDpi xmlns:a14="http://schemas.microsoft.com/office/drawing/2010/main" val="0"/>
                        </a:ext>
                      </a:extLst>
                    </a:blip>
                    <a:stretch>
                      <a:fillRect/>
                    </a:stretch>
                  </pic:blipFill>
                  <pic:spPr>
                    <a:xfrm>
                      <a:off x="0" y="0"/>
                      <a:ext cx="6341001" cy="4104881"/>
                    </a:xfrm>
                    <a:prstGeom prst="rect">
                      <a:avLst/>
                    </a:prstGeom>
                    <a:noFill/>
                    <a:ln>
                      <a:solidFill>
                        <a:schemeClr val="bg1">
                          <a:lumMod val="65000"/>
                        </a:schemeClr>
                      </a:solidFill>
                    </a:ln>
                  </pic:spPr>
                </pic:pic>
              </a:graphicData>
            </a:graphic>
          </wp:inline>
        </w:drawing>
      </w:r>
    </w:p>
    <w:p w14:paraId="290F7BBE" w14:textId="77777777" w:rsidR="007B29DD" w:rsidRDefault="007B29DD" w:rsidP="007B29DD">
      <w:pPr>
        <w:pStyle w:val="Caption"/>
        <w:keepNext w:val="0"/>
        <w:spacing w:before="0"/>
      </w:pPr>
      <w:bookmarkStart w:id="541" w:name="_Ref40105207"/>
      <w:bookmarkStart w:id="542" w:name="_Toc43476591"/>
      <w:bookmarkStart w:id="543" w:name="_Toc44928834"/>
      <w:bookmarkStart w:id="544" w:name="_Toc51237497"/>
      <w:bookmarkStart w:id="545" w:name="_Toc53586012"/>
      <w:bookmarkStart w:id="546" w:name="_Toc57377263"/>
      <w:r>
        <w:t xml:space="preserve">Figure </w:t>
      </w:r>
      <w:r>
        <w:fldChar w:fldCharType="begin"/>
      </w:r>
      <w:r>
        <w:instrText>SEQ Figure \* ARABIC</w:instrText>
      </w:r>
      <w:r>
        <w:fldChar w:fldCharType="separate"/>
      </w:r>
      <w:r>
        <w:rPr>
          <w:noProof/>
        </w:rPr>
        <w:t>21</w:t>
      </w:r>
      <w:r>
        <w:fldChar w:fldCharType="end"/>
      </w:r>
      <w:bookmarkEnd w:id="541"/>
      <w:r>
        <w:t xml:space="preserve"> Projected </w:t>
      </w:r>
      <w:r w:rsidRPr="003178A9">
        <w:t>10th</w:t>
      </w:r>
      <w:r>
        <w:t xml:space="preserve">, </w:t>
      </w:r>
      <w:r w:rsidRPr="0076075B">
        <w:t>50th</w:t>
      </w:r>
      <w:r>
        <w:t xml:space="preserve"> and </w:t>
      </w:r>
      <w:r w:rsidRPr="005E0E0D">
        <w:t>90th</w:t>
      </w:r>
      <w:r>
        <w:t xml:space="preserve"> percentile cool and warm season rainfall changes (% change from 1995 value) across Victoria for RCP8.5 in the year 2065 (source: CSIRO)</w:t>
      </w:r>
      <w:bookmarkEnd w:id="542"/>
      <w:bookmarkEnd w:id="543"/>
      <w:bookmarkEnd w:id="544"/>
      <w:bookmarkEnd w:id="545"/>
      <w:bookmarkEnd w:id="546"/>
    </w:p>
    <w:p w14:paraId="520AF99F" w14:textId="77777777" w:rsidR="007B29DD" w:rsidRPr="0049049E" w:rsidRDefault="007B29DD" w:rsidP="007B29DD">
      <w:pPr>
        <w:pStyle w:val="BodyText"/>
        <w:rPr>
          <w:lang w:eastAsia="en-AU"/>
        </w:rPr>
      </w:pPr>
    </w:p>
    <w:p w14:paraId="0A171B30" w14:textId="77777777" w:rsidR="007B29DD" w:rsidRDefault="007B29DD" w:rsidP="007B29DD">
      <w:pPr>
        <w:pStyle w:val="ListBullet2"/>
        <w:numPr>
          <w:ilvl w:val="1"/>
          <w:numId w:val="44"/>
        </w:numPr>
        <w:tabs>
          <w:tab w:val="num" w:pos="340"/>
        </w:tabs>
      </w:pPr>
      <w:r w:rsidRPr="003C709A">
        <w:t>The spread of GCM results is generally wider for individual seasons than the annual changes, indicating lower model agreement of the projections for individual seasons</w:t>
      </w:r>
      <w:r>
        <w:t>.</w:t>
      </w:r>
    </w:p>
    <w:p w14:paraId="337AAC6C" w14:textId="77777777" w:rsidR="007B29DD" w:rsidRDefault="007B29DD" w:rsidP="007B29DD">
      <w:pPr>
        <w:pStyle w:val="ListBullet2"/>
        <w:numPr>
          <w:ilvl w:val="1"/>
          <w:numId w:val="44"/>
        </w:numPr>
        <w:tabs>
          <w:tab w:val="num" w:pos="340"/>
        </w:tabs>
      </w:pPr>
      <w:r w:rsidRPr="003C709A">
        <w:t>The projected low climate change scenario (which on an annual basis ranges from 1</w:t>
      </w:r>
      <w:r>
        <w:t>–</w:t>
      </w:r>
      <w:r w:rsidRPr="003C709A">
        <w:t xml:space="preserve">8% wetter than the post-1975 </w:t>
      </w:r>
      <w:r>
        <w:t xml:space="preserve">historic </w:t>
      </w:r>
      <w:r w:rsidRPr="003C709A">
        <w:t xml:space="preserve">climate </w:t>
      </w:r>
      <w:r>
        <w:t>reference period</w:t>
      </w:r>
      <w:r w:rsidRPr="003C709A">
        <w:t xml:space="preserve"> in river basins across Victoria) is estimated to be much wetter in summer (8</w:t>
      </w:r>
      <w:r>
        <w:t>–</w:t>
      </w:r>
      <w:r w:rsidRPr="003C709A">
        <w:t xml:space="preserve">21% wetter than the post-1975 </w:t>
      </w:r>
      <w:r>
        <w:t xml:space="preserve">historic </w:t>
      </w:r>
      <w:r w:rsidRPr="003C709A">
        <w:t xml:space="preserve">climate </w:t>
      </w:r>
      <w:r>
        <w:t>reference period</w:t>
      </w:r>
      <w:r w:rsidRPr="003C709A">
        <w:t>) and autumn (8</w:t>
      </w:r>
      <w:r>
        <w:t>–</w:t>
      </w:r>
      <w:r w:rsidRPr="003C709A">
        <w:t xml:space="preserve">23% wetter than the post-1975 </w:t>
      </w:r>
      <w:r>
        <w:t xml:space="preserve">historic </w:t>
      </w:r>
      <w:r w:rsidRPr="003C709A">
        <w:t xml:space="preserve">climate </w:t>
      </w:r>
      <w:r>
        <w:t>reference period</w:t>
      </w:r>
      <w:r w:rsidRPr="003C709A">
        <w:t>). The projected changes in winter and spring are similar to the annual changes</w:t>
      </w:r>
      <w:r>
        <w:t>.</w:t>
      </w:r>
    </w:p>
    <w:p w14:paraId="0435769E" w14:textId="77777777" w:rsidR="007B29DD" w:rsidRPr="003C709A" w:rsidRDefault="007B29DD" w:rsidP="007B29DD">
      <w:pPr>
        <w:pStyle w:val="ListBullet2"/>
        <w:numPr>
          <w:ilvl w:val="1"/>
          <w:numId w:val="44"/>
        </w:numPr>
        <w:tabs>
          <w:tab w:val="num" w:pos="340"/>
        </w:tabs>
      </w:pPr>
      <w:r w:rsidRPr="003C709A">
        <w:t xml:space="preserve">The projected medium climate change scenario (which on an annual basis ranges from 6% drier to no change from the post-1975 </w:t>
      </w:r>
      <w:r>
        <w:t xml:space="preserve">historic </w:t>
      </w:r>
      <w:r w:rsidRPr="003C709A">
        <w:t xml:space="preserve">climate </w:t>
      </w:r>
      <w:r>
        <w:t>reference period</w:t>
      </w:r>
      <w:r w:rsidRPr="003C709A">
        <w:t xml:space="preserve"> in river basins across Victoria) is estimated to be drier in spring (11</w:t>
      </w:r>
      <w:r>
        <w:t>–</w:t>
      </w:r>
      <w:r w:rsidRPr="003C709A">
        <w:t xml:space="preserve">3% drier than the post-1975 </w:t>
      </w:r>
      <w:r>
        <w:t xml:space="preserve">historic </w:t>
      </w:r>
      <w:r w:rsidRPr="003C709A">
        <w:t xml:space="preserve">climate </w:t>
      </w:r>
      <w:r>
        <w:t>reference period</w:t>
      </w:r>
      <w:r w:rsidRPr="003C709A">
        <w:t xml:space="preserve">), roughly the same in winter, and slightly wetter or drier in summer (-6% to +4% change relative to the post-1975 </w:t>
      </w:r>
      <w:r>
        <w:t xml:space="preserve">historic </w:t>
      </w:r>
      <w:r w:rsidRPr="003C709A">
        <w:t xml:space="preserve">climate </w:t>
      </w:r>
      <w:r>
        <w:t>reference period</w:t>
      </w:r>
      <w:r w:rsidRPr="003C709A">
        <w:t>) and autumn</w:t>
      </w:r>
      <w:r>
        <w:t xml:space="preserve"> </w:t>
      </w:r>
      <w:r w:rsidRPr="003C709A">
        <w:t xml:space="preserve">(-4% to +3% change relative to the </w:t>
      </w:r>
      <w:r>
        <w:t>post-1975 historic</w:t>
      </w:r>
      <w:r w:rsidRPr="003C709A">
        <w:t xml:space="preserve"> climate </w:t>
      </w:r>
      <w:r>
        <w:t>reference period</w:t>
      </w:r>
      <w:r w:rsidRPr="003C709A">
        <w:t>)</w:t>
      </w:r>
      <w:r>
        <w:t>.</w:t>
      </w:r>
    </w:p>
    <w:p w14:paraId="1214348A" w14:textId="77777777" w:rsidR="007B29DD" w:rsidRPr="003C709A" w:rsidRDefault="007B29DD" w:rsidP="007B29DD">
      <w:pPr>
        <w:pStyle w:val="ListBullet2"/>
        <w:numPr>
          <w:ilvl w:val="1"/>
          <w:numId w:val="44"/>
        </w:numPr>
        <w:tabs>
          <w:tab w:val="num" w:pos="340"/>
        </w:tabs>
      </w:pPr>
      <w:r w:rsidRPr="003C709A">
        <w:t xml:space="preserve">The projected high climate change scenario (which on an annual basis ranges from 18% to 8% drier than the post-1975 </w:t>
      </w:r>
      <w:r>
        <w:t xml:space="preserve">historic </w:t>
      </w:r>
      <w:r w:rsidRPr="003C709A">
        <w:t xml:space="preserve">climate </w:t>
      </w:r>
      <w:r>
        <w:t>reference period</w:t>
      </w:r>
      <w:r w:rsidRPr="003C709A">
        <w:t xml:space="preserve"> in river basins across Victoria) is estimated to be similar or slightly drier than the annual changes in all seasons except spring, where projected changes are much drier (</w:t>
      </w:r>
      <w:r>
        <w:noBreakHyphen/>
      </w:r>
      <w:r w:rsidRPr="003C709A">
        <w:t xml:space="preserve">26% to -17% change relative to the post-1975 </w:t>
      </w:r>
      <w:r>
        <w:t xml:space="preserve">historic </w:t>
      </w:r>
      <w:r w:rsidRPr="003C709A">
        <w:t xml:space="preserve">climate </w:t>
      </w:r>
      <w:r>
        <w:t>reference period</w:t>
      </w:r>
      <w:r w:rsidRPr="003C709A">
        <w:t>)</w:t>
      </w:r>
      <w:r>
        <w:t>.</w:t>
      </w:r>
    </w:p>
    <w:p w14:paraId="2C303AE5" w14:textId="77777777" w:rsidR="007B29DD" w:rsidRPr="003C709A" w:rsidRDefault="007B29DD" w:rsidP="007B29DD">
      <w:pPr>
        <w:pStyle w:val="ListBullet2"/>
        <w:numPr>
          <w:ilvl w:val="1"/>
          <w:numId w:val="44"/>
        </w:numPr>
        <w:tabs>
          <w:tab w:val="num" w:pos="340"/>
        </w:tabs>
      </w:pPr>
      <w:r w:rsidRPr="003C709A">
        <w:t>Summer rainfall changes are generally wetter for the low climate change scenario and less dry for the high scenario in river basins north of the Great Dividing Range and in East Gippsland.</w:t>
      </w:r>
    </w:p>
    <w:p w14:paraId="515035D6" w14:textId="77777777" w:rsidR="007B29DD" w:rsidRPr="003C709A" w:rsidRDefault="007B29DD" w:rsidP="007B29DD">
      <w:pPr>
        <w:pStyle w:val="BodyText"/>
      </w:pPr>
      <w:r w:rsidRPr="003C709A">
        <w:t xml:space="preserve">Seasonal changes in rainfall for the </w:t>
      </w:r>
      <w:r>
        <w:t>y</w:t>
      </w:r>
      <w:r w:rsidRPr="003C709A">
        <w:t>ear 2065 time slice are similar in nature to those outlined above, but where deviations from the annual changes occur, they are typically larger. Seasonal changes in runoff are similar to those above but are amplified where deviations from the projected annual changes are expected to occur.</w:t>
      </w:r>
    </w:p>
    <w:p w14:paraId="0D2E39FF" w14:textId="77777777" w:rsidR="007B29DD" w:rsidRPr="00306AF1" w:rsidRDefault="007B29DD" w:rsidP="007B29DD">
      <w:pPr>
        <w:pStyle w:val="Heading4"/>
        <w:numPr>
          <w:ilvl w:val="3"/>
          <w:numId w:val="5"/>
        </w:numPr>
        <w:rPr>
          <w:color w:val="000000" w:themeColor="text1"/>
        </w:rPr>
      </w:pPr>
      <w:r w:rsidRPr="00306AF1">
        <w:rPr>
          <w:color w:val="000000" w:themeColor="text1"/>
        </w:rPr>
        <w:t>Recent historical observation</w:t>
      </w:r>
    </w:p>
    <w:p w14:paraId="4173AAA7" w14:textId="77777777" w:rsidR="007B29DD" w:rsidRDefault="007B29DD" w:rsidP="007B29DD">
      <w:pPr>
        <w:pStyle w:val="BodyText"/>
      </w:pPr>
      <w:r w:rsidRPr="003C709A">
        <w:t xml:space="preserve">To gain an appreciation of local seasonal and daily changes under higher greenhouse gas concentrations, the recent historical record can be compared to earlier decades. This could include comparisons between the post-1975 </w:t>
      </w:r>
      <w:r>
        <w:t xml:space="preserve">historic </w:t>
      </w:r>
      <w:r w:rsidRPr="003C709A">
        <w:t xml:space="preserve">climate </w:t>
      </w:r>
      <w:r>
        <w:t>reference period</w:t>
      </w:r>
      <w:r w:rsidRPr="003C709A">
        <w:t xml:space="preserve"> (1975 to date), the post-1997 </w:t>
      </w:r>
      <w:r>
        <w:t xml:space="preserve">historic </w:t>
      </w:r>
      <w:r w:rsidRPr="003C709A">
        <w:t xml:space="preserve">climate </w:t>
      </w:r>
      <w:r>
        <w:t>reference period</w:t>
      </w:r>
      <w:r w:rsidRPr="003C709A">
        <w:t xml:space="preserve"> (1997 to date), and the </w:t>
      </w:r>
      <w:r w:rsidRPr="003C709A">
        <w:lastRenderedPageBreak/>
        <w:t xml:space="preserve">instrumental record prior to the start of the post-1975 </w:t>
      </w:r>
      <w:r>
        <w:t xml:space="preserve">historic </w:t>
      </w:r>
      <w:r w:rsidRPr="003C709A">
        <w:t xml:space="preserve">climate </w:t>
      </w:r>
      <w:r>
        <w:t>reference period</w:t>
      </w:r>
      <w:r w:rsidRPr="003C709A">
        <w:t xml:space="preserve"> (start of record to 1975). Variables </w:t>
      </w:r>
      <w:r>
        <w:t>that</w:t>
      </w:r>
      <w:r w:rsidRPr="003C709A">
        <w:t xml:space="preserve"> could be extracted from these datasets include changes in average seasonal values</w:t>
      </w:r>
      <w:r w:rsidRPr="00447011">
        <w:t xml:space="preserve"> (summer/autumn/winter/spring or cool/warm season) from one period versus another period, or annual seasonal trends within or across these periods.</w:t>
      </w:r>
    </w:p>
    <w:p w14:paraId="0D66994B" w14:textId="77777777" w:rsidR="007B29DD" w:rsidRDefault="007B29DD" w:rsidP="007B29DD">
      <w:pPr>
        <w:pStyle w:val="BodyText"/>
      </w:pPr>
      <w:r w:rsidRPr="00447011">
        <w:t>For example, for a representative long-term rainfall gauge at Lake Eildon</w:t>
      </w:r>
      <w:r>
        <w:t>, it was found that:</w:t>
      </w:r>
    </w:p>
    <w:p w14:paraId="341396CE" w14:textId="77777777" w:rsidR="007B29DD" w:rsidRPr="00376A4A" w:rsidRDefault="007B29DD" w:rsidP="007B29DD">
      <w:pPr>
        <w:pStyle w:val="ListBullet2"/>
        <w:numPr>
          <w:ilvl w:val="1"/>
          <w:numId w:val="45"/>
        </w:numPr>
        <w:tabs>
          <w:tab w:val="num" w:pos="340"/>
        </w:tabs>
      </w:pPr>
      <w:r w:rsidRPr="00376A4A">
        <w:t xml:space="preserve">Autumn rainfall over the </w:t>
      </w:r>
      <w:r>
        <w:t xml:space="preserve">post-1975 historic </w:t>
      </w:r>
      <w:r w:rsidRPr="00376A4A">
        <w:t xml:space="preserve">climate </w:t>
      </w:r>
      <w:r>
        <w:t>reference period</w:t>
      </w:r>
      <w:r w:rsidRPr="00376A4A">
        <w:t xml:space="preserve"> (</w:t>
      </w:r>
      <w:r>
        <w:t xml:space="preserve">Jun </w:t>
      </w:r>
      <w:r w:rsidRPr="00376A4A">
        <w:t>1975 to date) is on average 22% lower than over the period from 1902</w:t>
      </w:r>
      <w:r>
        <w:t>–</w:t>
      </w:r>
      <w:r w:rsidRPr="00376A4A">
        <w:t>1975, whil</w:t>
      </w:r>
      <w:r>
        <w:t>e</w:t>
      </w:r>
      <w:r w:rsidRPr="00376A4A">
        <w:t xml:space="preserve"> winter/spring rainfall is roughly the same and summer rainfall was approximately 5% higher.</w:t>
      </w:r>
    </w:p>
    <w:p w14:paraId="6E8D3E64" w14:textId="77777777" w:rsidR="007B29DD" w:rsidRPr="00376A4A" w:rsidRDefault="007B29DD" w:rsidP="007B29DD">
      <w:pPr>
        <w:pStyle w:val="ListBullet2"/>
        <w:numPr>
          <w:ilvl w:val="1"/>
          <w:numId w:val="45"/>
        </w:numPr>
        <w:tabs>
          <w:tab w:val="num" w:pos="340"/>
        </w:tabs>
      </w:pPr>
      <w:r w:rsidRPr="00376A4A">
        <w:t>In the post-1997 period, summer rainfall has remained above the 1902</w:t>
      </w:r>
      <w:r>
        <w:t>–</w:t>
      </w:r>
      <w:r w:rsidRPr="00376A4A">
        <w:t>1975 average, but autumn (</w:t>
      </w:r>
      <w:r w:rsidRPr="00376A4A">
        <w:noBreakHyphen/>
        <w:t>31%), winter (-10%) and spring (-13%) all show declines.</w:t>
      </w:r>
    </w:p>
    <w:p w14:paraId="3B9F6F33" w14:textId="77777777" w:rsidR="007B29DD" w:rsidRDefault="007B29DD" w:rsidP="007B29DD">
      <w:pPr>
        <w:pStyle w:val="BodyText"/>
      </w:pPr>
      <w:r w:rsidRPr="00447011">
        <w:t xml:space="preserve">This provides a guide to potential seasonal changes in rainfall at this location under recent, higher greenhouse gas concentrations. Changes in cool and warm season rainfall, rainfall intensity, </w:t>
      </w:r>
      <w:r>
        <w:t xml:space="preserve">potential </w:t>
      </w:r>
      <w:r w:rsidRPr="00FB3DC3">
        <w:t>evapotranspiration</w:t>
      </w:r>
      <w:r w:rsidRPr="00447011">
        <w:t xml:space="preserve"> and temperature could be explored in a similar way. </w:t>
      </w:r>
      <w:r>
        <w:t>However, d</w:t>
      </w:r>
      <w:r w:rsidRPr="00447011">
        <w:t xml:space="preserve">rawing conclusions about historical seasonal changes </w:t>
      </w:r>
      <w:r>
        <w:t xml:space="preserve">from </w:t>
      </w:r>
      <w:r w:rsidRPr="00447011">
        <w:t>streamflow and groundwater level data can be confounded by historical water and land use changes. The use of the Bureau of Meteorology’s Hydrologic Reference Stations (</w:t>
      </w:r>
      <w:r w:rsidRPr="005854CB">
        <w:t>B</w:t>
      </w:r>
      <w:r>
        <w:t>ureau of Meteorology, 2016</w:t>
      </w:r>
      <w:r w:rsidRPr="00447011">
        <w:t>) minimises the potential for these other factors to influence historical trends driven by climate.</w:t>
      </w:r>
      <w:r>
        <w:t xml:space="preserve"> Drawing conclusions about historical seasonal changes can also be limited by the availability of pre-1975 or pre-1997 data at any given location.</w:t>
      </w:r>
    </w:p>
    <w:p w14:paraId="6E79CE84" w14:textId="77777777" w:rsidR="007B29DD" w:rsidRDefault="007B29DD" w:rsidP="007B29DD">
      <w:pPr>
        <w:pStyle w:val="BodyText"/>
        <w:rPr>
          <w:lang w:eastAsia="en-AU"/>
        </w:rPr>
      </w:pPr>
      <w:r>
        <w:t xml:space="preserve">Where the potential impacts of seasonal changes in rainfall are required beyond the next decade, historically observed changes in seasonal rainfall behaviour are likely to become less relevant, and the sensitivity analysis method presented in </w:t>
      </w:r>
      <w:r>
        <w:fldChar w:fldCharType="begin"/>
      </w:r>
      <w:r>
        <w:instrText xml:space="preserve"> REF _Ref39853552 \r \h </w:instrText>
      </w:r>
      <w:r>
        <w:fldChar w:fldCharType="separate"/>
      </w:r>
      <w:r>
        <w:t>Appendix B</w:t>
      </w:r>
      <w:r>
        <w:fldChar w:fldCharType="end"/>
      </w:r>
      <w:r>
        <w:t xml:space="preserve">.6.2 is likely to be more appropriate to adopt for this purpose. </w:t>
      </w:r>
    </w:p>
    <w:p w14:paraId="51F499BC"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47" w:name="_Toc38957442"/>
      <w:bookmarkStart w:id="548" w:name="_Toc43476493"/>
      <w:bookmarkStart w:id="549" w:name="_Toc44928738"/>
      <w:bookmarkStart w:id="550" w:name="_Toc51658010"/>
      <w:bookmarkStart w:id="551" w:name="_Toc53585915"/>
      <w:bookmarkStart w:id="552" w:name="_Toc57377166"/>
      <w:r w:rsidRPr="00306AF1">
        <w:rPr>
          <w:b/>
          <w:bCs/>
          <w:color w:val="000000" w:themeColor="text1"/>
        </w:rPr>
        <w:t>Changes to drought duration</w:t>
      </w:r>
      <w:bookmarkEnd w:id="547"/>
      <w:bookmarkEnd w:id="548"/>
      <w:bookmarkEnd w:id="549"/>
      <w:bookmarkEnd w:id="550"/>
      <w:bookmarkEnd w:id="551"/>
      <w:bookmarkEnd w:id="552"/>
    </w:p>
    <w:p w14:paraId="2FBA9DD6" w14:textId="77777777" w:rsidR="007B29DD" w:rsidRDefault="007B29DD" w:rsidP="007B29DD">
      <w:pPr>
        <w:pStyle w:val="BodyText"/>
        <w:rPr>
          <w:lang w:eastAsia="en-AU"/>
        </w:rPr>
      </w:pPr>
      <w:r>
        <w:rPr>
          <w:lang w:eastAsia="en-AU"/>
        </w:rPr>
        <w:t xml:space="preserve">Changes to drought duration can occur through the application of the average annual rainfall (and runoff) projections presented in previous sections of this chapter. Under projections drier than historical conditions, the application of these scaling factors can slightly increase the duration of rainfall and runoff below nominated thresholds. The downscaling approach adopted in the guidelines does not however change the number of rain days or their sequencing from that observed under historical conditions. As noted previously in Section </w:t>
      </w:r>
      <w:r>
        <w:rPr>
          <w:lang w:eastAsia="en-AU"/>
        </w:rPr>
        <w:fldChar w:fldCharType="begin"/>
      </w:r>
      <w:r>
        <w:rPr>
          <w:lang w:eastAsia="en-AU"/>
        </w:rPr>
        <w:instrText xml:space="preserve"> REF _Ref39916314 \r \h </w:instrText>
      </w:r>
      <w:r>
        <w:rPr>
          <w:lang w:eastAsia="en-AU"/>
        </w:rPr>
      </w:r>
      <w:r>
        <w:rPr>
          <w:lang w:eastAsia="en-AU"/>
        </w:rPr>
        <w:fldChar w:fldCharType="separate"/>
      </w:r>
      <w:r>
        <w:rPr>
          <w:lang w:eastAsia="en-AU"/>
        </w:rPr>
        <w:t>4.8</w:t>
      </w:r>
      <w:r>
        <w:rPr>
          <w:lang w:eastAsia="en-AU"/>
        </w:rPr>
        <w:fldChar w:fldCharType="end"/>
      </w:r>
      <w:r>
        <w:rPr>
          <w:lang w:eastAsia="en-AU"/>
        </w:rPr>
        <w:t>, with respect to the Millennium Drought, the GCMs “do not capture spells of this duration; nor do they indicate any likely change in frequency of these prolonged no 'very wet' month spells over the coming century” (Hope et al., 2015b).</w:t>
      </w:r>
      <w:r w:rsidRPr="00416613">
        <w:rPr>
          <w:lang w:eastAsia="en-AU"/>
        </w:rPr>
        <w:t xml:space="preserve"> </w:t>
      </w:r>
      <w:r>
        <w:rPr>
          <w:lang w:eastAsia="en-AU"/>
        </w:rPr>
        <w:t>As such, the GCMs do not offer further insights into changes in extreme drought duration for Victoria at the current time.</w:t>
      </w:r>
    </w:p>
    <w:p w14:paraId="2545DABC" w14:textId="77777777" w:rsidR="007B29DD" w:rsidRDefault="007B29DD" w:rsidP="007B29DD">
      <w:pPr>
        <w:pStyle w:val="BodyText"/>
        <w:rPr>
          <w:lang w:eastAsia="en-AU"/>
        </w:rPr>
      </w:pPr>
      <w:r>
        <w:rPr>
          <w:lang w:eastAsia="en-AU"/>
        </w:rPr>
        <w:t xml:space="preserve">For optional testing of the sensitivity of water supplies to changes in </w:t>
      </w:r>
      <w:r w:rsidRPr="00E6249D">
        <w:rPr>
          <w:u w:val="single"/>
          <w:lang w:eastAsia="en-AU"/>
        </w:rPr>
        <w:t>multi-year</w:t>
      </w:r>
      <w:r>
        <w:rPr>
          <w:lang w:eastAsia="en-AU"/>
        </w:rPr>
        <w:t xml:space="preserve"> drought duration, in addition to those generated by applying the annual climate change projections, it is recommended that alternative historical sampling or stochastic data generation be adopted, as per the procedures outlined previously in Section </w:t>
      </w:r>
      <w:r>
        <w:rPr>
          <w:lang w:eastAsia="en-AU"/>
        </w:rPr>
        <w:fldChar w:fldCharType="begin"/>
      </w:r>
      <w:r>
        <w:rPr>
          <w:lang w:eastAsia="en-AU"/>
        </w:rPr>
        <w:instrText xml:space="preserve"> REF _Ref39906364 \r \h </w:instrText>
      </w:r>
      <w:r>
        <w:rPr>
          <w:lang w:eastAsia="en-AU"/>
        </w:rPr>
      </w:r>
      <w:r>
        <w:rPr>
          <w:lang w:eastAsia="en-AU"/>
        </w:rPr>
        <w:fldChar w:fldCharType="separate"/>
      </w:r>
      <w:r>
        <w:rPr>
          <w:lang w:eastAsia="en-AU"/>
        </w:rPr>
        <w:t>5.3.6</w:t>
      </w:r>
      <w:r>
        <w:rPr>
          <w:lang w:eastAsia="en-AU"/>
        </w:rPr>
        <w:fldChar w:fldCharType="end"/>
      </w:r>
      <w:r>
        <w:rPr>
          <w:lang w:eastAsia="en-AU"/>
        </w:rPr>
        <w:t xml:space="preserve"> and </w:t>
      </w:r>
      <w:r>
        <w:rPr>
          <w:lang w:eastAsia="en-AU"/>
        </w:rPr>
        <w:fldChar w:fldCharType="begin"/>
      </w:r>
      <w:r>
        <w:rPr>
          <w:lang w:eastAsia="en-AU"/>
        </w:rPr>
        <w:instrText xml:space="preserve"> REF _Ref40453606 \r \h </w:instrText>
      </w:r>
      <w:r>
        <w:rPr>
          <w:lang w:eastAsia="en-AU"/>
        </w:rPr>
      </w:r>
      <w:r>
        <w:rPr>
          <w:lang w:eastAsia="en-AU"/>
        </w:rPr>
        <w:fldChar w:fldCharType="separate"/>
      </w:r>
      <w:r>
        <w:rPr>
          <w:lang w:eastAsia="en-AU"/>
        </w:rPr>
        <w:t>5.4.3</w:t>
      </w:r>
      <w:r>
        <w:rPr>
          <w:lang w:eastAsia="en-AU"/>
        </w:rPr>
        <w:fldChar w:fldCharType="end"/>
      </w:r>
      <w:r>
        <w:rPr>
          <w:lang w:eastAsia="en-AU"/>
        </w:rPr>
        <w:t xml:space="preserve">. For optional testing of the sensitivity of water supplies to changes in </w:t>
      </w:r>
      <w:r w:rsidRPr="00E6249D">
        <w:rPr>
          <w:u w:val="single"/>
          <w:lang w:eastAsia="en-AU"/>
        </w:rPr>
        <w:t>within-year</w:t>
      </w:r>
      <w:r>
        <w:rPr>
          <w:lang w:eastAsia="en-AU"/>
        </w:rPr>
        <w:t xml:space="preserve"> drought duration, in addition to those changes generated by applying the annual climate change projections, it is recommended that either stochastic data generation be undertaken, or sensitivity testing directly on drought duration as per the advice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.6.1.</w:t>
      </w:r>
    </w:p>
    <w:p w14:paraId="03E5166C"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53" w:name="_Ref40109156"/>
      <w:bookmarkStart w:id="554" w:name="_Toc43476494"/>
      <w:bookmarkStart w:id="555" w:name="_Toc44928739"/>
      <w:bookmarkStart w:id="556" w:name="_Toc51658011"/>
      <w:bookmarkStart w:id="557" w:name="_Toc53585916"/>
      <w:bookmarkStart w:id="558" w:name="_Toc57377167"/>
      <w:r w:rsidRPr="00306AF1">
        <w:rPr>
          <w:b/>
          <w:bCs/>
          <w:color w:val="000000" w:themeColor="text1"/>
        </w:rPr>
        <w:t>Changes to peak rainfall</w:t>
      </w:r>
      <w:bookmarkEnd w:id="553"/>
      <w:bookmarkEnd w:id="554"/>
      <w:bookmarkEnd w:id="555"/>
      <w:bookmarkEnd w:id="556"/>
      <w:bookmarkEnd w:id="557"/>
      <w:bookmarkEnd w:id="558"/>
    </w:p>
    <w:p w14:paraId="0699E296" w14:textId="77777777" w:rsidR="007B29DD" w:rsidRDefault="007B29DD" w:rsidP="007B29DD">
      <w:pPr>
        <w:pStyle w:val="BodyText"/>
        <w:rPr>
          <w:lang w:eastAsia="en-AU"/>
        </w:rPr>
      </w:pPr>
      <w:r>
        <w:rPr>
          <w:lang w:eastAsia="en-AU"/>
        </w:rPr>
        <w:t xml:space="preserve">This section discusses methods to adjust peak rainfall for projected climate change, for consideration where individual supply sources </w:t>
      </w:r>
      <w:r w:rsidRPr="006E7EF7">
        <w:rPr>
          <w:b/>
          <w:bCs/>
          <w:lang w:eastAsia="en-AU"/>
        </w:rPr>
        <w:t>are sensitive to changes in infrequent but high intensity rainfall events</w:t>
      </w:r>
      <w:r>
        <w:rPr>
          <w:lang w:eastAsia="en-AU"/>
        </w:rPr>
        <w:t>.</w:t>
      </w:r>
    </w:p>
    <w:p w14:paraId="5896548E" w14:textId="77777777" w:rsidR="007B29DD" w:rsidRDefault="007B29DD" w:rsidP="007B29DD">
      <w:pPr>
        <w:pStyle w:val="BodyText"/>
        <w:rPr>
          <w:lang w:eastAsia="en-AU"/>
        </w:rPr>
      </w:pPr>
      <w:r>
        <w:rPr>
          <w:lang w:eastAsia="en-AU"/>
        </w:rPr>
        <w:t xml:space="preserve">When assessing peak rainfall and peak flow (see Section </w:t>
      </w:r>
      <w:r>
        <w:rPr>
          <w:lang w:eastAsia="en-AU"/>
        </w:rPr>
        <w:fldChar w:fldCharType="begin"/>
      </w:r>
      <w:r>
        <w:rPr>
          <w:lang w:eastAsia="en-AU"/>
        </w:rPr>
        <w:instrText xml:space="preserve"> REF _Ref49870093 \r \h </w:instrText>
      </w:r>
      <w:r>
        <w:rPr>
          <w:lang w:eastAsia="en-AU"/>
        </w:rPr>
      </w:r>
      <w:r>
        <w:rPr>
          <w:lang w:eastAsia="en-AU"/>
        </w:rPr>
        <w:fldChar w:fldCharType="separate"/>
      </w:r>
      <w:r>
        <w:rPr>
          <w:lang w:eastAsia="en-AU"/>
        </w:rPr>
        <w:t>5.10.4</w:t>
      </w:r>
      <w:r>
        <w:rPr>
          <w:lang w:eastAsia="en-AU"/>
        </w:rPr>
        <w:fldChar w:fldCharType="end"/>
      </w:r>
      <w:r>
        <w:rPr>
          <w:lang w:eastAsia="en-AU"/>
        </w:rPr>
        <w:t>), short timescales (i.e. sub-daily, hourly, or sub-hourly) are often relevant. For example, short duration storm events may lead to the highest rates of runoff in steep, small or urban waterways, and so are a consideration for Integrated Water Management (IWM) type applications. For this reason, both daily and sub-daily timesteps are considered.</w:t>
      </w:r>
    </w:p>
    <w:p w14:paraId="1A36B10B" w14:textId="77777777" w:rsidR="007B29DD" w:rsidRPr="00306AF1" w:rsidRDefault="007B29DD" w:rsidP="007B29DD">
      <w:pPr>
        <w:pStyle w:val="Heading4"/>
        <w:numPr>
          <w:ilvl w:val="3"/>
          <w:numId w:val="5"/>
        </w:numPr>
        <w:rPr>
          <w:color w:val="000000" w:themeColor="text1"/>
        </w:rPr>
      </w:pPr>
      <w:r w:rsidRPr="00306AF1">
        <w:rPr>
          <w:color w:val="000000" w:themeColor="text1"/>
        </w:rPr>
        <w:t>Scope</w:t>
      </w:r>
    </w:p>
    <w:p w14:paraId="3F32A439" w14:textId="77777777" w:rsidR="007B29DD" w:rsidRDefault="007B29DD" w:rsidP="007B29DD">
      <w:pPr>
        <w:pStyle w:val="BodyText"/>
        <w:rPr>
          <w:lang w:eastAsia="en-AU"/>
        </w:rPr>
      </w:pPr>
      <w:r>
        <w:rPr>
          <w:lang w:eastAsia="en-AU"/>
        </w:rPr>
        <w:t>Australian Rainfall and Runoff (ARR; Ball et al., 2019) is the industry guideline for the estimation of peak rainfall for design flood estimation. These guidelines do not seek to replace the guidance in ARR. Instead, this section provides information to support the assessment of water availability in Victoria, to encourage a consistent assessment approach across water supply types, and to highlight areas of active research that may supplement existing guidance, including research from the Victorian Water and Climate Initiative.</w:t>
      </w:r>
    </w:p>
    <w:p w14:paraId="14D30583" w14:textId="77777777" w:rsidR="007B29DD" w:rsidRDefault="007B29DD" w:rsidP="007B29DD">
      <w:pPr>
        <w:pStyle w:val="BodyText"/>
        <w:rPr>
          <w:lang w:eastAsia="en-AU"/>
        </w:rPr>
      </w:pPr>
      <w:r>
        <w:rPr>
          <w:lang w:eastAsia="en-AU"/>
        </w:rPr>
        <w:t xml:space="preserve">As at September 2020, the </w:t>
      </w:r>
      <w:r w:rsidRPr="005F1345">
        <w:rPr>
          <w:i/>
        </w:rPr>
        <w:t>Guidelines for Assessing the Impact of Climate Change on Sewerage Systems</w:t>
      </w:r>
      <w:r>
        <w:rPr>
          <w:lang w:eastAsia="en-AU"/>
        </w:rPr>
        <w:t xml:space="preserve"> were under development by DELWP. Consistency of the advice in these guidelines, and the sewerage guidelines, will be assessed as the sewerage guidelines are developed.</w:t>
      </w:r>
    </w:p>
    <w:p w14:paraId="7E872E28" w14:textId="77777777" w:rsidR="007B29DD" w:rsidRPr="00306AF1" w:rsidRDefault="007B29DD" w:rsidP="007B29DD">
      <w:pPr>
        <w:pStyle w:val="Heading4"/>
        <w:numPr>
          <w:ilvl w:val="3"/>
          <w:numId w:val="5"/>
        </w:numPr>
        <w:rPr>
          <w:color w:val="000000" w:themeColor="text1"/>
        </w:rPr>
      </w:pPr>
      <w:r w:rsidRPr="00306AF1">
        <w:rPr>
          <w:color w:val="000000" w:themeColor="text1"/>
        </w:rPr>
        <w:lastRenderedPageBreak/>
        <w:t>For peak daily rainfall</w:t>
      </w:r>
    </w:p>
    <w:p w14:paraId="23029DE2" w14:textId="77777777" w:rsidR="007B29DD" w:rsidRDefault="007B29DD" w:rsidP="007B29DD">
      <w:pPr>
        <w:pStyle w:val="BodyText"/>
        <w:rPr>
          <w:lang w:eastAsia="en-AU"/>
        </w:rPr>
      </w:pPr>
      <w:r>
        <w:rPr>
          <w:lang w:eastAsia="en-AU"/>
        </w:rPr>
        <w:t>The potential physical water holding capacity of air, which is dictated by the laws of thermodynamics, changes by ~6.5% per degree of air temperature change (Guerreiro et al., 2018). This is referred to as the Clausius-Clapeyron rate.</w:t>
      </w:r>
    </w:p>
    <w:p w14:paraId="366FA990" w14:textId="77777777" w:rsidR="007B29DD" w:rsidRDefault="007B29DD" w:rsidP="007B29DD">
      <w:pPr>
        <w:pStyle w:val="BodyText"/>
        <w:rPr>
          <w:lang w:eastAsia="en-AU"/>
        </w:rPr>
      </w:pPr>
      <w:r>
        <w:rPr>
          <w:lang w:eastAsia="en-AU"/>
        </w:rPr>
        <w:t>Where individual supply sources are sensitive to changes in infrequent but high intensity rainfall events, and where modelling on a sub-daily time-step is not required, rainfall time series representing projected increases in rainfall intensity can be prepared using guidance outlined in Australian Rainfall and Runoff (Book 1, Chapter 6, Bates et al., 2019). ARR recommends a 5% increase in daily rainfall intensity per degree of local warming for rainfall within the range of probability of one exceedance per year and an annual exceedance probability of 50% to 1%.</w:t>
      </w:r>
    </w:p>
    <w:p w14:paraId="74C8D792" w14:textId="77777777" w:rsidR="007B29DD" w:rsidRDefault="007B29DD" w:rsidP="007B29DD">
      <w:pPr>
        <w:pStyle w:val="BodyText"/>
        <w:rPr>
          <w:lang w:eastAsia="en-AU"/>
        </w:rPr>
      </w:pPr>
    </w:p>
    <w:p w14:paraId="5802E935" w14:textId="77777777" w:rsidR="007B29DD" w:rsidRPr="001E1D2B" w:rsidRDefault="007B29DD" w:rsidP="007B29DD">
      <w:pPr>
        <w:pStyle w:val="BodyText"/>
        <w:keepNext/>
        <w:ind w:left="567"/>
        <w:rPr>
          <w:b/>
          <w:bCs/>
          <w:lang w:eastAsia="en-AU"/>
        </w:rPr>
      </w:pPr>
      <w:r w:rsidRPr="001E1D2B">
        <w:rPr>
          <w:b/>
          <w:bCs/>
          <w:lang w:eastAsia="en-AU"/>
        </w:rPr>
        <w:t>Ip=IARR×1.05Tm</w:t>
      </w:r>
    </w:p>
    <w:p w14:paraId="02B9891F" w14:textId="77777777" w:rsidR="007B29DD" w:rsidRDefault="007B29DD" w:rsidP="007B29DD">
      <w:pPr>
        <w:pStyle w:val="Caption"/>
        <w:keepNext w:val="0"/>
        <w:jc w:val="right"/>
      </w:pPr>
      <w:r>
        <w:t xml:space="preserve">Equation </w:t>
      </w:r>
      <w:r>
        <w:fldChar w:fldCharType="begin"/>
      </w:r>
      <w:r>
        <w:instrText>SEQ Equation \* ARABIC</w:instrText>
      </w:r>
      <w:r>
        <w:fldChar w:fldCharType="separate"/>
      </w:r>
      <w:r>
        <w:rPr>
          <w:noProof/>
        </w:rPr>
        <w:t>5</w:t>
      </w:r>
      <w:r>
        <w:fldChar w:fldCharType="end"/>
      </w:r>
    </w:p>
    <w:p w14:paraId="22CE2F33" w14:textId="77777777" w:rsidR="007B29DD" w:rsidRPr="00FD63EF" w:rsidRDefault="007B29DD" w:rsidP="007B29DD">
      <w:pPr>
        <w:pStyle w:val="BodyText"/>
        <w:rPr>
          <w:lang w:eastAsia="en-AU"/>
        </w:rPr>
      </w:pPr>
      <w:r w:rsidRPr="00FD63EF">
        <w:rPr>
          <w:lang w:eastAsia="en-AU"/>
        </w:rPr>
        <w:t>W</w:t>
      </w:r>
      <w:r w:rsidRPr="00F64669">
        <w:rPr>
          <w:lang w:eastAsia="en-AU"/>
        </w:rPr>
        <w:t>here</w:t>
      </w:r>
      <w:r w:rsidRPr="00340967">
        <w:rPr>
          <w:lang w:eastAsia="en-AU"/>
        </w:rPr>
        <w:t>:</w:t>
      </w:r>
      <w:r w:rsidRPr="00FD63EF">
        <w:rPr>
          <w:lang w:eastAsia="en-AU"/>
        </w:rPr>
        <w:t xml:space="preserve"> I</w:t>
      </w:r>
      <w:r w:rsidRPr="001E1D2B">
        <w:rPr>
          <w:vertAlign w:val="subscript"/>
          <w:lang w:eastAsia="en-AU"/>
        </w:rPr>
        <w:t>ARR</w:t>
      </w:r>
      <w:r w:rsidRPr="00FD63EF">
        <w:rPr>
          <w:lang w:eastAsia="en-AU"/>
        </w:rPr>
        <w:t xml:space="preserve"> </w:t>
      </w:r>
      <w:r w:rsidRPr="00F64669">
        <w:rPr>
          <w:lang w:eastAsia="en-AU"/>
        </w:rPr>
        <w:t>is the design rainfall intensity (or depth) for current climate conditi</w:t>
      </w:r>
      <w:r w:rsidRPr="00340967">
        <w:rPr>
          <w:lang w:eastAsia="en-AU"/>
        </w:rPr>
        <w:t>ons (Book 2), 1.05 is the assumed temperature scaling based on the approximately exponential relationship between temperature and humidity and</w:t>
      </w:r>
      <w:r w:rsidRPr="00FD63EF">
        <w:rPr>
          <w:lang w:eastAsia="en-AU"/>
        </w:rPr>
        <w:t xml:space="preserve"> T</w:t>
      </w:r>
      <w:r w:rsidRPr="001E1D2B">
        <w:rPr>
          <w:vertAlign w:val="subscript"/>
          <w:lang w:eastAsia="en-AU"/>
        </w:rPr>
        <w:t>m</w:t>
      </w:r>
      <w:r w:rsidRPr="00FD63EF">
        <w:rPr>
          <w:lang w:eastAsia="en-AU"/>
        </w:rPr>
        <w:t xml:space="preserve"> </w:t>
      </w:r>
      <w:r w:rsidRPr="00F64669">
        <w:rPr>
          <w:lang w:eastAsia="en-AU"/>
        </w:rPr>
        <w:t>is the temperature at the midpoint (or median) of the selected class interval</w:t>
      </w:r>
      <w:r w:rsidRPr="00340967">
        <w:rPr>
          <w:lang w:eastAsia="en-AU"/>
        </w:rPr>
        <w:t xml:space="preserve"> </w:t>
      </w:r>
      <w:r w:rsidRPr="00FD63EF">
        <w:rPr>
          <w:lang w:eastAsia="en-AU"/>
        </w:rPr>
        <w:t>(Book 1, Chapter 6, Bates et al., 2019).</w:t>
      </w:r>
    </w:p>
    <w:p w14:paraId="5AF56F33" w14:textId="77777777" w:rsidR="007B29DD" w:rsidRDefault="007B29DD" w:rsidP="007B29DD">
      <w:pPr>
        <w:pStyle w:val="BodyText"/>
        <w:rPr>
          <w:lang w:eastAsia="en-AU"/>
        </w:rPr>
      </w:pPr>
    </w:p>
    <w:p w14:paraId="14B7E6CC" w14:textId="77777777" w:rsidR="007B29DD" w:rsidRDefault="007B29DD" w:rsidP="007B29DD">
      <w:pPr>
        <w:pStyle w:val="BodyText"/>
        <w:rPr>
          <w:lang w:eastAsia="en-AU"/>
        </w:rPr>
      </w:pPr>
      <w:r>
        <w:rPr>
          <w:lang w:eastAsia="en-AU"/>
        </w:rPr>
        <w:t>The steps to prepare time series data are as follows:</w:t>
      </w:r>
    </w:p>
    <w:p w14:paraId="6E1DEFD5" w14:textId="77777777" w:rsidR="007B29DD" w:rsidRDefault="007B29DD" w:rsidP="007B29DD">
      <w:pPr>
        <w:pStyle w:val="ListNumber"/>
        <w:numPr>
          <w:ilvl w:val="0"/>
          <w:numId w:val="46"/>
        </w:numPr>
      </w:pPr>
      <w:r>
        <w:t>Generate daily rainfalls for a 24 to 168-hour duration events for any location in Victoria using the Bureau of Meteorology’s Intensity-Frequency-Duration Data System (http://www.bom.gov.au/water/designRainfalls/ifd/).</w:t>
      </w:r>
    </w:p>
    <w:p w14:paraId="0D86A269" w14:textId="77777777" w:rsidR="007B29DD" w:rsidRDefault="007B29DD" w:rsidP="007B29DD">
      <w:pPr>
        <w:pStyle w:val="ListNumber"/>
        <w:numPr>
          <w:ilvl w:val="0"/>
          <w:numId w:val="46"/>
        </w:numPr>
      </w:pPr>
      <w:r>
        <w:t>Take the rainfall record over the period of the post-1975 historic climate reference period. (Adjustments to peak rainfall in the post-1997 historic climate reference period are not recommended, except for sensitivity testing, should there be a need.)</w:t>
      </w:r>
    </w:p>
    <w:p w14:paraId="01115C82" w14:textId="77777777" w:rsidR="007B29DD" w:rsidRDefault="007B29DD" w:rsidP="007B29DD">
      <w:pPr>
        <w:pStyle w:val="ListNumber"/>
        <w:numPr>
          <w:ilvl w:val="0"/>
          <w:numId w:val="46"/>
        </w:numPr>
      </w:pPr>
      <w:r>
        <w:t>For daily (i.e. 24-hour) rainfall totals that are greater than or equal to the rainfall exceeded once per year, but less than the rainfall exceeded once every 100 years, increase the rainfall by 5% per degree of local warming by use of the equation above. (Note: It is assumed that small urban catchments are most likely to be of interest for IWM type applications, and the critical duration for these catchments is likely to be short. Hence multi-day storms are not considered.)</w:t>
      </w:r>
    </w:p>
    <w:p w14:paraId="121689D9" w14:textId="77777777" w:rsidR="007B29DD" w:rsidRDefault="007B29DD" w:rsidP="007B29DD">
      <w:pPr>
        <w:pStyle w:val="ListNumber"/>
        <w:numPr>
          <w:ilvl w:val="0"/>
          <w:numId w:val="46"/>
        </w:numPr>
      </w:pPr>
      <w:r>
        <w:t xml:space="preserve">All other daily rainfall should be reduced to counter the increase to peak rainfall and to account for the projected reductions in average annual rainfall. That is, the total change in annual rainfall should be equal to the projections outlined in </w:t>
      </w:r>
      <w:r>
        <w:fldChar w:fldCharType="begin"/>
      </w:r>
      <w:r>
        <w:instrText xml:space="preserve"> REF _Ref40087641 \h </w:instrText>
      </w:r>
      <w:r>
        <w:fldChar w:fldCharType="separate"/>
      </w:r>
      <w:r w:rsidRPr="00414330">
        <w:t xml:space="preserve">Table </w:t>
      </w:r>
      <w:r>
        <w:rPr>
          <w:noProof/>
        </w:rPr>
        <w:t>5</w:t>
      </w:r>
      <w:r>
        <w:fldChar w:fldCharType="end"/>
      </w:r>
      <w:r>
        <w:t>.</w:t>
      </w:r>
    </w:p>
    <w:p w14:paraId="05B2FA2A" w14:textId="77777777" w:rsidR="007B29DD" w:rsidRDefault="007B29DD" w:rsidP="007B29DD">
      <w:pPr>
        <w:pStyle w:val="ListNumber"/>
        <w:numPr>
          <w:ilvl w:val="0"/>
          <w:numId w:val="46"/>
        </w:numPr>
      </w:pPr>
      <w:r>
        <w:t>Rainfall is projected to increase for the low climate change projection scenario in 2020–2040 for some basins. In this instance it would be necessary to increase peak rainfall and average annual rainfall. This could be simulated by first increasing the peak rainfall, and then increasing all other rainfalls so that the desired total increase is achieved.</w:t>
      </w:r>
    </w:p>
    <w:p w14:paraId="3E33E24E" w14:textId="77777777" w:rsidR="007B29DD" w:rsidRDefault="007B29DD" w:rsidP="007B29DD">
      <w:pPr>
        <w:pStyle w:val="BodyText"/>
        <w:rPr>
          <w:lang w:eastAsia="en-AU"/>
        </w:rPr>
      </w:pPr>
    </w:p>
    <w:p w14:paraId="677D9FA4" w14:textId="77777777" w:rsidR="007B29DD" w:rsidRDefault="007B29DD" w:rsidP="007B29DD">
      <w:pPr>
        <w:pStyle w:val="BodyText"/>
        <w:rPr>
          <w:lang w:eastAsia="en-AU"/>
        </w:rPr>
      </w:pPr>
      <w:r>
        <w:rPr>
          <w:lang w:eastAsia="en-AU"/>
        </w:rPr>
        <w:t xml:space="preserve">The range of plausible scenarios that could result for 2040 is illustrated by </w:t>
      </w:r>
      <w:r>
        <w:rPr>
          <w:lang w:eastAsia="en-AU"/>
        </w:rPr>
        <w:fldChar w:fldCharType="begin"/>
      </w:r>
      <w:r>
        <w:rPr>
          <w:lang w:eastAsia="en-AU"/>
        </w:rPr>
        <w:instrText xml:space="preserve"> REF _Ref49867761 \h </w:instrText>
      </w:r>
      <w:r>
        <w:rPr>
          <w:lang w:eastAsia="en-AU"/>
        </w:rPr>
      </w:r>
      <w:r>
        <w:rPr>
          <w:lang w:eastAsia="en-AU"/>
        </w:rPr>
        <w:fldChar w:fldCharType="separate"/>
      </w:r>
      <w:r>
        <w:t xml:space="preserve">Figure </w:t>
      </w:r>
      <w:r>
        <w:rPr>
          <w:noProof/>
        </w:rPr>
        <w:t>22</w:t>
      </w:r>
      <w:r>
        <w:rPr>
          <w:lang w:eastAsia="en-AU"/>
        </w:rPr>
        <w:fldChar w:fldCharType="end"/>
      </w:r>
      <w:r>
        <w:rPr>
          <w:lang w:eastAsia="en-AU"/>
        </w:rPr>
        <w:t>, overleaf.</w:t>
      </w:r>
    </w:p>
    <w:p w14:paraId="59623BE1" w14:textId="77777777" w:rsidR="007B29DD" w:rsidRDefault="007B29DD" w:rsidP="007B29DD">
      <w:pPr>
        <w:pStyle w:val="BodyText"/>
        <w:spacing w:after="0"/>
        <w:rPr>
          <w:lang w:eastAsia="en-AU"/>
        </w:rPr>
      </w:pPr>
      <w:r>
        <w:rPr>
          <w:noProof/>
        </w:rPr>
        <w:lastRenderedPageBreak/>
        <w:drawing>
          <wp:inline distT="0" distB="0" distL="0" distR="0" wp14:anchorId="6658880E" wp14:editId="5B0B4D29">
            <wp:extent cx="6427145" cy="3015552"/>
            <wp:effectExtent l="19050" t="19050" r="12065" b="13970"/>
            <wp:docPr id="32" name="Picture 32" descr="Infographic displaying plausible scenarios for 2040 which combine increases in peak daily rainfall intensity with a low, medium and high climate change projection for average annual rainfall. The resultant scenarios range from a wetter scenario with higher peak rainfall, to a flashier rainfall scenario where increases in peak rainfall are underlain by an overall reduction in average annual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2">
                      <a:extLst>
                        <a:ext uri="{28A0092B-C50C-407E-A947-70E740481C1C}">
                          <a14:useLocalDpi xmlns:a14="http://schemas.microsoft.com/office/drawing/2010/main" val="0"/>
                        </a:ext>
                      </a:extLst>
                    </a:blip>
                    <a:stretch>
                      <a:fillRect/>
                    </a:stretch>
                  </pic:blipFill>
                  <pic:spPr>
                    <a:xfrm>
                      <a:off x="0" y="0"/>
                      <a:ext cx="6433248" cy="3018416"/>
                    </a:xfrm>
                    <a:prstGeom prst="rect">
                      <a:avLst/>
                    </a:prstGeom>
                    <a:ln>
                      <a:solidFill>
                        <a:schemeClr val="bg1">
                          <a:lumMod val="65000"/>
                        </a:schemeClr>
                      </a:solidFill>
                    </a:ln>
                  </pic:spPr>
                </pic:pic>
              </a:graphicData>
            </a:graphic>
          </wp:inline>
        </w:drawing>
      </w:r>
    </w:p>
    <w:p w14:paraId="28A016C2" w14:textId="77777777" w:rsidR="007B29DD" w:rsidRDefault="007B29DD" w:rsidP="007B29DD">
      <w:pPr>
        <w:pStyle w:val="Caption"/>
        <w:spacing w:before="0"/>
      </w:pPr>
      <w:bookmarkStart w:id="559" w:name="_Ref49867761"/>
      <w:bookmarkStart w:id="560" w:name="_Toc51237498"/>
      <w:bookmarkStart w:id="561" w:name="_Toc53586013"/>
      <w:bookmarkStart w:id="562" w:name="_Toc57377264"/>
      <w:r>
        <w:t xml:space="preserve">Figure </w:t>
      </w:r>
      <w:r>
        <w:fldChar w:fldCharType="begin"/>
      </w:r>
      <w:r>
        <w:instrText>SEQ Figure \* ARABIC</w:instrText>
      </w:r>
      <w:r>
        <w:fldChar w:fldCharType="separate"/>
      </w:r>
      <w:r>
        <w:rPr>
          <w:noProof/>
        </w:rPr>
        <w:t>22</w:t>
      </w:r>
      <w:r>
        <w:fldChar w:fldCharType="end"/>
      </w:r>
      <w:bookmarkEnd w:id="559"/>
      <w:r>
        <w:t xml:space="preserve"> Plausible scenarios of 2040 water availability, coupled with increases in peak daily rainfall.</w:t>
      </w:r>
      <w:bookmarkEnd w:id="560"/>
      <w:bookmarkEnd w:id="561"/>
      <w:bookmarkEnd w:id="562"/>
    </w:p>
    <w:p w14:paraId="2095D929" w14:textId="77777777" w:rsidR="007B29DD" w:rsidRDefault="007B29DD" w:rsidP="007B29DD">
      <w:pPr>
        <w:pStyle w:val="BodyText"/>
        <w:rPr>
          <w:lang w:eastAsia="en-AU"/>
        </w:rPr>
      </w:pPr>
    </w:p>
    <w:p w14:paraId="2FB8B4B7" w14:textId="77777777" w:rsidR="007B29DD" w:rsidRPr="008354C8" w:rsidRDefault="007B29DD" w:rsidP="007B29DD">
      <w:pPr>
        <w:pStyle w:val="BodyText"/>
        <w:rPr>
          <w:b/>
          <w:bCs/>
          <w:i/>
          <w:iCs/>
          <w:lang w:eastAsia="en-AU"/>
        </w:rPr>
      </w:pPr>
      <w:r w:rsidRPr="008354C8">
        <w:rPr>
          <w:b/>
          <w:bCs/>
          <w:i/>
          <w:iCs/>
          <w:lang w:eastAsia="en-AU"/>
        </w:rPr>
        <w:t>Alternative approaches</w:t>
      </w:r>
    </w:p>
    <w:p w14:paraId="5BF99A82" w14:textId="77777777" w:rsidR="007B29DD" w:rsidRDefault="007B29DD" w:rsidP="007B29DD">
      <w:pPr>
        <w:pStyle w:val="BodyText"/>
        <w:rPr>
          <w:lang w:eastAsia="en-AU"/>
        </w:rPr>
      </w:pPr>
      <w:r>
        <w:rPr>
          <w:lang w:eastAsia="en-AU"/>
        </w:rPr>
        <w:t>VCP19 datasets could be used as supplementary scenarios to further assess the sensitivity of planning outcomes to the assumptions in the guidelines. Estimates for the change in extreme (1-in-20-year) daily rainfall have been derived for VCP19 datasets on an annual and seasonal temporal scale for ten Victorian regions and can be accessed by use of the projected change summary Excel spreadsheets, available for download on the Climate Change In Australia website. NARCliM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.2.2) project datasets could also be used to explore projected rainfall extremes.</w:t>
      </w:r>
    </w:p>
    <w:p w14:paraId="11A958C0" w14:textId="77777777" w:rsidR="007B29DD" w:rsidRPr="00306AF1" w:rsidRDefault="007B29DD" w:rsidP="007B29DD">
      <w:pPr>
        <w:pStyle w:val="Heading4"/>
        <w:numPr>
          <w:ilvl w:val="3"/>
          <w:numId w:val="5"/>
        </w:numPr>
        <w:rPr>
          <w:color w:val="000000" w:themeColor="text1"/>
        </w:rPr>
      </w:pPr>
      <w:r w:rsidRPr="00306AF1">
        <w:rPr>
          <w:color w:val="000000" w:themeColor="text1"/>
        </w:rPr>
        <w:t>For peak sub-daily rainfall (e.g. peak 30-minute rainfall)</w:t>
      </w:r>
    </w:p>
    <w:p w14:paraId="28BE8A54" w14:textId="77777777" w:rsidR="007B29DD" w:rsidRDefault="007B29DD" w:rsidP="007B29DD">
      <w:pPr>
        <w:pStyle w:val="BodyText"/>
        <w:rPr>
          <w:lang w:eastAsia="en-AU"/>
        </w:rPr>
      </w:pPr>
      <w:r>
        <w:rPr>
          <w:lang w:eastAsia="en-AU"/>
        </w:rPr>
        <w:t>Rainfall increases in excess of 5% per degree of warming have been widely observed for sub-daily storms (e.g. Guerreiro et al. 2018); however, the precise rate of increase differs across the research literature on this topic. This is because observed scaling rates depend on the event duration, storm type, study location, and methods of analysis. The processes causing high scaling rates are not well understood and is an active area of research. Although large uncertainties exist, a synthesis of the existing literature by Bureau of Meteorology (2019) suggests that rainfall intensities could increase by as much as 14% per degree warming.</w:t>
      </w:r>
    </w:p>
    <w:p w14:paraId="30CD846B" w14:textId="77777777" w:rsidR="007B29DD" w:rsidRDefault="007B29DD" w:rsidP="007B29DD">
      <w:pPr>
        <w:pStyle w:val="BodyText"/>
        <w:rPr>
          <w:lang w:eastAsia="en-AU"/>
        </w:rPr>
      </w:pPr>
      <w:r>
        <w:rPr>
          <w:lang w:eastAsia="en-AU"/>
        </w:rPr>
        <w:t xml:space="preserve">If the scaling of sub-daily rainfall is required for the purpose of exploring water availability under projected climate </w:t>
      </w:r>
      <w:r w:rsidRPr="00CE4552">
        <w:rPr>
          <w:lang w:eastAsia="en-AU"/>
        </w:rPr>
        <w:t xml:space="preserve">change, Appendix B.7 sets out some non-prescriptive advice for consideration. This could include, for example, applications where time series pluviograph data is used for </w:t>
      </w:r>
      <w:r>
        <w:rPr>
          <w:lang w:eastAsia="en-AU"/>
        </w:rPr>
        <w:t xml:space="preserve">Integrated Water Management </w:t>
      </w:r>
      <w:r w:rsidRPr="00CE4552">
        <w:rPr>
          <w:lang w:eastAsia="en-AU"/>
        </w:rPr>
        <w:t>applications. Appendix B.</w:t>
      </w:r>
      <w:r>
        <w:rPr>
          <w:lang w:eastAsia="en-AU"/>
        </w:rPr>
        <w:t>7 draws on a known example where sub-daily rainfall has been scaled to model Melbourne's sewer network under projected climate change (HARC, 2019).</w:t>
      </w:r>
    </w:p>
    <w:p w14:paraId="575DD6C9"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563" w:name="_Toc38957440"/>
      <w:bookmarkStart w:id="564" w:name="_Ref40018111"/>
      <w:bookmarkStart w:id="565" w:name="_Ref40179942"/>
      <w:bookmarkStart w:id="566" w:name="_Toc43476495"/>
      <w:bookmarkStart w:id="567" w:name="_Toc44928740"/>
      <w:bookmarkStart w:id="568" w:name="_Toc51658012"/>
      <w:bookmarkStart w:id="569" w:name="_Toc53585917"/>
      <w:bookmarkStart w:id="570" w:name="_Toc57377168"/>
      <w:r w:rsidRPr="00306AF1">
        <w:rPr>
          <w:b/>
          <w:bCs/>
          <w:color w:val="000000" w:themeColor="text1"/>
        </w:rPr>
        <w:t xml:space="preserve">Applying climate change projections to </w:t>
      </w:r>
      <w:bookmarkEnd w:id="563"/>
      <w:bookmarkEnd w:id="564"/>
      <w:r w:rsidRPr="00306AF1">
        <w:rPr>
          <w:b/>
          <w:bCs/>
          <w:color w:val="000000" w:themeColor="text1"/>
        </w:rPr>
        <w:t>runoff (streamflow)</w:t>
      </w:r>
      <w:bookmarkEnd w:id="565"/>
      <w:bookmarkEnd w:id="566"/>
      <w:bookmarkEnd w:id="567"/>
      <w:bookmarkEnd w:id="568"/>
      <w:bookmarkEnd w:id="569"/>
      <w:bookmarkEnd w:id="570"/>
    </w:p>
    <w:p w14:paraId="4605B5A9"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71" w:name="_Toc38957441"/>
      <w:bookmarkStart w:id="572" w:name="_Toc43476496"/>
      <w:bookmarkStart w:id="573" w:name="_Toc44928741"/>
      <w:bookmarkStart w:id="574" w:name="_Toc51658013"/>
      <w:bookmarkStart w:id="575" w:name="_Toc53585918"/>
      <w:bookmarkStart w:id="576" w:name="_Toc57377169"/>
      <w:r w:rsidRPr="00306AF1">
        <w:rPr>
          <w:b/>
          <w:bCs/>
          <w:color w:val="000000" w:themeColor="text1"/>
        </w:rPr>
        <w:t>Average annual runoff changes</w:t>
      </w:r>
      <w:bookmarkEnd w:id="571"/>
      <w:bookmarkEnd w:id="572"/>
      <w:bookmarkEnd w:id="573"/>
      <w:bookmarkEnd w:id="574"/>
      <w:bookmarkEnd w:id="575"/>
      <w:bookmarkEnd w:id="576"/>
    </w:p>
    <w:p w14:paraId="6416E9A9" w14:textId="77777777" w:rsidR="007B29DD" w:rsidRDefault="007B29DD" w:rsidP="007B29DD">
      <w:pPr>
        <w:pStyle w:val="BodyText"/>
        <w:rPr>
          <w:lang w:eastAsia="en-AU"/>
        </w:rPr>
      </w:pPr>
      <w:r w:rsidRPr="00721167">
        <w:rPr>
          <w:lang w:eastAsia="en-AU"/>
        </w:rPr>
        <w:t xml:space="preserve">The </w:t>
      </w:r>
      <w:r>
        <w:rPr>
          <w:lang w:eastAsia="en-AU"/>
        </w:rPr>
        <w:t xml:space="preserve">projected </w:t>
      </w:r>
      <w:r w:rsidRPr="00721167">
        <w:rPr>
          <w:lang w:eastAsia="en-AU"/>
        </w:rPr>
        <w:t xml:space="preserve">changes in </w:t>
      </w:r>
      <w:r>
        <w:rPr>
          <w:lang w:eastAsia="en-AU"/>
        </w:rPr>
        <w:t>average annual runoff</w:t>
      </w:r>
      <w:r w:rsidRPr="00721167">
        <w:rPr>
          <w:lang w:eastAsia="en-AU"/>
        </w:rPr>
        <w:t xml:space="preserve"> </w:t>
      </w:r>
      <w:r>
        <w:rPr>
          <w:lang w:eastAsia="en-AU"/>
        </w:rPr>
        <w:t>for each river basin are</w:t>
      </w:r>
      <w:r w:rsidRPr="00721167">
        <w:rPr>
          <w:lang w:eastAsia="en-AU"/>
        </w:rPr>
        <w:t xml:space="preserve"> presented in </w:t>
      </w:r>
      <w:r>
        <w:rPr>
          <w:lang w:eastAsia="en-AU"/>
        </w:rPr>
        <w:fldChar w:fldCharType="begin"/>
      </w:r>
      <w:r>
        <w:rPr>
          <w:lang w:eastAsia="en-AU"/>
        </w:rPr>
        <w:instrText xml:space="preserve"> REF _Ref40090919 \h </w:instrText>
      </w:r>
      <w:r>
        <w:rPr>
          <w:lang w:eastAsia="en-AU"/>
        </w:rPr>
      </w:r>
      <w:r>
        <w:rPr>
          <w:lang w:eastAsia="en-AU"/>
        </w:rPr>
        <w:fldChar w:fldCharType="separate"/>
      </w:r>
      <w:r w:rsidRPr="0054201C">
        <w:t xml:space="preserve">Table </w:t>
      </w:r>
      <w:r>
        <w:rPr>
          <w:noProof/>
        </w:rPr>
        <w:t>6</w:t>
      </w:r>
      <w:r>
        <w:rPr>
          <w:lang w:eastAsia="en-AU"/>
        </w:rPr>
        <w:fldChar w:fldCharType="end"/>
      </w:r>
      <w:r>
        <w:rPr>
          <w:lang w:eastAsia="en-AU"/>
        </w:rPr>
        <w:t>.</w:t>
      </w:r>
      <w:r w:rsidRPr="00721167">
        <w:rPr>
          <w:lang w:eastAsia="en-AU"/>
        </w:rPr>
        <w:t xml:space="preserve"> </w:t>
      </w:r>
      <w:r>
        <w:rPr>
          <w:lang w:eastAsia="en-AU"/>
        </w:rPr>
        <w:t>These should only be applied to the post-1975 historic climate reference period (not the post-1997 historic climate reference period).</w:t>
      </w:r>
    </w:p>
    <w:p w14:paraId="5E0EED5B" w14:textId="77777777" w:rsidR="007B29DD" w:rsidRDefault="007B29DD" w:rsidP="007B29DD">
      <w:pPr>
        <w:pStyle w:val="BodyText"/>
        <w:rPr>
          <w:lang w:eastAsia="en-AU"/>
        </w:rPr>
      </w:pPr>
      <w:r w:rsidRPr="00721167">
        <w:rPr>
          <w:lang w:eastAsia="en-AU"/>
        </w:rPr>
        <w:t xml:space="preserve">In the East Gippsland </w:t>
      </w:r>
      <w:r>
        <w:rPr>
          <w:lang w:eastAsia="en-AU"/>
        </w:rPr>
        <w:t>B</w:t>
      </w:r>
      <w:r w:rsidRPr="00721167">
        <w:rPr>
          <w:lang w:eastAsia="en-AU"/>
        </w:rPr>
        <w:t>asin</w:t>
      </w:r>
      <w:r w:rsidRPr="009F5525">
        <w:rPr>
          <w:lang w:eastAsia="en-AU"/>
        </w:rPr>
        <w:t xml:space="preserve"> </w:t>
      </w:r>
      <w:r w:rsidRPr="00721167">
        <w:rPr>
          <w:lang w:eastAsia="en-AU"/>
        </w:rPr>
        <w:t xml:space="preserve">for example, </w:t>
      </w:r>
      <w:r>
        <w:rPr>
          <w:lang w:eastAsia="en-AU"/>
        </w:rPr>
        <w:t>under the RCP8.5 emissions scenario</w:t>
      </w:r>
      <w:r w:rsidRPr="00721167">
        <w:rPr>
          <w:lang w:eastAsia="en-AU"/>
        </w:rPr>
        <w:t xml:space="preserve">, average </w:t>
      </w:r>
      <w:r>
        <w:rPr>
          <w:lang w:eastAsia="en-AU"/>
        </w:rPr>
        <w:t>annual</w:t>
      </w:r>
      <w:r w:rsidRPr="00721167">
        <w:rPr>
          <w:lang w:eastAsia="en-AU"/>
        </w:rPr>
        <w:t xml:space="preserve"> </w:t>
      </w:r>
      <w:r>
        <w:rPr>
          <w:lang w:eastAsia="en-AU"/>
        </w:rPr>
        <w:t>runoff</w:t>
      </w:r>
      <w:r w:rsidRPr="00721167">
        <w:rPr>
          <w:lang w:eastAsia="en-AU"/>
        </w:rPr>
        <w:t xml:space="preserve"> is projected to increase by </w:t>
      </w:r>
      <w:r>
        <w:rPr>
          <w:lang w:eastAsia="en-AU"/>
        </w:rPr>
        <w:t>up to 23.3% or decrease by up to 25.6</w:t>
      </w:r>
      <w:r w:rsidRPr="00266F67">
        <w:rPr>
          <w:lang w:eastAsia="en-AU"/>
        </w:rPr>
        <w:t>%</w:t>
      </w:r>
      <w:r w:rsidRPr="00721167">
        <w:rPr>
          <w:lang w:eastAsia="en-AU"/>
        </w:rPr>
        <w:t xml:space="preserve"> by 2040 relative to </w:t>
      </w:r>
      <w:r>
        <w:rPr>
          <w:lang w:eastAsia="en-AU"/>
        </w:rPr>
        <w:t>1995, with a median projection of a 5.1% decrease.</w:t>
      </w:r>
    </w:p>
    <w:p w14:paraId="7DB4AAA6" w14:textId="77777777" w:rsidR="007B29DD" w:rsidRDefault="007B29DD" w:rsidP="007B29DD">
      <w:pPr>
        <w:pStyle w:val="BodyText"/>
        <w:rPr>
          <w:lang w:eastAsia="en-AU"/>
        </w:rPr>
      </w:pPr>
      <w:r>
        <w:rPr>
          <w:lang w:eastAsia="en-AU"/>
        </w:rPr>
        <w:t>In this table, the year 2020 projection has been linearly interpolated between the mid-point of the reference period climate reference period used in the global climate modelling (1995) and the year 2040 projection. The year 2040 and 2065 projections have been extracted from the GCMs by CSIRO.</w:t>
      </w:r>
    </w:p>
    <w:p w14:paraId="1703A668" w14:textId="77777777" w:rsidR="007B29DD" w:rsidRDefault="007B29DD" w:rsidP="007B29DD">
      <w:pPr>
        <w:pStyle w:val="Caption"/>
      </w:pPr>
      <w:bookmarkStart w:id="577" w:name="_Ref40090919"/>
      <w:bookmarkStart w:id="578" w:name="_Toc43476560"/>
      <w:bookmarkStart w:id="579" w:name="_Toc44928805"/>
      <w:bookmarkStart w:id="580" w:name="_Toc51237468"/>
      <w:bookmarkStart w:id="581" w:name="_Toc53585983"/>
      <w:bookmarkStart w:id="582" w:name="_Toc57377234"/>
      <w:r w:rsidRPr="0054201C">
        <w:lastRenderedPageBreak/>
        <w:t xml:space="preserve">Table </w:t>
      </w:r>
      <w:r>
        <w:fldChar w:fldCharType="begin"/>
      </w:r>
      <w:r>
        <w:instrText>SEQ Table \* ARABIC</w:instrText>
      </w:r>
      <w:r>
        <w:fldChar w:fldCharType="separate"/>
      </w:r>
      <w:r>
        <w:rPr>
          <w:noProof/>
        </w:rPr>
        <w:t>6</w:t>
      </w:r>
      <w:r>
        <w:fldChar w:fldCharType="end"/>
      </w:r>
      <w:bookmarkEnd w:id="577"/>
      <w:r w:rsidRPr="0054201C">
        <w:t xml:space="preserve"> Projected change in average annual runoff</w:t>
      </w:r>
      <w:bookmarkEnd w:id="578"/>
      <w:bookmarkEnd w:id="579"/>
      <w:bookmarkEnd w:id="580"/>
      <w:bookmarkEnd w:id="581"/>
      <w:bookmarkEnd w:id="582"/>
    </w:p>
    <w:tbl>
      <w:tblPr>
        <w:tblW w:w="9634" w:type="dxa"/>
        <w:jc w:val="center"/>
        <w:tblLook w:val="04A0" w:firstRow="1" w:lastRow="0" w:firstColumn="1" w:lastColumn="0" w:noHBand="0" w:noVBand="1"/>
      </w:tblPr>
      <w:tblGrid>
        <w:gridCol w:w="1409"/>
        <w:gridCol w:w="1395"/>
        <w:gridCol w:w="1112"/>
        <w:gridCol w:w="1110"/>
        <w:gridCol w:w="1152"/>
        <w:gridCol w:w="1152"/>
        <w:gridCol w:w="1152"/>
        <w:gridCol w:w="1152"/>
      </w:tblGrid>
      <w:tr w:rsidR="007B29DD" w:rsidRPr="00D47BF0" w14:paraId="7DE66F38" w14:textId="77777777" w:rsidTr="003F54F1">
        <w:trPr>
          <w:trHeight w:val="345"/>
          <w:tblHeader/>
          <w:jc w:val="center"/>
        </w:trPr>
        <w:tc>
          <w:tcPr>
            <w:tcW w:w="1404" w:type="dxa"/>
            <w:tcBorders>
              <w:top w:val="nil"/>
              <w:left w:val="nil"/>
              <w:bottom w:val="single" w:sz="4" w:space="0" w:color="auto"/>
              <w:right w:val="nil"/>
            </w:tcBorders>
            <w:shd w:val="clear" w:color="auto" w:fill="auto"/>
            <w:noWrap/>
            <w:vAlign w:val="bottom"/>
            <w:hideMark/>
          </w:tcPr>
          <w:p w14:paraId="0213A041" w14:textId="77777777" w:rsidR="007B29DD" w:rsidRPr="00D47BF0" w:rsidRDefault="007B29DD" w:rsidP="00306AF1">
            <w:pPr>
              <w:spacing w:line="240" w:lineRule="auto"/>
              <w:rPr>
                <w:rFonts w:ascii="Times New Roman" w:hAnsi="Times New Roman" w:cs="Times New Roman"/>
                <w:sz w:val="24"/>
                <w:szCs w:val="24"/>
                <w:lang w:val="en-US" w:eastAsia="zh-CN"/>
              </w:rPr>
            </w:pPr>
          </w:p>
        </w:tc>
        <w:tc>
          <w:tcPr>
            <w:tcW w:w="1395" w:type="dxa"/>
            <w:tcBorders>
              <w:top w:val="nil"/>
              <w:left w:val="nil"/>
              <w:bottom w:val="single" w:sz="4" w:space="0" w:color="auto"/>
              <w:right w:val="nil"/>
            </w:tcBorders>
            <w:shd w:val="clear" w:color="auto" w:fill="auto"/>
            <w:noWrap/>
            <w:vAlign w:val="bottom"/>
            <w:hideMark/>
          </w:tcPr>
          <w:p w14:paraId="45F78121" w14:textId="77777777" w:rsidR="007B29DD" w:rsidRPr="00D47BF0" w:rsidRDefault="007B29DD" w:rsidP="00306AF1">
            <w:pPr>
              <w:spacing w:line="240" w:lineRule="auto"/>
              <w:rPr>
                <w:rFonts w:ascii="Times New Roman" w:hAnsi="Times New Roman" w:cs="Times New Roman"/>
                <w:lang w:val="en-US" w:eastAsia="zh-CN"/>
              </w:rPr>
            </w:pPr>
          </w:p>
        </w:tc>
        <w:tc>
          <w:tcPr>
            <w:tcW w:w="6835"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4321AC94" w14:textId="77777777" w:rsidR="007B29DD" w:rsidRPr="00D47BF0"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Change relative to 1995 (</w:t>
            </w:r>
            <w:r w:rsidRPr="008448BA">
              <w:rPr>
                <w:rFonts w:ascii="Calibri" w:hAnsi="Calibri" w:cs="Calibri"/>
                <w:b/>
                <w:bCs/>
                <w:color w:val="000000"/>
                <w:lang w:val="en-US" w:eastAsia="zh-CN"/>
              </w:rPr>
              <w:t>%</w:t>
            </w:r>
            <w:r w:rsidRPr="00D47BF0">
              <w:rPr>
                <w:rFonts w:ascii="Calibri" w:hAnsi="Calibri" w:cs="Calibri"/>
                <w:b/>
                <w:bCs/>
                <w:color w:val="000000"/>
                <w:lang w:val="en-US" w:eastAsia="zh-CN"/>
              </w:rPr>
              <w:t>)</w:t>
            </w:r>
          </w:p>
        </w:tc>
      </w:tr>
      <w:tr w:rsidR="007B29DD" w:rsidRPr="00D47BF0" w14:paraId="47B33941" w14:textId="77777777" w:rsidTr="00306AF1">
        <w:trPr>
          <w:trHeight w:val="300"/>
          <w:tblHeader/>
          <w:jc w:val="center"/>
        </w:trPr>
        <w:tc>
          <w:tcPr>
            <w:tcW w:w="140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C629" w14:textId="77777777" w:rsidR="007B29DD"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River basin</w:t>
            </w:r>
            <w:r>
              <w:rPr>
                <w:rFonts w:ascii="Calibri" w:hAnsi="Calibri" w:cs="Calibri"/>
                <w:b/>
                <w:bCs/>
                <w:color w:val="000000"/>
                <w:lang w:val="en-US" w:eastAsia="zh-CN"/>
              </w:rPr>
              <w:t xml:space="preserve"> </w:t>
            </w:r>
          </w:p>
          <w:p w14:paraId="6BCFCE76" w14:textId="77777777" w:rsidR="007B29DD" w:rsidRPr="00D47BF0" w:rsidRDefault="007B29DD" w:rsidP="00306AF1">
            <w:pPr>
              <w:spacing w:line="240" w:lineRule="auto"/>
              <w:jc w:val="center"/>
              <w:rPr>
                <w:rFonts w:ascii="Calibri" w:hAnsi="Calibri" w:cs="Calibri"/>
                <w:b/>
                <w:bCs/>
                <w:color w:val="000000"/>
                <w:lang w:val="en-US" w:eastAsia="zh-CN"/>
              </w:rPr>
            </w:pPr>
            <w:r w:rsidRPr="00116EB6">
              <w:rPr>
                <w:rFonts w:ascii="Calibri" w:hAnsi="Calibri" w:cs="Calibri"/>
                <w:b/>
                <w:bCs/>
                <w:color w:val="000000"/>
                <w:sz w:val="18"/>
                <w:szCs w:val="18"/>
                <w:lang w:val="en-US" w:eastAsia="zh-CN"/>
              </w:rPr>
              <w:t>(and basin number)</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06E38" w14:textId="77777777" w:rsidR="007B29DD" w:rsidRPr="00D47BF0" w:rsidRDefault="007B29DD" w:rsidP="00306AF1">
            <w:pPr>
              <w:spacing w:line="240" w:lineRule="auto"/>
              <w:jc w:val="center"/>
              <w:rPr>
                <w:rFonts w:ascii="Calibri" w:hAnsi="Calibri" w:cs="Calibri"/>
                <w:b/>
                <w:bCs/>
                <w:color w:val="000000"/>
                <w:lang w:val="en-US" w:eastAsia="zh-CN"/>
              </w:rPr>
            </w:pPr>
            <w:r w:rsidRPr="00D47BF0">
              <w:rPr>
                <w:rFonts w:ascii="Calibri" w:hAnsi="Calibri" w:cs="Calibri"/>
                <w:b/>
                <w:bCs/>
                <w:color w:val="000000"/>
                <w:lang w:val="en-US" w:eastAsia="zh-CN"/>
              </w:rPr>
              <w:t>Projection</w:t>
            </w:r>
          </w:p>
        </w:tc>
        <w:tc>
          <w:tcPr>
            <w:tcW w:w="2223" w:type="dxa"/>
            <w:gridSpan w:val="2"/>
            <w:tcBorders>
              <w:top w:val="single" w:sz="4" w:space="0" w:color="auto"/>
              <w:left w:val="nil"/>
              <w:bottom w:val="single" w:sz="4" w:space="0" w:color="auto"/>
              <w:right w:val="single" w:sz="4" w:space="0" w:color="auto"/>
            </w:tcBorders>
            <w:shd w:val="clear" w:color="auto" w:fill="auto"/>
            <w:vAlign w:val="center"/>
            <w:hideMark/>
          </w:tcPr>
          <w:p w14:paraId="43011CCE"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2020</w:t>
            </w: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14:paraId="1CBAE919"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2040</w:t>
            </w: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14:paraId="498D2AE4"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Year 2065</w:t>
            </w:r>
          </w:p>
        </w:tc>
      </w:tr>
      <w:tr w:rsidR="007B29DD" w:rsidRPr="00D47BF0" w14:paraId="74ECA7FA" w14:textId="77777777" w:rsidTr="00306AF1">
        <w:trPr>
          <w:trHeight w:val="315"/>
          <w:tblHeader/>
          <w:jc w:val="center"/>
        </w:trPr>
        <w:tc>
          <w:tcPr>
            <w:tcW w:w="1404" w:type="dxa"/>
            <w:vMerge/>
            <w:tcBorders>
              <w:top w:val="single" w:sz="4" w:space="0" w:color="auto"/>
              <w:left w:val="single" w:sz="4" w:space="0" w:color="auto"/>
              <w:bottom w:val="single" w:sz="4" w:space="0" w:color="auto"/>
              <w:right w:val="single" w:sz="4" w:space="0" w:color="auto"/>
            </w:tcBorders>
            <w:vAlign w:val="center"/>
            <w:hideMark/>
          </w:tcPr>
          <w:p w14:paraId="41A856F1" w14:textId="77777777" w:rsidR="007B29DD" w:rsidRPr="00D47BF0" w:rsidRDefault="007B29DD" w:rsidP="00306AF1">
            <w:pPr>
              <w:spacing w:line="240" w:lineRule="auto"/>
              <w:rPr>
                <w:rFonts w:ascii="Calibri" w:hAnsi="Calibri" w:cs="Calibri"/>
                <w:b/>
                <w:bCs/>
                <w:color w:val="000000"/>
                <w:lang w:val="en-US" w:eastAsia="zh-CN"/>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14:paraId="721C3DB4" w14:textId="77777777" w:rsidR="007B29DD" w:rsidRPr="00D47BF0" w:rsidRDefault="007B29DD" w:rsidP="00306AF1">
            <w:pPr>
              <w:spacing w:line="240" w:lineRule="auto"/>
              <w:rPr>
                <w:rFonts w:ascii="Calibri" w:hAnsi="Calibri" w:cs="Calibri"/>
                <w:b/>
                <w:bCs/>
                <w:color w:val="000000"/>
                <w:lang w:val="en-US" w:eastAsia="zh-CN"/>
              </w:rPr>
            </w:pPr>
          </w:p>
        </w:tc>
        <w:tc>
          <w:tcPr>
            <w:tcW w:w="1112" w:type="dxa"/>
            <w:tcBorders>
              <w:top w:val="nil"/>
              <w:left w:val="nil"/>
              <w:bottom w:val="single" w:sz="4" w:space="0" w:color="auto"/>
              <w:right w:val="single" w:sz="4" w:space="0" w:color="auto"/>
            </w:tcBorders>
            <w:shd w:val="clear" w:color="auto" w:fill="auto"/>
            <w:noWrap/>
            <w:vAlign w:val="center"/>
            <w:hideMark/>
          </w:tcPr>
          <w:p w14:paraId="407820A5"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11" w:type="dxa"/>
            <w:tcBorders>
              <w:top w:val="nil"/>
              <w:left w:val="nil"/>
              <w:bottom w:val="single" w:sz="4" w:space="0" w:color="auto"/>
              <w:right w:val="single" w:sz="4" w:space="0" w:color="auto"/>
            </w:tcBorders>
            <w:shd w:val="clear" w:color="auto" w:fill="auto"/>
            <w:vAlign w:val="center"/>
            <w:hideMark/>
          </w:tcPr>
          <w:p w14:paraId="5B893654"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1153" w:type="dxa"/>
            <w:tcBorders>
              <w:top w:val="nil"/>
              <w:left w:val="nil"/>
              <w:bottom w:val="single" w:sz="4" w:space="0" w:color="auto"/>
              <w:right w:val="single" w:sz="4" w:space="0" w:color="auto"/>
            </w:tcBorders>
            <w:shd w:val="clear" w:color="auto" w:fill="auto"/>
            <w:noWrap/>
            <w:vAlign w:val="center"/>
            <w:hideMark/>
          </w:tcPr>
          <w:p w14:paraId="39F60CEF"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53" w:type="dxa"/>
            <w:tcBorders>
              <w:top w:val="nil"/>
              <w:left w:val="nil"/>
              <w:bottom w:val="single" w:sz="4" w:space="0" w:color="auto"/>
              <w:right w:val="single" w:sz="4" w:space="0" w:color="auto"/>
            </w:tcBorders>
            <w:shd w:val="clear" w:color="auto" w:fill="auto"/>
            <w:vAlign w:val="center"/>
            <w:hideMark/>
          </w:tcPr>
          <w:p w14:paraId="2F5AED30"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c>
          <w:tcPr>
            <w:tcW w:w="1153" w:type="dxa"/>
            <w:tcBorders>
              <w:top w:val="nil"/>
              <w:left w:val="nil"/>
              <w:bottom w:val="single" w:sz="4" w:space="0" w:color="auto"/>
              <w:right w:val="single" w:sz="4" w:space="0" w:color="auto"/>
            </w:tcBorders>
            <w:shd w:val="clear" w:color="auto" w:fill="auto"/>
            <w:vAlign w:val="center"/>
            <w:hideMark/>
          </w:tcPr>
          <w:p w14:paraId="4E4A2566"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RCP8.5</w:t>
            </w:r>
          </w:p>
        </w:tc>
        <w:tc>
          <w:tcPr>
            <w:tcW w:w="1153" w:type="dxa"/>
            <w:tcBorders>
              <w:top w:val="nil"/>
              <w:left w:val="nil"/>
              <w:bottom w:val="single" w:sz="4" w:space="0" w:color="auto"/>
              <w:right w:val="single" w:sz="4" w:space="0" w:color="auto"/>
            </w:tcBorders>
            <w:shd w:val="clear" w:color="auto" w:fill="auto"/>
            <w:vAlign w:val="center"/>
            <w:hideMark/>
          </w:tcPr>
          <w:p w14:paraId="0D89A787" w14:textId="77777777" w:rsidR="007B29DD" w:rsidRPr="00D47BF0" w:rsidRDefault="007B29DD" w:rsidP="00306AF1">
            <w:pPr>
              <w:spacing w:line="240" w:lineRule="auto"/>
              <w:jc w:val="center"/>
              <w:rPr>
                <w:rFonts w:ascii="Arial" w:hAnsi="Arial"/>
                <w:b/>
                <w:bCs/>
                <w:color w:val="000000"/>
                <w:lang w:val="en-US" w:eastAsia="zh-CN"/>
              </w:rPr>
            </w:pPr>
            <w:r w:rsidRPr="00D47BF0">
              <w:rPr>
                <w:rFonts w:ascii="Arial" w:hAnsi="Arial"/>
                <w:b/>
                <w:bCs/>
                <w:color w:val="000000"/>
                <w:lang w:eastAsia="zh-CN"/>
              </w:rPr>
              <w:t>RCP4.5</w:t>
            </w:r>
          </w:p>
        </w:tc>
      </w:tr>
      <w:tr w:rsidR="007B29DD" w:rsidRPr="008448BA" w14:paraId="4772815F" w14:textId="77777777" w:rsidTr="00306AF1">
        <w:trPr>
          <w:trHeight w:val="300"/>
          <w:jc w:val="center"/>
        </w:trPr>
        <w:tc>
          <w:tcPr>
            <w:tcW w:w="14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F51C08"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East Gippsland</w:t>
            </w:r>
          </w:p>
          <w:p w14:paraId="17411C46"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(221)</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37E67A34"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single" w:sz="4" w:space="0" w:color="auto"/>
              <w:left w:val="nil"/>
              <w:bottom w:val="single" w:sz="4" w:space="0" w:color="auto"/>
              <w:right w:val="single" w:sz="4" w:space="0" w:color="auto"/>
            </w:tcBorders>
            <w:shd w:val="clear" w:color="auto" w:fill="auto"/>
            <w:noWrap/>
          </w:tcPr>
          <w:p w14:paraId="1FEAEF6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12.9%</w:t>
            </w:r>
          </w:p>
        </w:tc>
        <w:tc>
          <w:tcPr>
            <w:tcW w:w="1111" w:type="dxa"/>
            <w:tcBorders>
              <w:top w:val="single" w:sz="4" w:space="0" w:color="auto"/>
              <w:left w:val="nil"/>
              <w:bottom w:val="single" w:sz="4" w:space="0" w:color="auto"/>
              <w:right w:val="single" w:sz="4" w:space="0" w:color="auto"/>
            </w:tcBorders>
            <w:shd w:val="clear" w:color="auto" w:fill="auto"/>
            <w:noWrap/>
          </w:tcPr>
          <w:p w14:paraId="12EE824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9.7%</w:t>
            </w:r>
          </w:p>
        </w:tc>
        <w:tc>
          <w:tcPr>
            <w:tcW w:w="1153" w:type="dxa"/>
            <w:tcBorders>
              <w:top w:val="single" w:sz="4" w:space="0" w:color="auto"/>
              <w:left w:val="nil"/>
              <w:bottom w:val="single" w:sz="4" w:space="0" w:color="auto"/>
              <w:right w:val="single" w:sz="4" w:space="0" w:color="auto"/>
            </w:tcBorders>
            <w:shd w:val="clear" w:color="auto" w:fill="auto"/>
            <w:noWrap/>
          </w:tcPr>
          <w:p w14:paraId="6308CB6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23.3%</w:t>
            </w:r>
          </w:p>
        </w:tc>
        <w:tc>
          <w:tcPr>
            <w:tcW w:w="1153" w:type="dxa"/>
            <w:tcBorders>
              <w:top w:val="single" w:sz="4" w:space="0" w:color="auto"/>
              <w:left w:val="nil"/>
              <w:bottom w:val="single" w:sz="4" w:space="0" w:color="auto"/>
              <w:right w:val="single" w:sz="4" w:space="0" w:color="auto"/>
            </w:tcBorders>
            <w:shd w:val="clear" w:color="auto" w:fill="auto"/>
            <w:noWrap/>
          </w:tcPr>
          <w:p w14:paraId="6370716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17.5%</w:t>
            </w:r>
          </w:p>
        </w:tc>
        <w:tc>
          <w:tcPr>
            <w:tcW w:w="1153" w:type="dxa"/>
            <w:tcBorders>
              <w:top w:val="single" w:sz="4" w:space="0" w:color="auto"/>
              <w:left w:val="nil"/>
              <w:bottom w:val="single" w:sz="4" w:space="0" w:color="auto"/>
              <w:right w:val="single" w:sz="4" w:space="0" w:color="auto"/>
            </w:tcBorders>
            <w:shd w:val="clear" w:color="auto" w:fill="auto"/>
            <w:noWrap/>
          </w:tcPr>
          <w:p w14:paraId="6BBA883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21.4%</w:t>
            </w:r>
          </w:p>
        </w:tc>
        <w:tc>
          <w:tcPr>
            <w:tcW w:w="1153" w:type="dxa"/>
            <w:tcBorders>
              <w:top w:val="single" w:sz="4" w:space="0" w:color="auto"/>
              <w:left w:val="nil"/>
              <w:bottom w:val="single" w:sz="4" w:space="0" w:color="auto"/>
              <w:right w:val="single" w:sz="4" w:space="0" w:color="auto"/>
            </w:tcBorders>
            <w:shd w:val="clear" w:color="auto" w:fill="auto"/>
            <w:noWrap/>
            <w:hideMark/>
          </w:tcPr>
          <w:p w14:paraId="6E08174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17.7%</w:t>
            </w:r>
          </w:p>
        </w:tc>
      </w:tr>
      <w:tr w:rsidR="007B29DD" w:rsidRPr="008448BA" w14:paraId="0DB2F034" w14:textId="77777777" w:rsidTr="00306AF1">
        <w:trPr>
          <w:trHeight w:val="300"/>
          <w:jc w:val="center"/>
        </w:trPr>
        <w:tc>
          <w:tcPr>
            <w:tcW w:w="1404" w:type="dxa"/>
            <w:vMerge/>
            <w:tcBorders>
              <w:top w:val="single" w:sz="4" w:space="0" w:color="auto"/>
              <w:left w:val="single" w:sz="4" w:space="0" w:color="auto"/>
              <w:bottom w:val="single" w:sz="4" w:space="0" w:color="000000"/>
              <w:right w:val="single" w:sz="4" w:space="0" w:color="auto"/>
            </w:tcBorders>
            <w:vAlign w:val="center"/>
            <w:hideMark/>
          </w:tcPr>
          <w:p w14:paraId="0ED9ED5C" w14:textId="77777777" w:rsidR="007B29DD" w:rsidRPr="008448BA" w:rsidRDefault="007B29DD" w:rsidP="00306AF1">
            <w:pPr>
              <w:keepNext/>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59739FB6"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43C2F94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-2.8%</w:t>
            </w:r>
          </w:p>
        </w:tc>
        <w:tc>
          <w:tcPr>
            <w:tcW w:w="1111" w:type="dxa"/>
            <w:tcBorders>
              <w:top w:val="nil"/>
              <w:left w:val="nil"/>
              <w:bottom w:val="single" w:sz="4" w:space="0" w:color="auto"/>
              <w:right w:val="single" w:sz="4" w:space="0" w:color="auto"/>
            </w:tcBorders>
            <w:shd w:val="clear" w:color="auto" w:fill="auto"/>
            <w:noWrap/>
          </w:tcPr>
          <w:p w14:paraId="29E23C2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0.0%</w:t>
            </w:r>
          </w:p>
        </w:tc>
        <w:tc>
          <w:tcPr>
            <w:tcW w:w="1153" w:type="dxa"/>
            <w:tcBorders>
              <w:top w:val="nil"/>
              <w:left w:val="nil"/>
              <w:bottom w:val="single" w:sz="4" w:space="0" w:color="auto"/>
              <w:right w:val="single" w:sz="4" w:space="0" w:color="auto"/>
            </w:tcBorders>
            <w:shd w:val="clear" w:color="auto" w:fill="auto"/>
            <w:noWrap/>
          </w:tcPr>
          <w:p w14:paraId="6729E3A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-5.1%</w:t>
            </w:r>
          </w:p>
        </w:tc>
        <w:tc>
          <w:tcPr>
            <w:tcW w:w="1153" w:type="dxa"/>
            <w:tcBorders>
              <w:top w:val="nil"/>
              <w:left w:val="nil"/>
              <w:bottom w:val="single" w:sz="4" w:space="0" w:color="auto"/>
              <w:right w:val="single" w:sz="4" w:space="0" w:color="auto"/>
            </w:tcBorders>
            <w:shd w:val="clear" w:color="auto" w:fill="auto"/>
            <w:noWrap/>
          </w:tcPr>
          <w:p w14:paraId="4D0F6EC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0.0%</w:t>
            </w:r>
          </w:p>
        </w:tc>
        <w:tc>
          <w:tcPr>
            <w:tcW w:w="1153" w:type="dxa"/>
            <w:tcBorders>
              <w:top w:val="nil"/>
              <w:left w:val="nil"/>
              <w:bottom w:val="single" w:sz="4" w:space="0" w:color="auto"/>
              <w:right w:val="single" w:sz="4" w:space="0" w:color="auto"/>
            </w:tcBorders>
            <w:shd w:val="clear" w:color="auto" w:fill="auto"/>
            <w:noWrap/>
          </w:tcPr>
          <w:p w14:paraId="641ADFA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-8.1%</w:t>
            </w:r>
          </w:p>
        </w:tc>
        <w:tc>
          <w:tcPr>
            <w:tcW w:w="1153" w:type="dxa"/>
            <w:tcBorders>
              <w:top w:val="nil"/>
              <w:left w:val="nil"/>
              <w:bottom w:val="single" w:sz="4" w:space="0" w:color="auto"/>
              <w:right w:val="single" w:sz="4" w:space="0" w:color="auto"/>
            </w:tcBorders>
            <w:shd w:val="clear" w:color="auto" w:fill="auto"/>
            <w:noWrap/>
            <w:hideMark/>
          </w:tcPr>
          <w:p w14:paraId="7603DFF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w:t>
            </w:r>
          </w:p>
        </w:tc>
      </w:tr>
      <w:tr w:rsidR="007B29DD" w:rsidRPr="008448BA" w14:paraId="00123CA6" w14:textId="77777777" w:rsidTr="00306AF1">
        <w:trPr>
          <w:trHeight w:val="300"/>
          <w:jc w:val="center"/>
        </w:trPr>
        <w:tc>
          <w:tcPr>
            <w:tcW w:w="1404" w:type="dxa"/>
            <w:vMerge/>
            <w:tcBorders>
              <w:top w:val="single" w:sz="4" w:space="0" w:color="auto"/>
              <w:left w:val="single" w:sz="4" w:space="0" w:color="auto"/>
              <w:bottom w:val="single" w:sz="4" w:space="0" w:color="000000"/>
              <w:right w:val="single" w:sz="4" w:space="0" w:color="auto"/>
            </w:tcBorders>
            <w:vAlign w:val="center"/>
            <w:hideMark/>
          </w:tcPr>
          <w:p w14:paraId="24B5B1AA" w14:textId="77777777" w:rsidR="007B29DD" w:rsidRPr="008448BA" w:rsidRDefault="007B29DD" w:rsidP="00306AF1">
            <w:pPr>
              <w:keepNext/>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696D9821"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2C720DD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-14.2%</w:t>
            </w:r>
          </w:p>
        </w:tc>
        <w:tc>
          <w:tcPr>
            <w:tcW w:w="1111" w:type="dxa"/>
            <w:tcBorders>
              <w:top w:val="nil"/>
              <w:left w:val="nil"/>
              <w:bottom w:val="single" w:sz="4" w:space="0" w:color="auto"/>
              <w:right w:val="single" w:sz="4" w:space="0" w:color="auto"/>
            </w:tcBorders>
            <w:shd w:val="clear" w:color="auto" w:fill="auto"/>
            <w:noWrap/>
          </w:tcPr>
          <w:p w14:paraId="2E8ADC5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-14.7%</w:t>
            </w:r>
          </w:p>
        </w:tc>
        <w:tc>
          <w:tcPr>
            <w:tcW w:w="1153" w:type="dxa"/>
            <w:tcBorders>
              <w:top w:val="nil"/>
              <w:left w:val="nil"/>
              <w:bottom w:val="single" w:sz="4" w:space="0" w:color="auto"/>
              <w:right w:val="single" w:sz="4" w:space="0" w:color="auto"/>
            </w:tcBorders>
            <w:shd w:val="clear" w:color="auto" w:fill="auto"/>
            <w:noWrap/>
          </w:tcPr>
          <w:p w14:paraId="20347FA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-25.6%</w:t>
            </w:r>
          </w:p>
        </w:tc>
        <w:tc>
          <w:tcPr>
            <w:tcW w:w="1153" w:type="dxa"/>
            <w:tcBorders>
              <w:top w:val="nil"/>
              <w:left w:val="nil"/>
              <w:bottom w:val="single" w:sz="4" w:space="0" w:color="auto"/>
              <w:right w:val="single" w:sz="4" w:space="0" w:color="auto"/>
            </w:tcBorders>
            <w:shd w:val="clear" w:color="auto" w:fill="auto"/>
            <w:noWrap/>
          </w:tcPr>
          <w:p w14:paraId="1912E9E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-26.5%</w:t>
            </w:r>
          </w:p>
        </w:tc>
        <w:tc>
          <w:tcPr>
            <w:tcW w:w="1153" w:type="dxa"/>
            <w:tcBorders>
              <w:top w:val="nil"/>
              <w:left w:val="nil"/>
              <w:bottom w:val="single" w:sz="4" w:space="0" w:color="auto"/>
              <w:right w:val="single" w:sz="4" w:space="0" w:color="auto"/>
            </w:tcBorders>
            <w:shd w:val="clear" w:color="auto" w:fill="auto"/>
            <w:noWrap/>
          </w:tcPr>
          <w:p w14:paraId="05A4763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-39.3%</w:t>
            </w:r>
          </w:p>
        </w:tc>
        <w:tc>
          <w:tcPr>
            <w:tcW w:w="1153" w:type="dxa"/>
            <w:tcBorders>
              <w:top w:val="nil"/>
              <w:left w:val="nil"/>
              <w:bottom w:val="single" w:sz="4" w:space="0" w:color="auto"/>
              <w:right w:val="single" w:sz="4" w:space="0" w:color="auto"/>
            </w:tcBorders>
            <w:shd w:val="clear" w:color="auto" w:fill="auto"/>
            <w:noWrap/>
            <w:hideMark/>
          </w:tcPr>
          <w:p w14:paraId="115835B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-31.4%</w:t>
            </w:r>
          </w:p>
        </w:tc>
      </w:tr>
      <w:tr w:rsidR="007B29DD" w:rsidRPr="008448BA" w14:paraId="6C80F456"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6AD6D7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Snowy</w:t>
            </w:r>
          </w:p>
          <w:p w14:paraId="564E55A9"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(222)</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639288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9D4D81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6572359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97F59F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5AA5C3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39FEEB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21.0%</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2995A25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17.3%</w:t>
            </w:r>
          </w:p>
        </w:tc>
      </w:tr>
      <w:tr w:rsidR="007B29DD" w:rsidRPr="008448BA" w14:paraId="6F05132F"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A2A6B33"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85F42F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3999DE5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EF3A82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487371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258388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D7E6DF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-17.9%</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64D500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-9.3%</w:t>
            </w:r>
          </w:p>
        </w:tc>
      </w:tr>
      <w:tr w:rsidR="007B29DD" w:rsidRPr="008448BA" w14:paraId="3569004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0BDD3B5"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D6F944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3C994E1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-14.0%</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6056064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F3C7D0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E966E0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C09057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-36.1%</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123CC7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-31.8%</w:t>
            </w:r>
          </w:p>
        </w:tc>
      </w:tr>
      <w:tr w:rsidR="007B29DD" w:rsidRPr="008448BA" w14:paraId="0214A7B8"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3D4D7C"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Tambo</w:t>
            </w:r>
          </w:p>
          <w:p w14:paraId="02D25AC7"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(223)</w:t>
            </w:r>
          </w:p>
        </w:tc>
        <w:tc>
          <w:tcPr>
            <w:tcW w:w="1395" w:type="dxa"/>
            <w:tcBorders>
              <w:top w:val="nil"/>
              <w:left w:val="nil"/>
              <w:bottom w:val="single" w:sz="4" w:space="0" w:color="auto"/>
              <w:right w:val="single" w:sz="4" w:space="0" w:color="auto"/>
            </w:tcBorders>
            <w:shd w:val="clear" w:color="auto" w:fill="auto"/>
            <w:noWrap/>
            <w:vAlign w:val="bottom"/>
            <w:hideMark/>
          </w:tcPr>
          <w:p w14:paraId="5AF137C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72F5523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12.9%</w:t>
            </w:r>
          </w:p>
        </w:tc>
        <w:tc>
          <w:tcPr>
            <w:tcW w:w="1111" w:type="dxa"/>
            <w:tcBorders>
              <w:top w:val="nil"/>
              <w:left w:val="nil"/>
              <w:bottom w:val="single" w:sz="4" w:space="0" w:color="auto"/>
              <w:right w:val="single" w:sz="4" w:space="0" w:color="auto"/>
            </w:tcBorders>
            <w:shd w:val="clear" w:color="auto" w:fill="auto"/>
            <w:noWrap/>
          </w:tcPr>
          <w:p w14:paraId="4860DE8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9.1%</w:t>
            </w:r>
          </w:p>
        </w:tc>
        <w:tc>
          <w:tcPr>
            <w:tcW w:w="1153" w:type="dxa"/>
            <w:tcBorders>
              <w:top w:val="nil"/>
              <w:left w:val="nil"/>
              <w:bottom w:val="single" w:sz="4" w:space="0" w:color="auto"/>
              <w:right w:val="single" w:sz="4" w:space="0" w:color="auto"/>
            </w:tcBorders>
            <w:shd w:val="clear" w:color="auto" w:fill="auto"/>
            <w:noWrap/>
          </w:tcPr>
          <w:p w14:paraId="4746B2B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23.3%</w:t>
            </w:r>
          </w:p>
        </w:tc>
        <w:tc>
          <w:tcPr>
            <w:tcW w:w="1153" w:type="dxa"/>
            <w:tcBorders>
              <w:top w:val="nil"/>
              <w:left w:val="nil"/>
              <w:bottom w:val="single" w:sz="4" w:space="0" w:color="auto"/>
              <w:right w:val="single" w:sz="4" w:space="0" w:color="auto"/>
            </w:tcBorders>
            <w:shd w:val="clear" w:color="auto" w:fill="auto"/>
            <w:noWrap/>
          </w:tcPr>
          <w:p w14:paraId="7E4415F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16.4%</w:t>
            </w:r>
          </w:p>
        </w:tc>
        <w:tc>
          <w:tcPr>
            <w:tcW w:w="1153" w:type="dxa"/>
            <w:tcBorders>
              <w:top w:val="nil"/>
              <w:left w:val="nil"/>
              <w:bottom w:val="single" w:sz="4" w:space="0" w:color="auto"/>
              <w:right w:val="single" w:sz="4" w:space="0" w:color="auto"/>
            </w:tcBorders>
            <w:shd w:val="clear" w:color="auto" w:fill="auto"/>
            <w:noWrap/>
          </w:tcPr>
          <w:p w14:paraId="150B70A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20.6%</w:t>
            </w:r>
          </w:p>
        </w:tc>
        <w:tc>
          <w:tcPr>
            <w:tcW w:w="1153" w:type="dxa"/>
            <w:tcBorders>
              <w:top w:val="nil"/>
              <w:left w:val="nil"/>
              <w:bottom w:val="single" w:sz="4" w:space="0" w:color="auto"/>
              <w:right w:val="single" w:sz="4" w:space="0" w:color="auto"/>
            </w:tcBorders>
            <w:shd w:val="clear" w:color="auto" w:fill="auto"/>
            <w:noWrap/>
            <w:hideMark/>
          </w:tcPr>
          <w:p w14:paraId="72ECD0D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15.8%</w:t>
            </w:r>
          </w:p>
        </w:tc>
      </w:tr>
      <w:tr w:rsidR="007B29DD" w:rsidRPr="008448BA" w14:paraId="65B90AE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6D72E8A0"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6C53377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4F83AC0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w:t>
            </w:r>
          </w:p>
        </w:tc>
        <w:tc>
          <w:tcPr>
            <w:tcW w:w="1111" w:type="dxa"/>
            <w:tcBorders>
              <w:top w:val="nil"/>
              <w:left w:val="nil"/>
              <w:bottom w:val="single" w:sz="4" w:space="0" w:color="auto"/>
              <w:right w:val="single" w:sz="4" w:space="0" w:color="auto"/>
            </w:tcBorders>
            <w:shd w:val="clear" w:color="auto" w:fill="auto"/>
            <w:noWrap/>
          </w:tcPr>
          <w:p w14:paraId="096B02E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-0.7%</w:t>
            </w:r>
          </w:p>
        </w:tc>
        <w:tc>
          <w:tcPr>
            <w:tcW w:w="1153" w:type="dxa"/>
            <w:tcBorders>
              <w:top w:val="nil"/>
              <w:left w:val="nil"/>
              <w:bottom w:val="single" w:sz="4" w:space="0" w:color="auto"/>
              <w:right w:val="single" w:sz="4" w:space="0" w:color="auto"/>
            </w:tcBorders>
            <w:shd w:val="clear" w:color="auto" w:fill="auto"/>
            <w:noWrap/>
          </w:tcPr>
          <w:p w14:paraId="695C000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53" w:type="dxa"/>
            <w:tcBorders>
              <w:top w:val="nil"/>
              <w:left w:val="nil"/>
              <w:bottom w:val="single" w:sz="4" w:space="0" w:color="auto"/>
              <w:right w:val="single" w:sz="4" w:space="0" w:color="auto"/>
            </w:tcBorders>
            <w:shd w:val="clear" w:color="auto" w:fill="auto"/>
            <w:noWrap/>
          </w:tcPr>
          <w:p w14:paraId="097A2D1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w:t>
            </w:r>
          </w:p>
        </w:tc>
        <w:tc>
          <w:tcPr>
            <w:tcW w:w="1153" w:type="dxa"/>
            <w:tcBorders>
              <w:top w:val="nil"/>
              <w:left w:val="nil"/>
              <w:bottom w:val="single" w:sz="4" w:space="0" w:color="auto"/>
              <w:right w:val="single" w:sz="4" w:space="0" w:color="auto"/>
            </w:tcBorders>
            <w:shd w:val="clear" w:color="auto" w:fill="auto"/>
            <w:noWrap/>
          </w:tcPr>
          <w:p w14:paraId="2F21953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-13.1%</w:t>
            </w:r>
          </w:p>
        </w:tc>
        <w:tc>
          <w:tcPr>
            <w:tcW w:w="1153" w:type="dxa"/>
            <w:tcBorders>
              <w:top w:val="nil"/>
              <w:left w:val="nil"/>
              <w:bottom w:val="single" w:sz="4" w:space="0" w:color="auto"/>
              <w:right w:val="single" w:sz="4" w:space="0" w:color="auto"/>
            </w:tcBorders>
            <w:shd w:val="clear" w:color="auto" w:fill="auto"/>
            <w:noWrap/>
            <w:hideMark/>
          </w:tcPr>
          <w:p w14:paraId="3665429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-7.1%</w:t>
            </w:r>
          </w:p>
        </w:tc>
      </w:tr>
      <w:tr w:rsidR="007B29DD" w:rsidRPr="008448BA" w14:paraId="656984B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06E4FF0B"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A18ED6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4958B9A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-15.2%</w:t>
            </w:r>
          </w:p>
        </w:tc>
        <w:tc>
          <w:tcPr>
            <w:tcW w:w="1111" w:type="dxa"/>
            <w:tcBorders>
              <w:top w:val="nil"/>
              <w:left w:val="nil"/>
              <w:bottom w:val="single" w:sz="4" w:space="0" w:color="auto"/>
              <w:right w:val="single" w:sz="4" w:space="0" w:color="auto"/>
            </w:tcBorders>
            <w:shd w:val="clear" w:color="auto" w:fill="auto"/>
            <w:noWrap/>
          </w:tcPr>
          <w:p w14:paraId="6BD5F8D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-15.1%</w:t>
            </w:r>
          </w:p>
        </w:tc>
        <w:tc>
          <w:tcPr>
            <w:tcW w:w="1153" w:type="dxa"/>
            <w:tcBorders>
              <w:top w:val="nil"/>
              <w:left w:val="nil"/>
              <w:bottom w:val="single" w:sz="4" w:space="0" w:color="auto"/>
              <w:right w:val="single" w:sz="4" w:space="0" w:color="auto"/>
            </w:tcBorders>
            <w:shd w:val="clear" w:color="auto" w:fill="auto"/>
            <w:noWrap/>
          </w:tcPr>
          <w:p w14:paraId="0AB8B93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-27.4%</w:t>
            </w:r>
          </w:p>
        </w:tc>
        <w:tc>
          <w:tcPr>
            <w:tcW w:w="1153" w:type="dxa"/>
            <w:tcBorders>
              <w:top w:val="nil"/>
              <w:left w:val="nil"/>
              <w:bottom w:val="single" w:sz="4" w:space="0" w:color="auto"/>
              <w:right w:val="single" w:sz="4" w:space="0" w:color="auto"/>
            </w:tcBorders>
            <w:shd w:val="clear" w:color="auto" w:fill="auto"/>
            <w:noWrap/>
          </w:tcPr>
          <w:p w14:paraId="6BA6036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-27.2%</w:t>
            </w:r>
          </w:p>
        </w:tc>
        <w:tc>
          <w:tcPr>
            <w:tcW w:w="1153" w:type="dxa"/>
            <w:tcBorders>
              <w:top w:val="nil"/>
              <w:left w:val="nil"/>
              <w:bottom w:val="single" w:sz="4" w:space="0" w:color="auto"/>
              <w:right w:val="single" w:sz="4" w:space="0" w:color="auto"/>
            </w:tcBorders>
            <w:shd w:val="clear" w:color="auto" w:fill="auto"/>
            <w:noWrap/>
          </w:tcPr>
          <w:p w14:paraId="5ADCE4B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-40.0%</w:t>
            </w:r>
          </w:p>
        </w:tc>
        <w:tc>
          <w:tcPr>
            <w:tcW w:w="1153" w:type="dxa"/>
            <w:tcBorders>
              <w:top w:val="nil"/>
              <w:left w:val="nil"/>
              <w:bottom w:val="single" w:sz="4" w:space="0" w:color="auto"/>
              <w:right w:val="single" w:sz="4" w:space="0" w:color="auto"/>
            </w:tcBorders>
            <w:shd w:val="clear" w:color="auto" w:fill="auto"/>
            <w:noWrap/>
            <w:hideMark/>
          </w:tcPr>
          <w:p w14:paraId="673E8B0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-35.0%</w:t>
            </w:r>
          </w:p>
        </w:tc>
      </w:tr>
      <w:tr w:rsidR="007B29DD" w:rsidRPr="008448BA" w14:paraId="0A2A304B"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C15E250"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Mitchell</w:t>
            </w:r>
          </w:p>
          <w:p w14:paraId="0E97CB8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(224)</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067401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413D5C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5.8%</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7FE131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92EDEE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62A085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58E523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1FF4B75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9.4%</w:t>
            </w:r>
          </w:p>
        </w:tc>
      </w:tr>
      <w:tr w:rsidR="007B29DD" w:rsidRPr="008448BA" w14:paraId="4A641D7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F8B5CC1"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07211B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631F26E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-6.1%</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D250C7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15C1E2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5FE823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FD7022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-15.6%</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167966A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-11.3%</w:t>
            </w:r>
          </w:p>
        </w:tc>
      </w:tr>
      <w:tr w:rsidR="007B29DD" w:rsidRPr="008448BA" w14:paraId="3CF2C83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DCC11CF"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8D4246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1D84E34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-14.6%</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0E0FD13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FD919B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-26.3%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6BB93C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-30.4%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52162D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-44.7%</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CDA476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-34.8%</w:t>
            </w:r>
          </w:p>
        </w:tc>
      </w:tr>
      <w:tr w:rsidR="007B29DD" w:rsidRPr="008448BA" w14:paraId="6F451D15"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88302"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Thomson</w:t>
            </w:r>
          </w:p>
          <w:p w14:paraId="00C6BC12"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(225)</w:t>
            </w:r>
          </w:p>
        </w:tc>
        <w:tc>
          <w:tcPr>
            <w:tcW w:w="1395" w:type="dxa"/>
            <w:tcBorders>
              <w:top w:val="nil"/>
              <w:left w:val="nil"/>
              <w:bottom w:val="single" w:sz="4" w:space="0" w:color="auto"/>
              <w:right w:val="single" w:sz="4" w:space="0" w:color="auto"/>
            </w:tcBorders>
            <w:shd w:val="clear" w:color="auto" w:fill="auto"/>
            <w:noWrap/>
            <w:vAlign w:val="bottom"/>
            <w:hideMark/>
          </w:tcPr>
          <w:p w14:paraId="6329B7E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52822AE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5.7%</w:t>
            </w:r>
          </w:p>
        </w:tc>
        <w:tc>
          <w:tcPr>
            <w:tcW w:w="1111" w:type="dxa"/>
            <w:tcBorders>
              <w:top w:val="nil"/>
              <w:left w:val="nil"/>
              <w:bottom w:val="single" w:sz="4" w:space="0" w:color="auto"/>
              <w:right w:val="single" w:sz="4" w:space="0" w:color="auto"/>
            </w:tcBorders>
            <w:shd w:val="clear" w:color="auto" w:fill="auto"/>
            <w:noWrap/>
          </w:tcPr>
          <w:p w14:paraId="66B4FED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53" w:type="dxa"/>
            <w:tcBorders>
              <w:top w:val="nil"/>
              <w:left w:val="nil"/>
              <w:bottom w:val="single" w:sz="4" w:space="0" w:color="auto"/>
              <w:right w:val="single" w:sz="4" w:space="0" w:color="auto"/>
            </w:tcBorders>
            <w:shd w:val="clear" w:color="auto" w:fill="auto"/>
            <w:noWrap/>
          </w:tcPr>
          <w:p w14:paraId="48A161E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10.3%</w:t>
            </w:r>
          </w:p>
        </w:tc>
        <w:tc>
          <w:tcPr>
            <w:tcW w:w="1153" w:type="dxa"/>
            <w:tcBorders>
              <w:top w:val="nil"/>
              <w:left w:val="nil"/>
              <w:bottom w:val="single" w:sz="4" w:space="0" w:color="auto"/>
              <w:right w:val="single" w:sz="4" w:space="0" w:color="auto"/>
            </w:tcBorders>
            <w:shd w:val="clear" w:color="auto" w:fill="auto"/>
            <w:noWrap/>
          </w:tcPr>
          <w:p w14:paraId="7235FF6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10.8%</w:t>
            </w:r>
          </w:p>
        </w:tc>
        <w:tc>
          <w:tcPr>
            <w:tcW w:w="1153" w:type="dxa"/>
            <w:tcBorders>
              <w:top w:val="nil"/>
              <w:left w:val="nil"/>
              <w:bottom w:val="single" w:sz="4" w:space="0" w:color="auto"/>
              <w:right w:val="single" w:sz="4" w:space="0" w:color="auto"/>
            </w:tcBorders>
            <w:shd w:val="clear" w:color="auto" w:fill="auto"/>
            <w:noWrap/>
          </w:tcPr>
          <w:p w14:paraId="1C93475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w:t>
            </w:r>
          </w:p>
        </w:tc>
        <w:tc>
          <w:tcPr>
            <w:tcW w:w="1153" w:type="dxa"/>
            <w:tcBorders>
              <w:top w:val="nil"/>
              <w:left w:val="nil"/>
              <w:bottom w:val="single" w:sz="4" w:space="0" w:color="auto"/>
              <w:right w:val="single" w:sz="4" w:space="0" w:color="auto"/>
            </w:tcBorders>
            <w:shd w:val="clear" w:color="auto" w:fill="auto"/>
            <w:noWrap/>
            <w:hideMark/>
          </w:tcPr>
          <w:p w14:paraId="5924AE7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9.3%</w:t>
            </w:r>
          </w:p>
        </w:tc>
      </w:tr>
      <w:tr w:rsidR="007B29DD" w:rsidRPr="008448BA" w14:paraId="1B04BA85"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4979AE62"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5C23B3E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60B977A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-5.1%</w:t>
            </w:r>
          </w:p>
        </w:tc>
        <w:tc>
          <w:tcPr>
            <w:tcW w:w="1111" w:type="dxa"/>
            <w:tcBorders>
              <w:top w:val="nil"/>
              <w:left w:val="nil"/>
              <w:bottom w:val="single" w:sz="4" w:space="0" w:color="auto"/>
              <w:right w:val="single" w:sz="4" w:space="0" w:color="auto"/>
            </w:tcBorders>
            <w:shd w:val="clear" w:color="auto" w:fill="auto"/>
            <w:noWrap/>
          </w:tcPr>
          <w:p w14:paraId="462F966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w:t>
            </w:r>
          </w:p>
        </w:tc>
        <w:tc>
          <w:tcPr>
            <w:tcW w:w="1153" w:type="dxa"/>
            <w:tcBorders>
              <w:top w:val="nil"/>
              <w:left w:val="nil"/>
              <w:bottom w:val="single" w:sz="4" w:space="0" w:color="auto"/>
              <w:right w:val="single" w:sz="4" w:space="0" w:color="auto"/>
            </w:tcBorders>
            <w:shd w:val="clear" w:color="auto" w:fill="auto"/>
            <w:noWrap/>
          </w:tcPr>
          <w:p w14:paraId="2AAB019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-9.1%</w:t>
            </w:r>
          </w:p>
        </w:tc>
        <w:tc>
          <w:tcPr>
            <w:tcW w:w="1153" w:type="dxa"/>
            <w:tcBorders>
              <w:top w:val="nil"/>
              <w:left w:val="nil"/>
              <w:bottom w:val="single" w:sz="4" w:space="0" w:color="auto"/>
              <w:right w:val="single" w:sz="4" w:space="0" w:color="auto"/>
            </w:tcBorders>
            <w:shd w:val="clear" w:color="auto" w:fill="auto"/>
            <w:noWrap/>
          </w:tcPr>
          <w:p w14:paraId="7D68821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w:t>
            </w:r>
          </w:p>
        </w:tc>
        <w:tc>
          <w:tcPr>
            <w:tcW w:w="1153" w:type="dxa"/>
            <w:tcBorders>
              <w:top w:val="nil"/>
              <w:left w:val="nil"/>
              <w:bottom w:val="single" w:sz="4" w:space="0" w:color="auto"/>
              <w:right w:val="single" w:sz="4" w:space="0" w:color="auto"/>
            </w:tcBorders>
            <w:shd w:val="clear" w:color="auto" w:fill="auto"/>
            <w:noWrap/>
          </w:tcPr>
          <w:p w14:paraId="2D54ED0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-13.9%</w:t>
            </w:r>
          </w:p>
        </w:tc>
        <w:tc>
          <w:tcPr>
            <w:tcW w:w="1153" w:type="dxa"/>
            <w:tcBorders>
              <w:top w:val="nil"/>
              <w:left w:val="nil"/>
              <w:bottom w:val="single" w:sz="4" w:space="0" w:color="auto"/>
              <w:right w:val="single" w:sz="4" w:space="0" w:color="auto"/>
            </w:tcBorders>
            <w:shd w:val="clear" w:color="auto" w:fill="auto"/>
            <w:noWrap/>
            <w:hideMark/>
          </w:tcPr>
          <w:p w14:paraId="2E15F27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-10.6%</w:t>
            </w:r>
          </w:p>
        </w:tc>
      </w:tr>
      <w:tr w:rsidR="007B29DD" w:rsidRPr="008448BA" w14:paraId="2B3EDFDE"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1F7445A1"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A9FE5A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7339883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-15.3%</w:t>
            </w:r>
          </w:p>
        </w:tc>
        <w:tc>
          <w:tcPr>
            <w:tcW w:w="1111" w:type="dxa"/>
            <w:tcBorders>
              <w:top w:val="nil"/>
              <w:left w:val="nil"/>
              <w:bottom w:val="single" w:sz="4" w:space="0" w:color="auto"/>
              <w:right w:val="single" w:sz="4" w:space="0" w:color="auto"/>
            </w:tcBorders>
            <w:shd w:val="clear" w:color="auto" w:fill="auto"/>
            <w:noWrap/>
          </w:tcPr>
          <w:p w14:paraId="012C66D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-14.8%</w:t>
            </w:r>
          </w:p>
        </w:tc>
        <w:tc>
          <w:tcPr>
            <w:tcW w:w="1153" w:type="dxa"/>
            <w:tcBorders>
              <w:top w:val="nil"/>
              <w:left w:val="nil"/>
              <w:bottom w:val="single" w:sz="4" w:space="0" w:color="auto"/>
              <w:right w:val="single" w:sz="4" w:space="0" w:color="auto"/>
            </w:tcBorders>
            <w:shd w:val="clear" w:color="auto" w:fill="auto"/>
            <w:noWrap/>
          </w:tcPr>
          <w:p w14:paraId="1F717E6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-27.6%</w:t>
            </w:r>
          </w:p>
        </w:tc>
        <w:tc>
          <w:tcPr>
            <w:tcW w:w="1153" w:type="dxa"/>
            <w:tcBorders>
              <w:top w:val="nil"/>
              <w:left w:val="nil"/>
              <w:bottom w:val="single" w:sz="4" w:space="0" w:color="auto"/>
              <w:right w:val="single" w:sz="4" w:space="0" w:color="auto"/>
            </w:tcBorders>
            <w:shd w:val="clear" w:color="auto" w:fill="auto"/>
            <w:noWrap/>
          </w:tcPr>
          <w:p w14:paraId="600AEF6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-26.6%</w:t>
            </w:r>
          </w:p>
        </w:tc>
        <w:tc>
          <w:tcPr>
            <w:tcW w:w="1153" w:type="dxa"/>
            <w:tcBorders>
              <w:top w:val="nil"/>
              <w:left w:val="nil"/>
              <w:bottom w:val="single" w:sz="4" w:space="0" w:color="auto"/>
              <w:right w:val="single" w:sz="4" w:space="0" w:color="auto"/>
            </w:tcBorders>
            <w:shd w:val="clear" w:color="auto" w:fill="auto"/>
            <w:noWrap/>
          </w:tcPr>
          <w:p w14:paraId="1E8F8B1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-41.9%</w:t>
            </w:r>
          </w:p>
        </w:tc>
        <w:tc>
          <w:tcPr>
            <w:tcW w:w="1153" w:type="dxa"/>
            <w:tcBorders>
              <w:top w:val="nil"/>
              <w:left w:val="nil"/>
              <w:bottom w:val="single" w:sz="4" w:space="0" w:color="auto"/>
              <w:right w:val="single" w:sz="4" w:space="0" w:color="auto"/>
            </w:tcBorders>
            <w:shd w:val="clear" w:color="auto" w:fill="auto"/>
            <w:noWrap/>
            <w:hideMark/>
          </w:tcPr>
          <w:p w14:paraId="03D8B25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-32.0%</w:t>
            </w:r>
          </w:p>
        </w:tc>
      </w:tr>
      <w:tr w:rsidR="007B29DD" w:rsidRPr="008448BA" w14:paraId="2251F3C9"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61F11D4"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Latrobe</w:t>
            </w:r>
          </w:p>
          <w:p w14:paraId="10FBC51D"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(226)</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5C5ADD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BAC10A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4.8%</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03081CA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93F224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612FD2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18769B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0.1%</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12F0289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9.2%</w:t>
            </w:r>
          </w:p>
        </w:tc>
      </w:tr>
      <w:tr w:rsidR="007B29DD" w:rsidRPr="008448BA" w14:paraId="070D62F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D023212"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847C46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144600B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C96B59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CC1296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95E8CE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B4FE84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-16.3%</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4390049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-12.2%</w:t>
            </w:r>
          </w:p>
        </w:tc>
      </w:tr>
      <w:tr w:rsidR="007B29DD" w:rsidRPr="008448BA" w14:paraId="1AD6336E"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79B2BA0"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06E556F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7452FC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-17.4%</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244678B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E91469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64DE75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5B108A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3A6389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-35.8%</w:t>
            </w:r>
          </w:p>
        </w:tc>
      </w:tr>
      <w:tr w:rsidR="007B29DD" w:rsidRPr="008448BA" w14:paraId="5CFD4683"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7FC16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South Gippsland</w:t>
            </w:r>
          </w:p>
          <w:p w14:paraId="0E2A657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(227)</w:t>
            </w:r>
          </w:p>
        </w:tc>
        <w:tc>
          <w:tcPr>
            <w:tcW w:w="1395" w:type="dxa"/>
            <w:tcBorders>
              <w:top w:val="nil"/>
              <w:left w:val="nil"/>
              <w:bottom w:val="single" w:sz="4" w:space="0" w:color="auto"/>
              <w:right w:val="single" w:sz="4" w:space="0" w:color="auto"/>
            </w:tcBorders>
            <w:shd w:val="clear" w:color="auto" w:fill="auto"/>
            <w:noWrap/>
            <w:vAlign w:val="bottom"/>
            <w:hideMark/>
          </w:tcPr>
          <w:p w14:paraId="0B83DED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5D09096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4.9%</w:t>
            </w:r>
          </w:p>
        </w:tc>
        <w:tc>
          <w:tcPr>
            <w:tcW w:w="1111" w:type="dxa"/>
            <w:tcBorders>
              <w:top w:val="nil"/>
              <w:left w:val="nil"/>
              <w:bottom w:val="single" w:sz="4" w:space="0" w:color="auto"/>
              <w:right w:val="single" w:sz="4" w:space="0" w:color="auto"/>
            </w:tcBorders>
            <w:shd w:val="clear" w:color="auto" w:fill="auto"/>
            <w:noWrap/>
          </w:tcPr>
          <w:p w14:paraId="3EBA240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6.5%</w:t>
            </w:r>
          </w:p>
        </w:tc>
        <w:tc>
          <w:tcPr>
            <w:tcW w:w="1153" w:type="dxa"/>
            <w:tcBorders>
              <w:top w:val="nil"/>
              <w:left w:val="nil"/>
              <w:bottom w:val="single" w:sz="4" w:space="0" w:color="auto"/>
              <w:right w:val="single" w:sz="4" w:space="0" w:color="auto"/>
            </w:tcBorders>
            <w:shd w:val="clear" w:color="auto" w:fill="auto"/>
            <w:noWrap/>
          </w:tcPr>
          <w:p w14:paraId="0604430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8.8%</w:t>
            </w:r>
          </w:p>
        </w:tc>
        <w:tc>
          <w:tcPr>
            <w:tcW w:w="1153" w:type="dxa"/>
            <w:tcBorders>
              <w:top w:val="nil"/>
              <w:left w:val="nil"/>
              <w:bottom w:val="single" w:sz="4" w:space="0" w:color="auto"/>
              <w:right w:val="single" w:sz="4" w:space="0" w:color="auto"/>
            </w:tcBorders>
            <w:shd w:val="clear" w:color="auto" w:fill="auto"/>
            <w:noWrap/>
          </w:tcPr>
          <w:p w14:paraId="6C8C6FB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11.7%</w:t>
            </w:r>
          </w:p>
        </w:tc>
        <w:tc>
          <w:tcPr>
            <w:tcW w:w="1153" w:type="dxa"/>
            <w:tcBorders>
              <w:top w:val="nil"/>
              <w:left w:val="nil"/>
              <w:bottom w:val="single" w:sz="4" w:space="0" w:color="auto"/>
              <w:right w:val="single" w:sz="4" w:space="0" w:color="auto"/>
            </w:tcBorders>
            <w:shd w:val="clear" w:color="auto" w:fill="auto"/>
            <w:noWrap/>
          </w:tcPr>
          <w:p w14:paraId="62A7535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w:t>
            </w:r>
          </w:p>
        </w:tc>
        <w:tc>
          <w:tcPr>
            <w:tcW w:w="1153" w:type="dxa"/>
            <w:tcBorders>
              <w:top w:val="nil"/>
              <w:left w:val="nil"/>
              <w:bottom w:val="single" w:sz="4" w:space="0" w:color="auto"/>
              <w:right w:val="single" w:sz="4" w:space="0" w:color="auto"/>
            </w:tcBorders>
            <w:shd w:val="clear" w:color="auto" w:fill="auto"/>
            <w:noWrap/>
            <w:hideMark/>
          </w:tcPr>
          <w:p w14:paraId="48360F7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11.0%</w:t>
            </w:r>
          </w:p>
        </w:tc>
      </w:tr>
      <w:tr w:rsidR="007B29DD" w:rsidRPr="008448BA" w14:paraId="03CE1AFF"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7B870573"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05E9024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5708BD5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-6.6%</w:t>
            </w:r>
          </w:p>
        </w:tc>
        <w:tc>
          <w:tcPr>
            <w:tcW w:w="1111" w:type="dxa"/>
            <w:tcBorders>
              <w:top w:val="nil"/>
              <w:left w:val="nil"/>
              <w:bottom w:val="single" w:sz="4" w:space="0" w:color="auto"/>
              <w:right w:val="single" w:sz="4" w:space="0" w:color="auto"/>
            </w:tcBorders>
            <w:shd w:val="clear" w:color="auto" w:fill="auto"/>
            <w:noWrap/>
          </w:tcPr>
          <w:p w14:paraId="0554E69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-0.9%</w:t>
            </w:r>
          </w:p>
        </w:tc>
        <w:tc>
          <w:tcPr>
            <w:tcW w:w="1153" w:type="dxa"/>
            <w:tcBorders>
              <w:top w:val="nil"/>
              <w:left w:val="nil"/>
              <w:bottom w:val="single" w:sz="4" w:space="0" w:color="auto"/>
              <w:right w:val="single" w:sz="4" w:space="0" w:color="auto"/>
            </w:tcBorders>
            <w:shd w:val="clear" w:color="auto" w:fill="auto"/>
            <w:noWrap/>
          </w:tcPr>
          <w:p w14:paraId="251EC78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-11.9%</w:t>
            </w:r>
          </w:p>
        </w:tc>
        <w:tc>
          <w:tcPr>
            <w:tcW w:w="1153" w:type="dxa"/>
            <w:tcBorders>
              <w:top w:val="nil"/>
              <w:left w:val="nil"/>
              <w:bottom w:val="single" w:sz="4" w:space="0" w:color="auto"/>
              <w:right w:val="single" w:sz="4" w:space="0" w:color="auto"/>
            </w:tcBorders>
            <w:shd w:val="clear" w:color="auto" w:fill="auto"/>
            <w:noWrap/>
          </w:tcPr>
          <w:p w14:paraId="28D896D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w:t>
            </w:r>
          </w:p>
        </w:tc>
        <w:tc>
          <w:tcPr>
            <w:tcW w:w="1153" w:type="dxa"/>
            <w:tcBorders>
              <w:top w:val="nil"/>
              <w:left w:val="nil"/>
              <w:bottom w:val="single" w:sz="4" w:space="0" w:color="auto"/>
              <w:right w:val="single" w:sz="4" w:space="0" w:color="auto"/>
            </w:tcBorders>
            <w:shd w:val="clear" w:color="auto" w:fill="auto"/>
            <w:noWrap/>
          </w:tcPr>
          <w:p w14:paraId="181FEDC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-16.9%</w:t>
            </w:r>
          </w:p>
        </w:tc>
        <w:tc>
          <w:tcPr>
            <w:tcW w:w="1153" w:type="dxa"/>
            <w:tcBorders>
              <w:top w:val="nil"/>
              <w:left w:val="nil"/>
              <w:bottom w:val="single" w:sz="4" w:space="0" w:color="auto"/>
              <w:right w:val="single" w:sz="4" w:space="0" w:color="auto"/>
            </w:tcBorders>
            <w:shd w:val="clear" w:color="auto" w:fill="auto"/>
            <w:noWrap/>
            <w:hideMark/>
          </w:tcPr>
          <w:p w14:paraId="1BF0E6A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-15.3%</w:t>
            </w:r>
          </w:p>
        </w:tc>
      </w:tr>
      <w:tr w:rsidR="007B29DD" w:rsidRPr="008448BA" w14:paraId="0899288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14EE5931"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6E07B4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3CE526E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-18.7%</w:t>
            </w:r>
          </w:p>
        </w:tc>
        <w:tc>
          <w:tcPr>
            <w:tcW w:w="1111" w:type="dxa"/>
            <w:tcBorders>
              <w:top w:val="nil"/>
              <w:left w:val="nil"/>
              <w:bottom w:val="single" w:sz="4" w:space="0" w:color="auto"/>
              <w:right w:val="single" w:sz="4" w:space="0" w:color="auto"/>
            </w:tcBorders>
            <w:shd w:val="clear" w:color="auto" w:fill="auto"/>
            <w:noWrap/>
          </w:tcPr>
          <w:p w14:paraId="3E12784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-20.7%</w:t>
            </w:r>
          </w:p>
        </w:tc>
        <w:tc>
          <w:tcPr>
            <w:tcW w:w="1153" w:type="dxa"/>
            <w:tcBorders>
              <w:top w:val="nil"/>
              <w:left w:val="nil"/>
              <w:bottom w:val="single" w:sz="4" w:space="0" w:color="auto"/>
              <w:right w:val="single" w:sz="4" w:space="0" w:color="auto"/>
            </w:tcBorders>
            <w:shd w:val="clear" w:color="auto" w:fill="auto"/>
            <w:noWrap/>
          </w:tcPr>
          <w:p w14:paraId="659C5DF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-33.7%</w:t>
            </w:r>
          </w:p>
        </w:tc>
        <w:tc>
          <w:tcPr>
            <w:tcW w:w="1153" w:type="dxa"/>
            <w:tcBorders>
              <w:top w:val="nil"/>
              <w:left w:val="nil"/>
              <w:bottom w:val="single" w:sz="4" w:space="0" w:color="auto"/>
              <w:right w:val="single" w:sz="4" w:space="0" w:color="auto"/>
            </w:tcBorders>
            <w:shd w:val="clear" w:color="auto" w:fill="auto"/>
            <w:noWrap/>
          </w:tcPr>
          <w:p w14:paraId="3ACE568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-37.2%</w:t>
            </w:r>
          </w:p>
        </w:tc>
        <w:tc>
          <w:tcPr>
            <w:tcW w:w="1153" w:type="dxa"/>
            <w:tcBorders>
              <w:top w:val="nil"/>
              <w:left w:val="nil"/>
              <w:bottom w:val="single" w:sz="4" w:space="0" w:color="auto"/>
              <w:right w:val="single" w:sz="4" w:space="0" w:color="auto"/>
            </w:tcBorders>
            <w:shd w:val="clear" w:color="auto" w:fill="auto"/>
            <w:noWrap/>
          </w:tcPr>
          <w:p w14:paraId="18D9510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-44.8%</w:t>
            </w:r>
          </w:p>
        </w:tc>
        <w:tc>
          <w:tcPr>
            <w:tcW w:w="1153" w:type="dxa"/>
            <w:tcBorders>
              <w:top w:val="nil"/>
              <w:left w:val="nil"/>
              <w:bottom w:val="single" w:sz="4" w:space="0" w:color="auto"/>
              <w:right w:val="single" w:sz="4" w:space="0" w:color="auto"/>
            </w:tcBorders>
            <w:shd w:val="clear" w:color="auto" w:fill="auto"/>
            <w:noWrap/>
            <w:hideMark/>
          </w:tcPr>
          <w:p w14:paraId="640756C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-33.3%</w:t>
            </w:r>
          </w:p>
        </w:tc>
      </w:tr>
      <w:tr w:rsidR="007B29DD" w:rsidRPr="008448BA" w14:paraId="036FAD08"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6B5604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Bunyip</w:t>
            </w:r>
          </w:p>
          <w:p w14:paraId="273C0A7E"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(228)</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56B575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201AC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546375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1C566A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CFF3BE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6A8F73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B20C69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11.4%</w:t>
            </w:r>
          </w:p>
        </w:tc>
      </w:tr>
      <w:tr w:rsidR="007B29DD" w:rsidRPr="008448BA" w14:paraId="663DA585"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E4DD063"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A4066E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53B9101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-7.6%</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7DAA866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1F35E5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077BEC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CDE731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-19.1%</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CF320C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-12.4%</w:t>
            </w:r>
          </w:p>
        </w:tc>
      </w:tr>
      <w:tr w:rsidR="007B29DD" w:rsidRPr="008448BA" w14:paraId="0ECEE4B9"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603CBB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AABE52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6F820A2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6ACCCBA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DAE33D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F088FE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685A35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-47.0%</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7FD7A48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-33.6%</w:t>
            </w:r>
          </w:p>
        </w:tc>
      </w:tr>
      <w:tr w:rsidR="007B29DD" w:rsidRPr="008448BA" w14:paraId="1D226816"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294A6D"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Yarra</w:t>
            </w:r>
          </w:p>
          <w:p w14:paraId="7518FA6E"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(229)</w:t>
            </w:r>
          </w:p>
        </w:tc>
        <w:tc>
          <w:tcPr>
            <w:tcW w:w="1395" w:type="dxa"/>
            <w:tcBorders>
              <w:top w:val="nil"/>
              <w:left w:val="nil"/>
              <w:bottom w:val="single" w:sz="4" w:space="0" w:color="auto"/>
              <w:right w:val="single" w:sz="4" w:space="0" w:color="auto"/>
            </w:tcBorders>
            <w:shd w:val="clear" w:color="auto" w:fill="auto"/>
            <w:noWrap/>
            <w:vAlign w:val="bottom"/>
            <w:hideMark/>
          </w:tcPr>
          <w:p w14:paraId="5A4C4F1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3C81F17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5.6%</w:t>
            </w:r>
          </w:p>
        </w:tc>
        <w:tc>
          <w:tcPr>
            <w:tcW w:w="1111" w:type="dxa"/>
            <w:tcBorders>
              <w:top w:val="nil"/>
              <w:left w:val="nil"/>
              <w:bottom w:val="single" w:sz="4" w:space="0" w:color="auto"/>
              <w:right w:val="single" w:sz="4" w:space="0" w:color="auto"/>
            </w:tcBorders>
            <w:shd w:val="clear" w:color="auto" w:fill="auto"/>
            <w:noWrap/>
          </w:tcPr>
          <w:p w14:paraId="6018C46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5.9%</w:t>
            </w:r>
          </w:p>
        </w:tc>
        <w:tc>
          <w:tcPr>
            <w:tcW w:w="1153" w:type="dxa"/>
            <w:tcBorders>
              <w:top w:val="nil"/>
              <w:left w:val="nil"/>
              <w:bottom w:val="single" w:sz="4" w:space="0" w:color="auto"/>
              <w:right w:val="single" w:sz="4" w:space="0" w:color="auto"/>
            </w:tcBorders>
            <w:shd w:val="clear" w:color="auto" w:fill="auto"/>
            <w:noWrap/>
          </w:tcPr>
          <w:p w14:paraId="3133BEB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10.0%</w:t>
            </w:r>
          </w:p>
        </w:tc>
        <w:tc>
          <w:tcPr>
            <w:tcW w:w="1153" w:type="dxa"/>
            <w:tcBorders>
              <w:top w:val="nil"/>
              <w:left w:val="nil"/>
              <w:bottom w:val="single" w:sz="4" w:space="0" w:color="auto"/>
              <w:right w:val="single" w:sz="4" w:space="0" w:color="auto"/>
            </w:tcBorders>
            <w:shd w:val="clear" w:color="auto" w:fill="auto"/>
            <w:noWrap/>
          </w:tcPr>
          <w:p w14:paraId="29296D9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10.6%</w:t>
            </w:r>
          </w:p>
        </w:tc>
        <w:tc>
          <w:tcPr>
            <w:tcW w:w="1153" w:type="dxa"/>
            <w:tcBorders>
              <w:top w:val="nil"/>
              <w:left w:val="nil"/>
              <w:bottom w:val="single" w:sz="4" w:space="0" w:color="auto"/>
              <w:right w:val="single" w:sz="4" w:space="0" w:color="auto"/>
            </w:tcBorders>
            <w:shd w:val="clear" w:color="auto" w:fill="auto"/>
            <w:noWrap/>
          </w:tcPr>
          <w:p w14:paraId="355F242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0.8%</w:t>
            </w:r>
          </w:p>
        </w:tc>
        <w:tc>
          <w:tcPr>
            <w:tcW w:w="1153" w:type="dxa"/>
            <w:tcBorders>
              <w:top w:val="nil"/>
              <w:left w:val="nil"/>
              <w:bottom w:val="single" w:sz="4" w:space="0" w:color="auto"/>
              <w:right w:val="single" w:sz="4" w:space="0" w:color="auto"/>
            </w:tcBorders>
            <w:shd w:val="clear" w:color="auto" w:fill="auto"/>
            <w:noWrap/>
            <w:hideMark/>
          </w:tcPr>
          <w:p w14:paraId="1DFA0F1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8.7%</w:t>
            </w:r>
          </w:p>
        </w:tc>
      </w:tr>
      <w:tr w:rsidR="007B29DD" w:rsidRPr="008448BA" w14:paraId="6906B7AA"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4BFFCF56"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2FC1EAB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3D55309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-6.1%</w:t>
            </w:r>
          </w:p>
        </w:tc>
        <w:tc>
          <w:tcPr>
            <w:tcW w:w="1111" w:type="dxa"/>
            <w:tcBorders>
              <w:top w:val="nil"/>
              <w:left w:val="nil"/>
              <w:bottom w:val="single" w:sz="4" w:space="0" w:color="auto"/>
              <w:right w:val="single" w:sz="4" w:space="0" w:color="auto"/>
            </w:tcBorders>
            <w:shd w:val="clear" w:color="auto" w:fill="auto"/>
            <w:noWrap/>
          </w:tcPr>
          <w:p w14:paraId="0836C63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w:t>
            </w:r>
          </w:p>
        </w:tc>
        <w:tc>
          <w:tcPr>
            <w:tcW w:w="1153" w:type="dxa"/>
            <w:tcBorders>
              <w:top w:val="nil"/>
              <w:left w:val="nil"/>
              <w:bottom w:val="single" w:sz="4" w:space="0" w:color="auto"/>
              <w:right w:val="single" w:sz="4" w:space="0" w:color="auto"/>
            </w:tcBorders>
            <w:shd w:val="clear" w:color="auto" w:fill="auto"/>
            <w:noWrap/>
          </w:tcPr>
          <w:p w14:paraId="385FC56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-11.0%</w:t>
            </w:r>
          </w:p>
        </w:tc>
        <w:tc>
          <w:tcPr>
            <w:tcW w:w="1153" w:type="dxa"/>
            <w:tcBorders>
              <w:top w:val="nil"/>
              <w:left w:val="nil"/>
              <w:bottom w:val="single" w:sz="4" w:space="0" w:color="auto"/>
              <w:right w:val="single" w:sz="4" w:space="0" w:color="auto"/>
            </w:tcBorders>
            <w:shd w:val="clear" w:color="auto" w:fill="auto"/>
            <w:noWrap/>
          </w:tcPr>
          <w:p w14:paraId="4D25304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w:t>
            </w:r>
          </w:p>
        </w:tc>
        <w:tc>
          <w:tcPr>
            <w:tcW w:w="1153" w:type="dxa"/>
            <w:tcBorders>
              <w:top w:val="nil"/>
              <w:left w:val="nil"/>
              <w:bottom w:val="single" w:sz="4" w:space="0" w:color="auto"/>
              <w:right w:val="single" w:sz="4" w:space="0" w:color="auto"/>
            </w:tcBorders>
            <w:shd w:val="clear" w:color="auto" w:fill="auto"/>
            <w:noWrap/>
          </w:tcPr>
          <w:p w14:paraId="26B9D32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-16.4%</w:t>
            </w:r>
          </w:p>
        </w:tc>
        <w:tc>
          <w:tcPr>
            <w:tcW w:w="1153" w:type="dxa"/>
            <w:tcBorders>
              <w:top w:val="nil"/>
              <w:left w:val="nil"/>
              <w:bottom w:val="single" w:sz="4" w:space="0" w:color="auto"/>
              <w:right w:val="single" w:sz="4" w:space="0" w:color="auto"/>
            </w:tcBorders>
            <w:shd w:val="clear" w:color="auto" w:fill="auto"/>
            <w:noWrap/>
            <w:hideMark/>
          </w:tcPr>
          <w:p w14:paraId="41E77F2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-11.4%</w:t>
            </w:r>
          </w:p>
        </w:tc>
      </w:tr>
      <w:tr w:rsidR="007B29DD" w:rsidRPr="008448BA" w14:paraId="7F41B0C4"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41C0D830"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E3284B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1319AA0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-16.2%</w:t>
            </w:r>
          </w:p>
        </w:tc>
        <w:tc>
          <w:tcPr>
            <w:tcW w:w="1111" w:type="dxa"/>
            <w:tcBorders>
              <w:top w:val="nil"/>
              <w:left w:val="nil"/>
              <w:bottom w:val="single" w:sz="4" w:space="0" w:color="auto"/>
              <w:right w:val="single" w:sz="4" w:space="0" w:color="auto"/>
            </w:tcBorders>
            <w:shd w:val="clear" w:color="auto" w:fill="auto"/>
            <w:noWrap/>
          </w:tcPr>
          <w:p w14:paraId="5A9BE68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-16.7%</w:t>
            </w:r>
          </w:p>
        </w:tc>
        <w:tc>
          <w:tcPr>
            <w:tcW w:w="1153" w:type="dxa"/>
            <w:tcBorders>
              <w:top w:val="nil"/>
              <w:left w:val="nil"/>
              <w:bottom w:val="single" w:sz="4" w:space="0" w:color="auto"/>
              <w:right w:val="single" w:sz="4" w:space="0" w:color="auto"/>
            </w:tcBorders>
            <w:shd w:val="clear" w:color="auto" w:fill="auto"/>
            <w:noWrap/>
          </w:tcPr>
          <w:p w14:paraId="29E837D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-29.2%</w:t>
            </w:r>
          </w:p>
        </w:tc>
        <w:tc>
          <w:tcPr>
            <w:tcW w:w="1153" w:type="dxa"/>
            <w:tcBorders>
              <w:top w:val="nil"/>
              <w:left w:val="nil"/>
              <w:bottom w:val="single" w:sz="4" w:space="0" w:color="auto"/>
              <w:right w:val="single" w:sz="4" w:space="0" w:color="auto"/>
            </w:tcBorders>
            <w:shd w:val="clear" w:color="auto" w:fill="auto"/>
            <w:noWrap/>
          </w:tcPr>
          <w:p w14:paraId="4CB308A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-30.0%</w:t>
            </w:r>
          </w:p>
        </w:tc>
        <w:tc>
          <w:tcPr>
            <w:tcW w:w="1153" w:type="dxa"/>
            <w:tcBorders>
              <w:top w:val="nil"/>
              <w:left w:val="nil"/>
              <w:bottom w:val="single" w:sz="4" w:space="0" w:color="auto"/>
              <w:right w:val="single" w:sz="4" w:space="0" w:color="auto"/>
            </w:tcBorders>
            <w:shd w:val="clear" w:color="auto" w:fill="auto"/>
            <w:noWrap/>
          </w:tcPr>
          <w:p w14:paraId="0B6098F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-44.3%</w:t>
            </w:r>
          </w:p>
        </w:tc>
        <w:tc>
          <w:tcPr>
            <w:tcW w:w="1153" w:type="dxa"/>
            <w:tcBorders>
              <w:top w:val="nil"/>
              <w:left w:val="nil"/>
              <w:bottom w:val="single" w:sz="4" w:space="0" w:color="auto"/>
              <w:right w:val="single" w:sz="4" w:space="0" w:color="auto"/>
            </w:tcBorders>
            <w:shd w:val="clear" w:color="auto" w:fill="auto"/>
            <w:noWrap/>
            <w:hideMark/>
          </w:tcPr>
          <w:p w14:paraId="13D8CD1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-34.0%</w:t>
            </w:r>
          </w:p>
        </w:tc>
      </w:tr>
      <w:tr w:rsidR="007B29DD" w:rsidRPr="008448BA" w14:paraId="729309B5"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6274A3D"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Maribyrnong</w:t>
            </w:r>
          </w:p>
          <w:p w14:paraId="7C57C386"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lastRenderedPageBreak/>
              <w:t>(230)</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DF4E2D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lastRenderedPageBreak/>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6AE3E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25A34E4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4FF524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203A4F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0DC5C4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5.1%</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0CD647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12.8%</w:t>
            </w:r>
          </w:p>
        </w:tc>
      </w:tr>
      <w:tr w:rsidR="007B29DD" w:rsidRPr="008448BA" w14:paraId="6039B025"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DE8499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35CAC0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354077E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0544162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012DC7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E9FA1B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D0B819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-20.0%</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D7803E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-9.7%</w:t>
            </w:r>
          </w:p>
        </w:tc>
      </w:tr>
      <w:tr w:rsidR="007B29DD" w:rsidRPr="008448BA" w14:paraId="2D7410D4"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0275A61"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0C2F40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7218CAF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-18.4%</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C2F73C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37A1B9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E808E4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4DFE6C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-55.4%</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3CA5532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-40.0%</w:t>
            </w:r>
          </w:p>
        </w:tc>
      </w:tr>
      <w:tr w:rsidR="007B29DD" w:rsidRPr="008448BA" w14:paraId="5A630F9A"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B6730D"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Werribee</w:t>
            </w:r>
          </w:p>
          <w:p w14:paraId="6A6891F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(231)</w:t>
            </w:r>
          </w:p>
        </w:tc>
        <w:tc>
          <w:tcPr>
            <w:tcW w:w="1395" w:type="dxa"/>
            <w:tcBorders>
              <w:top w:val="nil"/>
              <w:left w:val="nil"/>
              <w:bottom w:val="single" w:sz="4" w:space="0" w:color="auto"/>
              <w:right w:val="single" w:sz="4" w:space="0" w:color="auto"/>
            </w:tcBorders>
            <w:shd w:val="clear" w:color="auto" w:fill="auto"/>
            <w:noWrap/>
            <w:vAlign w:val="bottom"/>
            <w:hideMark/>
          </w:tcPr>
          <w:p w14:paraId="48B56FB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738B093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6.5%</w:t>
            </w:r>
          </w:p>
        </w:tc>
        <w:tc>
          <w:tcPr>
            <w:tcW w:w="1111" w:type="dxa"/>
            <w:tcBorders>
              <w:top w:val="nil"/>
              <w:left w:val="nil"/>
              <w:bottom w:val="single" w:sz="4" w:space="0" w:color="auto"/>
              <w:right w:val="single" w:sz="4" w:space="0" w:color="auto"/>
            </w:tcBorders>
            <w:shd w:val="clear" w:color="auto" w:fill="auto"/>
            <w:noWrap/>
          </w:tcPr>
          <w:p w14:paraId="37EE092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9.2%</w:t>
            </w:r>
          </w:p>
        </w:tc>
        <w:tc>
          <w:tcPr>
            <w:tcW w:w="1153" w:type="dxa"/>
            <w:tcBorders>
              <w:top w:val="nil"/>
              <w:left w:val="nil"/>
              <w:bottom w:val="single" w:sz="4" w:space="0" w:color="auto"/>
              <w:right w:val="single" w:sz="4" w:space="0" w:color="auto"/>
            </w:tcBorders>
            <w:shd w:val="clear" w:color="auto" w:fill="auto"/>
            <w:noWrap/>
          </w:tcPr>
          <w:p w14:paraId="41E20C9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11.8%</w:t>
            </w:r>
          </w:p>
        </w:tc>
        <w:tc>
          <w:tcPr>
            <w:tcW w:w="1153" w:type="dxa"/>
            <w:tcBorders>
              <w:top w:val="nil"/>
              <w:left w:val="nil"/>
              <w:bottom w:val="single" w:sz="4" w:space="0" w:color="auto"/>
              <w:right w:val="single" w:sz="4" w:space="0" w:color="auto"/>
            </w:tcBorders>
            <w:shd w:val="clear" w:color="auto" w:fill="auto"/>
            <w:noWrap/>
          </w:tcPr>
          <w:p w14:paraId="1809B42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16.5%</w:t>
            </w:r>
          </w:p>
        </w:tc>
        <w:tc>
          <w:tcPr>
            <w:tcW w:w="1153" w:type="dxa"/>
            <w:tcBorders>
              <w:top w:val="nil"/>
              <w:left w:val="nil"/>
              <w:bottom w:val="single" w:sz="4" w:space="0" w:color="auto"/>
              <w:right w:val="single" w:sz="4" w:space="0" w:color="auto"/>
            </w:tcBorders>
            <w:shd w:val="clear" w:color="auto" w:fill="auto"/>
            <w:noWrap/>
          </w:tcPr>
          <w:p w14:paraId="475117F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7.5%</w:t>
            </w:r>
          </w:p>
        </w:tc>
        <w:tc>
          <w:tcPr>
            <w:tcW w:w="1153" w:type="dxa"/>
            <w:tcBorders>
              <w:top w:val="nil"/>
              <w:left w:val="nil"/>
              <w:bottom w:val="single" w:sz="4" w:space="0" w:color="auto"/>
              <w:right w:val="single" w:sz="4" w:space="0" w:color="auto"/>
            </w:tcBorders>
            <w:shd w:val="clear" w:color="auto" w:fill="auto"/>
            <w:noWrap/>
            <w:hideMark/>
          </w:tcPr>
          <w:p w14:paraId="0D10D90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10.7%</w:t>
            </w:r>
          </w:p>
        </w:tc>
      </w:tr>
      <w:tr w:rsidR="007B29DD" w:rsidRPr="008448BA" w14:paraId="4959C9E3"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255A5EEA"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6F7F3E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4155986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-4.3%</w:t>
            </w:r>
          </w:p>
        </w:tc>
        <w:tc>
          <w:tcPr>
            <w:tcW w:w="1111" w:type="dxa"/>
            <w:tcBorders>
              <w:top w:val="nil"/>
              <w:left w:val="nil"/>
              <w:bottom w:val="single" w:sz="4" w:space="0" w:color="auto"/>
              <w:right w:val="single" w:sz="4" w:space="0" w:color="auto"/>
            </w:tcBorders>
            <w:shd w:val="clear" w:color="auto" w:fill="auto"/>
            <w:noWrap/>
          </w:tcPr>
          <w:p w14:paraId="0BC5527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w:t>
            </w:r>
          </w:p>
        </w:tc>
        <w:tc>
          <w:tcPr>
            <w:tcW w:w="1153" w:type="dxa"/>
            <w:tcBorders>
              <w:top w:val="nil"/>
              <w:left w:val="nil"/>
              <w:bottom w:val="single" w:sz="4" w:space="0" w:color="auto"/>
              <w:right w:val="single" w:sz="4" w:space="0" w:color="auto"/>
            </w:tcBorders>
            <w:shd w:val="clear" w:color="auto" w:fill="auto"/>
            <w:noWrap/>
          </w:tcPr>
          <w:p w14:paraId="2BF929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-7.7%</w:t>
            </w:r>
          </w:p>
        </w:tc>
        <w:tc>
          <w:tcPr>
            <w:tcW w:w="1153" w:type="dxa"/>
            <w:tcBorders>
              <w:top w:val="nil"/>
              <w:left w:val="nil"/>
              <w:bottom w:val="single" w:sz="4" w:space="0" w:color="auto"/>
              <w:right w:val="single" w:sz="4" w:space="0" w:color="auto"/>
            </w:tcBorders>
            <w:shd w:val="clear" w:color="auto" w:fill="auto"/>
            <w:noWrap/>
          </w:tcPr>
          <w:p w14:paraId="10BCA26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-3.8%</w:t>
            </w:r>
          </w:p>
        </w:tc>
        <w:tc>
          <w:tcPr>
            <w:tcW w:w="1153" w:type="dxa"/>
            <w:tcBorders>
              <w:top w:val="nil"/>
              <w:left w:val="nil"/>
              <w:bottom w:val="single" w:sz="4" w:space="0" w:color="auto"/>
              <w:right w:val="single" w:sz="4" w:space="0" w:color="auto"/>
            </w:tcBorders>
            <w:shd w:val="clear" w:color="auto" w:fill="auto"/>
            <w:noWrap/>
          </w:tcPr>
          <w:p w14:paraId="2FB0080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-18.1%</w:t>
            </w:r>
          </w:p>
        </w:tc>
        <w:tc>
          <w:tcPr>
            <w:tcW w:w="1153" w:type="dxa"/>
            <w:tcBorders>
              <w:top w:val="nil"/>
              <w:left w:val="nil"/>
              <w:bottom w:val="single" w:sz="4" w:space="0" w:color="auto"/>
              <w:right w:val="single" w:sz="4" w:space="0" w:color="auto"/>
            </w:tcBorders>
            <w:shd w:val="clear" w:color="auto" w:fill="auto"/>
            <w:noWrap/>
            <w:hideMark/>
          </w:tcPr>
          <w:p w14:paraId="0F3041D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-7.6%</w:t>
            </w:r>
          </w:p>
        </w:tc>
      </w:tr>
      <w:tr w:rsidR="007B29DD" w:rsidRPr="008448BA" w14:paraId="3F799762"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14A2F6F0"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AE8172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44CBFA7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-16.1%</w:t>
            </w:r>
          </w:p>
        </w:tc>
        <w:tc>
          <w:tcPr>
            <w:tcW w:w="1111" w:type="dxa"/>
            <w:tcBorders>
              <w:top w:val="nil"/>
              <w:left w:val="nil"/>
              <w:bottom w:val="single" w:sz="4" w:space="0" w:color="auto"/>
              <w:right w:val="single" w:sz="4" w:space="0" w:color="auto"/>
            </w:tcBorders>
            <w:shd w:val="clear" w:color="auto" w:fill="auto"/>
            <w:noWrap/>
          </w:tcPr>
          <w:p w14:paraId="6054B13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-19.4%</w:t>
            </w:r>
          </w:p>
        </w:tc>
        <w:tc>
          <w:tcPr>
            <w:tcW w:w="1153" w:type="dxa"/>
            <w:tcBorders>
              <w:top w:val="nil"/>
              <w:left w:val="nil"/>
              <w:bottom w:val="single" w:sz="4" w:space="0" w:color="auto"/>
              <w:right w:val="single" w:sz="4" w:space="0" w:color="auto"/>
            </w:tcBorders>
            <w:shd w:val="clear" w:color="auto" w:fill="auto"/>
            <w:noWrap/>
          </w:tcPr>
          <w:p w14:paraId="2C20AE0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-28.9%</w:t>
            </w:r>
          </w:p>
        </w:tc>
        <w:tc>
          <w:tcPr>
            <w:tcW w:w="1153" w:type="dxa"/>
            <w:tcBorders>
              <w:top w:val="nil"/>
              <w:left w:val="nil"/>
              <w:bottom w:val="single" w:sz="4" w:space="0" w:color="auto"/>
              <w:right w:val="single" w:sz="4" w:space="0" w:color="auto"/>
            </w:tcBorders>
            <w:shd w:val="clear" w:color="auto" w:fill="auto"/>
            <w:noWrap/>
          </w:tcPr>
          <w:p w14:paraId="7CC225B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-35.0%</w:t>
            </w:r>
          </w:p>
        </w:tc>
        <w:tc>
          <w:tcPr>
            <w:tcW w:w="1153" w:type="dxa"/>
            <w:tcBorders>
              <w:top w:val="nil"/>
              <w:left w:val="nil"/>
              <w:bottom w:val="single" w:sz="4" w:space="0" w:color="auto"/>
              <w:right w:val="single" w:sz="4" w:space="0" w:color="auto"/>
            </w:tcBorders>
            <w:shd w:val="clear" w:color="auto" w:fill="auto"/>
            <w:noWrap/>
          </w:tcPr>
          <w:p w14:paraId="3F2D435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-45.5%</w:t>
            </w:r>
          </w:p>
        </w:tc>
        <w:tc>
          <w:tcPr>
            <w:tcW w:w="1153" w:type="dxa"/>
            <w:tcBorders>
              <w:top w:val="nil"/>
              <w:left w:val="nil"/>
              <w:bottom w:val="single" w:sz="4" w:space="0" w:color="auto"/>
              <w:right w:val="single" w:sz="4" w:space="0" w:color="auto"/>
            </w:tcBorders>
            <w:shd w:val="clear" w:color="auto" w:fill="auto"/>
            <w:noWrap/>
            <w:hideMark/>
          </w:tcPr>
          <w:p w14:paraId="467CDEB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-36.5%</w:t>
            </w:r>
          </w:p>
        </w:tc>
      </w:tr>
      <w:tr w:rsidR="007B29DD" w:rsidRPr="008448BA" w14:paraId="3328CF7E"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6B15036"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Moorabool</w:t>
            </w:r>
          </w:p>
          <w:p w14:paraId="4B5EF7A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(232)</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54F281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18C2E31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078DA05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F4C5CE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F93FD9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B73E87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8A8EA1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10.5%</w:t>
            </w:r>
          </w:p>
        </w:tc>
      </w:tr>
      <w:tr w:rsidR="007B29DD" w:rsidRPr="008448BA" w14:paraId="767D8B2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FACE087"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662E670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1D330BB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A54A68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C861E8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04D05F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5E9C88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-17.3%</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44BF35B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-7.1%</w:t>
            </w:r>
          </w:p>
        </w:tc>
      </w:tr>
      <w:tr w:rsidR="007B29DD" w:rsidRPr="008448BA" w14:paraId="6BA42986"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950E5F5"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F92D33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7EBE2F2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61232E1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DAC73F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-30.4%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BE8858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257162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-45.6%</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1F9EA7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-38.7%</w:t>
            </w:r>
          </w:p>
        </w:tc>
      </w:tr>
      <w:tr w:rsidR="007B29DD" w:rsidRPr="008448BA" w14:paraId="0D83A10C"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D9DB2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Barwon</w:t>
            </w:r>
          </w:p>
          <w:p w14:paraId="27B9B0CD"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(233)</w:t>
            </w:r>
          </w:p>
        </w:tc>
        <w:tc>
          <w:tcPr>
            <w:tcW w:w="1395" w:type="dxa"/>
            <w:tcBorders>
              <w:top w:val="nil"/>
              <w:left w:val="nil"/>
              <w:bottom w:val="single" w:sz="4" w:space="0" w:color="auto"/>
              <w:right w:val="single" w:sz="4" w:space="0" w:color="auto"/>
            </w:tcBorders>
            <w:shd w:val="clear" w:color="auto" w:fill="auto"/>
            <w:noWrap/>
            <w:vAlign w:val="bottom"/>
            <w:hideMark/>
          </w:tcPr>
          <w:p w14:paraId="19C07A7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0826365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9.0%</w:t>
            </w:r>
          </w:p>
        </w:tc>
        <w:tc>
          <w:tcPr>
            <w:tcW w:w="1111" w:type="dxa"/>
            <w:tcBorders>
              <w:top w:val="nil"/>
              <w:left w:val="nil"/>
              <w:bottom w:val="single" w:sz="4" w:space="0" w:color="auto"/>
              <w:right w:val="single" w:sz="4" w:space="0" w:color="auto"/>
            </w:tcBorders>
            <w:shd w:val="clear" w:color="auto" w:fill="auto"/>
            <w:noWrap/>
          </w:tcPr>
          <w:p w14:paraId="3CFE7F2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12.2%</w:t>
            </w:r>
          </w:p>
        </w:tc>
        <w:tc>
          <w:tcPr>
            <w:tcW w:w="1153" w:type="dxa"/>
            <w:tcBorders>
              <w:top w:val="nil"/>
              <w:left w:val="nil"/>
              <w:bottom w:val="single" w:sz="4" w:space="0" w:color="auto"/>
              <w:right w:val="single" w:sz="4" w:space="0" w:color="auto"/>
            </w:tcBorders>
            <w:shd w:val="clear" w:color="auto" w:fill="auto"/>
            <w:noWrap/>
          </w:tcPr>
          <w:p w14:paraId="0A6161E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16.1%</w:t>
            </w:r>
          </w:p>
        </w:tc>
        <w:tc>
          <w:tcPr>
            <w:tcW w:w="1153" w:type="dxa"/>
            <w:tcBorders>
              <w:top w:val="nil"/>
              <w:left w:val="nil"/>
              <w:bottom w:val="single" w:sz="4" w:space="0" w:color="auto"/>
              <w:right w:val="single" w:sz="4" w:space="0" w:color="auto"/>
            </w:tcBorders>
            <w:shd w:val="clear" w:color="auto" w:fill="auto"/>
            <w:noWrap/>
          </w:tcPr>
          <w:p w14:paraId="54F48C4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21.9%</w:t>
            </w:r>
          </w:p>
        </w:tc>
        <w:tc>
          <w:tcPr>
            <w:tcW w:w="1153" w:type="dxa"/>
            <w:tcBorders>
              <w:top w:val="nil"/>
              <w:left w:val="nil"/>
              <w:bottom w:val="single" w:sz="4" w:space="0" w:color="auto"/>
              <w:right w:val="single" w:sz="4" w:space="0" w:color="auto"/>
            </w:tcBorders>
            <w:shd w:val="clear" w:color="auto" w:fill="auto"/>
            <w:noWrap/>
          </w:tcPr>
          <w:p w14:paraId="44B5E7E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-0.8%</w:t>
            </w:r>
          </w:p>
        </w:tc>
        <w:tc>
          <w:tcPr>
            <w:tcW w:w="1153" w:type="dxa"/>
            <w:tcBorders>
              <w:top w:val="nil"/>
              <w:left w:val="nil"/>
              <w:bottom w:val="single" w:sz="4" w:space="0" w:color="auto"/>
              <w:right w:val="single" w:sz="4" w:space="0" w:color="auto"/>
            </w:tcBorders>
            <w:shd w:val="clear" w:color="auto" w:fill="auto"/>
            <w:noWrap/>
            <w:hideMark/>
          </w:tcPr>
          <w:p w14:paraId="118DF1D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9.8%</w:t>
            </w:r>
          </w:p>
        </w:tc>
      </w:tr>
      <w:tr w:rsidR="007B29DD" w:rsidRPr="008448BA" w14:paraId="33F9680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0DC5F7F8"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7EC697D1"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23BB2C0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w:t>
            </w:r>
          </w:p>
        </w:tc>
        <w:tc>
          <w:tcPr>
            <w:tcW w:w="1111" w:type="dxa"/>
            <w:tcBorders>
              <w:top w:val="nil"/>
              <w:left w:val="nil"/>
              <w:bottom w:val="single" w:sz="4" w:space="0" w:color="auto"/>
              <w:right w:val="single" w:sz="4" w:space="0" w:color="auto"/>
            </w:tcBorders>
            <w:shd w:val="clear" w:color="auto" w:fill="auto"/>
            <w:noWrap/>
          </w:tcPr>
          <w:p w14:paraId="5E93FE9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-0.4%</w:t>
            </w:r>
          </w:p>
        </w:tc>
        <w:tc>
          <w:tcPr>
            <w:tcW w:w="1153" w:type="dxa"/>
            <w:tcBorders>
              <w:top w:val="nil"/>
              <w:left w:val="nil"/>
              <w:bottom w:val="single" w:sz="4" w:space="0" w:color="auto"/>
              <w:right w:val="single" w:sz="4" w:space="0" w:color="auto"/>
            </w:tcBorders>
            <w:shd w:val="clear" w:color="auto" w:fill="auto"/>
            <w:noWrap/>
          </w:tcPr>
          <w:p w14:paraId="6E9B246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-6.1%</w:t>
            </w:r>
          </w:p>
        </w:tc>
        <w:tc>
          <w:tcPr>
            <w:tcW w:w="1153" w:type="dxa"/>
            <w:tcBorders>
              <w:top w:val="nil"/>
              <w:left w:val="nil"/>
              <w:bottom w:val="single" w:sz="4" w:space="0" w:color="auto"/>
              <w:right w:val="single" w:sz="4" w:space="0" w:color="auto"/>
            </w:tcBorders>
            <w:shd w:val="clear" w:color="auto" w:fill="auto"/>
            <w:noWrap/>
          </w:tcPr>
          <w:p w14:paraId="50D1323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-0.7%</w:t>
            </w:r>
          </w:p>
        </w:tc>
        <w:tc>
          <w:tcPr>
            <w:tcW w:w="1153" w:type="dxa"/>
            <w:tcBorders>
              <w:top w:val="nil"/>
              <w:left w:val="nil"/>
              <w:bottom w:val="single" w:sz="4" w:space="0" w:color="auto"/>
              <w:right w:val="single" w:sz="4" w:space="0" w:color="auto"/>
            </w:tcBorders>
            <w:shd w:val="clear" w:color="auto" w:fill="auto"/>
            <w:noWrap/>
          </w:tcPr>
          <w:p w14:paraId="047FCF2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-21.6%</w:t>
            </w:r>
          </w:p>
        </w:tc>
        <w:tc>
          <w:tcPr>
            <w:tcW w:w="1153" w:type="dxa"/>
            <w:tcBorders>
              <w:top w:val="nil"/>
              <w:left w:val="nil"/>
              <w:bottom w:val="single" w:sz="4" w:space="0" w:color="auto"/>
              <w:right w:val="single" w:sz="4" w:space="0" w:color="auto"/>
            </w:tcBorders>
            <w:shd w:val="clear" w:color="auto" w:fill="auto"/>
            <w:noWrap/>
            <w:hideMark/>
          </w:tcPr>
          <w:p w14:paraId="363BECD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-15.6%</w:t>
            </w:r>
          </w:p>
        </w:tc>
      </w:tr>
      <w:tr w:rsidR="007B29DD" w:rsidRPr="008448BA" w14:paraId="653C696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02193E79"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D7E5E9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13FF3D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-18.4%</w:t>
            </w:r>
          </w:p>
        </w:tc>
        <w:tc>
          <w:tcPr>
            <w:tcW w:w="1111" w:type="dxa"/>
            <w:tcBorders>
              <w:top w:val="nil"/>
              <w:left w:val="nil"/>
              <w:bottom w:val="single" w:sz="4" w:space="0" w:color="auto"/>
              <w:right w:val="single" w:sz="4" w:space="0" w:color="auto"/>
            </w:tcBorders>
            <w:shd w:val="clear" w:color="auto" w:fill="auto"/>
            <w:noWrap/>
          </w:tcPr>
          <w:p w14:paraId="41E9C07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-20.9%</w:t>
            </w:r>
          </w:p>
        </w:tc>
        <w:tc>
          <w:tcPr>
            <w:tcW w:w="1153" w:type="dxa"/>
            <w:tcBorders>
              <w:top w:val="nil"/>
              <w:left w:val="nil"/>
              <w:bottom w:val="single" w:sz="4" w:space="0" w:color="auto"/>
              <w:right w:val="single" w:sz="4" w:space="0" w:color="auto"/>
            </w:tcBorders>
            <w:shd w:val="clear" w:color="auto" w:fill="auto"/>
            <w:noWrap/>
          </w:tcPr>
          <w:p w14:paraId="3F885D9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-33.1%</w:t>
            </w:r>
          </w:p>
        </w:tc>
        <w:tc>
          <w:tcPr>
            <w:tcW w:w="1153" w:type="dxa"/>
            <w:tcBorders>
              <w:top w:val="nil"/>
              <w:left w:val="nil"/>
              <w:bottom w:val="single" w:sz="4" w:space="0" w:color="auto"/>
              <w:right w:val="single" w:sz="4" w:space="0" w:color="auto"/>
            </w:tcBorders>
            <w:shd w:val="clear" w:color="auto" w:fill="auto"/>
            <w:noWrap/>
          </w:tcPr>
          <w:p w14:paraId="6D7AEF3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-37.7%</w:t>
            </w:r>
          </w:p>
        </w:tc>
        <w:tc>
          <w:tcPr>
            <w:tcW w:w="1153" w:type="dxa"/>
            <w:tcBorders>
              <w:top w:val="nil"/>
              <w:left w:val="nil"/>
              <w:bottom w:val="single" w:sz="4" w:space="0" w:color="auto"/>
              <w:right w:val="single" w:sz="4" w:space="0" w:color="auto"/>
            </w:tcBorders>
            <w:shd w:val="clear" w:color="auto" w:fill="auto"/>
            <w:noWrap/>
          </w:tcPr>
          <w:p w14:paraId="2039471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-47.6%</w:t>
            </w:r>
          </w:p>
        </w:tc>
        <w:tc>
          <w:tcPr>
            <w:tcW w:w="1153" w:type="dxa"/>
            <w:tcBorders>
              <w:top w:val="nil"/>
              <w:left w:val="nil"/>
              <w:bottom w:val="single" w:sz="4" w:space="0" w:color="auto"/>
              <w:right w:val="single" w:sz="4" w:space="0" w:color="auto"/>
            </w:tcBorders>
            <w:shd w:val="clear" w:color="auto" w:fill="auto"/>
            <w:noWrap/>
            <w:hideMark/>
          </w:tcPr>
          <w:p w14:paraId="5068F2E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-37.7%</w:t>
            </w:r>
          </w:p>
        </w:tc>
      </w:tr>
      <w:tr w:rsidR="007B29DD" w:rsidRPr="008448BA" w14:paraId="53CE0605"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59A57A0D"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Lake Corangamite</w:t>
            </w:r>
          </w:p>
          <w:p w14:paraId="3C481D70"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(234)</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59E2DE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1054A79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1AADA16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21493B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A7414B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24.4%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24BC1F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7F5DFD5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11.3%</w:t>
            </w:r>
          </w:p>
        </w:tc>
      </w:tr>
      <w:tr w:rsidR="007B29DD" w:rsidRPr="008448BA" w14:paraId="671989EE"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1C9C5D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4B84CC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3D676A6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-5.7%</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369DD0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F50B5F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662E5C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B1603F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-26.1%</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16A2300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-18.8%</w:t>
            </w:r>
          </w:p>
        </w:tc>
      </w:tr>
      <w:tr w:rsidR="007B29DD" w:rsidRPr="008448BA" w14:paraId="47CBDA04"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9CD664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7DA4E9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D06070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7B4810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-24.4%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6B0B55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42A823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-44.0%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DD2FC4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-53.0%</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22530B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-40.9%</w:t>
            </w:r>
          </w:p>
        </w:tc>
      </w:tr>
      <w:tr w:rsidR="007B29DD" w:rsidRPr="008448BA" w14:paraId="49948762"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77A1F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Otway Coast</w:t>
            </w:r>
          </w:p>
          <w:p w14:paraId="728E859B"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(235)</w:t>
            </w:r>
          </w:p>
        </w:tc>
        <w:tc>
          <w:tcPr>
            <w:tcW w:w="1395" w:type="dxa"/>
            <w:tcBorders>
              <w:top w:val="nil"/>
              <w:left w:val="nil"/>
              <w:bottom w:val="single" w:sz="4" w:space="0" w:color="auto"/>
              <w:right w:val="single" w:sz="4" w:space="0" w:color="auto"/>
            </w:tcBorders>
            <w:shd w:val="clear" w:color="auto" w:fill="auto"/>
            <w:noWrap/>
            <w:vAlign w:val="bottom"/>
            <w:hideMark/>
          </w:tcPr>
          <w:p w14:paraId="60A880B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3B5F04F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w:t>
            </w:r>
          </w:p>
        </w:tc>
        <w:tc>
          <w:tcPr>
            <w:tcW w:w="1111" w:type="dxa"/>
            <w:tcBorders>
              <w:top w:val="nil"/>
              <w:left w:val="nil"/>
              <w:bottom w:val="single" w:sz="4" w:space="0" w:color="auto"/>
              <w:right w:val="single" w:sz="4" w:space="0" w:color="auto"/>
            </w:tcBorders>
            <w:shd w:val="clear" w:color="auto" w:fill="auto"/>
            <w:noWrap/>
          </w:tcPr>
          <w:p w14:paraId="474E1D5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6.8%</w:t>
            </w:r>
          </w:p>
        </w:tc>
        <w:tc>
          <w:tcPr>
            <w:tcW w:w="1153" w:type="dxa"/>
            <w:tcBorders>
              <w:top w:val="nil"/>
              <w:left w:val="nil"/>
              <w:bottom w:val="single" w:sz="4" w:space="0" w:color="auto"/>
              <w:right w:val="single" w:sz="4" w:space="0" w:color="auto"/>
            </w:tcBorders>
            <w:shd w:val="clear" w:color="auto" w:fill="auto"/>
            <w:noWrap/>
          </w:tcPr>
          <w:p w14:paraId="1AC899D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6.6%</w:t>
            </w:r>
          </w:p>
        </w:tc>
        <w:tc>
          <w:tcPr>
            <w:tcW w:w="1153" w:type="dxa"/>
            <w:tcBorders>
              <w:top w:val="nil"/>
              <w:left w:val="nil"/>
              <w:bottom w:val="single" w:sz="4" w:space="0" w:color="auto"/>
              <w:right w:val="single" w:sz="4" w:space="0" w:color="auto"/>
            </w:tcBorders>
            <w:shd w:val="clear" w:color="auto" w:fill="auto"/>
            <w:noWrap/>
          </w:tcPr>
          <w:p w14:paraId="1CC314B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12.2%</w:t>
            </w:r>
          </w:p>
        </w:tc>
        <w:tc>
          <w:tcPr>
            <w:tcW w:w="1153" w:type="dxa"/>
            <w:tcBorders>
              <w:top w:val="nil"/>
              <w:left w:val="nil"/>
              <w:bottom w:val="single" w:sz="4" w:space="0" w:color="auto"/>
              <w:right w:val="single" w:sz="4" w:space="0" w:color="auto"/>
            </w:tcBorders>
            <w:shd w:val="clear" w:color="auto" w:fill="auto"/>
            <w:noWrap/>
          </w:tcPr>
          <w:p w14:paraId="02FE862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-4.7%</w:t>
            </w:r>
          </w:p>
        </w:tc>
        <w:tc>
          <w:tcPr>
            <w:tcW w:w="1153" w:type="dxa"/>
            <w:tcBorders>
              <w:top w:val="nil"/>
              <w:left w:val="nil"/>
              <w:bottom w:val="single" w:sz="4" w:space="0" w:color="auto"/>
              <w:right w:val="single" w:sz="4" w:space="0" w:color="auto"/>
            </w:tcBorders>
            <w:shd w:val="clear" w:color="auto" w:fill="auto"/>
            <w:noWrap/>
            <w:hideMark/>
          </w:tcPr>
          <w:p w14:paraId="796C44B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5.2%</w:t>
            </w:r>
          </w:p>
        </w:tc>
      </w:tr>
      <w:tr w:rsidR="007B29DD" w:rsidRPr="008448BA" w14:paraId="0664654E"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621A8AD9"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2F4D954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4E64949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w:t>
            </w:r>
          </w:p>
        </w:tc>
        <w:tc>
          <w:tcPr>
            <w:tcW w:w="1111" w:type="dxa"/>
            <w:tcBorders>
              <w:top w:val="nil"/>
              <w:left w:val="nil"/>
              <w:bottom w:val="single" w:sz="4" w:space="0" w:color="auto"/>
              <w:right w:val="single" w:sz="4" w:space="0" w:color="auto"/>
            </w:tcBorders>
            <w:shd w:val="clear" w:color="auto" w:fill="auto"/>
            <w:noWrap/>
          </w:tcPr>
          <w:p w14:paraId="03A54FD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w:t>
            </w:r>
          </w:p>
        </w:tc>
        <w:tc>
          <w:tcPr>
            <w:tcW w:w="1153" w:type="dxa"/>
            <w:tcBorders>
              <w:top w:val="nil"/>
              <w:left w:val="nil"/>
              <w:bottom w:val="single" w:sz="4" w:space="0" w:color="auto"/>
              <w:right w:val="single" w:sz="4" w:space="0" w:color="auto"/>
            </w:tcBorders>
            <w:shd w:val="clear" w:color="auto" w:fill="auto"/>
            <w:noWrap/>
          </w:tcPr>
          <w:p w14:paraId="77F546B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-7.2%</w:t>
            </w:r>
          </w:p>
        </w:tc>
        <w:tc>
          <w:tcPr>
            <w:tcW w:w="1153" w:type="dxa"/>
            <w:tcBorders>
              <w:top w:val="nil"/>
              <w:left w:val="nil"/>
              <w:bottom w:val="single" w:sz="4" w:space="0" w:color="auto"/>
              <w:right w:val="single" w:sz="4" w:space="0" w:color="auto"/>
            </w:tcBorders>
            <w:shd w:val="clear" w:color="auto" w:fill="auto"/>
            <w:noWrap/>
          </w:tcPr>
          <w:p w14:paraId="17A6E99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w:t>
            </w:r>
          </w:p>
        </w:tc>
        <w:tc>
          <w:tcPr>
            <w:tcW w:w="1153" w:type="dxa"/>
            <w:tcBorders>
              <w:top w:val="nil"/>
              <w:left w:val="nil"/>
              <w:bottom w:val="single" w:sz="4" w:space="0" w:color="auto"/>
              <w:right w:val="single" w:sz="4" w:space="0" w:color="auto"/>
            </w:tcBorders>
            <w:shd w:val="clear" w:color="auto" w:fill="auto"/>
            <w:noWrap/>
          </w:tcPr>
          <w:p w14:paraId="795C43A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-15.8%</w:t>
            </w:r>
          </w:p>
        </w:tc>
        <w:tc>
          <w:tcPr>
            <w:tcW w:w="1153" w:type="dxa"/>
            <w:tcBorders>
              <w:top w:val="nil"/>
              <w:left w:val="nil"/>
              <w:bottom w:val="single" w:sz="4" w:space="0" w:color="auto"/>
              <w:right w:val="single" w:sz="4" w:space="0" w:color="auto"/>
            </w:tcBorders>
            <w:shd w:val="clear" w:color="auto" w:fill="auto"/>
            <w:noWrap/>
            <w:hideMark/>
          </w:tcPr>
          <w:p w14:paraId="639C834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-14.4%</w:t>
            </w:r>
          </w:p>
        </w:tc>
      </w:tr>
      <w:tr w:rsidR="007B29DD" w:rsidRPr="008448BA" w14:paraId="39878BC0"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548F0B25"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0EAB71E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623E184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-14.1%</w:t>
            </w:r>
          </w:p>
        </w:tc>
        <w:tc>
          <w:tcPr>
            <w:tcW w:w="1111" w:type="dxa"/>
            <w:tcBorders>
              <w:top w:val="nil"/>
              <w:left w:val="nil"/>
              <w:bottom w:val="single" w:sz="4" w:space="0" w:color="auto"/>
              <w:right w:val="single" w:sz="4" w:space="0" w:color="auto"/>
            </w:tcBorders>
            <w:shd w:val="clear" w:color="auto" w:fill="auto"/>
            <w:noWrap/>
          </w:tcPr>
          <w:p w14:paraId="0336B98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-15.3%</w:t>
            </w:r>
          </w:p>
        </w:tc>
        <w:tc>
          <w:tcPr>
            <w:tcW w:w="1153" w:type="dxa"/>
            <w:tcBorders>
              <w:top w:val="nil"/>
              <w:left w:val="nil"/>
              <w:bottom w:val="single" w:sz="4" w:space="0" w:color="auto"/>
              <w:right w:val="single" w:sz="4" w:space="0" w:color="auto"/>
            </w:tcBorders>
            <w:shd w:val="clear" w:color="auto" w:fill="auto"/>
            <w:noWrap/>
          </w:tcPr>
          <w:p w14:paraId="657775E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-25.3%</w:t>
            </w:r>
          </w:p>
        </w:tc>
        <w:tc>
          <w:tcPr>
            <w:tcW w:w="1153" w:type="dxa"/>
            <w:tcBorders>
              <w:top w:val="nil"/>
              <w:left w:val="nil"/>
              <w:bottom w:val="single" w:sz="4" w:space="0" w:color="auto"/>
              <w:right w:val="single" w:sz="4" w:space="0" w:color="auto"/>
            </w:tcBorders>
            <w:shd w:val="clear" w:color="auto" w:fill="auto"/>
            <w:noWrap/>
          </w:tcPr>
          <w:p w14:paraId="32F342A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-27.6%</w:t>
            </w:r>
          </w:p>
        </w:tc>
        <w:tc>
          <w:tcPr>
            <w:tcW w:w="1153" w:type="dxa"/>
            <w:tcBorders>
              <w:top w:val="nil"/>
              <w:left w:val="nil"/>
              <w:bottom w:val="single" w:sz="4" w:space="0" w:color="auto"/>
              <w:right w:val="single" w:sz="4" w:space="0" w:color="auto"/>
            </w:tcBorders>
            <w:shd w:val="clear" w:color="auto" w:fill="auto"/>
            <w:noWrap/>
          </w:tcPr>
          <w:p w14:paraId="395053A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-41.9%</w:t>
            </w:r>
          </w:p>
        </w:tc>
        <w:tc>
          <w:tcPr>
            <w:tcW w:w="1153" w:type="dxa"/>
            <w:tcBorders>
              <w:top w:val="nil"/>
              <w:left w:val="nil"/>
              <w:bottom w:val="single" w:sz="4" w:space="0" w:color="auto"/>
              <w:right w:val="single" w:sz="4" w:space="0" w:color="auto"/>
            </w:tcBorders>
            <w:shd w:val="clear" w:color="auto" w:fill="auto"/>
            <w:noWrap/>
            <w:hideMark/>
          </w:tcPr>
          <w:p w14:paraId="59A567A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-30.0%</w:t>
            </w:r>
          </w:p>
        </w:tc>
      </w:tr>
      <w:tr w:rsidR="007B29DD" w:rsidRPr="008448BA" w14:paraId="28D8A568"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0092329"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Hopkins</w:t>
            </w:r>
          </w:p>
          <w:p w14:paraId="1996B0A4"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(236)</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50347C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9E4E8E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DC85A7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A441C1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1F67E6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85C7D1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-5.2%</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7F382B0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10.5%</w:t>
            </w:r>
          </w:p>
        </w:tc>
      </w:tr>
      <w:tr w:rsidR="007B29DD" w:rsidRPr="008448BA" w14:paraId="3609DECE"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A4E6139"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BF4846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7E881BD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-7.2%</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6A0D85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397E47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524437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B3CA90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-28.5%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12C92D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-20.0%</w:t>
            </w:r>
          </w:p>
        </w:tc>
      </w:tr>
      <w:tr w:rsidR="007B29DD" w:rsidRPr="008448BA" w14:paraId="3E364FC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3B54E1E"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D82A11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76B31D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-19.8%</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665002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BC4486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419E4D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-46.0%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06CF51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-59.8%</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4F02EC7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-42.2%</w:t>
            </w:r>
          </w:p>
        </w:tc>
      </w:tr>
      <w:tr w:rsidR="007B29DD" w:rsidRPr="008448BA" w14:paraId="67D8AB0A"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A01249"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Portland Coast</w:t>
            </w:r>
          </w:p>
          <w:p w14:paraId="4BEA57CE"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(237)</w:t>
            </w:r>
          </w:p>
        </w:tc>
        <w:tc>
          <w:tcPr>
            <w:tcW w:w="1395" w:type="dxa"/>
            <w:tcBorders>
              <w:top w:val="nil"/>
              <w:left w:val="nil"/>
              <w:bottom w:val="single" w:sz="4" w:space="0" w:color="auto"/>
              <w:right w:val="single" w:sz="4" w:space="0" w:color="auto"/>
            </w:tcBorders>
            <w:shd w:val="clear" w:color="auto" w:fill="auto"/>
            <w:noWrap/>
            <w:vAlign w:val="bottom"/>
            <w:hideMark/>
          </w:tcPr>
          <w:p w14:paraId="78375924"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7E63BC13" w14:textId="77777777" w:rsidR="007B29DD" w:rsidRPr="007F07AD" w:rsidRDefault="007B29DD" w:rsidP="00306AF1">
            <w:pPr>
              <w:keepNext/>
              <w:spacing w:line="240" w:lineRule="auto"/>
              <w:jc w:val="right"/>
              <w:rPr>
                <w:rFonts w:ascii="Calibri" w:hAnsi="Calibri" w:cs="Calibri"/>
                <w:color w:val="000000"/>
                <w:lang w:val="en-US" w:eastAsia="zh-CN"/>
              </w:rPr>
            </w:pPr>
            <w:r w:rsidRPr="00EE1D9E">
              <w:rPr>
                <w:rFonts w:ascii="Calibri" w:hAnsi="Calibri" w:cs="Calibri"/>
              </w:rPr>
              <w:t>8.6%</w:t>
            </w:r>
          </w:p>
        </w:tc>
        <w:tc>
          <w:tcPr>
            <w:tcW w:w="1111" w:type="dxa"/>
            <w:tcBorders>
              <w:top w:val="nil"/>
              <w:left w:val="nil"/>
              <w:bottom w:val="single" w:sz="4" w:space="0" w:color="auto"/>
              <w:right w:val="single" w:sz="4" w:space="0" w:color="auto"/>
            </w:tcBorders>
            <w:shd w:val="clear" w:color="auto" w:fill="auto"/>
            <w:noWrap/>
          </w:tcPr>
          <w:p w14:paraId="53332ACC" w14:textId="77777777" w:rsidR="007B29DD" w:rsidRPr="007F07AD" w:rsidRDefault="007B29DD" w:rsidP="00306AF1">
            <w:pPr>
              <w:keepNext/>
              <w:spacing w:line="240" w:lineRule="auto"/>
              <w:jc w:val="right"/>
              <w:rPr>
                <w:rFonts w:ascii="Calibri" w:hAnsi="Calibri" w:cs="Calibri"/>
                <w:color w:val="000000"/>
                <w:lang w:val="en-US" w:eastAsia="zh-CN"/>
              </w:rPr>
            </w:pPr>
            <w:r w:rsidRPr="00EE1D9E">
              <w:rPr>
                <w:rFonts w:ascii="Calibri" w:hAnsi="Calibri" w:cs="Calibri"/>
              </w:rPr>
              <w:t>11.6%</w:t>
            </w:r>
          </w:p>
        </w:tc>
        <w:tc>
          <w:tcPr>
            <w:tcW w:w="1153" w:type="dxa"/>
            <w:tcBorders>
              <w:top w:val="nil"/>
              <w:left w:val="nil"/>
              <w:bottom w:val="single" w:sz="4" w:space="0" w:color="auto"/>
              <w:right w:val="single" w:sz="4" w:space="0" w:color="auto"/>
            </w:tcBorders>
            <w:shd w:val="clear" w:color="auto" w:fill="auto"/>
            <w:noWrap/>
          </w:tcPr>
          <w:p w14:paraId="6CFDC4B9" w14:textId="77777777" w:rsidR="007B29DD" w:rsidRPr="007F07AD" w:rsidRDefault="007B29DD" w:rsidP="00306AF1">
            <w:pPr>
              <w:keepNext/>
              <w:spacing w:line="240" w:lineRule="auto"/>
              <w:jc w:val="right"/>
              <w:rPr>
                <w:rFonts w:ascii="Calibri" w:hAnsi="Calibri" w:cs="Calibri"/>
                <w:color w:val="000000"/>
                <w:lang w:val="en-US" w:eastAsia="zh-CN"/>
              </w:rPr>
            </w:pPr>
            <w:r w:rsidRPr="00EE1D9E">
              <w:rPr>
                <w:rFonts w:ascii="Calibri" w:hAnsi="Calibri" w:cs="Calibri"/>
              </w:rPr>
              <w:t>15.5%</w:t>
            </w:r>
          </w:p>
        </w:tc>
        <w:tc>
          <w:tcPr>
            <w:tcW w:w="1153" w:type="dxa"/>
            <w:tcBorders>
              <w:top w:val="nil"/>
              <w:left w:val="nil"/>
              <w:bottom w:val="single" w:sz="4" w:space="0" w:color="auto"/>
              <w:right w:val="single" w:sz="4" w:space="0" w:color="auto"/>
            </w:tcBorders>
            <w:shd w:val="clear" w:color="auto" w:fill="auto"/>
            <w:noWrap/>
          </w:tcPr>
          <w:p w14:paraId="5E70EDA2" w14:textId="77777777" w:rsidR="007B29DD" w:rsidRPr="007F07AD" w:rsidRDefault="007B29DD" w:rsidP="00306AF1">
            <w:pPr>
              <w:keepNext/>
              <w:spacing w:line="240" w:lineRule="auto"/>
              <w:jc w:val="right"/>
              <w:rPr>
                <w:rFonts w:ascii="Calibri" w:hAnsi="Calibri" w:cs="Calibri"/>
                <w:color w:val="000000"/>
                <w:lang w:val="en-US" w:eastAsia="zh-CN"/>
              </w:rPr>
            </w:pPr>
            <w:r w:rsidRPr="00EE1D9E">
              <w:rPr>
                <w:rFonts w:ascii="Calibri" w:hAnsi="Calibri" w:cs="Calibri"/>
              </w:rPr>
              <w:t>20.9%</w:t>
            </w:r>
          </w:p>
        </w:tc>
        <w:tc>
          <w:tcPr>
            <w:tcW w:w="1153" w:type="dxa"/>
            <w:tcBorders>
              <w:top w:val="nil"/>
              <w:left w:val="nil"/>
              <w:bottom w:val="single" w:sz="4" w:space="0" w:color="auto"/>
              <w:right w:val="single" w:sz="4" w:space="0" w:color="auto"/>
            </w:tcBorders>
            <w:shd w:val="clear" w:color="auto" w:fill="auto"/>
            <w:noWrap/>
          </w:tcPr>
          <w:p w14:paraId="2D594694" w14:textId="77777777" w:rsidR="007B29DD" w:rsidRPr="007F07AD" w:rsidRDefault="007B29DD" w:rsidP="00306AF1">
            <w:pPr>
              <w:keepNext/>
              <w:spacing w:line="240" w:lineRule="auto"/>
              <w:jc w:val="right"/>
              <w:rPr>
                <w:rFonts w:ascii="Calibri" w:hAnsi="Calibri" w:cs="Calibri"/>
                <w:color w:val="000000"/>
                <w:lang w:val="en-US" w:eastAsia="zh-CN"/>
              </w:rPr>
            </w:pPr>
            <w:r w:rsidRPr="00EE1D9E">
              <w:rPr>
                <w:rFonts w:ascii="Calibri" w:hAnsi="Calibri" w:cs="Calibri"/>
              </w:rPr>
              <w:t>-2.7%</w:t>
            </w:r>
          </w:p>
        </w:tc>
        <w:tc>
          <w:tcPr>
            <w:tcW w:w="1153" w:type="dxa"/>
            <w:tcBorders>
              <w:top w:val="nil"/>
              <w:left w:val="nil"/>
              <w:bottom w:val="single" w:sz="4" w:space="0" w:color="auto"/>
              <w:right w:val="single" w:sz="4" w:space="0" w:color="auto"/>
            </w:tcBorders>
            <w:shd w:val="clear" w:color="auto" w:fill="auto"/>
            <w:noWrap/>
            <w:hideMark/>
          </w:tcPr>
          <w:p w14:paraId="54F576BA" w14:textId="77777777" w:rsidR="007B29DD" w:rsidRPr="007F07AD" w:rsidRDefault="007B29DD" w:rsidP="00306AF1">
            <w:pPr>
              <w:keepNext/>
              <w:spacing w:line="240" w:lineRule="auto"/>
              <w:jc w:val="right"/>
              <w:rPr>
                <w:rFonts w:ascii="Calibri" w:hAnsi="Calibri" w:cs="Calibri"/>
                <w:color w:val="000000"/>
                <w:lang w:val="en-US" w:eastAsia="zh-CN"/>
              </w:rPr>
            </w:pPr>
            <w:r w:rsidRPr="00EE1D9E">
              <w:rPr>
                <w:rFonts w:ascii="Calibri" w:hAnsi="Calibri" w:cs="Calibri"/>
              </w:rPr>
              <w:t>10.0%</w:t>
            </w:r>
          </w:p>
        </w:tc>
      </w:tr>
      <w:tr w:rsidR="007B29DD" w:rsidRPr="008448BA" w14:paraId="1C119FA9"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7E2686EE"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271352A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2B574DD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11" w:type="dxa"/>
            <w:tcBorders>
              <w:top w:val="nil"/>
              <w:left w:val="nil"/>
              <w:bottom w:val="single" w:sz="4" w:space="0" w:color="auto"/>
              <w:right w:val="single" w:sz="4" w:space="0" w:color="auto"/>
            </w:tcBorders>
            <w:shd w:val="clear" w:color="auto" w:fill="auto"/>
            <w:noWrap/>
          </w:tcPr>
          <w:p w14:paraId="4F5274F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-5.3%</w:t>
            </w:r>
          </w:p>
        </w:tc>
        <w:tc>
          <w:tcPr>
            <w:tcW w:w="1153" w:type="dxa"/>
            <w:tcBorders>
              <w:top w:val="nil"/>
              <w:left w:val="nil"/>
              <w:bottom w:val="single" w:sz="4" w:space="0" w:color="auto"/>
              <w:right w:val="single" w:sz="4" w:space="0" w:color="auto"/>
            </w:tcBorders>
            <w:shd w:val="clear" w:color="auto" w:fill="auto"/>
            <w:noWrap/>
          </w:tcPr>
          <w:p w14:paraId="295E209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-10.8%</w:t>
            </w:r>
          </w:p>
        </w:tc>
        <w:tc>
          <w:tcPr>
            <w:tcW w:w="1153" w:type="dxa"/>
            <w:tcBorders>
              <w:top w:val="nil"/>
              <w:left w:val="nil"/>
              <w:bottom w:val="single" w:sz="4" w:space="0" w:color="auto"/>
              <w:right w:val="single" w:sz="4" w:space="0" w:color="auto"/>
            </w:tcBorders>
            <w:shd w:val="clear" w:color="auto" w:fill="auto"/>
            <w:noWrap/>
          </w:tcPr>
          <w:p w14:paraId="1B151A2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-9.5%</w:t>
            </w:r>
          </w:p>
        </w:tc>
        <w:tc>
          <w:tcPr>
            <w:tcW w:w="1153" w:type="dxa"/>
            <w:tcBorders>
              <w:top w:val="nil"/>
              <w:left w:val="nil"/>
              <w:bottom w:val="single" w:sz="4" w:space="0" w:color="auto"/>
              <w:right w:val="single" w:sz="4" w:space="0" w:color="auto"/>
            </w:tcBorders>
            <w:shd w:val="clear" w:color="auto" w:fill="auto"/>
            <w:noWrap/>
          </w:tcPr>
          <w:p w14:paraId="1399D13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-30.4%</w:t>
            </w:r>
          </w:p>
        </w:tc>
        <w:tc>
          <w:tcPr>
            <w:tcW w:w="1153" w:type="dxa"/>
            <w:tcBorders>
              <w:top w:val="nil"/>
              <w:left w:val="nil"/>
              <w:bottom w:val="single" w:sz="4" w:space="0" w:color="auto"/>
              <w:right w:val="single" w:sz="4" w:space="0" w:color="auto"/>
            </w:tcBorders>
            <w:shd w:val="clear" w:color="auto" w:fill="auto"/>
            <w:noWrap/>
            <w:hideMark/>
          </w:tcPr>
          <w:p w14:paraId="0EFD076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-22.1%</w:t>
            </w:r>
          </w:p>
        </w:tc>
      </w:tr>
      <w:tr w:rsidR="007B29DD" w:rsidRPr="008448BA" w14:paraId="218A3352"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6B26D46F"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BB08F7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4F7C029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-20.0%</w:t>
            </w:r>
          </w:p>
        </w:tc>
        <w:tc>
          <w:tcPr>
            <w:tcW w:w="1111" w:type="dxa"/>
            <w:tcBorders>
              <w:top w:val="nil"/>
              <w:left w:val="nil"/>
              <w:bottom w:val="single" w:sz="4" w:space="0" w:color="auto"/>
              <w:right w:val="single" w:sz="4" w:space="0" w:color="auto"/>
            </w:tcBorders>
            <w:shd w:val="clear" w:color="auto" w:fill="auto"/>
            <w:noWrap/>
          </w:tcPr>
          <w:p w14:paraId="637D716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-23.1%</w:t>
            </w:r>
          </w:p>
        </w:tc>
        <w:tc>
          <w:tcPr>
            <w:tcW w:w="1153" w:type="dxa"/>
            <w:tcBorders>
              <w:top w:val="nil"/>
              <w:left w:val="nil"/>
              <w:bottom w:val="single" w:sz="4" w:space="0" w:color="auto"/>
              <w:right w:val="single" w:sz="4" w:space="0" w:color="auto"/>
            </w:tcBorders>
            <w:shd w:val="clear" w:color="auto" w:fill="auto"/>
            <w:noWrap/>
          </w:tcPr>
          <w:p w14:paraId="5E74DFA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-36.0%</w:t>
            </w:r>
          </w:p>
        </w:tc>
        <w:tc>
          <w:tcPr>
            <w:tcW w:w="1153" w:type="dxa"/>
            <w:tcBorders>
              <w:top w:val="nil"/>
              <w:left w:val="nil"/>
              <w:bottom w:val="single" w:sz="4" w:space="0" w:color="auto"/>
              <w:right w:val="single" w:sz="4" w:space="0" w:color="auto"/>
            </w:tcBorders>
            <w:shd w:val="clear" w:color="auto" w:fill="auto"/>
            <w:noWrap/>
          </w:tcPr>
          <w:p w14:paraId="44B5C67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-41.6%</w:t>
            </w:r>
          </w:p>
        </w:tc>
        <w:tc>
          <w:tcPr>
            <w:tcW w:w="1153" w:type="dxa"/>
            <w:tcBorders>
              <w:top w:val="nil"/>
              <w:left w:val="nil"/>
              <w:bottom w:val="single" w:sz="4" w:space="0" w:color="auto"/>
              <w:right w:val="single" w:sz="4" w:space="0" w:color="auto"/>
            </w:tcBorders>
            <w:shd w:val="clear" w:color="auto" w:fill="auto"/>
            <w:noWrap/>
          </w:tcPr>
          <w:p w14:paraId="0C8B9C2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-54.8%</w:t>
            </w:r>
          </w:p>
        </w:tc>
        <w:tc>
          <w:tcPr>
            <w:tcW w:w="1153" w:type="dxa"/>
            <w:tcBorders>
              <w:top w:val="nil"/>
              <w:left w:val="nil"/>
              <w:bottom w:val="single" w:sz="4" w:space="0" w:color="auto"/>
              <w:right w:val="single" w:sz="4" w:space="0" w:color="auto"/>
            </w:tcBorders>
            <w:shd w:val="clear" w:color="auto" w:fill="auto"/>
            <w:noWrap/>
            <w:hideMark/>
          </w:tcPr>
          <w:p w14:paraId="62F30EC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-42.7%</w:t>
            </w:r>
          </w:p>
        </w:tc>
      </w:tr>
      <w:tr w:rsidR="007B29DD" w:rsidRPr="008448BA" w14:paraId="47A10B3C"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4DDF9A85"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Glenelg</w:t>
            </w:r>
          </w:p>
          <w:p w14:paraId="1637AFF8"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(238)</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16673C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0274FD2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D2082E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349D70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2CBA1A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90569A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3FB2C0F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5.6%</w:t>
            </w:r>
          </w:p>
        </w:tc>
      </w:tr>
      <w:tr w:rsidR="007B29DD" w:rsidRPr="008448BA" w14:paraId="028A087E"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838D84A"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07CE3A0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0D95837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-7.6%</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BE0A93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4C9A0E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62E1DD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23BF19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-31.4%</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70AEF21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-22.5%</w:t>
            </w:r>
          </w:p>
        </w:tc>
      </w:tr>
      <w:tr w:rsidR="007B29DD" w:rsidRPr="008448BA" w14:paraId="45EEECF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4747CCE"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03E492B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72DCBFC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-20.7%</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19B5E8F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2B672F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C64580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091BB5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-60.8%</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41CBE3C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-41.5%</w:t>
            </w:r>
          </w:p>
        </w:tc>
      </w:tr>
      <w:tr w:rsidR="007B29DD" w:rsidRPr="008448BA" w14:paraId="15A5B373"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06849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Millicent</w:t>
            </w:r>
          </w:p>
          <w:p w14:paraId="671A920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(239)</w:t>
            </w:r>
          </w:p>
        </w:tc>
        <w:tc>
          <w:tcPr>
            <w:tcW w:w="1395" w:type="dxa"/>
            <w:tcBorders>
              <w:top w:val="nil"/>
              <w:left w:val="nil"/>
              <w:bottom w:val="single" w:sz="4" w:space="0" w:color="auto"/>
              <w:right w:val="single" w:sz="4" w:space="0" w:color="auto"/>
            </w:tcBorders>
            <w:shd w:val="clear" w:color="auto" w:fill="auto"/>
            <w:noWrap/>
            <w:vAlign w:val="bottom"/>
            <w:hideMark/>
          </w:tcPr>
          <w:p w14:paraId="01607D9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6DBEF76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7.2%</w:t>
            </w:r>
          </w:p>
        </w:tc>
        <w:tc>
          <w:tcPr>
            <w:tcW w:w="1111" w:type="dxa"/>
            <w:tcBorders>
              <w:top w:val="nil"/>
              <w:left w:val="nil"/>
              <w:bottom w:val="single" w:sz="4" w:space="0" w:color="auto"/>
              <w:right w:val="single" w:sz="4" w:space="0" w:color="auto"/>
            </w:tcBorders>
            <w:shd w:val="clear" w:color="auto" w:fill="auto"/>
            <w:noWrap/>
          </w:tcPr>
          <w:p w14:paraId="5225F35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53" w:type="dxa"/>
            <w:tcBorders>
              <w:top w:val="nil"/>
              <w:left w:val="nil"/>
              <w:bottom w:val="single" w:sz="4" w:space="0" w:color="auto"/>
              <w:right w:val="single" w:sz="4" w:space="0" w:color="auto"/>
            </w:tcBorders>
            <w:shd w:val="clear" w:color="auto" w:fill="auto"/>
            <w:noWrap/>
          </w:tcPr>
          <w:p w14:paraId="14F4927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13.0%</w:t>
            </w:r>
          </w:p>
        </w:tc>
        <w:tc>
          <w:tcPr>
            <w:tcW w:w="1153" w:type="dxa"/>
            <w:tcBorders>
              <w:top w:val="nil"/>
              <w:left w:val="nil"/>
              <w:bottom w:val="single" w:sz="4" w:space="0" w:color="auto"/>
              <w:right w:val="single" w:sz="4" w:space="0" w:color="auto"/>
            </w:tcBorders>
            <w:shd w:val="clear" w:color="auto" w:fill="auto"/>
            <w:noWrap/>
          </w:tcPr>
          <w:p w14:paraId="05A4AF5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10.8%</w:t>
            </w:r>
          </w:p>
        </w:tc>
        <w:tc>
          <w:tcPr>
            <w:tcW w:w="1153" w:type="dxa"/>
            <w:tcBorders>
              <w:top w:val="nil"/>
              <w:left w:val="nil"/>
              <w:bottom w:val="single" w:sz="4" w:space="0" w:color="auto"/>
              <w:right w:val="single" w:sz="4" w:space="0" w:color="auto"/>
            </w:tcBorders>
            <w:shd w:val="clear" w:color="auto" w:fill="auto"/>
            <w:noWrap/>
          </w:tcPr>
          <w:p w14:paraId="19E8301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-0.5%</w:t>
            </w:r>
          </w:p>
        </w:tc>
        <w:tc>
          <w:tcPr>
            <w:tcW w:w="1153" w:type="dxa"/>
            <w:tcBorders>
              <w:top w:val="nil"/>
              <w:left w:val="nil"/>
              <w:bottom w:val="single" w:sz="4" w:space="0" w:color="auto"/>
              <w:right w:val="single" w:sz="4" w:space="0" w:color="auto"/>
            </w:tcBorders>
            <w:shd w:val="clear" w:color="auto" w:fill="auto"/>
            <w:noWrap/>
            <w:hideMark/>
          </w:tcPr>
          <w:p w14:paraId="7B8AC49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5.5%</w:t>
            </w:r>
          </w:p>
        </w:tc>
      </w:tr>
      <w:tr w:rsidR="007B29DD" w:rsidRPr="008448BA" w14:paraId="25AE7439"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10E1F25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71B740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033E609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-5.5%</w:t>
            </w:r>
          </w:p>
        </w:tc>
        <w:tc>
          <w:tcPr>
            <w:tcW w:w="1111" w:type="dxa"/>
            <w:tcBorders>
              <w:top w:val="nil"/>
              <w:left w:val="nil"/>
              <w:bottom w:val="single" w:sz="4" w:space="0" w:color="auto"/>
              <w:right w:val="single" w:sz="4" w:space="0" w:color="auto"/>
            </w:tcBorders>
            <w:shd w:val="clear" w:color="auto" w:fill="auto"/>
            <w:noWrap/>
          </w:tcPr>
          <w:p w14:paraId="0B0C885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w:t>
            </w:r>
          </w:p>
        </w:tc>
        <w:tc>
          <w:tcPr>
            <w:tcW w:w="1153" w:type="dxa"/>
            <w:tcBorders>
              <w:top w:val="nil"/>
              <w:left w:val="nil"/>
              <w:bottom w:val="single" w:sz="4" w:space="0" w:color="auto"/>
              <w:right w:val="single" w:sz="4" w:space="0" w:color="auto"/>
            </w:tcBorders>
            <w:shd w:val="clear" w:color="auto" w:fill="auto"/>
            <w:noWrap/>
          </w:tcPr>
          <w:p w14:paraId="7AD6C19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-10.0%</w:t>
            </w:r>
          </w:p>
        </w:tc>
        <w:tc>
          <w:tcPr>
            <w:tcW w:w="1153" w:type="dxa"/>
            <w:tcBorders>
              <w:top w:val="nil"/>
              <w:left w:val="nil"/>
              <w:bottom w:val="single" w:sz="4" w:space="0" w:color="auto"/>
              <w:right w:val="single" w:sz="4" w:space="0" w:color="auto"/>
            </w:tcBorders>
            <w:shd w:val="clear" w:color="auto" w:fill="auto"/>
            <w:noWrap/>
          </w:tcPr>
          <w:p w14:paraId="1BCD2B0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-7.5%</w:t>
            </w:r>
          </w:p>
        </w:tc>
        <w:tc>
          <w:tcPr>
            <w:tcW w:w="1153" w:type="dxa"/>
            <w:tcBorders>
              <w:top w:val="nil"/>
              <w:left w:val="nil"/>
              <w:bottom w:val="single" w:sz="4" w:space="0" w:color="auto"/>
              <w:right w:val="single" w:sz="4" w:space="0" w:color="auto"/>
            </w:tcBorders>
            <w:shd w:val="clear" w:color="auto" w:fill="auto"/>
            <w:noWrap/>
          </w:tcPr>
          <w:p w14:paraId="28F8F8E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-27.5%</w:t>
            </w:r>
          </w:p>
        </w:tc>
        <w:tc>
          <w:tcPr>
            <w:tcW w:w="1153" w:type="dxa"/>
            <w:tcBorders>
              <w:top w:val="nil"/>
              <w:left w:val="nil"/>
              <w:bottom w:val="single" w:sz="4" w:space="0" w:color="auto"/>
              <w:right w:val="single" w:sz="4" w:space="0" w:color="auto"/>
            </w:tcBorders>
            <w:shd w:val="clear" w:color="auto" w:fill="auto"/>
            <w:noWrap/>
            <w:hideMark/>
          </w:tcPr>
          <w:p w14:paraId="72724AD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-19.2%</w:t>
            </w:r>
          </w:p>
        </w:tc>
      </w:tr>
      <w:tr w:rsidR="007B29DD" w:rsidRPr="008448BA" w14:paraId="729D4952"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30AD7F42"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0AF7C49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5E3CD45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-19.6%</w:t>
            </w:r>
          </w:p>
        </w:tc>
        <w:tc>
          <w:tcPr>
            <w:tcW w:w="1111" w:type="dxa"/>
            <w:tcBorders>
              <w:top w:val="nil"/>
              <w:left w:val="nil"/>
              <w:bottom w:val="single" w:sz="4" w:space="0" w:color="auto"/>
              <w:right w:val="single" w:sz="4" w:space="0" w:color="auto"/>
            </w:tcBorders>
            <w:shd w:val="clear" w:color="auto" w:fill="auto"/>
            <w:noWrap/>
          </w:tcPr>
          <w:p w14:paraId="5EAB6D3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-20.2%</w:t>
            </w:r>
          </w:p>
        </w:tc>
        <w:tc>
          <w:tcPr>
            <w:tcW w:w="1153" w:type="dxa"/>
            <w:tcBorders>
              <w:top w:val="nil"/>
              <w:left w:val="nil"/>
              <w:bottom w:val="single" w:sz="4" w:space="0" w:color="auto"/>
              <w:right w:val="single" w:sz="4" w:space="0" w:color="auto"/>
            </w:tcBorders>
            <w:shd w:val="clear" w:color="auto" w:fill="auto"/>
            <w:noWrap/>
          </w:tcPr>
          <w:p w14:paraId="7188CB3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-35.2%</w:t>
            </w:r>
          </w:p>
        </w:tc>
        <w:tc>
          <w:tcPr>
            <w:tcW w:w="1153" w:type="dxa"/>
            <w:tcBorders>
              <w:top w:val="nil"/>
              <w:left w:val="nil"/>
              <w:bottom w:val="single" w:sz="4" w:space="0" w:color="auto"/>
              <w:right w:val="single" w:sz="4" w:space="0" w:color="auto"/>
            </w:tcBorders>
            <w:shd w:val="clear" w:color="auto" w:fill="auto"/>
            <w:noWrap/>
          </w:tcPr>
          <w:p w14:paraId="27E9C63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-36.3%</w:t>
            </w:r>
          </w:p>
        </w:tc>
        <w:tc>
          <w:tcPr>
            <w:tcW w:w="1153" w:type="dxa"/>
            <w:tcBorders>
              <w:top w:val="nil"/>
              <w:left w:val="nil"/>
              <w:bottom w:val="single" w:sz="4" w:space="0" w:color="auto"/>
              <w:right w:val="single" w:sz="4" w:space="0" w:color="auto"/>
            </w:tcBorders>
            <w:shd w:val="clear" w:color="auto" w:fill="auto"/>
            <w:noWrap/>
          </w:tcPr>
          <w:p w14:paraId="4E660AE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-57.3%</w:t>
            </w:r>
          </w:p>
        </w:tc>
        <w:tc>
          <w:tcPr>
            <w:tcW w:w="1153" w:type="dxa"/>
            <w:tcBorders>
              <w:top w:val="nil"/>
              <w:left w:val="nil"/>
              <w:bottom w:val="single" w:sz="4" w:space="0" w:color="auto"/>
              <w:right w:val="single" w:sz="4" w:space="0" w:color="auto"/>
            </w:tcBorders>
            <w:shd w:val="clear" w:color="auto" w:fill="auto"/>
            <w:noWrap/>
            <w:hideMark/>
          </w:tcPr>
          <w:p w14:paraId="3BBD922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-40.3%</w:t>
            </w:r>
          </w:p>
        </w:tc>
      </w:tr>
      <w:tr w:rsidR="007B29DD" w:rsidRPr="008448BA" w14:paraId="00DEE71D"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712B67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lastRenderedPageBreak/>
              <w:t>Upper Murray</w:t>
            </w:r>
          </w:p>
          <w:p w14:paraId="43EFC23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(401)</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FFB560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821444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F44646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DCCA7B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F4C2C8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855A86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13.5%</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929BA5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16.3%</w:t>
            </w:r>
          </w:p>
        </w:tc>
      </w:tr>
      <w:tr w:rsidR="007B29DD" w:rsidRPr="008448BA" w14:paraId="1D3FDB8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25503E7"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283698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5673E5E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-4.7%</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7486EA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0CAE6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2FC555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561DC0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-16.6%</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6426C4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-5.6%</w:t>
            </w:r>
          </w:p>
        </w:tc>
      </w:tr>
      <w:tr w:rsidR="007B29DD" w:rsidRPr="008448BA" w14:paraId="7D8BB7B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5D64CD9"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94EE324"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626CD2C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03DE784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8B8214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AE1FF4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-26.4%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B0A459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-39.4%</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41D928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-37.4%</w:t>
            </w:r>
          </w:p>
        </w:tc>
      </w:tr>
      <w:tr w:rsidR="007B29DD" w:rsidRPr="008448BA" w14:paraId="18738258"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148DF2"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Kiewa</w:t>
            </w:r>
          </w:p>
          <w:p w14:paraId="5396776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(402)</w:t>
            </w:r>
          </w:p>
        </w:tc>
        <w:tc>
          <w:tcPr>
            <w:tcW w:w="1395" w:type="dxa"/>
            <w:tcBorders>
              <w:top w:val="nil"/>
              <w:left w:val="nil"/>
              <w:bottom w:val="single" w:sz="4" w:space="0" w:color="auto"/>
              <w:right w:val="single" w:sz="4" w:space="0" w:color="auto"/>
            </w:tcBorders>
            <w:shd w:val="clear" w:color="auto" w:fill="auto"/>
            <w:noWrap/>
            <w:vAlign w:val="bottom"/>
            <w:hideMark/>
          </w:tcPr>
          <w:p w14:paraId="4E70437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43D95F9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6.2%</w:t>
            </w:r>
          </w:p>
        </w:tc>
        <w:tc>
          <w:tcPr>
            <w:tcW w:w="1111" w:type="dxa"/>
            <w:tcBorders>
              <w:top w:val="nil"/>
              <w:left w:val="nil"/>
              <w:bottom w:val="single" w:sz="4" w:space="0" w:color="auto"/>
              <w:right w:val="single" w:sz="4" w:space="0" w:color="auto"/>
            </w:tcBorders>
            <w:shd w:val="clear" w:color="auto" w:fill="auto"/>
            <w:noWrap/>
          </w:tcPr>
          <w:p w14:paraId="0535B7A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6.8%</w:t>
            </w:r>
          </w:p>
        </w:tc>
        <w:tc>
          <w:tcPr>
            <w:tcW w:w="1153" w:type="dxa"/>
            <w:tcBorders>
              <w:top w:val="nil"/>
              <w:left w:val="nil"/>
              <w:bottom w:val="single" w:sz="4" w:space="0" w:color="auto"/>
              <w:right w:val="single" w:sz="4" w:space="0" w:color="auto"/>
            </w:tcBorders>
            <w:shd w:val="clear" w:color="auto" w:fill="auto"/>
            <w:noWrap/>
          </w:tcPr>
          <w:p w14:paraId="78D3E65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11.2%</w:t>
            </w:r>
          </w:p>
        </w:tc>
        <w:tc>
          <w:tcPr>
            <w:tcW w:w="1153" w:type="dxa"/>
            <w:tcBorders>
              <w:top w:val="nil"/>
              <w:left w:val="nil"/>
              <w:bottom w:val="single" w:sz="4" w:space="0" w:color="auto"/>
              <w:right w:val="single" w:sz="4" w:space="0" w:color="auto"/>
            </w:tcBorders>
            <w:shd w:val="clear" w:color="auto" w:fill="auto"/>
            <w:noWrap/>
          </w:tcPr>
          <w:p w14:paraId="7438CC4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12.2%</w:t>
            </w:r>
          </w:p>
        </w:tc>
        <w:tc>
          <w:tcPr>
            <w:tcW w:w="1153" w:type="dxa"/>
            <w:tcBorders>
              <w:top w:val="nil"/>
              <w:left w:val="nil"/>
              <w:bottom w:val="single" w:sz="4" w:space="0" w:color="auto"/>
              <w:right w:val="single" w:sz="4" w:space="0" w:color="auto"/>
            </w:tcBorders>
            <w:shd w:val="clear" w:color="auto" w:fill="auto"/>
            <w:noWrap/>
          </w:tcPr>
          <w:p w14:paraId="4200D76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w:t>
            </w:r>
          </w:p>
        </w:tc>
        <w:tc>
          <w:tcPr>
            <w:tcW w:w="1153" w:type="dxa"/>
            <w:tcBorders>
              <w:top w:val="nil"/>
              <w:left w:val="nil"/>
              <w:bottom w:val="single" w:sz="4" w:space="0" w:color="auto"/>
              <w:right w:val="single" w:sz="4" w:space="0" w:color="auto"/>
            </w:tcBorders>
            <w:shd w:val="clear" w:color="auto" w:fill="auto"/>
            <w:noWrap/>
            <w:hideMark/>
          </w:tcPr>
          <w:p w14:paraId="3554FCD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9.4%</w:t>
            </w:r>
          </w:p>
        </w:tc>
      </w:tr>
      <w:tr w:rsidR="007B29DD" w:rsidRPr="008448BA" w14:paraId="546D68B5"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225C2816"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47A9DB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2F0191D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-5.0%</w:t>
            </w:r>
          </w:p>
        </w:tc>
        <w:tc>
          <w:tcPr>
            <w:tcW w:w="1111" w:type="dxa"/>
            <w:tcBorders>
              <w:top w:val="nil"/>
              <w:left w:val="nil"/>
              <w:bottom w:val="single" w:sz="4" w:space="0" w:color="auto"/>
              <w:right w:val="single" w:sz="4" w:space="0" w:color="auto"/>
            </w:tcBorders>
            <w:shd w:val="clear" w:color="auto" w:fill="auto"/>
            <w:noWrap/>
          </w:tcPr>
          <w:p w14:paraId="6A455B9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w:t>
            </w:r>
          </w:p>
        </w:tc>
        <w:tc>
          <w:tcPr>
            <w:tcW w:w="1153" w:type="dxa"/>
            <w:tcBorders>
              <w:top w:val="nil"/>
              <w:left w:val="nil"/>
              <w:bottom w:val="single" w:sz="4" w:space="0" w:color="auto"/>
              <w:right w:val="single" w:sz="4" w:space="0" w:color="auto"/>
            </w:tcBorders>
            <w:shd w:val="clear" w:color="auto" w:fill="auto"/>
            <w:noWrap/>
          </w:tcPr>
          <w:p w14:paraId="01D8AD2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-9.1%</w:t>
            </w:r>
          </w:p>
        </w:tc>
        <w:tc>
          <w:tcPr>
            <w:tcW w:w="1153" w:type="dxa"/>
            <w:tcBorders>
              <w:top w:val="nil"/>
              <w:left w:val="nil"/>
              <w:bottom w:val="single" w:sz="4" w:space="0" w:color="auto"/>
              <w:right w:val="single" w:sz="4" w:space="0" w:color="auto"/>
            </w:tcBorders>
            <w:shd w:val="clear" w:color="auto" w:fill="auto"/>
            <w:noWrap/>
          </w:tcPr>
          <w:p w14:paraId="70780C4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-4.8%</w:t>
            </w:r>
          </w:p>
        </w:tc>
        <w:tc>
          <w:tcPr>
            <w:tcW w:w="1153" w:type="dxa"/>
            <w:tcBorders>
              <w:top w:val="nil"/>
              <w:left w:val="nil"/>
              <w:bottom w:val="single" w:sz="4" w:space="0" w:color="auto"/>
              <w:right w:val="single" w:sz="4" w:space="0" w:color="auto"/>
            </w:tcBorders>
            <w:shd w:val="clear" w:color="auto" w:fill="auto"/>
            <w:noWrap/>
          </w:tcPr>
          <w:p w14:paraId="487B1E5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-12.1%</w:t>
            </w:r>
          </w:p>
        </w:tc>
        <w:tc>
          <w:tcPr>
            <w:tcW w:w="1153" w:type="dxa"/>
            <w:tcBorders>
              <w:top w:val="nil"/>
              <w:left w:val="nil"/>
              <w:bottom w:val="single" w:sz="4" w:space="0" w:color="auto"/>
              <w:right w:val="single" w:sz="4" w:space="0" w:color="auto"/>
            </w:tcBorders>
            <w:shd w:val="clear" w:color="auto" w:fill="auto"/>
            <w:noWrap/>
            <w:hideMark/>
          </w:tcPr>
          <w:p w14:paraId="3646C7D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-13.5%</w:t>
            </w:r>
          </w:p>
        </w:tc>
      </w:tr>
      <w:tr w:rsidR="007B29DD" w:rsidRPr="008448BA" w14:paraId="6A66CD7A"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0456CD49"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10E21B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66304C2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-12.5%</w:t>
            </w:r>
          </w:p>
        </w:tc>
        <w:tc>
          <w:tcPr>
            <w:tcW w:w="1111" w:type="dxa"/>
            <w:tcBorders>
              <w:top w:val="nil"/>
              <w:left w:val="nil"/>
              <w:bottom w:val="single" w:sz="4" w:space="0" w:color="auto"/>
              <w:right w:val="single" w:sz="4" w:space="0" w:color="auto"/>
            </w:tcBorders>
            <w:shd w:val="clear" w:color="auto" w:fill="auto"/>
            <w:noWrap/>
          </w:tcPr>
          <w:p w14:paraId="65E6A33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-17.1%</w:t>
            </w:r>
          </w:p>
        </w:tc>
        <w:tc>
          <w:tcPr>
            <w:tcW w:w="1153" w:type="dxa"/>
            <w:tcBorders>
              <w:top w:val="nil"/>
              <w:left w:val="nil"/>
              <w:bottom w:val="single" w:sz="4" w:space="0" w:color="auto"/>
              <w:right w:val="single" w:sz="4" w:space="0" w:color="auto"/>
            </w:tcBorders>
            <w:shd w:val="clear" w:color="auto" w:fill="auto"/>
            <w:noWrap/>
          </w:tcPr>
          <w:p w14:paraId="5C0FC15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-22.4%</w:t>
            </w:r>
          </w:p>
        </w:tc>
        <w:tc>
          <w:tcPr>
            <w:tcW w:w="1153" w:type="dxa"/>
            <w:tcBorders>
              <w:top w:val="nil"/>
              <w:left w:val="nil"/>
              <w:bottom w:val="single" w:sz="4" w:space="0" w:color="auto"/>
              <w:right w:val="single" w:sz="4" w:space="0" w:color="auto"/>
            </w:tcBorders>
            <w:shd w:val="clear" w:color="auto" w:fill="auto"/>
            <w:noWrap/>
          </w:tcPr>
          <w:p w14:paraId="6379942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-30.7%</w:t>
            </w:r>
          </w:p>
        </w:tc>
        <w:tc>
          <w:tcPr>
            <w:tcW w:w="1153" w:type="dxa"/>
            <w:tcBorders>
              <w:top w:val="nil"/>
              <w:left w:val="nil"/>
              <w:bottom w:val="single" w:sz="4" w:space="0" w:color="auto"/>
              <w:right w:val="single" w:sz="4" w:space="0" w:color="auto"/>
            </w:tcBorders>
            <w:shd w:val="clear" w:color="auto" w:fill="auto"/>
            <w:noWrap/>
          </w:tcPr>
          <w:p w14:paraId="4A34882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-39.4%</w:t>
            </w:r>
          </w:p>
        </w:tc>
        <w:tc>
          <w:tcPr>
            <w:tcW w:w="1153" w:type="dxa"/>
            <w:tcBorders>
              <w:top w:val="nil"/>
              <w:left w:val="nil"/>
              <w:bottom w:val="single" w:sz="4" w:space="0" w:color="auto"/>
              <w:right w:val="single" w:sz="4" w:space="0" w:color="auto"/>
            </w:tcBorders>
            <w:shd w:val="clear" w:color="auto" w:fill="auto"/>
            <w:noWrap/>
            <w:hideMark/>
          </w:tcPr>
          <w:p w14:paraId="5C5956E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-34.2%</w:t>
            </w:r>
          </w:p>
        </w:tc>
      </w:tr>
      <w:tr w:rsidR="007B29DD" w:rsidRPr="008448BA" w14:paraId="5A1A2E5E"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4E5B610"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Ovens</w:t>
            </w:r>
          </w:p>
          <w:p w14:paraId="7B86372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(403)</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66FE23D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3EB0C43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1E637FA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A24895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6B6F6B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4230E2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4FE332A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9.6%</w:t>
            </w:r>
          </w:p>
        </w:tc>
      </w:tr>
      <w:tr w:rsidR="007B29DD" w:rsidRPr="008448BA" w14:paraId="7A22B922"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971AAD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8B4842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03F8C6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0FA7EB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4DC4C3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265692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77F97F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-15.7%</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34F6C65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-15.9%</w:t>
            </w:r>
          </w:p>
        </w:tc>
      </w:tr>
      <w:tr w:rsidR="007B29DD" w:rsidRPr="008448BA" w14:paraId="5C12BF1F"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12557E5"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0A9C07D"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7B4A3C2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69F2553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0BD2AD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-23.3%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420D1C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A1D3D3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-43.9%</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EC2A3C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-34.4%</w:t>
            </w:r>
          </w:p>
        </w:tc>
      </w:tr>
      <w:tr w:rsidR="007B29DD" w:rsidRPr="008448BA" w14:paraId="59A783F6"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3AE552"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Broken</w:t>
            </w:r>
          </w:p>
          <w:p w14:paraId="2C7C6B8F"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(404)</w:t>
            </w:r>
          </w:p>
        </w:tc>
        <w:tc>
          <w:tcPr>
            <w:tcW w:w="1395" w:type="dxa"/>
            <w:tcBorders>
              <w:top w:val="nil"/>
              <w:left w:val="nil"/>
              <w:bottom w:val="single" w:sz="4" w:space="0" w:color="auto"/>
              <w:right w:val="single" w:sz="4" w:space="0" w:color="auto"/>
            </w:tcBorders>
            <w:shd w:val="clear" w:color="auto" w:fill="auto"/>
            <w:noWrap/>
            <w:vAlign w:val="bottom"/>
            <w:hideMark/>
          </w:tcPr>
          <w:p w14:paraId="3C370E9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27376ED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10.3%</w:t>
            </w:r>
          </w:p>
        </w:tc>
        <w:tc>
          <w:tcPr>
            <w:tcW w:w="1111" w:type="dxa"/>
            <w:tcBorders>
              <w:top w:val="nil"/>
              <w:left w:val="nil"/>
              <w:bottom w:val="single" w:sz="4" w:space="0" w:color="auto"/>
              <w:right w:val="single" w:sz="4" w:space="0" w:color="auto"/>
            </w:tcBorders>
            <w:shd w:val="clear" w:color="auto" w:fill="auto"/>
            <w:noWrap/>
          </w:tcPr>
          <w:p w14:paraId="14A388C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10.2%</w:t>
            </w:r>
          </w:p>
        </w:tc>
        <w:tc>
          <w:tcPr>
            <w:tcW w:w="1153" w:type="dxa"/>
            <w:tcBorders>
              <w:top w:val="nil"/>
              <w:left w:val="nil"/>
              <w:bottom w:val="single" w:sz="4" w:space="0" w:color="auto"/>
              <w:right w:val="single" w:sz="4" w:space="0" w:color="auto"/>
            </w:tcBorders>
            <w:shd w:val="clear" w:color="auto" w:fill="auto"/>
            <w:noWrap/>
          </w:tcPr>
          <w:p w14:paraId="60C39C0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18.6%</w:t>
            </w:r>
          </w:p>
        </w:tc>
        <w:tc>
          <w:tcPr>
            <w:tcW w:w="1153" w:type="dxa"/>
            <w:tcBorders>
              <w:top w:val="nil"/>
              <w:left w:val="nil"/>
              <w:bottom w:val="single" w:sz="4" w:space="0" w:color="auto"/>
              <w:right w:val="single" w:sz="4" w:space="0" w:color="auto"/>
            </w:tcBorders>
            <w:shd w:val="clear" w:color="auto" w:fill="auto"/>
            <w:noWrap/>
          </w:tcPr>
          <w:p w14:paraId="4B46836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18.4%</w:t>
            </w:r>
          </w:p>
        </w:tc>
        <w:tc>
          <w:tcPr>
            <w:tcW w:w="1153" w:type="dxa"/>
            <w:tcBorders>
              <w:top w:val="nil"/>
              <w:left w:val="nil"/>
              <w:bottom w:val="single" w:sz="4" w:space="0" w:color="auto"/>
              <w:right w:val="single" w:sz="4" w:space="0" w:color="auto"/>
            </w:tcBorders>
            <w:shd w:val="clear" w:color="auto" w:fill="auto"/>
            <w:noWrap/>
          </w:tcPr>
          <w:p w14:paraId="6B2CCB3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8.1%</w:t>
            </w:r>
          </w:p>
        </w:tc>
        <w:tc>
          <w:tcPr>
            <w:tcW w:w="1153" w:type="dxa"/>
            <w:tcBorders>
              <w:top w:val="nil"/>
              <w:left w:val="nil"/>
              <w:bottom w:val="single" w:sz="4" w:space="0" w:color="auto"/>
              <w:right w:val="single" w:sz="4" w:space="0" w:color="auto"/>
            </w:tcBorders>
            <w:shd w:val="clear" w:color="auto" w:fill="auto"/>
            <w:noWrap/>
            <w:hideMark/>
          </w:tcPr>
          <w:p w14:paraId="307D801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12.0%</w:t>
            </w:r>
          </w:p>
        </w:tc>
      </w:tr>
      <w:tr w:rsidR="007B29DD" w:rsidRPr="008448BA" w14:paraId="0A8928B0"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0A7E6882"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2E7C0B8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67D3451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-5.4%</w:t>
            </w:r>
          </w:p>
        </w:tc>
        <w:tc>
          <w:tcPr>
            <w:tcW w:w="1111" w:type="dxa"/>
            <w:tcBorders>
              <w:top w:val="nil"/>
              <w:left w:val="nil"/>
              <w:bottom w:val="single" w:sz="4" w:space="0" w:color="auto"/>
              <w:right w:val="single" w:sz="4" w:space="0" w:color="auto"/>
            </w:tcBorders>
            <w:shd w:val="clear" w:color="auto" w:fill="auto"/>
            <w:noWrap/>
          </w:tcPr>
          <w:p w14:paraId="2F0F21C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w:t>
            </w:r>
          </w:p>
        </w:tc>
        <w:tc>
          <w:tcPr>
            <w:tcW w:w="1153" w:type="dxa"/>
            <w:tcBorders>
              <w:top w:val="nil"/>
              <w:left w:val="nil"/>
              <w:bottom w:val="single" w:sz="4" w:space="0" w:color="auto"/>
              <w:right w:val="single" w:sz="4" w:space="0" w:color="auto"/>
            </w:tcBorders>
            <w:shd w:val="clear" w:color="auto" w:fill="auto"/>
            <w:noWrap/>
          </w:tcPr>
          <w:p w14:paraId="7290C57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-9.7%</w:t>
            </w:r>
          </w:p>
        </w:tc>
        <w:tc>
          <w:tcPr>
            <w:tcW w:w="1153" w:type="dxa"/>
            <w:tcBorders>
              <w:top w:val="nil"/>
              <w:left w:val="nil"/>
              <w:bottom w:val="single" w:sz="4" w:space="0" w:color="auto"/>
              <w:right w:val="single" w:sz="4" w:space="0" w:color="auto"/>
            </w:tcBorders>
            <w:shd w:val="clear" w:color="auto" w:fill="auto"/>
            <w:noWrap/>
          </w:tcPr>
          <w:p w14:paraId="36F5043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-6.7%</w:t>
            </w:r>
          </w:p>
        </w:tc>
        <w:tc>
          <w:tcPr>
            <w:tcW w:w="1153" w:type="dxa"/>
            <w:tcBorders>
              <w:top w:val="nil"/>
              <w:left w:val="nil"/>
              <w:bottom w:val="single" w:sz="4" w:space="0" w:color="auto"/>
              <w:right w:val="single" w:sz="4" w:space="0" w:color="auto"/>
            </w:tcBorders>
            <w:shd w:val="clear" w:color="auto" w:fill="auto"/>
            <w:noWrap/>
          </w:tcPr>
          <w:p w14:paraId="70B031B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-16.8%</w:t>
            </w:r>
          </w:p>
        </w:tc>
        <w:tc>
          <w:tcPr>
            <w:tcW w:w="1153" w:type="dxa"/>
            <w:tcBorders>
              <w:top w:val="nil"/>
              <w:left w:val="nil"/>
              <w:bottom w:val="single" w:sz="4" w:space="0" w:color="auto"/>
              <w:right w:val="single" w:sz="4" w:space="0" w:color="auto"/>
            </w:tcBorders>
            <w:shd w:val="clear" w:color="auto" w:fill="auto"/>
            <w:noWrap/>
            <w:hideMark/>
          </w:tcPr>
          <w:p w14:paraId="326FEAA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-12.6%</w:t>
            </w:r>
          </w:p>
        </w:tc>
      </w:tr>
      <w:tr w:rsidR="007B29DD" w:rsidRPr="008448BA" w14:paraId="4DFEAD06"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4AEAA7A0"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272D8E1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19B1414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-19.9%</w:t>
            </w:r>
          </w:p>
        </w:tc>
        <w:tc>
          <w:tcPr>
            <w:tcW w:w="1111" w:type="dxa"/>
            <w:tcBorders>
              <w:top w:val="nil"/>
              <w:left w:val="nil"/>
              <w:bottom w:val="single" w:sz="4" w:space="0" w:color="auto"/>
              <w:right w:val="single" w:sz="4" w:space="0" w:color="auto"/>
            </w:tcBorders>
            <w:shd w:val="clear" w:color="auto" w:fill="auto"/>
            <w:noWrap/>
          </w:tcPr>
          <w:p w14:paraId="402225B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-20.2%</w:t>
            </w:r>
          </w:p>
        </w:tc>
        <w:tc>
          <w:tcPr>
            <w:tcW w:w="1153" w:type="dxa"/>
            <w:tcBorders>
              <w:top w:val="nil"/>
              <w:left w:val="nil"/>
              <w:bottom w:val="single" w:sz="4" w:space="0" w:color="auto"/>
              <w:right w:val="single" w:sz="4" w:space="0" w:color="auto"/>
            </w:tcBorders>
            <w:shd w:val="clear" w:color="auto" w:fill="auto"/>
            <w:noWrap/>
          </w:tcPr>
          <w:p w14:paraId="790DF76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-35.9%</w:t>
            </w:r>
          </w:p>
        </w:tc>
        <w:tc>
          <w:tcPr>
            <w:tcW w:w="1153" w:type="dxa"/>
            <w:tcBorders>
              <w:top w:val="nil"/>
              <w:left w:val="nil"/>
              <w:bottom w:val="single" w:sz="4" w:space="0" w:color="auto"/>
              <w:right w:val="single" w:sz="4" w:space="0" w:color="auto"/>
            </w:tcBorders>
            <w:shd w:val="clear" w:color="auto" w:fill="auto"/>
            <w:noWrap/>
          </w:tcPr>
          <w:p w14:paraId="27D847E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-36.3%</w:t>
            </w:r>
          </w:p>
        </w:tc>
        <w:tc>
          <w:tcPr>
            <w:tcW w:w="1153" w:type="dxa"/>
            <w:tcBorders>
              <w:top w:val="nil"/>
              <w:left w:val="nil"/>
              <w:bottom w:val="single" w:sz="4" w:space="0" w:color="auto"/>
              <w:right w:val="single" w:sz="4" w:space="0" w:color="auto"/>
            </w:tcBorders>
            <w:shd w:val="clear" w:color="auto" w:fill="auto"/>
            <w:noWrap/>
          </w:tcPr>
          <w:p w14:paraId="2F4AAED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-50.0%</w:t>
            </w:r>
          </w:p>
        </w:tc>
        <w:tc>
          <w:tcPr>
            <w:tcW w:w="1153" w:type="dxa"/>
            <w:tcBorders>
              <w:top w:val="nil"/>
              <w:left w:val="nil"/>
              <w:bottom w:val="single" w:sz="4" w:space="0" w:color="auto"/>
              <w:right w:val="single" w:sz="4" w:space="0" w:color="auto"/>
            </w:tcBorders>
            <w:shd w:val="clear" w:color="auto" w:fill="auto"/>
            <w:noWrap/>
            <w:hideMark/>
          </w:tcPr>
          <w:p w14:paraId="5F229D7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-38.4%</w:t>
            </w:r>
          </w:p>
        </w:tc>
      </w:tr>
      <w:tr w:rsidR="007B29DD" w:rsidRPr="008448BA" w14:paraId="0013BE56"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E40A921"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Goulburn</w:t>
            </w:r>
          </w:p>
          <w:p w14:paraId="51A52AAF"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(405)</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863514B"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5327C4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1CD71F1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3D17B8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67C6AF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E1F804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989371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8.1%</w:t>
            </w:r>
          </w:p>
        </w:tc>
      </w:tr>
      <w:tr w:rsidR="007B29DD" w:rsidRPr="008448BA" w14:paraId="450ADF5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0798D36"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22B0B4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685CDFA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4DFC11A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A3D4E2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CEB903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407B53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-13.7%</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6BEE95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-11.7%</w:t>
            </w:r>
          </w:p>
        </w:tc>
      </w:tr>
      <w:tr w:rsidR="007B29DD" w:rsidRPr="008448BA" w14:paraId="35A32BD1"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D27B911"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07F3A98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9BC610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-16.1%</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AE375C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-15.9%</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32B2A0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9F7AE8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-28.7%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5DF01B8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-41.9%</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F5E099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-33.1%</w:t>
            </w:r>
          </w:p>
        </w:tc>
      </w:tr>
      <w:tr w:rsidR="007B29DD" w:rsidRPr="008448BA" w14:paraId="6F451A84"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4C6B8"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Campaspe</w:t>
            </w:r>
          </w:p>
          <w:p w14:paraId="30D859DC"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(406)</w:t>
            </w:r>
          </w:p>
        </w:tc>
        <w:tc>
          <w:tcPr>
            <w:tcW w:w="1395" w:type="dxa"/>
            <w:tcBorders>
              <w:top w:val="nil"/>
              <w:left w:val="nil"/>
              <w:bottom w:val="single" w:sz="4" w:space="0" w:color="auto"/>
              <w:right w:val="single" w:sz="4" w:space="0" w:color="auto"/>
            </w:tcBorders>
            <w:shd w:val="clear" w:color="auto" w:fill="auto"/>
            <w:noWrap/>
            <w:vAlign w:val="bottom"/>
            <w:hideMark/>
          </w:tcPr>
          <w:p w14:paraId="76FC1EAA"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4131667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5.8%</w:t>
            </w:r>
          </w:p>
        </w:tc>
        <w:tc>
          <w:tcPr>
            <w:tcW w:w="1111" w:type="dxa"/>
            <w:tcBorders>
              <w:top w:val="nil"/>
              <w:left w:val="nil"/>
              <w:bottom w:val="single" w:sz="4" w:space="0" w:color="auto"/>
              <w:right w:val="single" w:sz="4" w:space="0" w:color="auto"/>
            </w:tcBorders>
            <w:shd w:val="clear" w:color="auto" w:fill="auto"/>
            <w:noWrap/>
          </w:tcPr>
          <w:p w14:paraId="1F3546F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11.6%</w:t>
            </w:r>
          </w:p>
        </w:tc>
        <w:tc>
          <w:tcPr>
            <w:tcW w:w="1153" w:type="dxa"/>
            <w:tcBorders>
              <w:top w:val="nil"/>
              <w:left w:val="nil"/>
              <w:bottom w:val="single" w:sz="4" w:space="0" w:color="auto"/>
              <w:right w:val="single" w:sz="4" w:space="0" w:color="auto"/>
            </w:tcBorders>
            <w:shd w:val="clear" w:color="auto" w:fill="auto"/>
            <w:noWrap/>
          </w:tcPr>
          <w:p w14:paraId="59EF3F4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10.5%</w:t>
            </w:r>
          </w:p>
        </w:tc>
        <w:tc>
          <w:tcPr>
            <w:tcW w:w="1153" w:type="dxa"/>
            <w:tcBorders>
              <w:top w:val="nil"/>
              <w:left w:val="nil"/>
              <w:bottom w:val="single" w:sz="4" w:space="0" w:color="auto"/>
              <w:right w:val="single" w:sz="4" w:space="0" w:color="auto"/>
            </w:tcBorders>
            <w:shd w:val="clear" w:color="auto" w:fill="auto"/>
            <w:noWrap/>
          </w:tcPr>
          <w:p w14:paraId="4A5A60D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20.8%</w:t>
            </w:r>
          </w:p>
        </w:tc>
        <w:tc>
          <w:tcPr>
            <w:tcW w:w="1153" w:type="dxa"/>
            <w:tcBorders>
              <w:top w:val="nil"/>
              <w:left w:val="nil"/>
              <w:bottom w:val="single" w:sz="4" w:space="0" w:color="auto"/>
              <w:right w:val="single" w:sz="4" w:space="0" w:color="auto"/>
            </w:tcBorders>
            <w:shd w:val="clear" w:color="auto" w:fill="auto"/>
            <w:noWrap/>
          </w:tcPr>
          <w:p w14:paraId="0841720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1.0%</w:t>
            </w:r>
          </w:p>
        </w:tc>
        <w:tc>
          <w:tcPr>
            <w:tcW w:w="1153" w:type="dxa"/>
            <w:tcBorders>
              <w:top w:val="nil"/>
              <w:left w:val="nil"/>
              <w:bottom w:val="single" w:sz="4" w:space="0" w:color="auto"/>
              <w:right w:val="single" w:sz="4" w:space="0" w:color="auto"/>
            </w:tcBorders>
            <w:shd w:val="clear" w:color="auto" w:fill="auto"/>
            <w:noWrap/>
            <w:hideMark/>
          </w:tcPr>
          <w:p w14:paraId="51C0DF5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9.1%</w:t>
            </w:r>
          </w:p>
        </w:tc>
      </w:tr>
      <w:tr w:rsidR="007B29DD" w:rsidRPr="008448BA" w14:paraId="2EC455AD"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49173B34"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B472078"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12B568A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-6.8%</w:t>
            </w:r>
          </w:p>
        </w:tc>
        <w:tc>
          <w:tcPr>
            <w:tcW w:w="1111" w:type="dxa"/>
            <w:tcBorders>
              <w:top w:val="nil"/>
              <w:left w:val="nil"/>
              <w:bottom w:val="single" w:sz="4" w:space="0" w:color="auto"/>
              <w:right w:val="single" w:sz="4" w:space="0" w:color="auto"/>
            </w:tcBorders>
            <w:shd w:val="clear" w:color="auto" w:fill="auto"/>
            <w:noWrap/>
          </w:tcPr>
          <w:p w14:paraId="547B6B1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w:t>
            </w:r>
          </w:p>
        </w:tc>
        <w:tc>
          <w:tcPr>
            <w:tcW w:w="1153" w:type="dxa"/>
            <w:tcBorders>
              <w:top w:val="nil"/>
              <w:left w:val="nil"/>
              <w:bottom w:val="single" w:sz="4" w:space="0" w:color="auto"/>
              <w:right w:val="single" w:sz="4" w:space="0" w:color="auto"/>
            </w:tcBorders>
            <w:shd w:val="clear" w:color="auto" w:fill="auto"/>
            <w:noWrap/>
          </w:tcPr>
          <w:p w14:paraId="1DC8F8B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-12.3%</w:t>
            </w:r>
          </w:p>
        </w:tc>
        <w:tc>
          <w:tcPr>
            <w:tcW w:w="1153" w:type="dxa"/>
            <w:tcBorders>
              <w:top w:val="nil"/>
              <w:left w:val="nil"/>
              <w:bottom w:val="single" w:sz="4" w:space="0" w:color="auto"/>
              <w:right w:val="single" w:sz="4" w:space="0" w:color="auto"/>
            </w:tcBorders>
            <w:shd w:val="clear" w:color="auto" w:fill="auto"/>
            <w:noWrap/>
          </w:tcPr>
          <w:p w14:paraId="41FAAC1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-6.4%</w:t>
            </w:r>
          </w:p>
        </w:tc>
        <w:tc>
          <w:tcPr>
            <w:tcW w:w="1153" w:type="dxa"/>
            <w:tcBorders>
              <w:top w:val="nil"/>
              <w:left w:val="nil"/>
              <w:bottom w:val="single" w:sz="4" w:space="0" w:color="auto"/>
              <w:right w:val="single" w:sz="4" w:space="0" w:color="auto"/>
            </w:tcBorders>
            <w:shd w:val="clear" w:color="auto" w:fill="auto"/>
            <w:noWrap/>
          </w:tcPr>
          <w:p w14:paraId="48A8FB3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-20.7%</w:t>
            </w:r>
          </w:p>
        </w:tc>
        <w:tc>
          <w:tcPr>
            <w:tcW w:w="1153" w:type="dxa"/>
            <w:tcBorders>
              <w:top w:val="nil"/>
              <w:left w:val="nil"/>
              <w:bottom w:val="single" w:sz="4" w:space="0" w:color="auto"/>
              <w:right w:val="single" w:sz="4" w:space="0" w:color="auto"/>
            </w:tcBorders>
            <w:shd w:val="clear" w:color="auto" w:fill="auto"/>
            <w:noWrap/>
            <w:hideMark/>
          </w:tcPr>
          <w:p w14:paraId="15BA7FC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-12.3%</w:t>
            </w:r>
          </w:p>
        </w:tc>
      </w:tr>
      <w:tr w:rsidR="007B29DD" w:rsidRPr="008448BA" w14:paraId="2FA87840"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3D178EA9"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BC8C7CE"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70A5FE9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-20.6%</w:t>
            </w:r>
          </w:p>
        </w:tc>
        <w:tc>
          <w:tcPr>
            <w:tcW w:w="1111" w:type="dxa"/>
            <w:tcBorders>
              <w:top w:val="nil"/>
              <w:left w:val="nil"/>
              <w:bottom w:val="single" w:sz="4" w:space="0" w:color="auto"/>
              <w:right w:val="single" w:sz="4" w:space="0" w:color="auto"/>
            </w:tcBorders>
            <w:shd w:val="clear" w:color="auto" w:fill="auto"/>
            <w:noWrap/>
          </w:tcPr>
          <w:p w14:paraId="2B245E5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-24.4%</w:t>
            </w:r>
          </w:p>
        </w:tc>
        <w:tc>
          <w:tcPr>
            <w:tcW w:w="1153" w:type="dxa"/>
            <w:tcBorders>
              <w:top w:val="nil"/>
              <w:left w:val="nil"/>
              <w:bottom w:val="single" w:sz="4" w:space="0" w:color="auto"/>
              <w:right w:val="single" w:sz="4" w:space="0" w:color="auto"/>
            </w:tcBorders>
            <w:shd w:val="clear" w:color="auto" w:fill="auto"/>
            <w:noWrap/>
          </w:tcPr>
          <w:p w14:paraId="2D43084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-37.1%</w:t>
            </w:r>
          </w:p>
        </w:tc>
        <w:tc>
          <w:tcPr>
            <w:tcW w:w="1153" w:type="dxa"/>
            <w:tcBorders>
              <w:top w:val="nil"/>
              <w:left w:val="nil"/>
              <w:bottom w:val="single" w:sz="4" w:space="0" w:color="auto"/>
              <w:right w:val="single" w:sz="4" w:space="0" w:color="auto"/>
            </w:tcBorders>
            <w:shd w:val="clear" w:color="auto" w:fill="auto"/>
            <w:noWrap/>
          </w:tcPr>
          <w:p w14:paraId="7FA1E7E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-43.9%</w:t>
            </w:r>
          </w:p>
        </w:tc>
        <w:tc>
          <w:tcPr>
            <w:tcW w:w="1153" w:type="dxa"/>
            <w:tcBorders>
              <w:top w:val="nil"/>
              <w:left w:val="nil"/>
              <w:bottom w:val="single" w:sz="4" w:space="0" w:color="auto"/>
              <w:right w:val="single" w:sz="4" w:space="0" w:color="auto"/>
            </w:tcBorders>
            <w:shd w:val="clear" w:color="auto" w:fill="auto"/>
            <w:noWrap/>
          </w:tcPr>
          <w:p w14:paraId="014B88A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-57.0%</w:t>
            </w:r>
          </w:p>
        </w:tc>
        <w:tc>
          <w:tcPr>
            <w:tcW w:w="1153" w:type="dxa"/>
            <w:tcBorders>
              <w:top w:val="nil"/>
              <w:left w:val="nil"/>
              <w:bottom w:val="single" w:sz="4" w:space="0" w:color="auto"/>
              <w:right w:val="single" w:sz="4" w:space="0" w:color="auto"/>
            </w:tcBorders>
            <w:shd w:val="clear" w:color="auto" w:fill="auto"/>
            <w:noWrap/>
            <w:hideMark/>
          </w:tcPr>
          <w:p w14:paraId="49C5430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-43.6%</w:t>
            </w:r>
          </w:p>
        </w:tc>
      </w:tr>
      <w:tr w:rsidR="007B29DD" w:rsidRPr="008448BA" w14:paraId="6736A088"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6D19E9FE"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Loddon</w:t>
            </w:r>
          </w:p>
          <w:p w14:paraId="16329EB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(407)</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EFF0262"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080B3CC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6.9%</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3227433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74B1D5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7B0F2C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A5DF51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6.9%</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71911DF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13.6%</w:t>
            </w:r>
          </w:p>
        </w:tc>
      </w:tr>
      <w:tr w:rsidR="007B29DD" w:rsidRPr="008448BA" w14:paraId="7724E13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5B97685"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704A27C"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77DA448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0B8445A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C70607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-7.4%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E30D44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224C59C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-17.6%</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61CBA5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-14.1%</w:t>
            </w:r>
          </w:p>
        </w:tc>
      </w:tr>
      <w:tr w:rsidR="007B29DD" w:rsidRPr="008448BA" w14:paraId="0C4078F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CE1A7E4"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7F2C1A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16FBE5C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-20.3%</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8A9FEE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CA4729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BCD6ED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-38.0%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322E3D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-57.6%</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C8C450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-43.0%</w:t>
            </w:r>
          </w:p>
        </w:tc>
      </w:tr>
      <w:tr w:rsidR="007B29DD" w:rsidRPr="008448BA" w14:paraId="2AEB3EAC"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6DF673"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Avoca</w:t>
            </w:r>
          </w:p>
          <w:p w14:paraId="35945545"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(408)</w:t>
            </w:r>
          </w:p>
        </w:tc>
        <w:tc>
          <w:tcPr>
            <w:tcW w:w="1395" w:type="dxa"/>
            <w:tcBorders>
              <w:top w:val="nil"/>
              <w:left w:val="nil"/>
              <w:bottom w:val="single" w:sz="4" w:space="0" w:color="auto"/>
              <w:right w:val="single" w:sz="4" w:space="0" w:color="auto"/>
            </w:tcBorders>
            <w:shd w:val="clear" w:color="auto" w:fill="auto"/>
            <w:noWrap/>
            <w:vAlign w:val="bottom"/>
            <w:hideMark/>
          </w:tcPr>
          <w:p w14:paraId="16981A7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643B743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12.7%</w:t>
            </w:r>
          </w:p>
        </w:tc>
        <w:tc>
          <w:tcPr>
            <w:tcW w:w="1111" w:type="dxa"/>
            <w:tcBorders>
              <w:top w:val="nil"/>
              <w:left w:val="nil"/>
              <w:bottom w:val="single" w:sz="4" w:space="0" w:color="auto"/>
              <w:right w:val="single" w:sz="4" w:space="0" w:color="auto"/>
            </w:tcBorders>
            <w:shd w:val="clear" w:color="auto" w:fill="auto"/>
            <w:noWrap/>
          </w:tcPr>
          <w:p w14:paraId="57E60B9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19.1%</w:t>
            </w:r>
          </w:p>
        </w:tc>
        <w:tc>
          <w:tcPr>
            <w:tcW w:w="1153" w:type="dxa"/>
            <w:tcBorders>
              <w:top w:val="nil"/>
              <w:left w:val="nil"/>
              <w:bottom w:val="single" w:sz="4" w:space="0" w:color="auto"/>
              <w:right w:val="single" w:sz="4" w:space="0" w:color="auto"/>
            </w:tcBorders>
            <w:shd w:val="clear" w:color="auto" w:fill="auto"/>
            <w:noWrap/>
          </w:tcPr>
          <w:p w14:paraId="2F568C4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22.8%</w:t>
            </w:r>
          </w:p>
        </w:tc>
        <w:tc>
          <w:tcPr>
            <w:tcW w:w="1153" w:type="dxa"/>
            <w:tcBorders>
              <w:top w:val="nil"/>
              <w:left w:val="nil"/>
              <w:bottom w:val="single" w:sz="4" w:space="0" w:color="auto"/>
              <w:right w:val="single" w:sz="4" w:space="0" w:color="auto"/>
            </w:tcBorders>
            <w:shd w:val="clear" w:color="auto" w:fill="auto"/>
            <w:noWrap/>
          </w:tcPr>
          <w:p w14:paraId="264F2D2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34.3%</w:t>
            </w:r>
          </w:p>
        </w:tc>
        <w:tc>
          <w:tcPr>
            <w:tcW w:w="1153" w:type="dxa"/>
            <w:tcBorders>
              <w:top w:val="nil"/>
              <w:left w:val="nil"/>
              <w:bottom w:val="single" w:sz="4" w:space="0" w:color="auto"/>
              <w:right w:val="single" w:sz="4" w:space="0" w:color="auto"/>
            </w:tcBorders>
            <w:shd w:val="clear" w:color="auto" w:fill="auto"/>
            <w:noWrap/>
          </w:tcPr>
          <w:p w14:paraId="4684B41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25.5%</w:t>
            </w:r>
          </w:p>
        </w:tc>
        <w:tc>
          <w:tcPr>
            <w:tcW w:w="1153" w:type="dxa"/>
            <w:tcBorders>
              <w:top w:val="nil"/>
              <w:left w:val="nil"/>
              <w:bottom w:val="single" w:sz="4" w:space="0" w:color="auto"/>
              <w:right w:val="single" w:sz="4" w:space="0" w:color="auto"/>
            </w:tcBorders>
            <w:shd w:val="clear" w:color="auto" w:fill="auto"/>
            <w:noWrap/>
            <w:hideMark/>
          </w:tcPr>
          <w:p w14:paraId="6BFED98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21.9%</w:t>
            </w:r>
          </w:p>
        </w:tc>
      </w:tr>
      <w:tr w:rsidR="007B29DD" w:rsidRPr="008448BA" w14:paraId="1E3D6950"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1DD01C6F"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53DFA0E5"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452C517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-0.2%</w:t>
            </w:r>
          </w:p>
        </w:tc>
        <w:tc>
          <w:tcPr>
            <w:tcW w:w="1111" w:type="dxa"/>
            <w:tcBorders>
              <w:top w:val="nil"/>
              <w:left w:val="nil"/>
              <w:bottom w:val="single" w:sz="4" w:space="0" w:color="auto"/>
              <w:right w:val="single" w:sz="4" w:space="0" w:color="auto"/>
            </w:tcBorders>
            <w:shd w:val="clear" w:color="auto" w:fill="auto"/>
            <w:noWrap/>
          </w:tcPr>
          <w:p w14:paraId="503E787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w:t>
            </w:r>
          </w:p>
        </w:tc>
        <w:tc>
          <w:tcPr>
            <w:tcW w:w="1153" w:type="dxa"/>
            <w:tcBorders>
              <w:top w:val="nil"/>
              <w:left w:val="nil"/>
              <w:bottom w:val="single" w:sz="4" w:space="0" w:color="auto"/>
              <w:right w:val="single" w:sz="4" w:space="0" w:color="auto"/>
            </w:tcBorders>
            <w:shd w:val="clear" w:color="auto" w:fill="auto"/>
            <w:noWrap/>
          </w:tcPr>
          <w:p w14:paraId="079FF0C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-0.4%</w:t>
            </w:r>
          </w:p>
        </w:tc>
        <w:tc>
          <w:tcPr>
            <w:tcW w:w="1153" w:type="dxa"/>
            <w:tcBorders>
              <w:top w:val="nil"/>
              <w:left w:val="nil"/>
              <w:bottom w:val="single" w:sz="4" w:space="0" w:color="auto"/>
              <w:right w:val="single" w:sz="4" w:space="0" w:color="auto"/>
            </w:tcBorders>
            <w:shd w:val="clear" w:color="auto" w:fill="auto"/>
            <w:noWrap/>
          </w:tcPr>
          <w:p w14:paraId="1DE3E43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-2.4%</w:t>
            </w:r>
          </w:p>
        </w:tc>
        <w:tc>
          <w:tcPr>
            <w:tcW w:w="1153" w:type="dxa"/>
            <w:tcBorders>
              <w:top w:val="nil"/>
              <w:left w:val="nil"/>
              <w:bottom w:val="single" w:sz="4" w:space="0" w:color="auto"/>
              <w:right w:val="single" w:sz="4" w:space="0" w:color="auto"/>
            </w:tcBorders>
            <w:shd w:val="clear" w:color="auto" w:fill="auto"/>
            <w:noWrap/>
          </w:tcPr>
          <w:p w14:paraId="4AB621F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-8.8%</w:t>
            </w:r>
          </w:p>
        </w:tc>
        <w:tc>
          <w:tcPr>
            <w:tcW w:w="1153" w:type="dxa"/>
            <w:tcBorders>
              <w:top w:val="nil"/>
              <w:left w:val="nil"/>
              <w:bottom w:val="single" w:sz="4" w:space="0" w:color="auto"/>
              <w:right w:val="single" w:sz="4" w:space="0" w:color="auto"/>
            </w:tcBorders>
            <w:shd w:val="clear" w:color="auto" w:fill="auto"/>
            <w:noWrap/>
            <w:hideMark/>
          </w:tcPr>
          <w:p w14:paraId="4841C55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w:t>
            </w:r>
          </w:p>
        </w:tc>
      </w:tr>
      <w:tr w:rsidR="007B29DD" w:rsidRPr="008448BA" w14:paraId="510B21F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34FDE473"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0B31E71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147A687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-16.2%</w:t>
            </w:r>
          </w:p>
        </w:tc>
        <w:tc>
          <w:tcPr>
            <w:tcW w:w="1111" w:type="dxa"/>
            <w:tcBorders>
              <w:top w:val="nil"/>
              <w:left w:val="nil"/>
              <w:bottom w:val="single" w:sz="4" w:space="0" w:color="auto"/>
              <w:right w:val="single" w:sz="4" w:space="0" w:color="auto"/>
            </w:tcBorders>
            <w:shd w:val="clear" w:color="auto" w:fill="auto"/>
            <w:noWrap/>
          </w:tcPr>
          <w:p w14:paraId="37068FA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-16.3%</w:t>
            </w:r>
          </w:p>
        </w:tc>
        <w:tc>
          <w:tcPr>
            <w:tcW w:w="1153" w:type="dxa"/>
            <w:tcBorders>
              <w:top w:val="nil"/>
              <w:left w:val="nil"/>
              <w:bottom w:val="single" w:sz="4" w:space="0" w:color="auto"/>
              <w:right w:val="single" w:sz="4" w:space="0" w:color="auto"/>
            </w:tcBorders>
            <w:shd w:val="clear" w:color="auto" w:fill="auto"/>
            <w:noWrap/>
          </w:tcPr>
          <w:p w14:paraId="11C194C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-29.1%</w:t>
            </w:r>
          </w:p>
        </w:tc>
        <w:tc>
          <w:tcPr>
            <w:tcW w:w="1153" w:type="dxa"/>
            <w:tcBorders>
              <w:top w:val="nil"/>
              <w:left w:val="nil"/>
              <w:bottom w:val="single" w:sz="4" w:space="0" w:color="auto"/>
              <w:right w:val="single" w:sz="4" w:space="0" w:color="auto"/>
            </w:tcBorders>
            <w:shd w:val="clear" w:color="auto" w:fill="auto"/>
            <w:noWrap/>
          </w:tcPr>
          <w:p w14:paraId="4A76002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-29.4%</w:t>
            </w:r>
          </w:p>
        </w:tc>
        <w:tc>
          <w:tcPr>
            <w:tcW w:w="1153" w:type="dxa"/>
            <w:tcBorders>
              <w:top w:val="nil"/>
              <w:left w:val="nil"/>
              <w:bottom w:val="single" w:sz="4" w:space="0" w:color="auto"/>
              <w:right w:val="single" w:sz="4" w:space="0" w:color="auto"/>
            </w:tcBorders>
            <w:shd w:val="clear" w:color="auto" w:fill="auto"/>
            <w:noWrap/>
          </w:tcPr>
          <w:p w14:paraId="2BF0617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-44.4%</w:t>
            </w:r>
          </w:p>
        </w:tc>
        <w:tc>
          <w:tcPr>
            <w:tcW w:w="1153" w:type="dxa"/>
            <w:tcBorders>
              <w:top w:val="nil"/>
              <w:left w:val="nil"/>
              <w:bottom w:val="single" w:sz="4" w:space="0" w:color="auto"/>
              <w:right w:val="single" w:sz="4" w:space="0" w:color="auto"/>
            </w:tcBorders>
            <w:shd w:val="clear" w:color="auto" w:fill="auto"/>
            <w:noWrap/>
            <w:hideMark/>
          </w:tcPr>
          <w:p w14:paraId="3FD7B36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-40.8%</w:t>
            </w:r>
          </w:p>
        </w:tc>
      </w:tr>
      <w:tr w:rsidR="007B29DD" w:rsidRPr="008448BA" w14:paraId="4EBBC440"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3237BAB"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Lower Murray</w:t>
            </w:r>
          </w:p>
          <w:p w14:paraId="734C0EA8"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(409)</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7DB446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1DD247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18.2%</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BCD211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77BD8E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32.8%</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53D1CC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486496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27.1%</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0EBB9E7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29.3%</w:t>
            </w:r>
          </w:p>
        </w:tc>
      </w:tr>
      <w:tr w:rsidR="007B29DD" w:rsidRPr="008448BA" w14:paraId="796E43C9"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464B6DA"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6C7766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5D152F0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10B9AD4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E3879A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7A073E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18B5C8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-11.4%</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5A6896C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-5.4%</w:t>
            </w:r>
          </w:p>
        </w:tc>
      </w:tr>
      <w:tr w:rsidR="007B29DD" w:rsidRPr="008448BA" w14:paraId="727A3742"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62B715B"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BA862F0"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25E8517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-20.8%</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5C8A895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-15.3%</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9C2B3A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-37.5%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D72F598"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-27.6%</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4E449F9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-47.0%</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39AB0F6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-39.3%</w:t>
            </w:r>
          </w:p>
        </w:tc>
      </w:tr>
      <w:tr w:rsidR="007B29DD" w:rsidRPr="008448BA" w14:paraId="085D6C1E"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6C733" w14:textId="77777777" w:rsidR="007B29DD"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lastRenderedPageBreak/>
              <w:t>Mallee</w:t>
            </w:r>
          </w:p>
          <w:p w14:paraId="7A34E2D7" w14:textId="77777777" w:rsidR="007B29DD" w:rsidRPr="008448BA"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(414)</w:t>
            </w:r>
          </w:p>
        </w:tc>
        <w:tc>
          <w:tcPr>
            <w:tcW w:w="1395" w:type="dxa"/>
            <w:tcBorders>
              <w:top w:val="nil"/>
              <w:left w:val="nil"/>
              <w:bottom w:val="single" w:sz="4" w:space="0" w:color="auto"/>
              <w:right w:val="single" w:sz="4" w:space="0" w:color="auto"/>
            </w:tcBorders>
            <w:shd w:val="clear" w:color="auto" w:fill="auto"/>
            <w:noWrap/>
            <w:vAlign w:val="bottom"/>
            <w:hideMark/>
          </w:tcPr>
          <w:p w14:paraId="59EF40D9"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tcPr>
          <w:p w14:paraId="4A97B0A7"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22.4%</w:t>
            </w:r>
          </w:p>
        </w:tc>
        <w:tc>
          <w:tcPr>
            <w:tcW w:w="1111" w:type="dxa"/>
            <w:tcBorders>
              <w:top w:val="nil"/>
              <w:left w:val="nil"/>
              <w:bottom w:val="single" w:sz="4" w:space="0" w:color="auto"/>
              <w:right w:val="single" w:sz="4" w:space="0" w:color="auto"/>
            </w:tcBorders>
            <w:shd w:val="clear" w:color="auto" w:fill="auto"/>
            <w:noWrap/>
          </w:tcPr>
          <w:p w14:paraId="3860DF1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18.1%</w:t>
            </w:r>
          </w:p>
        </w:tc>
        <w:tc>
          <w:tcPr>
            <w:tcW w:w="1153" w:type="dxa"/>
            <w:tcBorders>
              <w:top w:val="nil"/>
              <w:left w:val="nil"/>
              <w:bottom w:val="single" w:sz="4" w:space="0" w:color="auto"/>
              <w:right w:val="single" w:sz="4" w:space="0" w:color="auto"/>
            </w:tcBorders>
            <w:shd w:val="clear" w:color="auto" w:fill="auto"/>
            <w:noWrap/>
          </w:tcPr>
          <w:p w14:paraId="775C63A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40.3%</w:t>
            </w:r>
          </w:p>
        </w:tc>
        <w:tc>
          <w:tcPr>
            <w:tcW w:w="1153" w:type="dxa"/>
            <w:tcBorders>
              <w:top w:val="nil"/>
              <w:left w:val="nil"/>
              <w:bottom w:val="single" w:sz="4" w:space="0" w:color="auto"/>
              <w:right w:val="single" w:sz="4" w:space="0" w:color="auto"/>
            </w:tcBorders>
            <w:shd w:val="clear" w:color="auto" w:fill="auto"/>
            <w:noWrap/>
          </w:tcPr>
          <w:p w14:paraId="2E68E5A0"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32.5%</w:t>
            </w:r>
          </w:p>
        </w:tc>
        <w:tc>
          <w:tcPr>
            <w:tcW w:w="1153" w:type="dxa"/>
            <w:tcBorders>
              <w:top w:val="nil"/>
              <w:left w:val="nil"/>
              <w:bottom w:val="single" w:sz="4" w:space="0" w:color="auto"/>
              <w:right w:val="single" w:sz="4" w:space="0" w:color="auto"/>
            </w:tcBorders>
            <w:shd w:val="clear" w:color="auto" w:fill="auto"/>
            <w:noWrap/>
          </w:tcPr>
          <w:p w14:paraId="093DF5A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42.1%</w:t>
            </w:r>
          </w:p>
        </w:tc>
        <w:tc>
          <w:tcPr>
            <w:tcW w:w="1153" w:type="dxa"/>
            <w:tcBorders>
              <w:top w:val="nil"/>
              <w:left w:val="nil"/>
              <w:bottom w:val="single" w:sz="4" w:space="0" w:color="auto"/>
              <w:right w:val="single" w:sz="4" w:space="0" w:color="auto"/>
            </w:tcBorders>
            <w:shd w:val="clear" w:color="auto" w:fill="auto"/>
            <w:noWrap/>
            <w:hideMark/>
          </w:tcPr>
          <w:p w14:paraId="2906E3C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31.0%</w:t>
            </w:r>
          </w:p>
        </w:tc>
      </w:tr>
      <w:tr w:rsidR="007B29DD" w:rsidRPr="008448BA" w14:paraId="1BDDB363"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03096310" w14:textId="77777777" w:rsidR="007B29DD" w:rsidRPr="008448BA" w:rsidRDefault="007B29DD" w:rsidP="00306AF1">
            <w:pPr>
              <w:keepNext/>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1A2A1E14"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tcPr>
          <w:p w14:paraId="5CD0A0C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w:t>
            </w:r>
          </w:p>
        </w:tc>
        <w:tc>
          <w:tcPr>
            <w:tcW w:w="1111" w:type="dxa"/>
            <w:tcBorders>
              <w:top w:val="nil"/>
              <w:left w:val="nil"/>
              <w:bottom w:val="single" w:sz="4" w:space="0" w:color="auto"/>
              <w:right w:val="single" w:sz="4" w:space="0" w:color="auto"/>
            </w:tcBorders>
            <w:shd w:val="clear" w:color="auto" w:fill="auto"/>
            <w:noWrap/>
          </w:tcPr>
          <w:p w14:paraId="4AB42BDC"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0.8%</w:t>
            </w:r>
          </w:p>
        </w:tc>
        <w:tc>
          <w:tcPr>
            <w:tcW w:w="1153" w:type="dxa"/>
            <w:tcBorders>
              <w:top w:val="nil"/>
              <w:left w:val="nil"/>
              <w:bottom w:val="single" w:sz="4" w:space="0" w:color="auto"/>
              <w:right w:val="single" w:sz="4" w:space="0" w:color="auto"/>
            </w:tcBorders>
            <w:shd w:val="clear" w:color="auto" w:fill="auto"/>
            <w:noWrap/>
          </w:tcPr>
          <w:p w14:paraId="7D037AA6"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4.6%</w:t>
            </w:r>
          </w:p>
        </w:tc>
        <w:tc>
          <w:tcPr>
            <w:tcW w:w="1153" w:type="dxa"/>
            <w:tcBorders>
              <w:top w:val="nil"/>
              <w:left w:val="nil"/>
              <w:bottom w:val="single" w:sz="4" w:space="0" w:color="auto"/>
              <w:right w:val="single" w:sz="4" w:space="0" w:color="auto"/>
            </w:tcBorders>
            <w:shd w:val="clear" w:color="auto" w:fill="auto"/>
            <w:noWrap/>
          </w:tcPr>
          <w:p w14:paraId="0985297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w:t>
            </w:r>
          </w:p>
        </w:tc>
        <w:tc>
          <w:tcPr>
            <w:tcW w:w="1153" w:type="dxa"/>
            <w:tcBorders>
              <w:top w:val="nil"/>
              <w:left w:val="nil"/>
              <w:bottom w:val="single" w:sz="4" w:space="0" w:color="auto"/>
              <w:right w:val="single" w:sz="4" w:space="0" w:color="auto"/>
            </w:tcBorders>
            <w:shd w:val="clear" w:color="auto" w:fill="auto"/>
            <w:noWrap/>
          </w:tcPr>
          <w:p w14:paraId="5493A6B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-5.8%</w:t>
            </w:r>
          </w:p>
        </w:tc>
        <w:tc>
          <w:tcPr>
            <w:tcW w:w="1153" w:type="dxa"/>
            <w:tcBorders>
              <w:top w:val="nil"/>
              <w:left w:val="nil"/>
              <w:bottom w:val="single" w:sz="4" w:space="0" w:color="auto"/>
              <w:right w:val="single" w:sz="4" w:space="0" w:color="auto"/>
            </w:tcBorders>
            <w:shd w:val="clear" w:color="auto" w:fill="auto"/>
            <w:noWrap/>
            <w:hideMark/>
          </w:tcPr>
          <w:p w14:paraId="3F6EE1E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w:t>
            </w:r>
          </w:p>
        </w:tc>
      </w:tr>
      <w:tr w:rsidR="007B29DD" w:rsidRPr="008448BA" w14:paraId="614E22D8"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2337AD97" w14:textId="77777777" w:rsidR="007B29DD" w:rsidRPr="008448BA" w:rsidRDefault="007B29DD" w:rsidP="00306AF1">
            <w:pPr>
              <w:keepNext/>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2A0B3E6B"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tcPr>
          <w:p w14:paraId="0C664A11"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-13.9%</w:t>
            </w:r>
          </w:p>
        </w:tc>
        <w:tc>
          <w:tcPr>
            <w:tcW w:w="1111" w:type="dxa"/>
            <w:tcBorders>
              <w:top w:val="nil"/>
              <w:left w:val="nil"/>
              <w:bottom w:val="single" w:sz="4" w:space="0" w:color="auto"/>
              <w:right w:val="single" w:sz="4" w:space="0" w:color="auto"/>
            </w:tcBorders>
            <w:shd w:val="clear" w:color="auto" w:fill="auto"/>
            <w:noWrap/>
          </w:tcPr>
          <w:p w14:paraId="4B3434A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-17.4%</w:t>
            </w:r>
          </w:p>
        </w:tc>
        <w:tc>
          <w:tcPr>
            <w:tcW w:w="1153" w:type="dxa"/>
            <w:tcBorders>
              <w:top w:val="nil"/>
              <w:left w:val="nil"/>
              <w:bottom w:val="single" w:sz="4" w:space="0" w:color="auto"/>
              <w:right w:val="single" w:sz="4" w:space="0" w:color="auto"/>
            </w:tcBorders>
            <w:shd w:val="clear" w:color="auto" w:fill="auto"/>
            <w:noWrap/>
          </w:tcPr>
          <w:p w14:paraId="2CD5F47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-25.0%</w:t>
            </w:r>
          </w:p>
        </w:tc>
        <w:tc>
          <w:tcPr>
            <w:tcW w:w="1153" w:type="dxa"/>
            <w:tcBorders>
              <w:top w:val="nil"/>
              <w:left w:val="nil"/>
              <w:bottom w:val="single" w:sz="4" w:space="0" w:color="auto"/>
              <w:right w:val="single" w:sz="4" w:space="0" w:color="auto"/>
            </w:tcBorders>
            <w:shd w:val="clear" w:color="auto" w:fill="auto"/>
            <w:noWrap/>
          </w:tcPr>
          <w:p w14:paraId="2711543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-31.3%</w:t>
            </w:r>
          </w:p>
        </w:tc>
        <w:tc>
          <w:tcPr>
            <w:tcW w:w="1153" w:type="dxa"/>
            <w:tcBorders>
              <w:top w:val="nil"/>
              <w:left w:val="nil"/>
              <w:bottom w:val="single" w:sz="4" w:space="0" w:color="auto"/>
              <w:right w:val="single" w:sz="4" w:space="0" w:color="auto"/>
            </w:tcBorders>
            <w:shd w:val="clear" w:color="auto" w:fill="auto"/>
            <w:noWrap/>
          </w:tcPr>
          <w:p w14:paraId="5ED8EF5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-49.0%</w:t>
            </w:r>
          </w:p>
        </w:tc>
        <w:tc>
          <w:tcPr>
            <w:tcW w:w="1153" w:type="dxa"/>
            <w:tcBorders>
              <w:top w:val="nil"/>
              <w:left w:val="nil"/>
              <w:bottom w:val="single" w:sz="4" w:space="0" w:color="auto"/>
              <w:right w:val="single" w:sz="4" w:space="0" w:color="auto"/>
            </w:tcBorders>
            <w:shd w:val="clear" w:color="auto" w:fill="auto"/>
            <w:noWrap/>
            <w:hideMark/>
          </w:tcPr>
          <w:p w14:paraId="4363A8C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-41.8%</w:t>
            </w:r>
          </w:p>
        </w:tc>
      </w:tr>
      <w:tr w:rsidR="007B29DD" w:rsidRPr="008448BA" w14:paraId="59C4EC47"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D9BA8CA" w14:textId="77777777" w:rsidR="007B29DD"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Wimmera</w:t>
            </w:r>
          </w:p>
          <w:p w14:paraId="27A70B93" w14:textId="77777777" w:rsidR="007B29DD" w:rsidRPr="008448BA" w:rsidRDefault="007B29DD" w:rsidP="00306AF1">
            <w:pPr>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(415)</w:t>
            </w: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E73D719"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D0FCBF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6.7%</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7210ECE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11.7%</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0E5CD414"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12.1%</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A40B073"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21.0%</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3EBDF38F"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12.3%</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18358F3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11.5%</w:t>
            </w:r>
          </w:p>
        </w:tc>
      </w:tr>
      <w:tr w:rsidR="007B29DD" w:rsidRPr="008448BA" w14:paraId="30723009"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2A946D1"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D9D9D9" w:themeFill="background1" w:themeFillShade="D9"/>
            <w:noWrap/>
            <w:vAlign w:val="bottom"/>
            <w:hideMark/>
          </w:tcPr>
          <w:p w14:paraId="630EB6C3"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D9D9D9" w:themeFill="background1" w:themeFillShade="D9"/>
            <w:noWrap/>
          </w:tcPr>
          <w:p w14:paraId="468633F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-3.6%</w:t>
            </w:r>
          </w:p>
        </w:tc>
        <w:tc>
          <w:tcPr>
            <w:tcW w:w="1111" w:type="dxa"/>
            <w:tcBorders>
              <w:top w:val="nil"/>
              <w:left w:val="nil"/>
              <w:bottom w:val="single" w:sz="4" w:space="0" w:color="auto"/>
              <w:right w:val="single" w:sz="4" w:space="0" w:color="auto"/>
            </w:tcBorders>
            <w:shd w:val="clear" w:color="auto" w:fill="D9D9D9" w:themeFill="background1" w:themeFillShade="D9"/>
            <w:noWrap/>
          </w:tcPr>
          <w:p w14:paraId="2584CF3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-2.4%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730D6EA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-6.5%</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655BE7EB"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-4.4%</w:t>
            </w:r>
          </w:p>
        </w:tc>
        <w:tc>
          <w:tcPr>
            <w:tcW w:w="1153" w:type="dxa"/>
            <w:tcBorders>
              <w:top w:val="nil"/>
              <w:left w:val="nil"/>
              <w:bottom w:val="single" w:sz="4" w:space="0" w:color="auto"/>
              <w:right w:val="single" w:sz="4" w:space="0" w:color="auto"/>
            </w:tcBorders>
            <w:shd w:val="clear" w:color="auto" w:fill="D9D9D9" w:themeFill="background1" w:themeFillShade="D9"/>
            <w:noWrap/>
          </w:tcPr>
          <w:p w14:paraId="11DD12F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-14.4%</w:t>
            </w:r>
          </w:p>
        </w:tc>
        <w:tc>
          <w:tcPr>
            <w:tcW w:w="1153" w:type="dxa"/>
            <w:tcBorders>
              <w:top w:val="nil"/>
              <w:left w:val="nil"/>
              <w:bottom w:val="single" w:sz="4" w:space="0" w:color="auto"/>
              <w:right w:val="single" w:sz="4" w:space="0" w:color="auto"/>
            </w:tcBorders>
            <w:shd w:val="clear" w:color="auto" w:fill="D9D9D9" w:themeFill="background1" w:themeFillShade="D9"/>
            <w:noWrap/>
            <w:hideMark/>
          </w:tcPr>
          <w:p w14:paraId="692E4DF9"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-12.0%</w:t>
            </w:r>
          </w:p>
        </w:tc>
      </w:tr>
      <w:tr w:rsidR="007B29DD" w:rsidRPr="008448BA" w14:paraId="5408799B"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7A9964C"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F7B0F6"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single" w:sz="4" w:space="0" w:color="auto"/>
              <w:left w:val="nil"/>
              <w:bottom w:val="single" w:sz="4" w:space="0" w:color="auto"/>
              <w:right w:val="single" w:sz="4" w:space="0" w:color="auto"/>
            </w:tcBorders>
            <w:shd w:val="clear" w:color="auto" w:fill="D9D9D9" w:themeFill="background1" w:themeFillShade="D9"/>
            <w:noWrap/>
          </w:tcPr>
          <w:p w14:paraId="4C4C8E8E"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-18.0%</w:t>
            </w:r>
          </w:p>
        </w:tc>
        <w:tc>
          <w:tcPr>
            <w:tcW w:w="1111" w:type="dxa"/>
            <w:tcBorders>
              <w:top w:val="single" w:sz="4" w:space="0" w:color="auto"/>
              <w:left w:val="nil"/>
              <w:bottom w:val="single" w:sz="4" w:space="0" w:color="auto"/>
              <w:right w:val="single" w:sz="4" w:space="0" w:color="auto"/>
            </w:tcBorders>
            <w:shd w:val="clear" w:color="auto" w:fill="D9D9D9" w:themeFill="background1" w:themeFillShade="D9"/>
            <w:noWrap/>
          </w:tcPr>
          <w:p w14:paraId="3005B87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-18.8%</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noWrap/>
          </w:tcPr>
          <w:p w14:paraId="6682E075"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-32.3%</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noWrap/>
          </w:tcPr>
          <w:p w14:paraId="45E9D4ED"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-33.8%</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noWrap/>
          </w:tcPr>
          <w:p w14:paraId="369A5B92"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-53.1%</w:t>
            </w:r>
          </w:p>
        </w:tc>
        <w:tc>
          <w:tcPr>
            <w:tcW w:w="1153"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AB7B0DA" w14:textId="77777777" w:rsidR="007B29DD" w:rsidRPr="007F07AD" w:rsidRDefault="007B29DD" w:rsidP="00306AF1">
            <w:pPr>
              <w:spacing w:line="240" w:lineRule="auto"/>
              <w:jc w:val="right"/>
              <w:rPr>
                <w:rFonts w:ascii="Calibri" w:hAnsi="Calibri" w:cs="Calibri"/>
                <w:color w:val="000000"/>
                <w:lang w:val="en-US" w:eastAsia="zh-CN"/>
              </w:rPr>
            </w:pPr>
            <w:r w:rsidRPr="00EE1D9E">
              <w:rPr>
                <w:rFonts w:ascii="Calibri" w:hAnsi="Calibri" w:cs="Calibri"/>
              </w:rPr>
              <w:t>-38.6%</w:t>
            </w:r>
          </w:p>
        </w:tc>
      </w:tr>
      <w:tr w:rsidR="007B29DD" w:rsidRPr="008448BA" w14:paraId="255FAC63" w14:textId="77777777" w:rsidTr="00306AF1">
        <w:trPr>
          <w:trHeight w:val="300"/>
          <w:jc w:val="center"/>
        </w:trPr>
        <w:tc>
          <w:tcPr>
            <w:tcW w:w="14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2E040D" w14:textId="77777777" w:rsidR="007B29DD" w:rsidRDefault="007B29DD" w:rsidP="00306AF1">
            <w:pPr>
              <w:keepNext/>
              <w:spacing w:line="240" w:lineRule="auto"/>
              <w:jc w:val="center"/>
              <w:rPr>
                <w:rFonts w:ascii="Calibri" w:hAnsi="Calibri" w:cs="Calibri"/>
                <w:b/>
                <w:bCs/>
                <w:color w:val="000000"/>
                <w:lang w:val="en-US" w:eastAsia="zh-CN"/>
              </w:rPr>
            </w:pPr>
            <w:r>
              <w:rPr>
                <w:rFonts w:ascii="Calibri" w:hAnsi="Calibri" w:cs="Calibri"/>
                <w:b/>
                <w:bCs/>
                <w:color w:val="000000"/>
                <w:lang w:val="en-US" w:eastAsia="zh-CN"/>
              </w:rPr>
              <w:t>Victoria*</w:t>
            </w:r>
          </w:p>
          <w:p w14:paraId="545E5145" w14:textId="77777777" w:rsidR="007B29DD" w:rsidRPr="008448BA" w:rsidRDefault="007B29DD" w:rsidP="00306AF1">
            <w:pPr>
              <w:keepNext/>
              <w:spacing w:line="240" w:lineRule="auto"/>
              <w:jc w:val="center"/>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4160A925" w14:textId="77777777" w:rsidR="007B29DD" w:rsidRPr="008448BA" w:rsidRDefault="007B29DD" w:rsidP="00306AF1">
            <w:pPr>
              <w:keepNext/>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Low</w:t>
            </w:r>
          </w:p>
        </w:tc>
        <w:tc>
          <w:tcPr>
            <w:tcW w:w="1112" w:type="dxa"/>
            <w:tcBorders>
              <w:top w:val="nil"/>
              <w:left w:val="nil"/>
              <w:bottom w:val="single" w:sz="4" w:space="0" w:color="auto"/>
              <w:right w:val="single" w:sz="4" w:space="0" w:color="auto"/>
            </w:tcBorders>
            <w:shd w:val="clear" w:color="auto" w:fill="auto"/>
            <w:noWrap/>
            <w:vAlign w:val="center"/>
          </w:tcPr>
          <w:p w14:paraId="3445CB8E" w14:textId="77777777" w:rsidR="007B29DD" w:rsidRPr="00E60847" w:rsidRDefault="007B29DD" w:rsidP="00306AF1">
            <w:pPr>
              <w:keepNext/>
              <w:spacing w:line="240" w:lineRule="auto"/>
              <w:jc w:val="right"/>
              <w:rPr>
                <w:rFonts w:ascii="Calibri" w:hAnsi="Calibri" w:cs="Calibri"/>
                <w:color w:val="000000"/>
                <w:lang w:val="en-US" w:eastAsia="zh-CN"/>
              </w:rPr>
            </w:pPr>
            <w:r w:rsidRPr="00E60847">
              <w:rPr>
                <w:rFonts w:ascii="Calibri" w:hAnsi="Calibri" w:cs="Calibri"/>
                <w:color w:val="000000"/>
              </w:rPr>
              <w:t>4.8%</w:t>
            </w:r>
          </w:p>
        </w:tc>
        <w:tc>
          <w:tcPr>
            <w:tcW w:w="1111" w:type="dxa"/>
            <w:tcBorders>
              <w:top w:val="nil"/>
              <w:left w:val="nil"/>
              <w:bottom w:val="single" w:sz="4" w:space="0" w:color="auto"/>
              <w:right w:val="single" w:sz="4" w:space="0" w:color="auto"/>
            </w:tcBorders>
            <w:shd w:val="clear" w:color="auto" w:fill="auto"/>
            <w:noWrap/>
            <w:vAlign w:val="center"/>
          </w:tcPr>
          <w:p w14:paraId="749EDBA0" w14:textId="77777777" w:rsidR="007B29DD" w:rsidRPr="00E60847" w:rsidRDefault="007B29DD" w:rsidP="00306AF1">
            <w:pPr>
              <w:keepNext/>
              <w:spacing w:line="240" w:lineRule="auto"/>
              <w:jc w:val="right"/>
              <w:rPr>
                <w:rFonts w:ascii="Calibri" w:hAnsi="Calibri" w:cs="Calibri"/>
                <w:color w:val="000000"/>
                <w:lang w:val="en-US" w:eastAsia="zh-CN"/>
              </w:rPr>
            </w:pPr>
            <w:r w:rsidRPr="00E60847">
              <w:rPr>
                <w:rFonts w:ascii="Calibri" w:hAnsi="Calibri" w:cs="Calibri"/>
              </w:rPr>
              <w:t>7.8%</w:t>
            </w:r>
          </w:p>
        </w:tc>
        <w:tc>
          <w:tcPr>
            <w:tcW w:w="1153" w:type="dxa"/>
            <w:tcBorders>
              <w:top w:val="nil"/>
              <w:left w:val="nil"/>
              <w:bottom w:val="single" w:sz="4" w:space="0" w:color="auto"/>
              <w:right w:val="single" w:sz="4" w:space="0" w:color="auto"/>
            </w:tcBorders>
            <w:shd w:val="clear" w:color="auto" w:fill="auto"/>
            <w:noWrap/>
            <w:vAlign w:val="center"/>
          </w:tcPr>
          <w:p w14:paraId="0D5C8F8D" w14:textId="77777777" w:rsidR="007B29DD" w:rsidRPr="00E60847" w:rsidRDefault="007B29DD" w:rsidP="00306AF1">
            <w:pPr>
              <w:keepNext/>
              <w:spacing w:line="240" w:lineRule="auto"/>
              <w:jc w:val="right"/>
              <w:rPr>
                <w:rFonts w:ascii="Calibri" w:hAnsi="Calibri" w:cs="Calibri"/>
                <w:color w:val="000000"/>
                <w:lang w:val="en-US" w:eastAsia="zh-CN"/>
              </w:rPr>
            </w:pPr>
            <w:r w:rsidRPr="00E60847">
              <w:rPr>
                <w:rFonts w:ascii="Calibri" w:hAnsi="Calibri" w:cs="Calibri"/>
                <w:color w:val="000000"/>
              </w:rPr>
              <w:t>8.7%</w:t>
            </w:r>
          </w:p>
        </w:tc>
        <w:tc>
          <w:tcPr>
            <w:tcW w:w="1153" w:type="dxa"/>
            <w:tcBorders>
              <w:top w:val="nil"/>
              <w:left w:val="nil"/>
              <w:bottom w:val="single" w:sz="4" w:space="0" w:color="auto"/>
              <w:right w:val="single" w:sz="4" w:space="0" w:color="auto"/>
            </w:tcBorders>
            <w:shd w:val="clear" w:color="auto" w:fill="auto"/>
            <w:noWrap/>
            <w:vAlign w:val="center"/>
          </w:tcPr>
          <w:p w14:paraId="32FBC29B" w14:textId="77777777" w:rsidR="007B29DD" w:rsidRPr="00E60847" w:rsidRDefault="007B29DD" w:rsidP="00306AF1">
            <w:pPr>
              <w:keepNext/>
              <w:spacing w:line="240" w:lineRule="auto"/>
              <w:jc w:val="right"/>
              <w:rPr>
                <w:rFonts w:ascii="Calibri" w:hAnsi="Calibri" w:cs="Calibri"/>
                <w:color w:val="000000"/>
                <w:lang w:val="en-US" w:eastAsia="zh-CN"/>
              </w:rPr>
            </w:pPr>
            <w:r w:rsidRPr="00E60847">
              <w:rPr>
                <w:rFonts w:ascii="Calibri" w:hAnsi="Calibri" w:cs="Calibri"/>
              </w:rPr>
              <w:t>14.0%</w:t>
            </w:r>
          </w:p>
        </w:tc>
        <w:tc>
          <w:tcPr>
            <w:tcW w:w="1153" w:type="dxa"/>
            <w:tcBorders>
              <w:top w:val="nil"/>
              <w:left w:val="nil"/>
              <w:bottom w:val="single" w:sz="4" w:space="0" w:color="auto"/>
              <w:right w:val="single" w:sz="4" w:space="0" w:color="auto"/>
            </w:tcBorders>
            <w:shd w:val="clear" w:color="auto" w:fill="auto"/>
            <w:noWrap/>
            <w:vAlign w:val="center"/>
          </w:tcPr>
          <w:p w14:paraId="7F65787D" w14:textId="77777777" w:rsidR="007B29DD" w:rsidRPr="00E60847" w:rsidRDefault="007B29DD" w:rsidP="00306AF1">
            <w:pPr>
              <w:keepNext/>
              <w:spacing w:line="240" w:lineRule="auto"/>
              <w:jc w:val="right"/>
              <w:rPr>
                <w:rFonts w:ascii="Calibri" w:hAnsi="Calibri" w:cs="Calibri"/>
                <w:color w:val="000000"/>
                <w:lang w:val="en-US" w:eastAsia="zh-CN"/>
              </w:rPr>
            </w:pPr>
            <w:r w:rsidRPr="00E60847">
              <w:rPr>
                <w:rFonts w:ascii="Calibri" w:hAnsi="Calibri" w:cs="Calibri"/>
                <w:color w:val="000000"/>
              </w:rPr>
              <w:t>1.5%</w:t>
            </w:r>
          </w:p>
        </w:tc>
        <w:tc>
          <w:tcPr>
            <w:tcW w:w="1153" w:type="dxa"/>
            <w:tcBorders>
              <w:top w:val="nil"/>
              <w:left w:val="nil"/>
              <w:bottom w:val="single" w:sz="4" w:space="0" w:color="auto"/>
              <w:right w:val="single" w:sz="4" w:space="0" w:color="auto"/>
            </w:tcBorders>
            <w:shd w:val="clear" w:color="auto" w:fill="auto"/>
            <w:noWrap/>
            <w:vAlign w:val="center"/>
          </w:tcPr>
          <w:p w14:paraId="72CC5ED9" w14:textId="77777777" w:rsidR="007B29DD" w:rsidRPr="00E60847" w:rsidRDefault="007B29DD" w:rsidP="00306AF1">
            <w:pPr>
              <w:keepNext/>
              <w:spacing w:line="240" w:lineRule="auto"/>
              <w:jc w:val="right"/>
              <w:rPr>
                <w:rFonts w:ascii="Calibri" w:hAnsi="Calibri" w:cs="Calibri"/>
                <w:color w:val="000000"/>
                <w:lang w:val="en-US" w:eastAsia="zh-CN"/>
              </w:rPr>
            </w:pPr>
            <w:r w:rsidRPr="00E60847">
              <w:rPr>
                <w:rFonts w:ascii="Calibri" w:hAnsi="Calibri" w:cs="Calibri"/>
              </w:rPr>
              <w:t>9.4%</w:t>
            </w:r>
          </w:p>
        </w:tc>
      </w:tr>
      <w:tr w:rsidR="007B29DD" w:rsidRPr="008448BA" w14:paraId="7A56766C"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626507B0"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58E4CDD7"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Medium</w:t>
            </w:r>
          </w:p>
        </w:tc>
        <w:tc>
          <w:tcPr>
            <w:tcW w:w="1112" w:type="dxa"/>
            <w:tcBorders>
              <w:top w:val="nil"/>
              <w:left w:val="nil"/>
              <w:bottom w:val="single" w:sz="4" w:space="0" w:color="auto"/>
              <w:right w:val="single" w:sz="4" w:space="0" w:color="auto"/>
            </w:tcBorders>
            <w:shd w:val="clear" w:color="auto" w:fill="auto"/>
            <w:noWrap/>
            <w:vAlign w:val="center"/>
          </w:tcPr>
          <w:p w14:paraId="5CB9A851"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color w:val="000000"/>
              </w:rPr>
              <w:t>-4.7%</w:t>
            </w:r>
          </w:p>
        </w:tc>
        <w:tc>
          <w:tcPr>
            <w:tcW w:w="1111" w:type="dxa"/>
            <w:tcBorders>
              <w:top w:val="nil"/>
              <w:left w:val="nil"/>
              <w:bottom w:val="single" w:sz="4" w:space="0" w:color="auto"/>
              <w:right w:val="single" w:sz="4" w:space="0" w:color="auto"/>
            </w:tcBorders>
            <w:shd w:val="clear" w:color="auto" w:fill="auto"/>
            <w:noWrap/>
            <w:vAlign w:val="center"/>
          </w:tcPr>
          <w:p w14:paraId="597B04E4"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rPr>
              <w:t>-0.9%</w:t>
            </w:r>
          </w:p>
        </w:tc>
        <w:tc>
          <w:tcPr>
            <w:tcW w:w="1153" w:type="dxa"/>
            <w:tcBorders>
              <w:top w:val="nil"/>
              <w:left w:val="nil"/>
              <w:bottom w:val="single" w:sz="4" w:space="0" w:color="auto"/>
              <w:right w:val="single" w:sz="4" w:space="0" w:color="auto"/>
            </w:tcBorders>
            <w:shd w:val="clear" w:color="auto" w:fill="auto"/>
            <w:noWrap/>
            <w:vAlign w:val="center"/>
          </w:tcPr>
          <w:p w14:paraId="5F777405"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color w:val="000000"/>
              </w:rPr>
              <w:t>-8.5%</w:t>
            </w:r>
          </w:p>
        </w:tc>
        <w:tc>
          <w:tcPr>
            <w:tcW w:w="1153" w:type="dxa"/>
            <w:tcBorders>
              <w:top w:val="nil"/>
              <w:left w:val="nil"/>
              <w:bottom w:val="single" w:sz="4" w:space="0" w:color="auto"/>
              <w:right w:val="single" w:sz="4" w:space="0" w:color="auto"/>
            </w:tcBorders>
            <w:shd w:val="clear" w:color="auto" w:fill="auto"/>
            <w:noWrap/>
            <w:vAlign w:val="center"/>
          </w:tcPr>
          <w:p w14:paraId="04AAD1D1"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rPr>
              <w:t>-1.6%</w:t>
            </w:r>
          </w:p>
        </w:tc>
        <w:tc>
          <w:tcPr>
            <w:tcW w:w="1153" w:type="dxa"/>
            <w:tcBorders>
              <w:top w:val="nil"/>
              <w:left w:val="nil"/>
              <w:bottom w:val="single" w:sz="4" w:space="0" w:color="auto"/>
              <w:right w:val="single" w:sz="4" w:space="0" w:color="auto"/>
            </w:tcBorders>
            <w:shd w:val="clear" w:color="auto" w:fill="auto"/>
            <w:noWrap/>
            <w:vAlign w:val="center"/>
          </w:tcPr>
          <w:p w14:paraId="283FE4EB"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color w:val="000000"/>
              </w:rPr>
              <w:t>-15.9%</w:t>
            </w:r>
          </w:p>
        </w:tc>
        <w:tc>
          <w:tcPr>
            <w:tcW w:w="1153" w:type="dxa"/>
            <w:tcBorders>
              <w:top w:val="nil"/>
              <w:left w:val="nil"/>
              <w:bottom w:val="single" w:sz="4" w:space="0" w:color="auto"/>
              <w:right w:val="single" w:sz="4" w:space="0" w:color="auto"/>
            </w:tcBorders>
            <w:shd w:val="clear" w:color="auto" w:fill="auto"/>
            <w:noWrap/>
            <w:vAlign w:val="center"/>
          </w:tcPr>
          <w:p w14:paraId="363DC25F"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rPr>
              <w:t>-11.1%</w:t>
            </w:r>
          </w:p>
        </w:tc>
      </w:tr>
      <w:tr w:rsidR="007B29DD" w:rsidRPr="008448BA" w14:paraId="5A63E421" w14:textId="77777777" w:rsidTr="00306AF1">
        <w:trPr>
          <w:trHeight w:val="300"/>
          <w:jc w:val="center"/>
        </w:trPr>
        <w:tc>
          <w:tcPr>
            <w:tcW w:w="1404" w:type="dxa"/>
            <w:vMerge/>
            <w:tcBorders>
              <w:top w:val="nil"/>
              <w:left w:val="single" w:sz="4" w:space="0" w:color="auto"/>
              <w:bottom w:val="single" w:sz="4" w:space="0" w:color="000000"/>
              <w:right w:val="single" w:sz="4" w:space="0" w:color="auto"/>
            </w:tcBorders>
            <w:vAlign w:val="center"/>
            <w:hideMark/>
          </w:tcPr>
          <w:p w14:paraId="620A0B1D" w14:textId="77777777" w:rsidR="007B29DD" w:rsidRPr="008448BA" w:rsidRDefault="007B29DD" w:rsidP="00306AF1">
            <w:pPr>
              <w:spacing w:line="240" w:lineRule="auto"/>
              <w:rPr>
                <w:rFonts w:ascii="Calibri" w:hAnsi="Calibri" w:cs="Calibri"/>
                <w:b/>
                <w:bCs/>
                <w:color w:val="000000"/>
                <w:lang w:val="en-US" w:eastAsia="zh-CN"/>
              </w:rPr>
            </w:pPr>
          </w:p>
        </w:tc>
        <w:tc>
          <w:tcPr>
            <w:tcW w:w="1395" w:type="dxa"/>
            <w:tcBorders>
              <w:top w:val="nil"/>
              <w:left w:val="nil"/>
              <w:bottom w:val="single" w:sz="4" w:space="0" w:color="auto"/>
              <w:right w:val="single" w:sz="4" w:space="0" w:color="auto"/>
            </w:tcBorders>
            <w:shd w:val="clear" w:color="auto" w:fill="auto"/>
            <w:noWrap/>
            <w:vAlign w:val="bottom"/>
            <w:hideMark/>
          </w:tcPr>
          <w:p w14:paraId="3659375F" w14:textId="77777777" w:rsidR="007B29DD" w:rsidRPr="008448BA" w:rsidRDefault="007B29DD" w:rsidP="00306AF1">
            <w:pPr>
              <w:spacing w:line="240" w:lineRule="auto"/>
              <w:jc w:val="center"/>
              <w:rPr>
                <w:rFonts w:ascii="Calibri" w:hAnsi="Calibri" w:cs="Calibri"/>
                <w:b/>
                <w:bCs/>
                <w:color w:val="000000"/>
                <w:lang w:val="en-US" w:eastAsia="zh-CN"/>
              </w:rPr>
            </w:pPr>
            <w:r w:rsidRPr="008448BA">
              <w:rPr>
                <w:rFonts w:ascii="Calibri" w:hAnsi="Calibri" w:cs="Calibri"/>
                <w:b/>
                <w:bCs/>
                <w:color w:val="000000"/>
                <w:lang w:val="en-US" w:eastAsia="zh-CN"/>
              </w:rPr>
              <w:t>High</w:t>
            </w:r>
          </w:p>
        </w:tc>
        <w:tc>
          <w:tcPr>
            <w:tcW w:w="1112" w:type="dxa"/>
            <w:tcBorders>
              <w:top w:val="nil"/>
              <w:left w:val="nil"/>
              <w:bottom w:val="single" w:sz="4" w:space="0" w:color="auto"/>
              <w:right w:val="single" w:sz="4" w:space="0" w:color="auto"/>
            </w:tcBorders>
            <w:shd w:val="clear" w:color="auto" w:fill="auto"/>
            <w:noWrap/>
            <w:vAlign w:val="center"/>
          </w:tcPr>
          <w:p w14:paraId="17ADF734"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color w:val="000000"/>
              </w:rPr>
              <w:t>-13.7%</w:t>
            </w:r>
          </w:p>
        </w:tc>
        <w:tc>
          <w:tcPr>
            <w:tcW w:w="1111" w:type="dxa"/>
            <w:tcBorders>
              <w:top w:val="nil"/>
              <w:left w:val="nil"/>
              <w:bottom w:val="single" w:sz="4" w:space="0" w:color="auto"/>
              <w:right w:val="single" w:sz="4" w:space="0" w:color="auto"/>
            </w:tcBorders>
            <w:shd w:val="clear" w:color="auto" w:fill="auto"/>
            <w:noWrap/>
            <w:vAlign w:val="center"/>
          </w:tcPr>
          <w:p w14:paraId="07F14881"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rPr>
              <w:t>-16.2%</w:t>
            </w:r>
          </w:p>
        </w:tc>
        <w:tc>
          <w:tcPr>
            <w:tcW w:w="1153" w:type="dxa"/>
            <w:tcBorders>
              <w:top w:val="nil"/>
              <w:left w:val="nil"/>
              <w:bottom w:val="single" w:sz="4" w:space="0" w:color="auto"/>
              <w:right w:val="single" w:sz="4" w:space="0" w:color="auto"/>
            </w:tcBorders>
            <w:shd w:val="clear" w:color="auto" w:fill="auto"/>
            <w:noWrap/>
            <w:vAlign w:val="center"/>
          </w:tcPr>
          <w:p w14:paraId="4E7742B2"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color w:val="000000"/>
              </w:rPr>
              <w:t>-24.7%</w:t>
            </w:r>
          </w:p>
        </w:tc>
        <w:tc>
          <w:tcPr>
            <w:tcW w:w="1153" w:type="dxa"/>
            <w:tcBorders>
              <w:top w:val="nil"/>
              <w:left w:val="nil"/>
              <w:bottom w:val="single" w:sz="4" w:space="0" w:color="auto"/>
              <w:right w:val="single" w:sz="4" w:space="0" w:color="auto"/>
            </w:tcBorders>
            <w:shd w:val="clear" w:color="auto" w:fill="auto"/>
            <w:noWrap/>
            <w:vAlign w:val="center"/>
          </w:tcPr>
          <w:p w14:paraId="50468B98"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rPr>
              <w:t>-29.1%</w:t>
            </w:r>
          </w:p>
        </w:tc>
        <w:tc>
          <w:tcPr>
            <w:tcW w:w="1153" w:type="dxa"/>
            <w:tcBorders>
              <w:top w:val="nil"/>
              <w:left w:val="nil"/>
              <w:bottom w:val="single" w:sz="4" w:space="0" w:color="auto"/>
              <w:right w:val="single" w:sz="4" w:space="0" w:color="auto"/>
            </w:tcBorders>
            <w:shd w:val="clear" w:color="auto" w:fill="auto"/>
            <w:noWrap/>
            <w:vAlign w:val="center"/>
          </w:tcPr>
          <w:p w14:paraId="3D661365"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color w:val="000000"/>
              </w:rPr>
              <w:t>-43.8%</w:t>
            </w:r>
          </w:p>
        </w:tc>
        <w:tc>
          <w:tcPr>
            <w:tcW w:w="1153" w:type="dxa"/>
            <w:tcBorders>
              <w:top w:val="nil"/>
              <w:left w:val="nil"/>
              <w:bottom w:val="single" w:sz="4" w:space="0" w:color="auto"/>
              <w:right w:val="single" w:sz="4" w:space="0" w:color="auto"/>
            </w:tcBorders>
            <w:shd w:val="clear" w:color="auto" w:fill="auto"/>
            <w:noWrap/>
            <w:vAlign w:val="center"/>
          </w:tcPr>
          <w:p w14:paraId="1002E6FB" w14:textId="77777777" w:rsidR="007B29DD" w:rsidRPr="00E60847" w:rsidRDefault="007B29DD" w:rsidP="00306AF1">
            <w:pPr>
              <w:spacing w:line="240" w:lineRule="auto"/>
              <w:jc w:val="right"/>
              <w:rPr>
                <w:rFonts w:ascii="Calibri" w:hAnsi="Calibri" w:cs="Calibri"/>
                <w:color w:val="000000"/>
                <w:lang w:val="en-US" w:eastAsia="zh-CN"/>
              </w:rPr>
            </w:pPr>
            <w:r w:rsidRPr="00E60847">
              <w:rPr>
                <w:rFonts w:ascii="Calibri" w:hAnsi="Calibri" w:cs="Calibri"/>
              </w:rPr>
              <w:t>-33.3%</w:t>
            </w:r>
          </w:p>
        </w:tc>
      </w:tr>
    </w:tbl>
    <w:p w14:paraId="4533A1A0" w14:textId="77777777" w:rsidR="007B29DD" w:rsidRDefault="007B29DD" w:rsidP="007B29DD">
      <w:pPr>
        <w:pStyle w:val="BodyText"/>
        <w:rPr>
          <w:sz w:val="18"/>
          <w:szCs w:val="18"/>
        </w:rPr>
      </w:pPr>
      <w:r w:rsidRPr="002A58CE">
        <w:rPr>
          <w:sz w:val="18"/>
          <w:szCs w:val="18"/>
        </w:rPr>
        <w:t>* The statewide change is not an average of the changes for each river basin. This is because the river basins vary in size and some basins include areas that fall within New South Wales.</w:t>
      </w:r>
    </w:p>
    <w:p w14:paraId="68CC5695" w14:textId="77777777" w:rsidR="007B29DD" w:rsidRDefault="007B29DD" w:rsidP="007B29DD">
      <w:pPr>
        <w:pStyle w:val="BodyText"/>
        <w:rPr>
          <w:lang w:eastAsia="en-AU"/>
        </w:rPr>
      </w:pPr>
    </w:p>
    <w:p w14:paraId="02227BB5"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83" w:name="_Toc43476497"/>
      <w:bookmarkStart w:id="584" w:name="_Toc44928742"/>
      <w:bookmarkStart w:id="585" w:name="_Toc51658014"/>
      <w:bookmarkStart w:id="586" w:name="_Toc53585919"/>
      <w:bookmarkStart w:id="587" w:name="_Toc57377170"/>
      <w:r w:rsidRPr="00306AF1">
        <w:rPr>
          <w:b/>
          <w:bCs/>
          <w:color w:val="000000" w:themeColor="text1"/>
        </w:rPr>
        <w:t>Average seasonal runoff changes</w:t>
      </w:r>
      <w:bookmarkEnd w:id="583"/>
      <w:bookmarkEnd w:id="584"/>
      <w:bookmarkEnd w:id="585"/>
      <w:bookmarkEnd w:id="586"/>
      <w:bookmarkEnd w:id="587"/>
    </w:p>
    <w:p w14:paraId="7FF07F9B" w14:textId="77777777" w:rsidR="007B29DD" w:rsidRPr="00744338" w:rsidRDefault="007B29DD" w:rsidP="007B29DD">
      <w:pPr>
        <w:pStyle w:val="BodyText"/>
        <w:rPr>
          <w:lang w:eastAsia="en-AU"/>
        </w:rPr>
      </w:pPr>
      <w:r>
        <w:rPr>
          <w:lang w:eastAsia="en-AU"/>
        </w:rPr>
        <w:t xml:space="preserve">Projected average seasonal runoff changes under climate change can be qualitatively inferred from the average seasonal rainfall changes discussed in Section </w:t>
      </w:r>
      <w:r>
        <w:rPr>
          <w:lang w:eastAsia="en-AU"/>
        </w:rPr>
        <w:fldChar w:fldCharType="begin"/>
      </w:r>
      <w:r>
        <w:rPr>
          <w:lang w:eastAsia="en-AU"/>
        </w:rPr>
        <w:instrText xml:space="preserve"> REF _Ref48747144 \r \h </w:instrText>
      </w:r>
      <w:r>
        <w:rPr>
          <w:lang w:eastAsia="en-AU"/>
        </w:rPr>
      </w:r>
      <w:r>
        <w:rPr>
          <w:lang w:eastAsia="en-AU"/>
        </w:rPr>
        <w:fldChar w:fldCharType="separate"/>
      </w:r>
      <w:r>
        <w:rPr>
          <w:lang w:eastAsia="en-AU"/>
        </w:rPr>
        <w:t>5.9.2</w:t>
      </w:r>
      <w:r>
        <w:rPr>
          <w:lang w:eastAsia="en-AU"/>
        </w:rPr>
        <w:fldChar w:fldCharType="end"/>
      </w:r>
      <w:r>
        <w:rPr>
          <w:lang w:eastAsia="en-AU"/>
        </w:rPr>
        <w:t>; noting, however, that changes in runoff may lag rainfall, and that runoff can change significantly above or below minimum rainfall or soil moisture thresholds for runoff generation. A rainfall-runoff model or the examination of historical relationships between rainfall and runoff may help to inform likely changes in average seasonal runoff for a given change in average seasonal rainfall.</w:t>
      </w:r>
    </w:p>
    <w:p w14:paraId="485C47A2"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588" w:name="_Toc38957443"/>
      <w:bookmarkStart w:id="589" w:name="_Ref42703267"/>
      <w:bookmarkStart w:id="590" w:name="_Toc43476498"/>
      <w:bookmarkStart w:id="591" w:name="_Toc44928743"/>
      <w:bookmarkStart w:id="592" w:name="_Toc51658015"/>
      <w:bookmarkStart w:id="593" w:name="_Toc53585920"/>
      <w:bookmarkStart w:id="594" w:name="_Toc57377171"/>
      <w:r w:rsidRPr="00306AF1">
        <w:rPr>
          <w:b/>
          <w:bCs/>
          <w:color w:val="000000" w:themeColor="text1"/>
        </w:rPr>
        <w:t>Changes to rainfall-runoff behaviour</w:t>
      </w:r>
      <w:bookmarkEnd w:id="588"/>
      <w:bookmarkEnd w:id="589"/>
      <w:bookmarkEnd w:id="590"/>
      <w:bookmarkEnd w:id="591"/>
      <w:bookmarkEnd w:id="592"/>
      <w:bookmarkEnd w:id="593"/>
      <w:bookmarkEnd w:id="594"/>
    </w:p>
    <w:p w14:paraId="1734F908" w14:textId="77777777" w:rsidR="007B29DD" w:rsidRPr="00E1579E" w:rsidRDefault="007B29DD" w:rsidP="00306AF1">
      <w:pPr>
        <w:pStyle w:val="BodyText"/>
        <w:rPr>
          <w:sz w:val="24"/>
          <w:szCs w:val="24"/>
          <w:lang w:val="en-US" w:eastAsia="zh-CN"/>
        </w:rPr>
      </w:pPr>
      <w:r w:rsidRPr="00E1579E">
        <w:rPr>
          <w:lang w:val="en-US" w:eastAsia="zh-CN"/>
        </w:rPr>
        <w:t xml:space="preserve">Research, including by the University of Melbourne through the Victorian Water and Climate Initiative, has identified that during the Millennium Drought many catchments generated less streamflow than would be expected under </w:t>
      </w:r>
      <w:r>
        <w:rPr>
          <w:lang w:val="en-US" w:eastAsia="zh-CN"/>
        </w:rPr>
        <w:t>previously observed</w:t>
      </w:r>
      <w:r w:rsidRPr="00E1579E">
        <w:rPr>
          <w:lang w:val="en-US" w:eastAsia="zh-CN"/>
        </w:rPr>
        <w:t xml:space="preserve"> rainfall-runoff relationship</w:t>
      </w:r>
      <w:r>
        <w:rPr>
          <w:lang w:val="en-US" w:eastAsia="zh-CN"/>
        </w:rPr>
        <w:t>s</w:t>
      </w:r>
      <w:r w:rsidRPr="00E1579E">
        <w:rPr>
          <w:lang w:val="en-US" w:eastAsia="zh-CN"/>
        </w:rPr>
        <w:t xml:space="preserve">. The largest reductions were generally observed in the west of the </w:t>
      </w:r>
      <w:r>
        <w:rPr>
          <w:lang w:val="en-US" w:eastAsia="zh-CN"/>
        </w:rPr>
        <w:t>s</w:t>
      </w:r>
      <w:r w:rsidRPr="00E1579E">
        <w:rPr>
          <w:lang w:val="en-US" w:eastAsia="zh-CN"/>
        </w:rPr>
        <w:t>tate.</w:t>
      </w:r>
      <w:r>
        <w:rPr>
          <w:lang w:val="en-US" w:eastAsia="zh-CN"/>
        </w:rPr>
        <w:t xml:space="preserve"> </w:t>
      </w:r>
      <w:r w:rsidRPr="00E1579E">
        <w:rPr>
          <w:lang w:val="en-US" w:eastAsia="zh-CN"/>
        </w:rPr>
        <w:t xml:space="preserve">Of the 156 catchments that had suitable data to undertake the analysis, </w:t>
      </w:r>
      <w:r>
        <w:rPr>
          <w:lang w:val="en-US" w:eastAsia="zh-CN"/>
        </w:rPr>
        <w:fldChar w:fldCharType="begin"/>
      </w:r>
      <w:r>
        <w:rPr>
          <w:lang w:val="en-US" w:eastAsia="zh-CN"/>
        </w:rPr>
        <w:instrText xml:space="preserve"> REF _Ref43370464 \h </w:instrText>
      </w:r>
      <w:r>
        <w:rPr>
          <w:lang w:val="en-US" w:eastAsia="zh-CN"/>
        </w:rPr>
      </w:r>
      <w:r>
        <w:rPr>
          <w:lang w:val="en-US" w:eastAsia="zh-CN"/>
        </w:rPr>
        <w:fldChar w:fldCharType="separate"/>
      </w:r>
      <w:r w:rsidRPr="00ED37FC">
        <w:t xml:space="preserve">Figure </w:t>
      </w:r>
      <w:r>
        <w:rPr>
          <w:noProof/>
        </w:rPr>
        <w:t>23</w:t>
      </w:r>
      <w:r>
        <w:rPr>
          <w:lang w:val="en-US" w:eastAsia="zh-CN"/>
        </w:rPr>
        <w:fldChar w:fldCharType="end"/>
      </w:r>
      <w:r w:rsidRPr="00E1579E">
        <w:rPr>
          <w:lang w:val="en-US" w:eastAsia="zh-CN"/>
        </w:rPr>
        <w:t xml:space="preserve"> shows </w:t>
      </w:r>
      <w:r>
        <w:rPr>
          <w:lang w:val="en-US" w:eastAsia="zh-CN"/>
        </w:rPr>
        <w:t>catchments</w:t>
      </w:r>
      <w:r w:rsidRPr="00E1579E">
        <w:rPr>
          <w:lang w:val="en-US" w:eastAsia="zh-CN"/>
        </w:rPr>
        <w:t xml:space="preserve"> where a statistically significant shift has occurred (red, orange and green), catchments that have recovered </w:t>
      </w:r>
      <w:r>
        <w:rPr>
          <w:lang w:val="en-US" w:eastAsia="zh-CN"/>
        </w:rPr>
        <w:t xml:space="preserve">following the drought </w:t>
      </w:r>
      <w:r w:rsidRPr="00E1579E">
        <w:rPr>
          <w:lang w:val="en-US" w:eastAsia="zh-CN"/>
        </w:rPr>
        <w:t>(green), and catchments that have not experienced a statistically significant shift</w:t>
      </w:r>
      <w:r>
        <w:rPr>
          <w:lang w:val="en-US" w:eastAsia="zh-CN"/>
        </w:rPr>
        <w:t xml:space="preserve"> (blue)</w:t>
      </w:r>
      <w:r w:rsidRPr="00E1579E">
        <w:rPr>
          <w:lang w:val="en-US" w:eastAsia="zh-CN"/>
        </w:rPr>
        <w:t>. The research indicates that under a future drier climate</w:t>
      </w:r>
      <w:r>
        <w:rPr>
          <w:lang w:val="en-US" w:eastAsia="zh-CN"/>
        </w:rPr>
        <w:t xml:space="preserve"> scenario,</w:t>
      </w:r>
      <w:r w:rsidRPr="00E1579E">
        <w:rPr>
          <w:lang w:val="en-US" w:eastAsia="zh-CN"/>
        </w:rPr>
        <w:t xml:space="preserve"> downward shifts in rainfall-runoff relationships can be expected in these catchments, and additional catchments may plausibly also shift into a lower runoff state under </w:t>
      </w:r>
      <w:r>
        <w:rPr>
          <w:lang w:val="en-US" w:eastAsia="zh-CN"/>
        </w:rPr>
        <w:t xml:space="preserve">future </w:t>
      </w:r>
      <w:r w:rsidRPr="00E1579E">
        <w:rPr>
          <w:lang w:val="en-US" w:eastAsia="zh-CN"/>
        </w:rPr>
        <w:t>drier conditions.</w:t>
      </w:r>
    </w:p>
    <w:p w14:paraId="66425FF3" w14:textId="77777777" w:rsidR="007B29DD" w:rsidRPr="00E1579E" w:rsidRDefault="007B29DD" w:rsidP="00306AF1">
      <w:pPr>
        <w:pStyle w:val="BodyText"/>
        <w:rPr>
          <w:sz w:val="24"/>
          <w:szCs w:val="24"/>
          <w:lang w:val="en-US" w:eastAsia="zh-CN"/>
        </w:rPr>
      </w:pPr>
      <w:r w:rsidRPr="00E1579E">
        <w:rPr>
          <w:lang w:val="en-US" w:eastAsia="zh-CN"/>
        </w:rPr>
        <w:t xml:space="preserve">Research has also found that where a shift in the rainfall-runoff relationship occurred, rainfall-runoff models </w:t>
      </w:r>
      <w:r>
        <w:rPr>
          <w:lang w:val="en-US" w:eastAsia="zh-CN"/>
        </w:rPr>
        <w:t>can</w:t>
      </w:r>
      <w:r w:rsidRPr="00E1579E">
        <w:rPr>
          <w:lang w:val="en-US" w:eastAsia="zh-CN"/>
        </w:rPr>
        <w:t xml:space="preserve"> over-estimate runoff during long-run droughts (e</w:t>
      </w:r>
      <w:r>
        <w:rPr>
          <w:lang w:val="en-US" w:eastAsia="zh-CN"/>
        </w:rPr>
        <w:t>.</w:t>
      </w:r>
      <w:r w:rsidRPr="00E1579E">
        <w:rPr>
          <w:lang w:val="en-US" w:eastAsia="zh-CN"/>
        </w:rPr>
        <w:t>g</w:t>
      </w:r>
      <w:r>
        <w:rPr>
          <w:lang w:val="en-US" w:eastAsia="zh-CN"/>
        </w:rPr>
        <w:t>.</w:t>
      </w:r>
      <w:r w:rsidRPr="00E1579E">
        <w:rPr>
          <w:lang w:val="en-US" w:eastAsia="zh-CN"/>
        </w:rPr>
        <w:t xml:space="preserve"> </w:t>
      </w:r>
      <w:r>
        <w:rPr>
          <w:lang w:val="en-US" w:eastAsia="zh-CN"/>
        </w:rPr>
        <w:t xml:space="preserve">Saft et al., 2016; </w:t>
      </w:r>
      <w:r w:rsidRPr="00E1579E">
        <w:rPr>
          <w:lang w:val="en-US" w:eastAsia="zh-CN"/>
        </w:rPr>
        <w:t>Fowler et al</w:t>
      </w:r>
      <w:r>
        <w:rPr>
          <w:lang w:val="en-US" w:eastAsia="zh-CN"/>
        </w:rPr>
        <w:t>.,</w:t>
      </w:r>
      <w:r w:rsidRPr="00E1579E">
        <w:rPr>
          <w:lang w:val="en-US" w:eastAsia="zh-CN"/>
        </w:rPr>
        <w:t xml:space="preserve"> 2020). The streamflow projections provided in this document have been developed using rainfall-runoff models, but because these models have been calibrated to a period of observed record that includes the Millennium Drought they may largely, </w:t>
      </w:r>
      <w:r>
        <w:rPr>
          <w:lang w:val="en-US" w:eastAsia="zh-CN"/>
        </w:rPr>
        <w:t>or only partly</w:t>
      </w:r>
      <w:r w:rsidRPr="00E1579E">
        <w:rPr>
          <w:lang w:val="en-US" w:eastAsia="zh-CN"/>
        </w:rPr>
        <w:t xml:space="preserve">, incorporate the shift in rainfall-runoff response. The extent to which the streamflow projections provided in these guidelines potentially under-estimate runoff </w:t>
      </w:r>
      <w:r>
        <w:rPr>
          <w:lang w:val="en-US" w:eastAsia="zh-CN"/>
        </w:rPr>
        <w:t xml:space="preserve">declines </w:t>
      </w:r>
      <w:r w:rsidRPr="00E1579E">
        <w:rPr>
          <w:lang w:val="en-US" w:eastAsia="zh-CN"/>
        </w:rPr>
        <w:t>under drier climate change projections due to the shift in runoff response is the subject of further research. DELWP will advise users of the guidelines when further information is available for individual catchments across Victoria.</w:t>
      </w:r>
    </w:p>
    <w:p w14:paraId="1B67E863" w14:textId="4855A87A" w:rsidR="007B29DD" w:rsidRPr="00E1579E" w:rsidRDefault="007B29DD" w:rsidP="00306AF1">
      <w:pPr>
        <w:pStyle w:val="BodyText"/>
        <w:rPr>
          <w:sz w:val="24"/>
          <w:szCs w:val="24"/>
          <w:lang w:val="en-US" w:eastAsia="zh-CN"/>
        </w:rPr>
      </w:pPr>
      <w:r w:rsidRPr="00E1579E">
        <w:rPr>
          <w:lang w:val="en-US" w:eastAsia="zh-CN"/>
        </w:rPr>
        <w:t>More information about this research is outlined in Appendix B.</w:t>
      </w:r>
      <w:r>
        <w:rPr>
          <w:lang w:val="en-US" w:eastAsia="zh-CN"/>
        </w:rPr>
        <w:t>9</w:t>
      </w:r>
      <w:r w:rsidR="00F76665">
        <w:rPr>
          <w:lang w:val="en-US" w:eastAsia="zh-CN"/>
        </w:rPr>
        <w:t xml:space="preserve"> and in </w:t>
      </w:r>
      <w:r w:rsidR="00BC72AE" w:rsidRPr="00804DDC">
        <w:rPr>
          <w:i/>
          <w:iCs/>
          <w:lang w:val="en-US" w:eastAsia="zh-CN"/>
        </w:rPr>
        <w:t xml:space="preserve">Victoria’s Water in a Changing Climate </w:t>
      </w:r>
      <w:r w:rsidR="00BC72AE">
        <w:rPr>
          <w:lang w:val="en-US" w:eastAsia="zh-CN"/>
        </w:rPr>
        <w:t xml:space="preserve">(DELWP et al., </w:t>
      </w:r>
      <w:r w:rsidR="00DE1A29">
        <w:rPr>
          <w:lang w:val="en-US" w:eastAsia="zh-CN"/>
        </w:rPr>
        <w:t>2020)</w:t>
      </w:r>
      <w:r w:rsidRPr="00E1579E">
        <w:rPr>
          <w:lang w:val="en-US" w:eastAsia="zh-CN"/>
        </w:rPr>
        <w:t>.</w:t>
      </w:r>
    </w:p>
    <w:p w14:paraId="7C4AE225" w14:textId="77777777" w:rsidR="007B29DD" w:rsidRDefault="007B29DD" w:rsidP="007B29DD">
      <w:pPr>
        <w:pStyle w:val="BodyText"/>
        <w:rPr>
          <w:lang w:eastAsia="en-AU"/>
        </w:rPr>
      </w:pPr>
    </w:p>
    <w:tbl>
      <w:tblPr>
        <w:tblStyle w:val="HighlightTable"/>
        <w:tblW w:w="0" w:type="auto"/>
        <w:tblLook w:val="04A0" w:firstRow="1" w:lastRow="0" w:firstColumn="1" w:lastColumn="0" w:noHBand="0" w:noVBand="1"/>
      </w:tblPr>
      <w:tblGrid>
        <w:gridCol w:w="9639"/>
      </w:tblGrid>
      <w:tr w:rsidR="007B29DD" w14:paraId="30D8A94A" w14:textId="77777777" w:rsidTr="00306AF1">
        <w:tc>
          <w:tcPr>
            <w:tcW w:w="9639" w:type="dxa"/>
            <w:hideMark/>
          </w:tcPr>
          <w:p w14:paraId="5FD2B0E2" w14:textId="3EA0D57C" w:rsidR="007B29DD" w:rsidRDefault="007B29DD" w:rsidP="00306AF1">
            <w:pPr>
              <w:pStyle w:val="HighlightBoxText"/>
              <w:jc w:val="both"/>
            </w:pPr>
            <w:r w:rsidRPr="002F3BA7">
              <w:rPr>
                <w:color w:val="000000" w:themeColor="text1"/>
              </w:rPr>
              <w:lastRenderedPageBreak/>
              <w:t xml:space="preserve">Downward shifts in rainfall-runoff relationships in some catchments in and after extended drought may not be fully represented in climate change runoff projections. </w:t>
            </w:r>
            <w:r w:rsidR="00FE39FE">
              <w:rPr>
                <w:color w:val="000000" w:themeColor="text1"/>
              </w:rPr>
              <w:t xml:space="preserve">Further information on this research is outlined in </w:t>
            </w:r>
            <w:r w:rsidR="00FE39FE" w:rsidRPr="00804DDC">
              <w:rPr>
                <w:i/>
                <w:iCs/>
                <w:color w:val="000000" w:themeColor="text1"/>
              </w:rPr>
              <w:t>Victoria’s Water in a Changing Climate</w:t>
            </w:r>
            <w:r w:rsidR="00BE4F7C">
              <w:rPr>
                <w:color w:val="000000" w:themeColor="text1"/>
              </w:rPr>
              <w:t xml:space="preserve"> (DELWP et al., </w:t>
            </w:r>
            <w:r w:rsidR="00D2559E">
              <w:rPr>
                <w:color w:val="000000" w:themeColor="text1"/>
              </w:rPr>
              <w:t xml:space="preserve">2020). </w:t>
            </w:r>
            <w:r w:rsidRPr="002F3BA7">
              <w:rPr>
                <w:color w:val="000000" w:themeColor="text1"/>
              </w:rPr>
              <w:t>DELWP will advise users of the guidelines when further information is available to address this issue for individual catchments across Victoria.</w:t>
            </w:r>
          </w:p>
        </w:tc>
      </w:tr>
    </w:tbl>
    <w:p w14:paraId="02E357E6" w14:textId="77777777" w:rsidR="007B29DD" w:rsidRDefault="007B29DD" w:rsidP="007B29DD">
      <w:pPr>
        <w:pStyle w:val="BodyText"/>
        <w:rPr>
          <w:lang w:eastAsia="en-AU"/>
        </w:rPr>
      </w:pPr>
    </w:p>
    <w:p w14:paraId="66AFC820" w14:textId="77777777" w:rsidR="007B29DD" w:rsidRDefault="007B29DD" w:rsidP="007B29DD">
      <w:pPr>
        <w:pStyle w:val="BodyText"/>
        <w:keepNext/>
        <w:spacing w:after="0"/>
      </w:pPr>
      <w:r>
        <w:rPr>
          <w:noProof/>
        </w:rPr>
        <w:drawing>
          <wp:inline distT="0" distB="0" distL="0" distR="0" wp14:anchorId="58B9D928" wp14:editId="634FE0B6">
            <wp:extent cx="6120765" cy="4549140"/>
            <wp:effectExtent l="0" t="0" r="0" b="3810"/>
            <wp:docPr id="1399073758" name="Picture 63" descr="Map of Victoria displaying analysed catchments and showing which ones had a hydrological response which recovered after the Millennium Drought (some, mostly in the state's west), which ones shifted (some), which shifted after the drought (only two) and which remained stable (some, almost all in the east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3">
                      <a:extLst>
                        <a:ext uri="{28A0092B-C50C-407E-A947-70E740481C1C}">
                          <a14:useLocalDpi xmlns:a14="http://schemas.microsoft.com/office/drawing/2010/main" val="0"/>
                        </a:ext>
                      </a:extLst>
                    </a:blip>
                    <a:stretch>
                      <a:fillRect/>
                    </a:stretch>
                  </pic:blipFill>
                  <pic:spPr>
                    <a:xfrm>
                      <a:off x="0" y="0"/>
                      <a:ext cx="6120765" cy="4549140"/>
                    </a:xfrm>
                    <a:prstGeom prst="rect">
                      <a:avLst/>
                    </a:prstGeom>
                  </pic:spPr>
                </pic:pic>
              </a:graphicData>
            </a:graphic>
          </wp:inline>
        </w:drawing>
      </w:r>
    </w:p>
    <w:p w14:paraId="009D6EF7" w14:textId="05125725" w:rsidR="007B29DD" w:rsidRDefault="007B29DD" w:rsidP="007B29DD">
      <w:pPr>
        <w:pStyle w:val="Caption"/>
        <w:spacing w:before="0"/>
      </w:pPr>
      <w:bookmarkStart w:id="595" w:name="_Ref43370464"/>
      <w:bookmarkStart w:id="596" w:name="_Toc43476593"/>
      <w:bookmarkStart w:id="597" w:name="_Toc44928836"/>
      <w:bookmarkStart w:id="598" w:name="_Toc51237499"/>
      <w:bookmarkStart w:id="599" w:name="_Toc53586014"/>
      <w:bookmarkStart w:id="600" w:name="_Toc57377265"/>
      <w:r w:rsidRPr="00ED37FC">
        <w:t xml:space="preserve">Figure </w:t>
      </w:r>
      <w:r>
        <w:fldChar w:fldCharType="begin"/>
      </w:r>
      <w:r>
        <w:instrText>SEQ Figure \* ARABIC</w:instrText>
      </w:r>
      <w:r>
        <w:fldChar w:fldCharType="separate"/>
      </w:r>
      <w:r>
        <w:rPr>
          <w:noProof/>
        </w:rPr>
        <w:t>23</w:t>
      </w:r>
      <w:r>
        <w:fldChar w:fldCharType="end"/>
      </w:r>
      <w:bookmarkEnd w:id="595"/>
      <w:r w:rsidRPr="00ED37FC">
        <w:t xml:space="preserve"> </w:t>
      </w:r>
      <w:r w:rsidRPr="007534D6">
        <w:t>Shift in catchments hydrological response and recovery across Victorian catchments during and after the Millennium Drought</w:t>
      </w:r>
      <w:r>
        <w:t xml:space="preserve">. [Source: </w:t>
      </w:r>
      <w:r w:rsidR="004F53D8">
        <w:t xml:space="preserve">The </w:t>
      </w:r>
      <w:r>
        <w:t>University of Melbourne]</w:t>
      </w:r>
      <w:bookmarkEnd w:id="596"/>
      <w:bookmarkEnd w:id="597"/>
      <w:bookmarkEnd w:id="598"/>
      <w:bookmarkEnd w:id="599"/>
      <w:bookmarkEnd w:id="600"/>
    </w:p>
    <w:p w14:paraId="32B69D19" w14:textId="77777777" w:rsidR="007B29DD" w:rsidRPr="002F23F9" w:rsidRDefault="007B29DD" w:rsidP="007B29DD">
      <w:pPr>
        <w:pStyle w:val="BodyText"/>
        <w:rPr>
          <w:lang w:eastAsia="en-AU"/>
        </w:rPr>
      </w:pPr>
    </w:p>
    <w:p w14:paraId="22B597BC"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601" w:name="_Toc44421134"/>
      <w:bookmarkStart w:id="602" w:name="_Toc44429544"/>
      <w:bookmarkStart w:id="603" w:name="_Toc44435306"/>
      <w:bookmarkStart w:id="604" w:name="_Toc38957444"/>
      <w:bookmarkStart w:id="605" w:name="_Toc43476499"/>
      <w:bookmarkStart w:id="606" w:name="_Toc44928744"/>
      <w:bookmarkStart w:id="607" w:name="_Ref49870093"/>
      <w:bookmarkStart w:id="608" w:name="_Toc51658016"/>
      <w:bookmarkStart w:id="609" w:name="_Toc53585921"/>
      <w:bookmarkStart w:id="610" w:name="_Toc57377172"/>
      <w:bookmarkEnd w:id="601"/>
      <w:bookmarkEnd w:id="602"/>
      <w:bookmarkEnd w:id="603"/>
      <w:r w:rsidRPr="00306AF1">
        <w:rPr>
          <w:b/>
          <w:bCs/>
          <w:color w:val="000000" w:themeColor="text1"/>
        </w:rPr>
        <w:t>Changes to peak flows</w:t>
      </w:r>
      <w:bookmarkEnd w:id="604"/>
      <w:bookmarkEnd w:id="605"/>
      <w:bookmarkEnd w:id="606"/>
      <w:bookmarkEnd w:id="607"/>
      <w:bookmarkEnd w:id="608"/>
      <w:bookmarkEnd w:id="609"/>
      <w:bookmarkEnd w:id="610"/>
    </w:p>
    <w:p w14:paraId="2B8AC97F" w14:textId="77777777" w:rsidR="007B29DD" w:rsidRDefault="007B29DD" w:rsidP="007B29DD">
      <w:pPr>
        <w:pStyle w:val="BodyText"/>
        <w:rPr>
          <w:lang w:eastAsia="en-AU"/>
        </w:rPr>
      </w:pPr>
      <w:r>
        <w:t>Australian Rainfall and Runoff (ARR; Ball et al., 2019) is the industry guideline for design flood estimation</w:t>
      </w:r>
      <w:r>
        <w:rPr>
          <w:lang w:eastAsia="en-AU"/>
        </w:rPr>
        <w:t>.</w:t>
      </w:r>
    </w:p>
    <w:p w14:paraId="0660E631" w14:textId="77777777" w:rsidR="007B29DD" w:rsidRDefault="007B29DD" w:rsidP="007B29DD">
      <w:pPr>
        <w:pStyle w:val="BodyText"/>
        <w:rPr>
          <w:lang w:eastAsia="en-AU"/>
        </w:rPr>
      </w:pPr>
      <w:r>
        <w:rPr>
          <w:lang w:eastAsia="en-AU"/>
        </w:rPr>
        <w:t xml:space="preserve">For water supply systems </w:t>
      </w:r>
      <w:r>
        <w:rPr>
          <w:b/>
        </w:rPr>
        <w:t>that</w:t>
      </w:r>
      <w:r w:rsidRPr="009411EB">
        <w:rPr>
          <w:b/>
        </w:rPr>
        <w:t xml:space="preserve"> are sensitive to changes in peak rainfall</w:t>
      </w:r>
      <w:r>
        <w:rPr>
          <w:lang w:eastAsia="en-AU"/>
        </w:rPr>
        <w:t>, the guidance in Section 5.9.4 can be used to adjust historic rainfall time series data to account for projected climate change. This is done by increasing peak rainfall in combination with projected changes to average annual rainfall. These rainfall time series can then be input to rainfall-runoff models to model the impact on water supply systems.</w:t>
      </w:r>
    </w:p>
    <w:p w14:paraId="4E6BA7D9" w14:textId="77777777" w:rsidR="007B29DD" w:rsidRDefault="007B29DD" w:rsidP="007B29DD">
      <w:pPr>
        <w:pStyle w:val="BodyText"/>
        <w:rPr>
          <w:lang w:eastAsia="en-AU"/>
        </w:rPr>
      </w:pPr>
      <w:r>
        <w:rPr>
          <w:lang w:eastAsia="en-AU"/>
        </w:rPr>
        <w:t>For most water supply systems, adjusting the rainfall inputs for increases in peak rainfall will have little impact on total water availability. This is because rainfall intensities are only increased on days where the rainfall depth is greater than or equal to the rainfall exceeded once per year, and because this increase is balanced by changes to average annual rainfall.</w:t>
      </w:r>
    </w:p>
    <w:p w14:paraId="13132150" w14:textId="77777777" w:rsidR="007B29DD" w:rsidRDefault="007B29DD" w:rsidP="007B29DD">
      <w:pPr>
        <w:pStyle w:val="BodyText"/>
        <w:rPr>
          <w:lang w:eastAsia="en-AU"/>
        </w:rPr>
      </w:pPr>
      <w:r>
        <w:rPr>
          <w:lang w:eastAsia="en-AU"/>
        </w:rPr>
        <w:t>Previous applications (e.g. Jacobs 2020</w:t>
      </w:r>
      <w:r w:rsidRPr="00336179">
        <w:rPr>
          <w:lang w:eastAsia="en-AU"/>
        </w:rPr>
        <w:t>)</w:t>
      </w:r>
      <w:r>
        <w:rPr>
          <w:lang w:eastAsia="en-AU"/>
        </w:rPr>
        <w:t xml:space="preserve"> have found that when increased rainfall intensities for rare events are modelled in conjunction with reductions in average annual rainfall, the magnitude of frequently occurring floods will decline, while the magnitude of rarer floods will increase. This is consistent with recent observations — which indicate </w:t>
      </w:r>
      <w:r>
        <w:rPr>
          <w:lang w:eastAsia="en-AU"/>
        </w:rPr>
        <w:lastRenderedPageBreak/>
        <w:t xml:space="preserve">that drier antecedent conditions are modulating the impact of </w:t>
      </w:r>
      <w:r>
        <w:t xml:space="preserve">increasing rainfall intensities in </w:t>
      </w:r>
      <w:r>
        <w:rPr>
          <w:lang w:eastAsia="en-AU"/>
        </w:rPr>
        <w:t>the historic record — for frequently occurring rural floods (Wasko and Nathan, 2019).</w:t>
      </w:r>
    </w:p>
    <w:p w14:paraId="5FF1C464"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611" w:name="_Toc38957445"/>
      <w:bookmarkStart w:id="612" w:name="_Toc43476500"/>
      <w:bookmarkStart w:id="613" w:name="_Toc44928745"/>
      <w:bookmarkStart w:id="614" w:name="_Toc51658017"/>
      <w:bookmarkStart w:id="615" w:name="_Toc53585922"/>
      <w:bookmarkStart w:id="616" w:name="_Toc57377173"/>
      <w:r w:rsidRPr="00306AF1">
        <w:rPr>
          <w:b/>
          <w:bCs/>
          <w:color w:val="000000" w:themeColor="text1"/>
        </w:rPr>
        <w:t>Applying climate change projections to groundwater</w:t>
      </w:r>
      <w:bookmarkEnd w:id="611"/>
      <w:bookmarkEnd w:id="612"/>
      <w:bookmarkEnd w:id="613"/>
      <w:bookmarkEnd w:id="614"/>
      <w:bookmarkEnd w:id="615"/>
      <w:bookmarkEnd w:id="616"/>
    </w:p>
    <w:p w14:paraId="5908115C"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617" w:name="_Toc42852504"/>
      <w:bookmarkStart w:id="618" w:name="_Toc43476501"/>
      <w:bookmarkStart w:id="619" w:name="_Toc44928746"/>
      <w:bookmarkStart w:id="620" w:name="_Toc51658018"/>
      <w:bookmarkStart w:id="621" w:name="_Toc53585923"/>
      <w:bookmarkStart w:id="622" w:name="_Toc57377174"/>
      <w:bookmarkEnd w:id="617"/>
      <w:r w:rsidRPr="00306AF1">
        <w:rPr>
          <w:rFonts w:ascii="Arial" w:eastAsia="Arial" w:hAnsi="Arial"/>
          <w:b/>
          <w:bCs/>
          <w:color w:val="000000" w:themeColor="text1"/>
        </w:rPr>
        <w:t>Introduction</w:t>
      </w:r>
      <w:bookmarkEnd w:id="618"/>
      <w:bookmarkEnd w:id="619"/>
      <w:bookmarkEnd w:id="620"/>
      <w:bookmarkEnd w:id="621"/>
      <w:bookmarkEnd w:id="622"/>
    </w:p>
    <w:p w14:paraId="258ED8E1" w14:textId="77777777" w:rsidR="007B29DD" w:rsidRPr="000E3D6B" w:rsidRDefault="007B29DD" w:rsidP="007B29DD">
      <w:pPr>
        <w:pStyle w:val="BodyText"/>
        <w:rPr>
          <w:lang w:eastAsia="en-AU"/>
        </w:rPr>
      </w:pPr>
      <w:r w:rsidRPr="000E3D6B">
        <w:rPr>
          <w:lang w:eastAsia="en-AU"/>
        </w:rPr>
        <w:t>Recharge comes from rainfall (diffuse recharge), flooding (flood recharge) and/or from irrigation accessions in irrigated areas. Some groundwater systems are also recharged from streams where they are highly connected or receive increased recharge from preferential pathways such as in basalt (via fractures) and limestone (karstic systems). These systems are generally more responsive to climate.</w:t>
      </w:r>
    </w:p>
    <w:p w14:paraId="7422FD23" w14:textId="77777777" w:rsidR="007B29DD" w:rsidRDefault="007B29DD" w:rsidP="007B29DD">
      <w:pPr>
        <w:pStyle w:val="BodyText"/>
        <w:rPr>
          <w:lang w:eastAsia="en-AU"/>
        </w:rPr>
      </w:pPr>
      <w:r w:rsidRPr="000E3D6B">
        <w:rPr>
          <w:lang w:eastAsia="en-AU"/>
        </w:rPr>
        <w:t xml:space="preserve">Climate change may affect rates of recharge and the future availability of groundwater. To assess groundwater resource availability a conceptual model of the system is required, </w:t>
      </w:r>
      <w:r>
        <w:rPr>
          <w:lang w:eastAsia="en-AU"/>
        </w:rPr>
        <w:t xml:space="preserve">as well as </w:t>
      </w:r>
      <w:r w:rsidRPr="000E3D6B">
        <w:rPr>
          <w:lang w:eastAsia="en-AU"/>
        </w:rPr>
        <w:t xml:space="preserve">an understanding of how the system is recharged. </w:t>
      </w:r>
      <w:r>
        <w:rPr>
          <w:lang w:eastAsia="en-AU"/>
        </w:rPr>
        <w:t>Some of the key concepts related to this conceptualisation are discussed in Appendix B.10.</w:t>
      </w:r>
    </w:p>
    <w:p w14:paraId="7D5619E7" w14:textId="77777777" w:rsidR="007B29DD" w:rsidRDefault="007B29DD" w:rsidP="007B29DD">
      <w:pPr>
        <w:pStyle w:val="BodyText"/>
        <w:rPr>
          <w:lang w:eastAsia="en-AU"/>
        </w:rPr>
      </w:pPr>
      <w:r w:rsidRPr="000E3D6B">
        <w:rPr>
          <w:lang w:eastAsia="en-AU"/>
        </w:rPr>
        <w:t xml:space="preserve">Climate change may increase the frequency of high intensity </w:t>
      </w:r>
      <w:r>
        <w:rPr>
          <w:lang w:eastAsia="en-AU"/>
        </w:rPr>
        <w:t xml:space="preserve">rain </w:t>
      </w:r>
      <w:r w:rsidRPr="000E3D6B">
        <w:rPr>
          <w:lang w:eastAsia="en-AU"/>
        </w:rPr>
        <w:t xml:space="preserve">events </w:t>
      </w:r>
      <w:r>
        <w:rPr>
          <w:lang w:eastAsia="en-AU"/>
        </w:rPr>
        <w:t>that</w:t>
      </w:r>
      <w:r w:rsidRPr="000E3D6B">
        <w:rPr>
          <w:lang w:eastAsia="en-AU"/>
        </w:rPr>
        <w:t xml:space="preserve"> provide significant recharge events for systems</w:t>
      </w:r>
      <w:r>
        <w:rPr>
          <w:lang w:eastAsia="en-AU"/>
        </w:rPr>
        <w:t>. I</w:t>
      </w:r>
      <w:r w:rsidRPr="00D63CC3">
        <w:rPr>
          <w:lang w:eastAsia="en-AU"/>
        </w:rPr>
        <w:t>t may also alter irrigation practices if summer rains increase and alter flood events and stream recharge events to groundwater systems. The variability and complexity of each system means that it is essential that the recharge mechanism to any groundwater system is known prior to any assessment of the resource.</w:t>
      </w:r>
    </w:p>
    <w:p w14:paraId="6B2CAC39" w14:textId="77777777" w:rsidR="007B29DD" w:rsidRPr="00E206DF" w:rsidRDefault="007B29DD" w:rsidP="007B29DD">
      <w:pPr>
        <w:pStyle w:val="BodyText"/>
        <w:rPr>
          <w:rFonts w:eastAsia="Arial"/>
        </w:rPr>
      </w:pPr>
      <w:r w:rsidRPr="00A06B7B">
        <w:rPr>
          <w:b/>
        </w:rPr>
        <w:t>These guidelines provide advice only on how the recharge rates should be estimated to consider climate change projections.</w:t>
      </w:r>
      <w:r w:rsidRPr="00D63CC3">
        <w:rPr>
          <w:lang w:eastAsia="en-AU"/>
        </w:rPr>
        <w:t xml:space="preserve"> They do not provide advice on how to assess the resource, or to undertake groundwater modelling.</w:t>
      </w:r>
      <w:r>
        <w:rPr>
          <w:lang w:eastAsia="en-AU"/>
        </w:rPr>
        <w:t xml:space="preserve"> </w:t>
      </w:r>
      <w:r w:rsidRPr="00D63CC3">
        <w:rPr>
          <w:lang w:eastAsia="en-AU"/>
        </w:rPr>
        <w:t xml:space="preserve">Industry standards should be referred to for further information, including </w:t>
      </w:r>
      <w:r w:rsidRPr="000E3D6B">
        <w:rPr>
          <w:lang w:eastAsia="en-AU"/>
        </w:rPr>
        <w:t>the</w:t>
      </w:r>
      <w:r w:rsidRPr="000E3D6B">
        <w:t xml:space="preserve"> </w:t>
      </w:r>
      <w:r w:rsidRPr="00A667E2">
        <w:rPr>
          <w:i/>
          <w:iCs/>
        </w:rPr>
        <w:t>Australian Groundwater Modelling Guidelines</w:t>
      </w:r>
      <w:r w:rsidRPr="000E3D6B">
        <w:t xml:space="preserve"> (Barnett et al., 2012)</w:t>
      </w:r>
      <w:r w:rsidRPr="000E3D6B">
        <w:rPr>
          <w:rFonts w:ascii="Arial" w:eastAsia="Arial" w:hAnsi="Arial"/>
        </w:rPr>
        <w:t>.</w:t>
      </w:r>
    </w:p>
    <w:p w14:paraId="2BD809E8" w14:textId="77777777" w:rsidR="007B29DD" w:rsidRPr="000E3D6B" w:rsidRDefault="007B29DD" w:rsidP="007B29DD">
      <w:pPr>
        <w:pStyle w:val="BodyText"/>
        <w:rPr>
          <w:rFonts w:eastAsiaTheme="minorEastAsia" w:cstheme="minorBidi"/>
        </w:rPr>
      </w:pPr>
      <w:r>
        <w:t>In Victoria,</w:t>
      </w:r>
      <w:r w:rsidRPr="00FE3199">
        <w:rPr>
          <w:lang w:eastAsia="en-AU"/>
        </w:rPr>
        <w:t xml:space="preserve"> resource managers </w:t>
      </w:r>
      <w:r>
        <w:rPr>
          <w:lang w:eastAsia="en-AU"/>
        </w:rPr>
        <w:t xml:space="preserve">(not the licensed user) </w:t>
      </w:r>
      <w:r w:rsidRPr="00FE3199">
        <w:rPr>
          <w:lang w:eastAsia="en-AU"/>
        </w:rPr>
        <w:t>are responsible for</w:t>
      </w:r>
      <w:r>
        <w:rPr>
          <w:lang w:eastAsia="en-AU"/>
        </w:rPr>
        <w:t xml:space="preserve"> licensing groundwater take up to prescribed limits (set by the Permissible Consumptive Volume; PCV)</w:t>
      </w:r>
      <w:r w:rsidRPr="00FE3199">
        <w:rPr>
          <w:lang w:eastAsia="en-AU"/>
        </w:rPr>
        <w:t>.</w:t>
      </w:r>
    </w:p>
    <w:p w14:paraId="1A00E539"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623" w:name="_Toc43476502"/>
      <w:bookmarkStart w:id="624" w:name="_Toc44928747"/>
      <w:bookmarkStart w:id="625" w:name="_Toc51658019"/>
      <w:bookmarkStart w:id="626" w:name="_Toc53585924"/>
      <w:bookmarkStart w:id="627" w:name="_Toc57377175"/>
      <w:r w:rsidRPr="00306AF1">
        <w:rPr>
          <w:rFonts w:ascii="Arial" w:eastAsia="Arial" w:hAnsi="Arial"/>
          <w:b/>
          <w:bCs/>
          <w:color w:val="000000" w:themeColor="text1"/>
        </w:rPr>
        <w:t>Groundwater resources that require assessment of climate change impacts</w:t>
      </w:r>
      <w:bookmarkEnd w:id="623"/>
      <w:bookmarkEnd w:id="624"/>
      <w:bookmarkEnd w:id="625"/>
      <w:bookmarkEnd w:id="626"/>
      <w:bookmarkEnd w:id="627"/>
    </w:p>
    <w:p w14:paraId="2F666A50" w14:textId="77777777" w:rsidR="007B29DD" w:rsidRPr="000E3D6B" w:rsidRDefault="007B29DD" w:rsidP="007B29DD">
      <w:pPr>
        <w:pStyle w:val="BodyText"/>
        <w:rPr>
          <w:lang w:eastAsia="en-AU"/>
        </w:rPr>
      </w:pPr>
      <w:r w:rsidRPr="000E3D6B">
        <w:rPr>
          <w:lang w:eastAsia="en-AU"/>
        </w:rPr>
        <w:t xml:space="preserve">Some aquifers are more sensitive to changes in climate than others. The most vulnerable systems are those with shallow watertables and highly responsive systems. </w:t>
      </w:r>
      <w:r w:rsidRPr="006447B7">
        <w:rPr>
          <w:b/>
        </w:rPr>
        <w:t>The approach below is primarily for sedimentary aquifers that are unconfined with depths to watertable less than 20 metres</w:t>
      </w:r>
      <w:r w:rsidRPr="000E3D6B">
        <w:rPr>
          <w:lang w:eastAsia="en-AU"/>
        </w:rPr>
        <w:t xml:space="preserve">. For any other systems, local conditions </w:t>
      </w:r>
      <w:r>
        <w:rPr>
          <w:lang w:eastAsia="en-AU"/>
        </w:rPr>
        <w:t xml:space="preserve">should </w:t>
      </w:r>
      <w:r w:rsidRPr="000E3D6B">
        <w:rPr>
          <w:lang w:eastAsia="en-AU"/>
        </w:rPr>
        <w:t>be considered and factored into any assessment of the resource. For highly responsive systems the percentage change in runoff can be used instead of the percentage change in rainfall for that catchment to provide a more conservative estimate.</w:t>
      </w:r>
    </w:p>
    <w:p w14:paraId="07095828" w14:textId="77777777" w:rsidR="007B29DD" w:rsidRDefault="007B29DD" w:rsidP="007B29DD">
      <w:pPr>
        <w:pStyle w:val="BodyText"/>
        <w:rPr>
          <w:lang w:eastAsia="en-AU"/>
        </w:rPr>
      </w:pPr>
      <w:r w:rsidRPr="000E3D6B">
        <w:rPr>
          <w:lang w:eastAsia="en-AU"/>
        </w:rPr>
        <w:t xml:space="preserve">The dependency of an urban </w:t>
      </w:r>
      <w:r>
        <w:rPr>
          <w:lang w:eastAsia="en-AU"/>
        </w:rPr>
        <w:t>W</w:t>
      </w:r>
      <w:r w:rsidRPr="000E3D6B">
        <w:rPr>
          <w:lang w:eastAsia="en-AU"/>
        </w:rPr>
        <w:t xml:space="preserve">ater </w:t>
      </w:r>
      <w:r>
        <w:rPr>
          <w:lang w:eastAsia="en-AU"/>
        </w:rPr>
        <w:t>C</w:t>
      </w:r>
      <w:r w:rsidRPr="000E3D6B">
        <w:rPr>
          <w:lang w:eastAsia="en-AU"/>
        </w:rPr>
        <w:t>orporation</w:t>
      </w:r>
      <w:r>
        <w:rPr>
          <w:lang w:eastAsia="en-AU"/>
        </w:rPr>
        <w:t>, or other user of groundwater,</w:t>
      </w:r>
      <w:r w:rsidRPr="000E3D6B">
        <w:rPr>
          <w:lang w:eastAsia="en-AU"/>
        </w:rPr>
        <w:t xml:space="preserve"> on a given groundwater resource dictates the level of investment recommended to model the groundwater system. Water </w:t>
      </w:r>
      <w:r>
        <w:rPr>
          <w:lang w:eastAsia="en-AU"/>
        </w:rPr>
        <w:t>C</w:t>
      </w:r>
      <w:r w:rsidRPr="000E3D6B">
        <w:rPr>
          <w:lang w:eastAsia="en-AU"/>
        </w:rPr>
        <w:t xml:space="preserve">orporations should consider the reliability of the supply, and the dependency on groundwater (e.g. whether it is the sole supply source, or a drought supply only). Additionally, as for any groundwater assessment, the availability of data and information to undertake the study </w:t>
      </w:r>
      <w:r>
        <w:rPr>
          <w:lang w:eastAsia="en-AU"/>
        </w:rPr>
        <w:t xml:space="preserve">should </w:t>
      </w:r>
      <w:r w:rsidRPr="000E3D6B">
        <w:rPr>
          <w:lang w:eastAsia="en-AU"/>
        </w:rPr>
        <w:t>be considered.</w:t>
      </w:r>
    </w:p>
    <w:p w14:paraId="0C87A8E3"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628" w:name="_Toc43476503"/>
      <w:bookmarkStart w:id="629" w:name="_Toc44928748"/>
      <w:bookmarkStart w:id="630" w:name="_Toc51658020"/>
      <w:bookmarkStart w:id="631" w:name="_Toc53585925"/>
      <w:bookmarkStart w:id="632" w:name="_Toc57377176"/>
      <w:r w:rsidRPr="00306AF1">
        <w:rPr>
          <w:rFonts w:ascii="Arial" w:eastAsia="Arial" w:hAnsi="Arial"/>
          <w:b/>
          <w:bCs/>
          <w:color w:val="000000" w:themeColor="text1"/>
        </w:rPr>
        <w:t>Historic recharge rates for analytical modelling of groundwater systems in Victoria</w:t>
      </w:r>
      <w:bookmarkEnd w:id="628"/>
      <w:bookmarkEnd w:id="629"/>
      <w:bookmarkEnd w:id="630"/>
      <w:bookmarkEnd w:id="631"/>
      <w:bookmarkEnd w:id="632"/>
    </w:p>
    <w:p w14:paraId="4B66C257" w14:textId="77777777" w:rsidR="007B29DD" w:rsidRPr="000E3D6B" w:rsidRDefault="007B29DD" w:rsidP="007B29DD">
      <w:pPr>
        <w:pStyle w:val="BodyText"/>
        <w:rPr>
          <w:lang w:eastAsia="en-AU"/>
        </w:rPr>
      </w:pPr>
      <w:r w:rsidRPr="000E3D6B">
        <w:rPr>
          <w:lang w:eastAsia="en-AU"/>
        </w:rPr>
        <w:t xml:space="preserve">Prior investigations into recharge in Victoria provide indicative recharge rates for the different aquifer systems </w:t>
      </w:r>
      <w:r>
        <w:rPr>
          <w:lang w:eastAsia="en-AU"/>
        </w:rPr>
        <w:t xml:space="preserve">defined by </w:t>
      </w:r>
      <w:r w:rsidRPr="000E3D6B">
        <w:rPr>
          <w:lang w:eastAsia="en-AU"/>
        </w:rPr>
        <w:t>the Victorian Aquifer Framework</w:t>
      </w:r>
      <w:r>
        <w:rPr>
          <w:lang w:eastAsia="en-AU"/>
        </w:rPr>
        <w:t xml:space="preserve"> (</w:t>
      </w:r>
      <w:r w:rsidRPr="00E34588">
        <w:rPr>
          <w:lang w:eastAsia="en-AU"/>
        </w:rPr>
        <w:t>https://discover.data.vic.gov.au/dataset/victorian-aquifer-framework-vaf-3d-surfaces</w:t>
      </w:r>
      <w:r>
        <w:rPr>
          <w:lang w:eastAsia="en-AU"/>
        </w:rPr>
        <w:t>)</w:t>
      </w:r>
      <w:r w:rsidRPr="000E3D6B">
        <w:rPr>
          <w:lang w:eastAsia="en-AU"/>
        </w:rPr>
        <w:t xml:space="preserve">. These prior investigations provide bulk recharge rates that include all forms of recharge to the system. The investigations were undertaken between 1970 and 2018 and are representative of the </w:t>
      </w:r>
      <w:r>
        <w:rPr>
          <w:lang w:eastAsia="en-AU"/>
        </w:rPr>
        <w:t>post-1975 historic climate reference</w:t>
      </w:r>
      <w:r w:rsidRPr="000E3D6B">
        <w:rPr>
          <w:lang w:eastAsia="en-AU"/>
        </w:rPr>
        <w:t xml:space="preserve"> period. The results represent the </w:t>
      </w:r>
      <w:r w:rsidRPr="0089606A">
        <w:rPr>
          <w:lang w:eastAsia="en-AU"/>
        </w:rPr>
        <w:t>25</w:t>
      </w:r>
      <w:r w:rsidRPr="0089606A">
        <w:t>th</w:t>
      </w:r>
      <w:r w:rsidRPr="000E3D6B">
        <w:rPr>
          <w:lang w:eastAsia="en-AU"/>
        </w:rPr>
        <w:t xml:space="preserve"> percentile, the </w:t>
      </w:r>
      <w:r w:rsidRPr="0076075B">
        <w:rPr>
          <w:lang w:eastAsia="en-AU"/>
        </w:rPr>
        <w:t>50</w:t>
      </w:r>
      <w:r w:rsidRPr="0076075B">
        <w:t>th</w:t>
      </w:r>
      <w:r w:rsidRPr="000E3D6B">
        <w:rPr>
          <w:lang w:eastAsia="en-AU"/>
        </w:rPr>
        <w:t xml:space="preserve"> percentile (or median) and the </w:t>
      </w:r>
      <w:r w:rsidRPr="0089606A">
        <w:rPr>
          <w:vertAlign w:val="superscript"/>
          <w:lang w:eastAsia="en-AU"/>
        </w:rPr>
        <w:t>75</w:t>
      </w:r>
      <w:r w:rsidRPr="0089606A">
        <w:rPr>
          <w:vertAlign w:val="superscript"/>
        </w:rPr>
        <w:t>th</w:t>
      </w:r>
      <w:r w:rsidRPr="000E3D6B">
        <w:rPr>
          <w:lang w:eastAsia="en-AU"/>
        </w:rPr>
        <w:t xml:space="preserve"> percentile of the estimated annual recharge rates for an aquifer</w:t>
      </w:r>
      <w:r>
        <w:rPr>
          <w:lang w:eastAsia="en-AU"/>
        </w:rPr>
        <w:t xml:space="preserve"> (</w:t>
      </w:r>
      <w:r>
        <w:rPr>
          <w:lang w:eastAsia="en-AU"/>
        </w:rPr>
        <w:fldChar w:fldCharType="begin"/>
      </w:r>
      <w:r>
        <w:rPr>
          <w:lang w:eastAsia="en-AU"/>
        </w:rPr>
        <w:instrText xml:space="preserve"> REF _Ref42775526 \h </w:instrText>
      </w:r>
      <w:r>
        <w:rPr>
          <w:lang w:eastAsia="en-AU"/>
        </w:rPr>
      </w:r>
      <w:r>
        <w:rPr>
          <w:lang w:eastAsia="en-AU"/>
        </w:rPr>
        <w:fldChar w:fldCharType="separate"/>
      </w:r>
      <w:r>
        <w:t xml:space="preserve">Table </w:t>
      </w:r>
      <w:r>
        <w:rPr>
          <w:noProof/>
        </w:rPr>
        <w:t>7</w:t>
      </w:r>
      <w:r>
        <w:rPr>
          <w:lang w:eastAsia="en-AU"/>
        </w:rPr>
        <w:fldChar w:fldCharType="end"/>
      </w:r>
      <w:r>
        <w:rPr>
          <w:lang w:eastAsia="en-AU"/>
        </w:rPr>
        <w:t>)</w:t>
      </w:r>
      <w:r w:rsidRPr="000E3D6B">
        <w:rPr>
          <w:lang w:eastAsia="en-AU"/>
        </w:rPr>
        <w:t xml:space="preserve">. Due to the uncertainty in the recharge rates it is recommended that all three are used, in conjunction with rainfall or runoff climate change projections to determine the sensitivity of the resource to changes in recharge. If there are studies into recharge in the area and/or more recent investigations that provide alternative recharge rates, these may be used as the </w:t>
      </w:r>
      <w:r>
        <w:rPr>
          <w:lang w:eastAsia="en-AU"/>
        </w:rPr>
        <w:t>reference period</w:t>
      </w:r>
      <w:r w:rsidRPr="000E3D6B">
        <w:rPr>
          <w:lang w:eastAsia="en-AU"/>
        </w:rPr>
        <w:t xml:space="preserve"> recharge rate for this assessment.</w:t>
      </w:r>
    </w:p>
    <w:p w14:paraId="403A4E16" w14:textId="77777777" w:rsidR="007B29DD" w:rsidRDefault="007B29DD" w:rsidP="007B29DD">
      <w:pPr>
        <w:pStyle w:val="Caption"/>
      </w:pPr>
      <w:bookmarkStart w:id="633" w:name="_Ref42775526"/>
      <w:bookmarkStart w:id="634" w:name="_Toc43476561"/>
      <w:bookmarkStart w:id="635" w:name="_Toc44928806"/>
      <w:bookmarkStart w:id="636" w:name="_Toc51237469"/>
      <w:bookmarkStart w:id="637" w:name="_Toc53585984"/>
      <w:bookmarkStart w:id="638" w:name="_Toc57377235"/>
      <w:r>
        <w:lastRenderedPageBreak/>
        <w:t xml:space="preserve">Table </w:t>
      </w:r>
      <w:r>
        <w:fldChar w:fldCharType="begin"/>
      </w:r>
      <w:r>
        <w:instrText>SEQ Table \* ARABIC</w:instrText>
      </w:r>
      <w:r>
        <w:fldChar w:fldCharType="separate"/>
      </w:r>
      <w:r>
        <w:rPr>
          <w:noProof/>
        </w:rPr>
        <w:t>7</w:t>
      </w:r>
      <w:r>
        <w:fldChar w:fldCharType="end"/>
      </w:r>
      <w:bookmarkEnd w:id="633"/>
      <w:r>
        <w:t xml:space="preserve"> Reference period o</w:t>
      </w:r>
      <w:r w:rsidRPr="009A503E">
        <w:t>utcropping recharge estimates (</w:t>
      </w:r>
      <w:r w:rsidRPr="0089606A">
        <w:t>1st</w:t>
      </w:r>
      <w:r w:rsidRPr="009A503E">
        <w:t xml:space="preserve"> to 3rd quartiles and median, mm/yr) for major aquifer systems, statistics and tabulated values</w:t>
      </w:r>
      <w:bookmarkEnd w:id="634"/>
      <w:bookmarkEnd w:id="635"/>
      <w:bookmarkEnd w:id="636"/>
      <w:bookmarkEnd w:id="637"/>
      <w:bookmarkEnd w:id="638"/>
    </w:p>
    <w:tbl>
      <w:tblPr>
        <w:tblStyle w:val="TableGrid"/>
        <w:tblW w:w="9640" w:type="dxa"/>
        <w:tblLayout w:type="fixed"/>
        <w:tblLook w:val="04A0" w:firstRow="1" w:lastRow="0" w:firstColumn="1" w:lastColumn="0" w:noHBand="0" w:noVBand="1"/>
      </w:tblPr>
      <w:tblGrid>
        <w:gridCol w:w="2977"/>
        <w:gridCol w:w="1665"/>
        <w:gridCol w:w="1666"/>
        <w:gridCol w:w="1666"/>
        <w:gridCol w:w="1666"/>
      </w:tblGrid>
      <w:tr w:rsidR="007B29DD" w14:paraId="2055529C" w14:textId="77777777" w:rsidTr="003F54F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7" w:type="dxa"/>
            <w:shd w:val="clear" w:color="auto" w:fill="D0CECE" w:themeFill="background2" w:themeFillShade="E6"/>
            <w:vAlign w:val="center"/>
          </w:tcPr>
          <w:p w14:paraId="17D26A9A" w14:textId="77777777" w:rsidR="007B29DD" w:rsidRPr="00481EC0" w:rsidRDefault="007B29DD" w:rsidP="00306AF1">
            <w:pPr>
              <w:keepNext/>
              <w:jc w:val="center"/>
              <w:rPr>
                <w:b/>
                <w:bCs/>
              </w:rPr>
            </w:pPr>
            <w:r w:rsidRPr="00481EC0">
              <w:rPr>
                <w:rFonts w:ascii="Arial" w:eastAsia="Arial" w:hAnsi="Arial"/>
                <w:b/>
              </w:rPr>
              <w:t>Victorian Aquifer Framework (VAF) Names</w:t>
            </w:r>
          </w:p>
        </w:tc>
        <w:tc>
          <w:tcPr>
            <w:tcW w:w="1665" w:type="dxa"/>
            <w:shd w:val="clear" w:color="auto" w:fill="D0CECE" w:themeFill="background2" w:themeFillShade="E6"/>
            <w:vAlign w:val="center"/>
          </w:tcPr>
          <w:p w14:paraId="7E5049CB" w14:textId="77777777" w:rsidR="007B29DD" w:rsidRPr="00481EC0" w:rsidRDefault="007B29DD" w:rsidP="00306AF1">
            <w:pPr>
              <w:keepNext/>
              <w:jc w:val="center"/>
              <w:cnfStyle w:val="100000000000" w:firstRow="1" w:lastRow="0" w:firstColumn="0" w:lastColumn="0" w:oddVBand="0" w:evenVBand="0" w:oddHBand="0" w:evenHBand="0" w:firstRowFirstColumn="0" w:firstRowLastColumn="0" w:lastRowFirstColumn="0" w:lastRowLastColumn="0"/>
              <w:rPr>
                <w:b/>
                <w:bCs/>
              </w:rPr>
            </w:pPr>
            <w:r w:rsidRPr="00481EC0">
              <w:rPr>
                <w:rFonts w:ascii="Calibri" w:eastAsia="Calibri" w:hAnsi="Calibri" w:cs="Calibri"/>
                <w:b/>
                <w:bCs/>
                <w:color w:val="000000"/>
                <w:sz w:val="22"/>
                <w:szCs w:val="22"/>
              </w:rPr>
              <w:t>VAF</w:t>
            </w:r>
            <w:r w:rsidRPr="00481EC0">
              <w:rPr>
                <w:rFonts w:ascii="Calibri" w:eastAsia="Calibri" w:hAnsi="Calibri" w:cs="Calibri"/>
                <w:b/>
                <w:bCs/>
                <w:color w:val="000000"/>
                <w:sz w:val="22"/>
                <w:szCs w:val="22"/>
              </w:rPr>
              <w:br/>
              <w:t>Reference</w:t>
            </w:r>
          </w:p>
        </w:tc>
        <w:tc>
          <w:tcPr>
            <w:tcW w:w="1666" w:type="dxa"/>
            <w:shd w:val="clear" w:color="auto" w:fill="D0CECE" w:themeFill="background2" w:themeFillShade="E6"/>
            <w:vAlign w:val="center"/>
          </w:tcPr>
          <w:p w14:paraId="692BE542" w14:textId="371217CF" w:rsidR="007B29DD" w:rsidRPr="00481EC0" w:rsidRDefault="007B29DD" w:rsidP="00306AF1">
            <w:pPr>
              <w:keepNext/>
              <w:jc w:val="center"/>
              <w:cnfStyle w:val="100000000000" w:firstRow="1" w:lastRow="0" w:firstColumn="0" w:lastColumn="0" w:oddVBand="0" w:evenVBand="0" w:oddHBand="0" w:evenHBand="0" w:firstRowFirstColumn="0" w:firstRowLastColumn="0" w:lastRowFirstColumn="0" w:lastRowLastColumn="0"/>
              <w:rPr>
                <w:b/>
                <w:bCs/>
              </w:rPr>
            </w:pPr>
            <w:r w:rsidRPr="0089606A">
              <w:rPr>
                <w:rFonts w:ascii="Arial" w:eastAsia="Arial" w:hAnsi="Arial"/>
                <w:b/>
              </w:rPr>
              <w:t>1st</w:t>
            </w:r>
            <w:r w:rsidRPr="00481EC0">
              <w:rPr>
                <w:rFonts w:ascii="Arial" w:eastAsia="Arial" w:hAnsi="Arial"/>
                <w:b/>
              </w:rPr>
              <w:t xml:space="preserve"> Quartile</w:t>
            </w:r>
            <w:r w:rsidRPr="00481EC0">
              <w:rPr>
                <w:rFonts w:ascii="Arial" w:eastAsia="Arial" w:hAnsi="Arial"/>
                <w:b/>
              </w:rPr>
              <w:br/>
              <w:t>(25</w:t>
            </w:r>
            <w:r w:rsidRPr="0076075B">
              <w:rPr>
                <w:rFonts w:ascii="Arial" w:eastAsia="Arial" w:hAnsi="Arial"/>
                <w:b/>
              </w:rPr>
              <w:t>th</w:t>
            </w:r>
            <w:r w:rsidRPr="00481EC0">
              <w:rPr>
                <w:rFonts w:ascii="Arial" w:eastAsia="Arial" w:hAnsi="Arial"/>
                <w:b/>
              </w:rPr>
              <w:t xml:space="preserve"> </w:t>
            </w:r>
            <w:r w:rsidR="00347F5F">
              <w:rPr>
                <w:rFonts w:ascii="Arial" w:eastAsia="Arial" w:hAnsi="Arial"/>
                <w:b/>
              </w:rPr>
              <w:t>percent</w:t>
            </w:r>
            <w:r w:rsidRPr="00481EC0">
              <w:rPr>
                <w:rFonts w:ascii="Arial" w:eastAsia="Arial" w:hAnsi="Arial"/>
                <w:b/>
              </w:rPr>
              <w:t>ile)</w:t>
            </w:r>
          </w:p>
        </w:tc>
        <w:tc>
          <w:tcPr>
            <w:tcW w:w="1666" w:type="dxa"/>
            <w:shd w:val="clear" w:color="auto" w:fill="D0CECE" w:themeFill="background2" w:themeFillShade="E6"/>
            <w:vAlign w:val="center"/>
          </w:tcPr>
          <w:p w14:paraId="54070033" w14:textId="42842CFF" w:rsidR="007B29DD" w:rsidRPr="00481EC0" w:rsidRDefault="007B29DD" w:rsidP="00306AF1">
            <w:pPr>
              <w:keepNext/>
              <w:jc w:val="center"/>
              <w:cnfStyle w:val="100000000000" w:firstRow="1" w:lastRow="0" w:firstColumn="0" w:lastColumn="0" w:oddVBand="0" w:evenVBand="0" w:oddHBand="0" w:evenHBand="0" w:firstRowFirstColumn="0" w:firstRowLastColumn="0" w:lastRowFirstColumn="0" w:lastRowLastColumn="0"/>
              <w:rPr>
                <w:b/>
                <w:bCs/>
              </w:rPr>
            </w:pPr>
            <w:r w:rsidRPr="00481EC0">
              <w:rPr>
                <w:rFonts w:ascii="Arial" w:eastAsia="Arial" w:hAnsi="Arial"/>
                <w:b/>
              </w:rPr>
              <w:t>Median</w:t>
            </w:r>
            <w:r w:rsidRPr="00481EC0">
              <w:rPr>
                <w:rFonts w:ascii="Arial" w:eastAsia="Arial" w:hAnsi="Arial"/>
                <w:b/>
              </w:rPr>
              <w:br/>
              <w:t>(</w:t>
            </w:r>
            <w:r w:rsidRPr="0076075B">
              <w:rPr>
                <w:rFonts w:ascii="Arial" w:eastAsia="Arial" w:hAnsi="Arial"/>
                <w:b/>
              </w:rPr>
              <w:t>50th</w:t>
            </w:r>
            <w:r w:rsidRPr="00481EC0">
              <w:rPr>
                <w:rFonts w:ascii="Arial" w:eastAsia="Arial" w:hAnsi="Arial"/>
                <w:b/>
              </w:rPr>
              <w:t xml:space="preserve"> </w:t>
            </w:r>
            <w:r w:rsidR="00347F5F">
              <w:rPr>
                <w:rFonts w:ascii="Arial" w:eastAsia="Arial" w:hAnsi="Arial"/>
                <w:b/>
              </w:rPr>
              <w:t>percent</w:t>
            </w:r>
            <w:r w:rsidRPr="00481EC0">
              <w:rPr>
                <w:rFonts w:ascii="Arial" w:eastAsia="Arial" w:hAnsi="Arial"/>
                <w:b/>
              </w:rPr>
              <w:t>ile)</w:t>
            </w:r>
          </w:p>
        </w:tc>
        <w:tc>
          <w:tcPr>
            <w:tcW w:w="1666" w:type="dxa"/>
            <w:shd w:val="clear" w:color="auto" w:fill="D0CECE" w:themeFill="background2" w:themeFillShade="E6"/>
            <w:vAlign w:val="center"/>
          </w:tcPr>
          <w:p w14:paraId="2B9F7B98" w14:textId="2F1EBD69" w:rsidR="007B29DD" w:rsidRPr="00481EC0" w:rsidRDefault="007B29DD" w:rsidP="00306AF1">
            <w:pPr>
              <w:keepNext/>
              <w:jc w:val="center"/>
              <w:cnfStyle w:val="100000000000" w:firstRow="1" w:lastRow="0" w:firstColumn="0" w:lastColumn="0" w:oddVBand="0" w:evenVBand="0" w:oddHBand="0" w:evenHBand="0" w:firstRowFirstColumn="0" w:firstRowLastColumn="0" w:lastRowFirstColumn="0" w:lastRowLastColumn="0"/>
              <w:rPr>
                <w:b/>
                <w:bCs/>
              </w:rPr>
            </w:pPr>
            <w:r w:rsidRPr="00B535E6">
              <w:rPr>
                <w:rFonts w:ascii="Arial" w:eastAsia="Arial" w:hAnsi="Arial"/>
                <w:b/>
              </w:rPr>
              <w:t>3rd</w:t>
            </w:r>
            <w:r w:rsidRPr="00481EC0">
              <w:rPr>
                <w:rFonts w:ascii="Arial" w:eastAsia="Arial" w:hAnsi="Arial"/>
                <w:b/>
              </w:rPr>
              <w:t xml:space="preserve"> Quartile</w:t>
            </w:r>
            <w:r w:rsidRPr="00481EC0">
              <w:rPr>
                <w:rFonts w:ascii="Arial" w:eastAsia="Arial" w:hAnsi="Arial"/>
                <w:b/>
              </w:rPr>
              <w:br/>
              <w:t>(75</w:t>
            </w:r>
            <w:r w:rsidRPr="0076075B">
              <w:rPr>
                <w:rFonts w:ascii="Arial" w:eastAsia="Arial" w:hAnsi="Arial"/>
                <w:b/>
              </w:rPr>
              <w:t>th</w:t>
            </w:r>
            <w:r w:rsidRPr="00481EC0">
              <w:rPr>
                <w:rFonts w:ascii="Arial" w:eastAsia="Arial" w:hAnsi="Arial"/>
                <w:b/>
              </w:rPr>
              <w:t xml:space="preserve"> </w:t>
            </w:r>
            <w:r w:rsidR="00347F5F">
              <w:rPr>
                <w:rFonts w:ascii="Arial" w:eastAsia="Arial" w:hAnsi="Arial"/>
                <w:b/>
              </w:rPr>
              <w:t>percent</w:t>
            </w:r>
            <w:r w:rsidRPr="00481EC0">
              <w:rPr>
                <w:rFonts w:ascii="Arial" w:eastAsia="Arial" w:hAnsi="Arial"/>
                <w:b/>
              </w:rPr>
              <w:t>ile)</w:t>
            </w:r>
          </w:p>
        </w:tc>
      </w:tr>
      <w:tr w:rsidR="007B29DD" w14:paraId="09C08EF7" w14:textId="77777777" w:rsidTr="00306AF1">
        <w:tc>
          <w:tcPr>
            <w:tcW w:w="2977" w:type="dxa"/>
          </w:tcPr>
          <w:p w14:paraId="044EDCBA" w14:textId="77777777" w:rsidR="007B29DD" w:rsidRDefault="007B29DD" w:rsidP="00306AF1">
            <w:pPr>
              <w:keepNext/>
            </w:pPr>
            <w:r w:rsidRPr="153FA76A">
              <w:rPr>
                <w:rFonts w:ascii="Arial" w:eastAsia="Arial" w:hAnsi="Arial" w:cs="Arial"/>
              </w:rPr>
              <w:t>Basement</w:t>
            </w:r>
          </w:p>
        </w:tc>
        <w:tc>
          <w:tcPr>
            <w:tcW w:w="1665" w:type="dxa"/>
          </w:tcPr>
          <w:p w14:paraId="60768BEF" w14:textId="77777777" w:rsidR="007B29DD" w:rsidRDefault="007B29DD" w:rsidP="00306AF1">
            <w:pPr>
              <w:keepNext/>
              <w:jc w:val="center"/>
            </w:pPr>
            <w:r w:rsidRPr="153FA76A">
              <w:rPr>
                <w:rFonts w:ascii="Arial" w:eastAsia="Arial" w:hAnsi="Arial" w:cs="Arial"/>
              </w:rPr>
              <w:t>BSE</w:t>
            </w:r>
          </w:p>
        </w:tc>
        <w:tc>
          <w:tcPr>
            <w:tcW w:w="1666" w:type="dxa"/>
          </w:tcPr>
          <w:p w14:paraId="3EE32ACA" w14:textId="77777777" w:rsidR="007B29DD" w:rsidRDefault="007B29DD" w:rsidP="00306AF1">
            <w:pPr>
              <w:keepNext/>
              <w:jc w:val="center"/>
            </w:pPr>
            <w:r w:rsidRPr="153FA76A">
              <w:rPr>
                <w:rFonts w:ascii="Arial" w:eastAsia="Arial" w:hAnsi="Arial" w:cs="Arial"/>
              </w:rPr>
              <w:t>14</w:t>
            </w:r>
          </w:p>
        </w:tc>
        <w:tc>
          <w:tcPr>
            <w:tcW w:w="1666" w:type="dxa"/>
          </w:tcPr>
          <w:p w14:paraId="2BED4E7E" w14:textId="77777777" w:rsidR="007B29DD" w:rsidRDefault="007B29DD" w:rsidP="00306AF1">
            <w:pPr>
              <w:keepNext/>
              <w:jc w:val="center"/>
            </w:pPr>
            <w:r w:rsidRPr="153FA76A">
              <w:rPr>
                <w:rFonts w:ascii="Arial" w:eastAsia="Arial" w:hAnsi="Arial" w:cs="Arial"/>
              </w:rPr>
              <w:t>23</w:t>
            </w:r>
          </w:p>
        </w:tc>
        <w:tc>
          <w:tcPr>
            <w:tcW w:w="1666" w:type="dxa"/>
          </w:tcPr>
          <w:p w14:paraId="49E8F9B6" w14:textId="77777777" w:rsidR="007B29DD" w:rsidRDefault="007B29DD" w:rsidP="00306AF1">
            <w:pPr>
              <w:keepNext/>
              <w:jc w:val="center"/>
            </w:pPr>
            <w:r w:rsidRPr="153FA76A">
              <w:rPr>
                <w:rFonts w:ascii="Arial" w:eastAsia="Arial" w:hAnsi="Arial" w:cs="Arial"/>
              </w:rPr>
              <w:t>34</w:t>
            </w:r>
          </w:p>
        </w:tc>
      </w:tr>
      <w:tr w:rsidR="007B29DD" w14:paraId="417597D1" w14:textId="77777777" w:rsidTr="00306AF1">
        <w:tc>
          <w:tcPr>
            <w:tcW w:w="2977" w:type="dxa"/>
          </w:tcPr>
          <w:p w14:paraId="3B395706" w14:textId="77777777" w:rsidR="007B29DD" w:rsidRDefault="007B29DD" w:rsidP="00306AF1">
            <w:pPr>
              <w:keepNext/>
            </w:pPr>
            <w:r w:rsidRPr="153FA76A">
              <w:rPr>
                <w:rFonts w:ascii="Arial" w:eastAsia="Arial" w:hAnsi="Arial" w:cs="Arial"/>
              </w:rPr>
              <w:t>Lower Tertiary Basalt (LTBA)</w:t>
            </w:r>
          </w:p>
        </w:tc>
        <w:tc>
          <w:tcPr>
            <w:tcW w:w="1665" w:type="dxa"/>
          </w:tcPr>
          <w:p w14:paraId="21CC4AFC" w14:textId="77777777" w:rsidR="007B29DD" w:rsidRDefault="007B29DD" w:rsidP="00306AF1">
            <w:pPr>
              <w:keepNext/>
              <w:jc w:val="center"/>
            </w:pPr>
            <w:r w:rsidRPr="153FA76A">
              <w:rPr>
                <w:rFonts w:ascii="Arial" w:eastAsia="Arial" w:hAnsi="Arial" w:cs="Arial"/>
              </w:rPr>
              <w:t>LTBA</w:t>
            </w:r>
          </w:p>
        </w:tc>
        <w:tc>
          <w:tcPr>
            <w:tcW w:w="1666" w:type="dxa"/>
          </w:tcPr>
          <w:p w14:paraId="35657C2A" w14:textId="77777777" w:rsidR="007B29DD" w:rsidRDefault="007B29DD" w:rsidP="00306AF1">
            <w:pPr>
              <w:keepNext/>
              <w:jc w:val="center"/>
            </w:pPr>
            <w:r w:rsidRPr="153FA76A">
              <w:rPr>
                <w:rFonts w:ascii="Arial" w:eastAsia="Arial" w:hAnsi="Arial" w:cs="Arial"/>
              </w:rPr>
              <w:t>37</w:t>
            </w:r>
          </w:p>
        </w:tc>
        <w:tc>
          <w:tcPr>
            <w:tcW w:w="1666" w:type="dxa"/>
          </w:tcPr>
          <w:p w14:paraId="11593033" w14:textId="77777777" w:rsidR="007B29DD" w:rsidRDefault="007B29DD" w:rsidP="00306AF1">
            <w:pPr>
              <w:keepNext/>
              <w:jc w:val="center"/>
            </w:pPr>
            <w:r w:rsidRPr="153FA76A">
              <w:rPr>
                <w:rFonts w:ascii="Arial" w:eastAsia="Arial" w:hAnsi="Arial" w:cs="Arial"/>
              </w:rPr>
              <w:t>54</w:t>
            </w:r>
          </w:p>
        </w:tc>
        <w:tc>
          <w:tcPr>
            <w:tcW w:w="1666" w:type="dxa"/>
          </w:tcPr>
          <w:p w14:paraId="259ADF4F" w14:textId="77777777" w:rsidR="007B29DD" w:rsidRDefault="007B29DD" w:rsidP="00306AF1">
            <w:pPr>
              <w:keepNext/>
              <w:jc w:val="center"/>
            </w:pPr>
            <w:r w:rsidRPr="153FA76A">
              <w:rPr>
                <w:rFonts w:ascii="Arial" w:eastAsia="Arial" w:hAnsi="Arial" w:cs="Arial"/>
              </w:rPr>
              <w:t>74</w:t>
            </w:r>
          </w:p>
        </w:tc>
      </w:tr>
      <w:tr w:rsidR="007B29DD" w14:paraId="0CE5F794" w14:textId="77777777" w:rsidTr="00306AF1">
        <w:tc>
          <w:tcPr>
            <w:tcW w:w="2977" w:type="dxa"/>
          </w:tcPr>
          <w:p w14:paraId="574DF6A7" w14:textId="77777777" w:rsidR="007B29DD" w:rsidRDefault="007B29DD" w:rsidP="00306AF1">
            <w:pPr>
              <w:keepNext/>
            </w:pPr>
            <w:r w:rsidRPr="153FA76A">
              <w:rPr>
                <w:rFonts w:ascii="Arial" w:eastAsia="Arial" w:hAnsi="Arial" w:cs="Arial"/>
              </w:rPr>
              <w:t>Lower Tertiary Basalt (LTBB)</w:t>
            </w:r>
          </w:p>
        </w:tc>
        <w:tc>
          <w:tcPr>
            <w:tcW w:w="1665" w:type="dxa"/>
          </w:tcPr>
          <w:p w14:paraId="64FC5AAE" w14:textId="77777777" w:rsidR="007B29DD" w:rsidRDefault="007B29DD" w:rsidP="00306AF1">
            <w:pPr>
              <w:keepNext/>
              <w:jc w:val="center"/>
            </w:pPr>
            <w:r w:rsidRPr="153FA76A">
              <w:rPr>
                <w:rFonts w:ascii="Arial" w:eastAsia="Arial" w:hAnsi="Arial" w:cs="Arial"/>
              </w:rPr>
              <w:t>LTBB</w:t>
            </w:r>
          </w:p>
        </w:tc>
        <w:tc>
          <w:tcPr>
            <w:tcW w:w="1666" w:type="dxa"/>
          </w:tcPr>
          <w:p w14:paraId="402FA246" w14:textId="77777777" w:rsidR="007B29DD" w:rsidRDefault="007B29DD" w:rsidP="00306AF1">
            <w:pPr>
              <w:keepNext/>
              <w:jc w:val="center"/>
            </w:pPr>
            <w:r w:rsidRPr="153FA76A">
              <w:rPr>
                <w:rFonts w:ascii="Arial" w:eastAsia="Arial" w:hAnsi="Arial" w:cs="Arial"/>
              </w:rPr>
              <w:t>26</w:t>
            </w:r>
          </w:p>
        </w:tc>
        <w:tc>
          <w:tcPr>
            <w:tcW w:w="1666" w:type="dxa"/>
          </w:tcPr>
          <w:p w14:paraId="7E7121D4" w14:textId="77777777" w:rsidR="007B29DD" w:rsidRDefault="007B29DD" w:rsidP="00306AF1">
            <w:pPr>
              <w:keepNext/>
              <w:jc w:val="center"/>
            </w:pPr>
            <w:r w:rsidRPr="153FA76A">
              <w:rPr>
                <w:rFonts w:ascii="Arial" w:eastAsia="Arial" w:hAnsi="Arial" w:cs="Arial"/>
              </w:rPr>
              <w:t>40</w:t>
            </w:r>
          </w:p>
        </w:tc>
        <w:tc>
          <w:tcPr>
            <w:tcW w:w="1666" w:type="dxa"/>
          </w:tcPr>
          <w:p w14:paraId="552BD061" w14:textId="77777777" w:rsidR="007B29DD" w:rsidRDefault="007B29DD" w:rsidP="00306AF1">
            <w:pPr>
              <w:keepNext/>
              <w:jc w:val="center"/>
            </w:pPr>
            <w:r w:rsidRPr="153FA76A">
              <w:rPr>
                <w:rFonts w:ascii="Arial" w:eastAsia="Arial" w:hAnsi="Arial" w:cs="Arial"/>
              </w:rPr>
              <w:t>87</w:t>
            </w:r>
          </w:p>
        </w:tc>
      </w:tr>
      <w:tr w:rsidR="007B29DD" w14:paraId="59555EAB" w14:textId="77777777" w:rsidTr="00306AF1">
        <w:tc>
          <w:tcPr>
            <w:tcW w:w="2977" w:type="dxa"/>
          </w:tcPr>
          <w:p w14:paraId="6D57902D" w14:textId="77777777" w:rsidR="007B29DD" w:rsidRDefault="007B29DD" w:rsidP="00306AF1">
            <w:pPr>
              <w:keepNext/>
            </w:pPr>
            <w:r w:rsidRPr="153FA76A">
              <w:rPr>
                <w:rFonts w:ascii="Arial" w:eastAsia="Arial" w:hAnsi="Arial" w:cs="Arial"/>
              </w:rPr>
              <w:t>Lower Tertiary Aquifer</w:t>
            </w:r>
          </w:p>
        </w:tc>
        <w:tc>
          <w:tcPr>
            <w:tcW w:w="1665" w:type="dxa"/>
          </w:tcPr>
          <w:p w14:paraId="5342FD04" w14:textId="77777777" w:rsidR="007B29DD" w:rsidRDefault="007B29DD" w:rsidP="00306AF1">
            <w:pPr>
              <w:keepNext/>
              <w:jc w:val="center"/>
            </w:pPr>
            <w:r w:rsidRPr="153FA76A">
              <w:rPr>
                <w:rFonts w:ascii="Arial" w:eastAsia="Arial" w:hAnsi="Arial" w:cs="Arial"/>
              </w:rPr>
              <w:t>LTA</w:t>
            </w:r>
          </w:p>
        </w:tc>
        <w:tc>
          <w:tcPr>
            <w:tcW w:w="1666" w:type="dxa"/>
          </w:tcPr>
          <w:p w14:paraId="4BF1673B" w14:textId="77777777" w:rsidR="007B29DD" w:rsidRDefault="007B29DD" w:rsidP="00306AF1">
            <w:pPr>
              <w:keepNext/>
              <w:jc w:val="center"/>
            </w:pPr>
            <w:r w:rsidRPr="153FA76A">
              <w:rPr>
                <w:rFonts w:ascii="Arial" w:eastAsia="Arial" w:hAnsi="Arial" w:cs="Arial"/>
              </w:rPr>
              <w:t>13</w:t>
            </w:r>
          </w:p>
        </w:tc>
        <w:tc>
          <w:tcPr>
            <w:tcW w:w="1666" w:type="dxa"/>
          </w:tcPr>
          <w:p w14:paraId="0712280A" w14:textId="77777777" w:rsidR="007B29DD" w:rsidRDefault="007B29DD" w:rsidP="00306AF1">
            <w:pPr>
              <w:keepNext/>
              <w:jc w:val="center"/>
            </w:pPr>
            <w:r w:rsidRPr="153FA76A">
              <w:rPr>
                <w:rFonts w:ascii="Arial" w:eastAsia="Arial" w:hAnsi="Arial" w:cs="Arial"/>
              </w:rPr>
              <w:t>17</w:t>
            </w:r>
          </w:p>
        </w:tc>
        <w:tc>
          <w:tcPr>
            <w:tcW w:w="1666" w:type="dxa"/>
          </w:tcPr>
          <w:p w14:paraId="5E96C6CC" w14:textId="77777777" w:rsidR="007B29DD" w:rsidRDefault="007B29DD" w:rsidP="00306AF1">
            <w:pPr>
              <w:keepNext/>
              <w:jc w:val="center"/>
            </w:pPr>
            <w:r w:rsidRPr="153FA76A">
              <w:rPr>
                <w:rFonts w:ascii="Arial" w:eastAsia="Arial" w:hAnsi="Arial" w:cs="Arial"/>
              </w:rPr>
              <w:t>48</w:t>
            </w:r>
          </w:p>
        </w:tc>
      </w:tr>
      <w:tr w:rsidR="007B29DD" w14:paraId="55DEF499" w14:textId="77777777" w:rsidTr="00306AF1">
        <w:tc>
          <w:tcPr>
            <w:tcW w:w="2977" w:type="dxa"/>
          </w:tcPr>
          <w:p w14:paraId="3B1DA8CD" w14:textId="77777777" w:rsidR="007B29DD" w:rsidRDefault="007B29DD" w:rsidP="00306AF1">
            <w:pPr>
              <w:keepNext/>
            </w:pPr>
            <w:r w:rsidRPr="153FA76A">
              <w:rPr>
                <w:rFonts w:ascii="Arial" w:eastAsia="Arial" w:hAnsi="Arial" w:cs="Arial"/>
              </w:rPr>
              <w:t>Lower Mid-Tertiary Aquifer</w:t>
            </w:r>
          </w:p>
        </w:tc>
        <w:tc>
          <w:tcPr>
            <w:tcW w:w="1665" w:type="dxa"/>
          </w:tcPr>
          <w:p w14:paraId="7BE1A2C6" w14:textId="77777777" w:rsidR="007B29DD" w:rsidRDefault="007B29DD" w:rsidP="00306AF1">
            <w:pPr>
              <w:keepNext/>
              <w:jc w:val="center"/>
            </w:pPr>
            <w:r w:rsidRPr="153FA76A">
              <w:rPr>
                <w:rFonts w:ascii="Arial" w:eastAsia="Arial" w:hAnsi="Arial" w:cs="Arial"/>
              </w:rPr>
              <w:t>LMTD</w:t>
            </w:r>
          </w:p>
        </w:tc>
        <w:tc>
          <w:tcPr>
            <w:tcW w:w="1666" w:type="dxa"/>
          </w:tcPr>
          <w:p w14:paraId="1A2E9220" w14:textId="77777777" w:rsidR="007B29DD" w:rsidRDefault="007B29DD" w:rsidP="00306AF1">
            <w:pPr>
              <w:keepNext/>
              <w:jc w:val="center"/>
            </w:pPr>
            <w:r w:rsidRPr="153FA76A">
              <w:rPr>
                <w:rFonts w:ascii="Arial" w:eastAsia="Arial" w:hAnsi="Arial" w:cs="Arial"/>
              </w:rPr>
              <w:t>16</w:t>
            </w:r>
          </w:p>
        </w:tc>
        <w:tc>
          <w:tcPr>
            <w:tcW w:w="1666" w:type="dxa"/>
          </w:tcPr>
          <w:p w14:paraId="07A88369" w14:textId="77777777" w:rsidR="007B29DD" w:rsidRDefault="007B29DD" w:rsidP="00306AF1">
            <w:pPr>
              <w:keepNext/>
              <w:jc w:val="center"/>
            </w:pPr>
            <w:r w:rsidRPr="153FA76A">
              <w:rPr>
                <w:rFonts w:ascii="Arial" w:eastAsia="Arial" w:hAnsi="Arial" w:cs="Arial"/>
              </w:rPr>
              <w:t>26</w:t>
            </w:r>
          </w:p>
        </w:tc>
        <w:tc>
          <w:tcPr>
            <w:tcW w:w="1666" w:type="dxa"/>
          </w:tcPr>
          <w:p w14:paraId="66C605F2" w14:textId="77777777" w:rsidR="007B29DD" w:rsidRDefault="007B29DD" w:rsidP="00306AF1">
            <w:pPr>
              <w:keepNext/>
              <w:jc w:val="center"/>
            </w:pPr>
            <w:r w:rsidRPr="153FA76A">
              <w:rPr>
                <w:rFonts w:ascii="Arial" w:eastAsia="Arial" w:hAnsi="Arial" w:cs="Arial"/>
              </w:rPr>
              <w:t>34</w:t>
            </w:r>
          </w:p>
        </w:tc>
      </w:tr>
      <w:tr w:rsidR="007B29DD" w14:paraId="072CB525" w14:textId="77777777" w:rsidTr="00306AF1">
        <w:tc>
          <w:tcPr>
            <w:tcW w:w="2977" w:type="dxa"/>
          </w:tcPr>
          <w:p w14:paraId="655A69B2" w14:textId="77777777" w:rsidR="007B29DD" w:rsidRDefault="007B29DD" w:rsidP="00306AF1">
            <w:pPr>
              <w:keepNext/>
            </w:pPr>
            <w:r w:rsidRPr="153FA76A">
              <w:rPr>
                <w:rFonts w:ascii="Arial" w:eastAsia="Arial" w:hAnsi="Arial" w:cs="Arial"/>
              </w:rPr>
              <w:t>Upper Mid-Tertiary Aquifer</w:t>
            </w:r>
          </w:p>
        </w:tc>
        <w:tc>
          <w:tcPr>
            <w:tcW w:w="1665" w:type="dxa"/>
          </w:tcPr>
          <w:p w14:paraId="5895C2E1" w14:textId="77777777" w:rsidR="007B29DD" w:rsidRDefault="007B29DD" w:rsidP="00306AF1">
            <w:pPr>
              <w:keepNext/>
              <w:jc w:val="center"/>
            </w:pPr>
            <w:r w:rsidRPr="153FA76A">
              <w:rPr>
                <w:rFonts w:ascii="Arial" w:eastAsia="Arial" w:hAnsi="Arial" w:cs="Arial"/>
              </w:rPr>
              <w:t>UMTA</w:t>
            </w:r>
          </w:p>
        </w:tc>
        <w:tc>
          <w:tcPr>
            <w:tcW w:w="1666" w:type="dxa"/>
          </w:tcPr>
          <w:p w14:paraId="04621D30" w14:textId="77777777" w:rsidR="007B29DD" w:rsidRDefault="007B29DD" w:rsidP="00306AF1">
            <w:pPr>
              <w:keepNext/>
              <w:jc w:val="center"/>
            </w:pPr>
            <w:r w:rsidRPr="153FA76A">
              <w:rPr>
                <w:rFonts w:ascii="Arial" w:eastAsia="Arial" w:hAnsi="Arial" w:cs="Arial"/>
              </w:rPr>
              <w:t>21</w:t>
            </w:r>
          </w:p>
        </w:tc>
        <w:tc>
          <w:tcPr>
            <w:tcW w:w="1666" w:type="dxa"/>
          </w:tcPr>
          <w:p w14:paraId="4306800C" w14:textId="77777777" w:rsidR="007B29DD" w:rsidRDefault="007B29DD" w:rsidP="00306AF1">
            <w:pPr>
              <w:keepNext/>
              <w:jc w:val="center"/>
            </w:pPr>
            <w:r w:rsidRPr="153FA76A">
              <w:rPr>
                <w:rFonts w:ascii="Arial" w:eastAsia="Arial" w:hAnsi="Arial" w:cs="Arial"/>
              </w:rPr>
              <w:t>34</w:t>
            </w:r>
          </w:p>
        </w:tc>
        <w:tc>
          <w:tcPr>
            <w:tcW w:w="1666" w:type="dxa"/>
          </w:tcPr>
          <w:p w14:paraId="6B6B1C61" w14:textId="77777777" w:rsidR="007B29DD" w:rsidRDefault="007B29DD" w:rsidP="00306AF1">
            <w:pPr>
              <w:keepNext/>
              <w:jc w:val="center"/>
            </w:pPr>
            <w:r w:rsidRPr="153FA76A">
              <w:rPr>
                <w:rFonts w:ascii="Arial" w:eastAsia="Arial" w:hAnsi="Arial" w:cs="Arial"/>
              </w:rPr>
              <w:t>60</w:t>
            </w:r>
          </w:p>
        </w:tc>
      </w:tr>
      <w:tr w:rsidR="007B29DD" w14:paraId="5E64D291" w14:textId="77777777" w:rsidTr="00306AF1">
        <w:tc>
          <w:tcPr>
            <w:tcW w:w="2977" w:type="dxa"/>
          </w:tcPr>
          <w:p w14:paraId="592E0250" w14:textId="77777777" w:rsidR="007B29DD" w:rsidRDefault="007B29DD" w:rsidP="00306AF1">
            <w:pPr>
              <w:keepNext/>
            </w:pPr>
            <w:r w:rsidRPr="153FA76A">
              <w:rPr>
                <w:rFonts w:ascii="Arial" w:eastAsia="Arial" w:hAnsi="Arial" w:cs="Arial"/>
              </w:rPr>
              <w:t>Upper Tertairy Aquifer Fluvial</w:t>
            </w:r>
          </w:p>
        </w:tc>
        <w:tc>
          <w:tcPr>
            <w:tcW w:w="1665" w:type="dxa"/>
          </w:tcPr>
          <w:p w14:paraId="551BA7E7" w14:textId="77777777" w:rsidR="007B29DD" w:rsidRDefault="007B29DD" w:rsidP="00306AF1">
            <w:pPr>
              <w:keepNext/>
              <w:jc w:val="center"/>
            </w:pPr>
            <w:r w:rsidRPr="153FA76A">
              <w:rPr>
                <w:rFonts w:ascii="Arial" w:eastAsia="Arial" w:hAnsi="Arial" w:cs="Arial"/>
              </w:rPr>
              <w:t>UTAF</w:t>
            </w:r>
          </w:p>
        </w:tc>
        <w:tc>
          <w:tcPr>
            <w:tcW w:w="1666" w:type="dxa"/>
          </w:tcPr>
          <w:p w14:paraId="210537E4" w14:textId="77777777" w:rsidR="007B29DD" w:rsidRDefault="007B29DD" w:rsidP="00306AF1">
            <w:pPr>
              <w:keepNext/>
              <w:jc w:val="center"/>
            </w:pPr>
            <w:r w:rsidRPr="153FA76A">
              <w:rPr>
                <w:rFonts w:ascii="Arial" w:eastAsia="Arial" w:hAnsi="Arial" w:cs="Arial"/>
              </w:rPr>
              <w:t>15</w:t>
            </w:r>
          </w:p>
        </w:tc>
        <w:tc>
          <w:tcPr>
            <w:tcW w:w="1666" w:type="dxa"/>
          </w:tcPr>
          <w:p w14:paraId="603DD9AD" w14:textId="77777777" w:rsidR="007B29DD" w:rsidRDefault="007B29DD" w:rsidP="00306AF1">
            <w:pPr>
              <w:keepNext/>
              <w:jc w:val="center"/>
            </w:pPr>
            <w:r w:rsidRPr="153FA76A">
              <w:rPr>
                <w:rFonts w:ascii="Arial" w:eastAsia="Arial" w:hAnsi="Arial" w:cs="Arial"/>
              </w:rPr>
              <w:t>20</w:t>
            </w:r>
          </w:p>
        </w:tc>
        <w:tc>
          <w:tcPr>
            <w:tcW w:w="1666" w:type="dxa"/>
          </w:tcPr>
          <w:p w14:paraId="3FD4B65D" w14:textId="77777777" w:rsidR="007B29DD" w:rsidRDefault="007B29DD" w:rsidP="00306AF1">
            <w:pPr>
              <w:keepNext/>
              <w:jc w:val="center"/>
            </w:pPr>
            <w:r w:rsidRPr="153FA76A">
              <w:rPr>
                <w:rFonts w:ascii="Arial" w:eastAsia="Arial" w:hAnsi="Arial" w:cs="Arial"/>
              </w:rPr>
              <w:t>27</w:t>
            </w:r>
          </w:p>
        </w:tc>
      </w:tr>
      <w:tr w:rsidR="007B29DD" w14:paraId="1C38BB78" w14:textId="77777777" w:rsidTr="00306AF1">
        <w:tc>
          <w:tcPr>
            <w:tcW w:w="2977" w:type="dxa"/>
          </w:tcPr>
          <w:p w14:paraId="5CEEFB23" w14:textId="77777777" w:rsidR="007B29DD" w:rsidRDefault="007B29DD" w:rsidP="00306AF1">
            <w:pPr>
              <w:keepNext/>
            </w:pPr>
            <w:r w:rsidRPr="153FA76A">
              <w:rPr>
                <w:rFonts w:ascii="Arial" w:eastAsia="Arial" w:hAnsi="Arial" w:cs="Arial"/>
              </w:rPr>
              <w:t>Upper Tertiary Aquifer Marine</w:t>
            </w:r>
          </w:p>
        </w:tc>
        <w:tc>
          <w:tcPr>
            <w:tcW w:w="1665" w:type="dxa"/>
          </w:tcPr>
          <w:p w14:paraId="57254E39" w14:textId="77777777" w:rsidR="007B29DD" w:rsidRDefault="007B29DD" w:rsidP="00306AF1">
            <w:pPr>
              <w:keepNext/>
              <w:jc w:val="center"/>
            </w:pPr>
            <w:r w:rsidRPr="153FA76A">
              <w:rPr>
                <w:rFonts w:ascii="Arial" w:eastAsia="Arial" w:hAnsi="Arial" w:cs="Arial"/>
              </w:rPr>
              <w:t>UTAM</w:t>
            </w:r>
          </w:p>
        </w:tc>
        <w:tc>
          <w:tcPr>
            <w:tcW w:w="1666" w:type="dxa"/>
          </w:tcPr>
          <w:p w14:paraId="4D36B8BF" w14:textId="77777777" w:rsidR="007B29DD" w:rsidRDefault="007B29DD" w:rsidP="00306AF1">
            <w:pPr>
              <w:keepNext/>
              <w:jc w:val="center"/>
            </w:pPr>
            <w:r w:rsidRPr="153FA76A">
              <w:rPr>
                <w:rFonts w:ascii="Arial" w:eastAsia="Arial" w:hAnsi="Arial" w:cs="Arial"/>
              </w:rPr>
              <w:t>9</w:t>
            </w:r>
          </w:p>
        </w:tc>
        <w:tc>
          <w:tcPr>
            <w:tcW w:w="1666" w:type="dxa"/>
          </w:tcPr>
          <w:p w14:paraId="475A61A3" w14:textId="77777777" w:rsidR="007B29DD" w:rsidRDefault="007B29DD" w:rsidP="00306AF1">
            <w:pPr>
              <w:keepNext/>
              <w:jc w:val="center"/>
            </w:pPr>
            <w:r w:rsidRPr="153FA76A">
              <w:rPr>
                <w:rFonts w:ascii="Arial" w:eastAsia="Arial" w:hAnsi="Arial" w:cs="Arial"/>
              </w:rPr>
              <w:t>17</w:t>
            </w:r>
          </w:p>
        </w:tc>
        <w:tc>
          <w:tcPr>
            <w:tcW w:w="1666" w:type="dxa"/>
          </w:tcPr>
          <w:p w14:paraId="7160736B" w14:textId="77777777" w:rsidR="007B29DD" w:rsidRDefault="007B29DD" w:rsidP="00306AF1">
            <w:pPr>
              <w:keepNext/>
              <w:jc w:val="center"/>
            </w:pPr>
            <w:r w:rsidRPr="153FA76A">
              <w:rPr>
                <w:rFonts w:ascii="Arial" w:eastAsia="Arial" w:hAnsi="Arial" w:cs="Arial"/>
              </w:rPr>
              <w:t>40</w:t>
            </w:r>
          </w:p>
        </w:tc>
      </w:tr>
      <w:tr w:rsidR="007B29DD" w14:paraId="1D035FA1" w14:textId="77777777" w:rsidTr="00306AF1">
        <w:tc>
          <w:tcPr>
            <w:tcW w:w="2977" w:type="dxa"/>
          </w:tcPr>
          <w:p w14:paraId="477CBE23" w14:textId="77777777" w:rsidR="007B29DD" w:rsidRDefault="007B29DD" w:rsidP="00306AF1">
            <w:pPr>
              <w:keepNext/>
            </w:pPr>
            <w:r w:rsidRPr="153FA76A">
              <w:rPr>
                <w:rFonts w:ascii="Arial" w:eastAsia="Arial" w:hAnsi="Arial" w:cs="Arial"/>
              </w:rPr>
              <w:t>Upper Tertiary Basalt</w:t>
            </w:r>
          </w:p>
        </w:tc>
        <w:tc>
          <w:tcPr>
            <w:tcW w:w="1665" w:type="dxa"/>
          </w:tcPr>
          <w:p w14:paraId="179732DD" w14:textId="77777777" w:rsidR="007B29DD" w:rsidRDefault="007B29DD" w:rsidP="00306AF1">
            <w:pPr>
              <w:keepNext/>
              <w:jc w:val="center"/>
            </w:pPr>
            <w:r w:rsidRPr="153FA76A">
              <w:rPr>
                <w:rFonts w:ascii="Arial" w:eastAsia="Arial" w:hAnsi="Arial" w:cs="Arial"/>
              </w:rPr>
              <w:t>UTB</w:t>
            </w:r>
          </w:p>
        </w:tc>
        <w:tc>
          <w:tcPr>
            <w:tcW w:w="1666" w:type="dxa"/>
          </w:tcPr>
          <w:p w14:paraId="1E86FC36" w14:textId="77777777" w:rsidR="007B29DD" w:rsidRDefault="007B29DD" w:rsidP="00306AF1">
            <w:pPr>
              <w:keepNext/>
              <w:jc w:val="center"/>
            </w:pPr>
            <w:r w:rsidRPr="153FA76A">
              <w:rPr>
                <w:rFonts w:ascii="Arial" w:eastAsia="Arial" w:hAnsi="Arial" w:cs="Arial"/>
              </w:rPr>
              <w:t>22</w:t>
            </w:r>
          </w:p>
        </w:tc>
        <w:tc>
          <w:tcPr>
            <w:tcW w:w="1666" w:type="dxa"/>
          </w:tcPr>
          <w:p w14:paraId="3B8678BC" w14:textId="77777777" w:rsidR="007B29DD" w:rsidRDefault="007B29DD" w:rsidP="00306AF1">
            <w:pPr>
              <w:keepNext/>
              <w:jc w:val="center"/>
            </w:pPr>
            <w:r w:rsidRPr="153FA76A">
              <w:rPr>
                <w:rFonts w:ascii="Arial" w:eastAsia="Arial" w:hAnsi="Arial" w:cs="Arial"/>
              </w:rPr>
              <w:t>30</w:t>
            </w:r>
          </w:p>
        </w:tc>
        <w:tc>
          <w:tcPr>
            <w:tcW w:w="1666" w:type="dxa"/>
          </w:tcPr>
          <w:p w14:paraId="30D2AB53" w14:textId="77777777" w:rsidR="007B29DD" w:rsidRDefault="007B29DD" w:rsidP="00306AF1">
            <w:pPr>
              <w:keepNext/>
              <w:jc w:val="center"/>
            </w:pPr>
            <w:r w:rsidRPr="153FA76A">
              <w:rPr>
                <w:rFonts w:ascii="Arial" w:eastAsia="Arial" w:hAnsi="Arial" w:cs="Arial"/>
              </w:rPr>
              <w:t>39</w:t>
            </w:r>
          </w:p>
        </w:tc>
      </w:tr>
      <w:tr w:rsidR="007B29DD" w14:paraId="214AD5BF" w14:textId="77777777" w:rsidTr="00306AF1">
        <w:tc>
          <w:tcPr>
            <w:tcW w:w="2977" w:type="dxa"/>
          </w:tcPr>
          <w:p w14:paraId="25785A1D" w14:textId="77777777" w:rsidR="007B29DD" w:rsidRDefault="007B29DD" w:rsidP="00306AF1">
            <w:pPr>
              <w:keepNext/>
            </w:pPr>
            <w:r w:rsidRPr="153FA76A">
              <w:rPr>
                <w:rFonts w:ascii="Arial" w:eastAsia="Arial" w:hAnsi="Arial" w:cs="Arial"/>
              </w:rPr>
              <w:t>Upper Tertiary Quaternary</w:t>
            </w:r>
          </w:p>
        </w:tc>
        <w:tc>
          <w:tcPr>
            <w:tcW w:w="1665" w:type="dxa"/>
          </w:tcPr>
          <w:p w14:paraId="1525CDF9" w14:textId="77777777" w:rsidR="007B29DD" w:rsidRDefault="007B29DD" w:rsidP="00306AF1">
            <w:pPr>
              <w:keepNext/>
              <w:jc w:val="center"/>
            </w:pPr>
            <w:r w:rsidRPr="153FA76A">
              <w:rPr>
                <w:rFonts w:ascii="Arial" w:eastAsia="Arial" w:hAnsi="Arial" w:cs="Arial"/>
              </w:rPr>
              <w:t>UTQA</w:t>
            </w:r>
          </w:p>
        </w:tc>
        <w:tc>
          <w:tcPr>
            <w:tcW w:w="1666" w:type="dxa"/>
          </w:tcPr>
          <w:p w14:paraId="665B8F37" w14:textId="77777777" w:rsidR="007B29DD" w:rsidRDefault="007B29DD" w:rsidP="00306AF1">
            <w:pPr>
              <w:keepNext/>
              <w:jc w:val="center"/>
            </w:pPr>
            <w:r w:rsidRPr="153FA76A">
              <w:rPr>
                <w:rFonts w:ascii="Arial" w:eastAsia="Arial" w:hAnsi="Arial" w:cs="Arial"/>
              </w:rPr>
              <w:t>14</w:t>
            </w:r>
          </w:p>
        </w:tc>
        <w:tc>
          <w:tcPr>
            <w:tcW w:w="1666" w:type="dxa"/>
          </w:tcPr>
          <w:p w14:paraId="61920EF0" w14:textId="77777777" w:rsidR="007B29DD" w:rsidRDefault="007B29DD" w:rsidP="00306AF1">
            <w:pPr>
              <w:keepNext/>
              <w:jc w:val="center"/>
            </w:pPr>
            <w:r w:rsidRPr="153FA76A">
              <w:rPr>
                <w:rFonts w:ascii="Arial" w:eastAsia="Arial" w:hAnsi="Arial" w:cs="Arial"/>
              </w:rPr>
              <w:t>22</w:t>
            </w:r>
          </w:p>
        </w:tc>
        <w:tc>
          <w:tcPr>
            <w:tcW w:w="1666" w:type="dxa"/>
          </w:tcPr>
          <w:p w14:paraId="3B5404D9" w14:textId="77777777" w:rsidR="007B29DD" w:rsidRDefault="007B29DD" w:rsidP="00306AF1">
            <w:pPr>
              <w:keepNext/>
              <w:jc w:val="center"/>
            </w:pPr>
            <w:r w:rsidRPr="153FA76A">
              <w:rPr>
                <w:rFonts w:ascii="Arial" w:eastAsia="Arial" w:hAnsi="Arial" w:cs="Arial"/>
              </w:rPr>
              <w:t>35</w:t>
            </w:r>
          </w:p>
        </w:tc>
      </w:tr>
      <w:tr w:rsidR="007B29DD" w14:paraId="70FC215F" w14:textId="77777777" w:rsidTr="00306AF1">
        <w:tc>
          <w:tcPr>
            <w:tcW w:w="2977" w:type="dxa"/>
          </w:tcPr>
          <w:p w14:paraId="4EF6BCDA" w14:textId="77777777" w:rsidR="007B29DD" w:rsidRDefault="007B29DD" w:rsidP="00306AF1">
            <w:r w:rsidRPr="153FA76A">
              <w:rPr>
                <w:rFonts w:ascii="Arial" w:eastAsia="Arial" w:hAnsi="Arial" w:cs="Arial"/>
              </w:rPr>
              <w:t>Quaternary</w:t>
            </w:r>
          </w:p>
        </w:tc>
        <w:tc>
          <w:tcPr>
            <w:tcW w:w="1665" w:type="dxa"/>
          </w:tcPr>
          <w:p w14:paraId="6AB7E770" w14:textId="77777777" w:rsidR="007B29DD" w:rsidRDefault="007B29DD" w:rsidP="00306AF1">
            <w:pPr>
              <w:jc w:val="center"/>
            </w:pPr>
            <w:r w:rsidRPr="153FA76A">
              <w:rPr>
                <w:rFonts w:ascii="Arial" w:eastAsia="Arial" w:hAnsi="Arial" w:cs="Arial"/>
              </w:rPr>
              <w:t>QA</w:t>
            </w:r>
          </w:p>
        </w:tc>
        <w:tc>
          <w:tcPr>
            <w:tcW w:w="1666" w:type="dxa"/>
          </w:tcPr>
          <w:p w14:paraId="2C369146" w14:textId="77777777" w:rsidR="007B29DD" w:rsidRDefault="007B29DD" w:rsidP="00306AF1">
            <w:pPr>
              <w:jc w:val="center"/>
            </w:pPr>
            <w:r w:rsidRPr="153FA76A">
              <w:rPr>
                <w:rFonts w:ascii="Arial" w:eastAsia="Arial" w:hAnsi="Arial" w:cs="Arial"/>
              </w:rPr>
              <w:t>12</w:t>
            </w:r>
          </w:p>
        </w:tc>
        <w:tc>
          <w:tcPr>
            <w:tcW w:w="1666" w:type="dxa"/>
          </w:tcPr>
          <w:p w14:paraId="446FFF40" w14:textId="77777777" w:rsidR="007B29DD" w:rsidRDefault="007B29DD" w:rsidP="00306AF1">
            <w:pPr>
              <w:jc w:val="center"/>
            </w:pPr>
            <w:r w:rsidRPr="153FA76A">
              <w:rPr>
                <w:rFonts w:ascii="Arial" w:eastAsia="Arial" w:hAnsi="Arial" w:cs="Arial"/>
              </w:rPr>
              <w:t>24</w:t>
            </w:r>
          </w:p>
        </w:tc>
        <w:tc>
          <w:tcPr>
            <w:tcW w:w="1666" w:type="dxa"/>
          </w:tcPr>
          <w:p w14:paraId="17A00568" w14:textId="77777777" w:rsidR="007B29DD" w:rsidRDefault="007B29DD" w:rsidP="00306AF1">
            <w:pPr>
              <w:jc w:val="center"/>
            </w:pPr>
            <w:r w:rsidRPr="153FA76A">
              <w:rPr>
                <w:rFonts w:ascii="Arial" w:eastAsia="Arial" w:hAnsi="Arial" w:cs="Arial"/>
              </w:rPr>
              <w:t>43</w:t>
            </w:r>
          </w:p>
        </w:tc>
      </w:tr>
    </w:tbl>
    <w:p w14:paraId="13993B5E" w14:textId="77777777" w:rsidR="007B29DD" w:rsidRDefault="007B29DD" w:rsidP="007B29DD">
      <w:pPr>
        <w:rPr>
          <w:rFonts w:eastAsiaTheme="minorEastAsia"/>
          <w:sz w:val="18"/>
          <w:szCs w:val="18"/>
          <w:u w:val="single"/>
        </w:rPr>
      </w:pPr>
    </w:p>
    <w:p w14:paraId="78873061" w14:textId="77777777" w:rsidR="007B29DD" w:rsidRPr="000E3D6B" w:rsidRDefault="007B29DD" w:rsidP="007B29DD">
      <w:pPr>
        <w:pStyle w:val="BodyText"/>
        <w:rPr>
          <w:lang w:eastAsia="en-AU"/>
        </w:rPr>
      </w:pPr>
      <w:r w:rsidRPr="000E3D6B">
        <w:rPr>
          <w:lang w:eastAsia="en-AU"/>
        </w:rPr>
        <w:t xml:space="preserve">When </w:t>
      </w:r>
      <w:r>
        <w:rPr>
          <w:lang w:eastAsia="en-AU"/>
        </w:rPr>
        <w:t xml:space="preserve">applying the values in </w:t>
      </w:r>
      <w:r>
        <w:rPr>
          <w:lang w:eastAsia="en-AU"/>
        </w:rPr>
        <w:fldChar w:fldCharType="begin"/>
      </w:r>
      <w:r>
        <w:rPr>
          <w:lang w:eastAsia="en-AU"/>
        </w:rPr>
        <w:instrText xml:space="preserve"> REF _Ref42775526 \h </w:instrText>
      </w:r>
      <w:r>
        <w:rPr>
          <w:lang w:eastAsia="en-AU"/>
        </w:rPr>
      </w:r>
      <w:r>
        <w:rPr>
          <w:lang w:eastAsia="en-AU"/>
        </w:rPr>
        <w:fldChar w:fldCharType="separate"/>
      </w:r>
      <w:r>
        <w:t xml:space="preserve">Table </w:t>
      </w:r>
      <w:r>
        <w:rPr>
          <w:noProof/>
        </w:rPr>
        <w:t>7</w:t>
      </w:r>
      <w:r>
        <w:rPr>
          <w:lang w:eastAsia="en-AU"/>
        </w:rPr>
        <w:fldChar w:fldCharType="end"/>
      </w:r>
      <w:r>
        <w:rPr>
          <w:lang w:eastAsia="en-AU"/>
        </w:rPr>
        <w:t>, note that:</w:t>
      </w:r>
    </w:p>
    <w:p w14:paraId="7557F205" w14:textId="77777777" w:rsidR="007B29DD" w:rsidRPr="000E3D6B" w:rsidRDefault="007B29DD" w:rsidP="007B29DD">
      <w:pPr>
        <w:pStyle w:val="BodyText"/>
        <w:numPr>
          <w:ilvl w:val="0"/>
          <w:numId w:val="33"/>
        </w:numPr>
        <w:rPr>
          <w:lang w:eastAsia="en-AU"/>
        </w:rPr>
      </w:pPr>
      <w:r w:rsidRPr="000E3D6B">
        <w:rPr>
          <w:lang w:eastAsia="en-AU"/>
        </w:rPr>
        <w:t>Recharge rates are determined from prior assessments including field studies and investigations and</w:t>
      </w:r>
      <w:r>
        <w:rPr>
          <w:lang w:eastAsia="en-AU"/>
        </w:rPr>
        <w:t>,</w:t>
      </w:r>
      <w:r w:rsidRPr="000E3D6B">
        <w:rPr>
          <w:lang w:eastAsia="en-AU"/>
        </w:rPr>
        <w:t xml:space="preserve"> in some instances</w:t>
      </w:r>
      <w:r>
        <w:rPr>
          <w:lang w:eastAsia="en-AU"/>
        </w:rPr>
        <w:t>,</w:t>
      </w:r>
      <w:r w:rsidRPr="000E3D6B">
        <w:rPr>
          <w:lang w:eastAsia="en-AU"/>
        </w:rPr>
        <w:t xml:space="preserve"> groundwater models.</w:t>
      </w:r>
    </w:p>
    <w:p w14:paraId="49ECA287" w14:textId="77777777" w:rsidR="007B29DD" w:rsidRPr="000E3D6B" w:rsidRDefault="007B29DD" w:rsidP="007B29DD">
      <w:pPr>
        <w:pStyle w:val="BodyText"/>
        <w:numPr>
          <w:ilvl w:val="0"/>
          <w:numId w:val="33"/>
        </w:numPr>
        <w:rPr>
          <w:lang w:eastAsia="en-AU"/>
        </w:rPr>
      </w:pPr>
      <w:r w:rsidRPr="000E3D6B">
        <w:rPr>
          <w:lang w:eastAsia="en-AU"/>
        </w:rPr>
        <w:t>These recharge rates include irrigation accessions and flood recharge in some cases and so should be used with caution for areas that are recharged solely by diffuse (rainfall driven) recharge.</w:t>
      </w:r>
    </w:p>
    <w:p w14:paraId="1623E080" w14:textId="77777777" w:rsidR="007B29DD" w:rsidRPr="000E3D6B" w:rsidRDefault="007B29DD" w:rsidP="007B29DD">
      <w:pPr>
        <w:pStyle w:val="BodyText"/>
        <w:numPr>
          <w:ilvl w:val="0"/>
          <w:numId w:val="33"/>
        </w:numPr>
        <w:rPr>
          <w:lang w:eastAsia="en-AU"/>
        </w:rPr>
      </w:pPr>
      <w:r w:rsidRPr="000E3D6B">
        <w:rPr>
          <w:lang w:eastAsia="en-AU"/>
        </w:rPr>
        <w:t xml:space="preserve">Local conditions need to be considered when using these rates: </w:t>
      </w:r>
    </w:p>
    <w:p w14:paraId="79683E9A" w14:textId="77777777" w:rsidR="007B29DD" w:rsidRPr="000E3D6B" w:rsidRDefault="007B29DD" w:rsidP="007B29DD">
      <w:pPr>
        <w:pStyle w:val="BodyText"/>
        <w:numPr>
          <w:ilvl w:val="1"/>
          <w:numId w:val="33"/>
        </w:numPr>
        <w:rPr>
          <w:lang w:eastAsia="en-AU"/>
        </w:rPr>
      </w:pPr>
      <w:r>
        <w:rPr>
          <w:lang w:eastAsia="en-AU"/>
        </w:rPr>
        <w:t>F</w:t>
      </w:r>
      <w:r w:rsidRPr="000E3D6B">
        <w:rPr>
          <w:lang w:eastAsia="en-AU"/>
        </w:rPr>
        <w:t>ractured rocks (limestone, basalts) may have different recharge rates (higher) rates</w:t>
      </w:r>
      <w:r>
        <w:rPr>
          <w:lang w:eastAsia="en-AU"/>
        </w:rPr>
        <w:t>.</w:t>
      </w:r>
      <w:r w:rsidRPr="000E3D6B">
        <w:rPr>
          <w:lang w:eastAsia="en-AU"/>
        </w:rPr>
        <w:t xml:space="preserve"> </w:t>
      </w:r>
    </w:p>
    <w:p w14:paraId="2F368B50" w14:textId="77777777" w:rsidR="007B29DD" w:rsidRPr="000E3D6B" w:rsidRDefault="007B29DD" w:rsidP="007B29DD">
      <w:pPr>
        <w:pStyle w:val="BodyText"/>
        <w:numPr>
          <w:ilvl w:val="1"/>
          <w:numId w:val="33"/>
        </w:numPr>
        <w:rPr>
          <w:lang w:eastAsia="en-AU"/>
        </w:rPr>
      </w:pPr>
      <w:r>
        <w:rPr>
          <w:lang w:eastAsia="en-AU"/>
        </w:rPr>
        <w:t>U</w:t>
      </w:r>
      <w:r w:rsidRPr="000E3D6B">
        <w:rPr>
          <w:lang w:eastAsia="en-AU"/>
        </w:rPr>
        <w:t>nconfined aquifers with greater depths to watertable may have much lower recharge rates</w:t>
      </w:r>
      <w:r>
        <w:rPr>
          <w:lang w:eastAsia="en-AU"/>
        </w:rPr>
        <w:t>.</w:t>
      </w:r>
    </w:p>
    <w:p w14:paraId="5A8B4F28" w14:textId="77777777" w:rsidR="007B29DD" w:rsidRPr="000E3D6B" w:rsidRDefault="007B29DD" w:rsidP="007B29DD">
      <w:pPr>
        <w:pStyle w:val="BodyText"/>
        <w:numPr>
          <w:ilvl w:val="1"/>
          <w:numId w:val="33"/>
        </w:numPr>
        <w:rPr>
          <w:lang w:eastAsia="en-AU"/>
        </w:rPr>
      </w:pPr>
      <w:r>
        <w:rPr>
          <w:lang w:eastAsia="en-AU"/>
        </w:rPr>
        <w:t>A</w:t>
      </w:r>
      <w:r w:rsidRPr="000E3D6B">
        <w:rPr>
          <w:lang w:eastAsia="en-AU"/>
        </w:rPr>
        <w:t>quifers that are highly connected to waterways may have much higher rates of recharge.</w:t>
      </w:r>
    </w:p>
    <w:p w14:paraId="2D689C3B"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rPr>
      </w:pPr>
      <w:bookmarkStart w:id="639" w:name="_Toc43476504"/>
      <w:bookmarkStart w:id="640" w:name="_Toc44928749"/>
      <w:bookmarkStart w:id="641" w:name="_Toc51658021"/>
      <w:bookmarkStart w:id="642" w:name="_Toc53585926"/>
      <w:bookmarkStart w:id="643" w:name="_Toc57377177"/>
      <w:r w:rsidRPr="00306AF1">
        <w:rPr>
          <w:rFonts w:ascii="Arial" w:eastAsia="Arial" w:hAnsi="Arial"/>
          <w:b/>
          <w:bCs/>
          <w:color w:val="000000" w:themeColor="text1"/>
        </w:rPr>
        <w:t>Approach for including climate change in recharge assessments</w:t>
      </w:r>
      <w:bookmarkEnd w:id="639"/>
      <w:bookmarkEnd w:id="640"/>
      <w:bookmarkEnd w:id="641"/>
      <w:bookmarkEnd w:id="642"/>
      <w:bookmarkEnd w:id="643"/>
    </w:p>
    <w:p w14:paraId="213E5016" w14:textId="77777777" w:rsidR="007B29DD" w:rsidRDefault="007B29DD" w:rsidP="007B29DD">
      <w:pPr>
        <w:pStyle w:val="BodyText"/>
        <w:rPr>
          <w:rFonts w:eastAsia="Arial"/>
        </w:rPr>
      </w:pPr>
      <w:r w:rsidRPr="153FA76A">
        <w:rPr>
          <w:rFonts w:eastAsia="Arial"/>
        </w:rPr>
        <w:t xml:space="preserve">Two levels of investigation are proposed here: a simple analytical approach and </w:t>
      </w:r>
      <w:r>
        <w:rPr>
          <w:rFonts w:eastAsia="Arial"/>
        </w:rPr>
        <w:t xml:space="preserve">a </w:t>
      </w:r>
      <w:r w:rsidRPr="153FA76A">
        <w:rPr>
          <w:rFonts w:eastAsia="Arial"/>
        </w:rPr>
        <w:t xml:space="preserve">more complex groundwater modelling approach. The method to determine the recharge rates for both modelling approaches is provided below. The best available data and information should be used to inform the assessment. Where recent studies have been undertaken into recharge or there is new advice on climate change impacts, these should be considered in the approach taken. </w:t>
      </w:r>
      <w:r w:rsidRPr="000E3D6B">
        <w:rPr>
          <w:rFonts w:eastAsia="Arial"/>
        </w:rPr>
        <w:t>Note recharge is only one aspect o</w:t>
      </w:r>
      <w:r>
        <w:rPr>
          <w:rFonts w:eastAsia="Arial"/>
        </w:rPr>
        <w:t>f</w:t>
      </w:r>
      <w:r w:rsidRPr="000E3D6B">
        <w:rPr>
          <w:rFonts w:eastAsia="Arial"/>
        </w:rPr>
        <w:t xml:space="preserve"> </w:t>
      </w:r>
      <w:r>
        <w:rPr>
          <w:rFonts w:eastAsia="Arial"/>
        </w:rPr>
        <w:t>assessing ground</w:t>
      </w:r>
      <w:r w:rsidRPr="000E3D6B">
        <w:rPr>
          <w:rFonts w:eastAsia="Arial"/>
        </w:rPr>
        <w:t xml:space="preserve">water availability, </w:t>
      </w:r>
      <w:r>
        <w:rPr>
          <w:rFonts w:eastAsia="Arial"/>
        </w:rPr>
        <w:t xml:space="preserve">and </w:t>
      </w:r>
      <w:r w:rsidRPr="000E3D6B">
        <w:rPr>
          <w:rFonts w:eastAsia="Arial"/>
        </w:rPr>
        <w:t>consideration also need</w:t>
      </w:r>
      <w:r>
        <w:rPr>
          <w:rFonts w:eastAsia="Arial"/>
        </w:rPr>
        <w:t>s</w:t>
      </w:r>
      <w:r w:rsidRPr="000E3D6B">
        <w:rPr>
          <w:rFonts w:eastAsia="Arial"/>
        </w:rPr>
        <w:t xml:space="preserve"> to be given to </w:t>
      </w:r>
      <w:r>
        <w:rPr>
          <w:rFonts w:eastAsia="Arial"/>
        </w:rPr>
        <w:t xml:space="preserve">changes in </w:t>
      </w:r>
      <w:r w:rsidRPr="000E3D6B">
        <w:rPr>
          <w:rFonts w:eastAsia="Arial"/>
        </w:rPr>
        <w:t>flux (</w:t>
      </w:r>
      <w:r>
        <w:rPr>
          <w:rFonts w:eastAsia="Arial"/>
        </w:rPr>
        <w:t xml:space="preserve">aquifer </w:t>
      </w:r>
      <w:r w:rsidRPr="000E3D6B">
        <w:rPr>
          <w:rFonts w:eastAsia="Arial"/>
        </w:rPr>
        <w:t>discharge</w:t>
      </w:r>
      <w:r w:rsidRPr="0111ECB5">
        <w:rPr>
          <w:rFonts w:eastAsia="Arial"/>
        </w:rPr>
        <w:t>), leakage between aquifers</w:t>
      </w:r>
      <w:r>
        <w:rPr>
          <w:rFonts w:eastAsia="Arial"/>
        </w:rPr>
        <w:t xml:space="preserve">, </w:t>
      </w:r>
      <w:r w:rsidRPr="0111ECB5">
        <w:rPr>
          <w:rFonts w:eastAsia="Arial"/>
        </w:rPr>
        <w:t>and</w:t>
      </w:r>
      <w:r w:rsidRPr="000E3D6B">
        <w:rPr>
          <w:rFonts w:eastAsia="Arial"/>
        </w:rPr>
        <w:t xml:space="preserve"> </w:t>
      </w:r>
      <w:r>
        <w:rPr>
          <w:rFonts w:eastAsia="Arial"/>
        </w:rPr>
        <w:t xml:space="preserve">changes in aquifer </w:t>
      </w:r>
      <w:r w:rsidRPr="000E3D6B">
        <w:rPr>
          <w:rFonts w:eastAsia="Arial"/>
        </w:rPr>
        <w:t>storage</w:t>
      </w:r>
      <w:r>
        <w:rPr>
          <w:rFonts w:eastAsia="Arial"/>
        </w:rPr>
        <w:t xml:space="preserve">, none of which are </w:t>
      </w:r>
      <w:r w:rsidRPr="000E3D6B">
        <w:rPr>
          <w:rFonts w:eastAsia="Arial"/>
        </w:rPr>
        <w:t>part of the</w:t>
      </w:r>
      <w:r>
        <w:rPr>
          <w:rFonts w:eastAsia="Arial"/>
        </w:rPr>
        <w:t>se</w:t>
      </w:r>
      <w:r w:rsidRPr="000E3D6B">
        <w:rPr>
          <w:rFonts w:eastAsia="Arial"/>
        </w:rPr>
        <w:t xml:space="preserve"> guidelines.</w:t>
      </w:r>
    </w:p>
    <w:p w14:paraId="6E932EDC" w14:textId="77777777" w:rsidR="007B29DD" w:rsidRPr="000E3D6B" w:rsidRDefault="007B29DD" w:rsidP="007B29DD">
      <w:pPr>
        <w:pStyle w:val="BodyText"/>
        <w:rPr>
          <w:rFonts w:eastAsia="Arial"/>
        </w:rPr>
      </w:pPr>
    </w:p>
    <w:p w14:paraId="1F79AA15" w14:textId="77777777" w:rsidR="007B29DD" w:rsidRPr="007E268F" w:rsidRDefault="007B29DD" w:rsidP="007B29DD">
      <w:pPr>
        <w:pStyle w:val="BoldHeading"/>
        <w:keepNext/>
        <w:rPr>
          <w:rFonts w:eastAsia="Arial"/>
          <w:bCs/>
        </w:rPr>
      </w:pPr>
      <w:r w:rsidRPr="0680DC44">
        <w:rPr>
          <w:rFonts w:eastAsia="Arial"/>
        </w:rPr>
        <w:lastRenderedPageBreak/>
        <w:t>Step 1: Identify the approach required and whether an assessment is needed.</w:t>
      </w:r>
    </w:p>
    <w:p w14:paraId="197E9A5C" w14:textId="77777777" w:rsidR="007B29DD" w:rsidRDefault="007B29DD" w:rsidP="007B29DD">
      <w:pPr>
        <w:pStyle w:val="BodyText"/>
      </w:pPr>
      <w:r>
        <w:rPr>
          <w:noProof/>
        </w:rPr>
        <w:drawing>
          <wp:inline distT="0" distB="0" distL="0" distR="0" wp14:anchorId="02497104" wp14:editId="60CC58B6">
            <wp:extent cx="6061073" cy="3740486"/>
            <wp:effectExtent l="0" t="0" r="0" b="0"/>
            <wp:docPr id="1790703793" name="Picture 13" descr="Infographic detailing the three parts of Step One.&#10;Is the aquifer sensitive to climate change?&#10;-Is the aquifer sedimentary and unconfined with a depth to watertable less than 20 metre?&#10;-Is the aquifer higher responsive to rainfall and or changes in streamflow?&#10;What reliability and dependency does the water authority on this source?&#10;-Water corporation should determine what level of risk they can accept for the source to determine the level of investigation required. Things to consider are dependency and level of reliability required from the borefield.&#10;What data and information is available on the groundwater resource to inform this assessment?&#10;-For investigations into areas with limited information, it is recommended that an analytical approach is used to assess the potential impact of climate change on recharge.&#10;-For investigations into areas with more data and information and a highly developed conceptual model, authorities may like to undertake more detailed groundwater modelling. If the risk to the resource is low then an analytical approach is also appropriat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6061073" cy="3740486"/>
                    </a:xfrm>
                    <a:prstGeom prst="rect">
                      <a:avLst/>
                    </a:prstGeom>
                  </pic:spPr>
                </pic:pic>
              </a:graphicData>
            </a:graphic>
          </wp:inline>
        </w:drawing>
      </w:r>
    </w:p>
    <w:p w14:paraId="28F46DC7" w14:textId="77777777" w:rsidR="007B29DD" w:rsidRDefault="007B29DD" w:rsidP="007B29DD">
      <w:pPr>
        <w:pStyle w:val="BoldHeading"/>
      </w:pPr>
      <w:r w:rsidRPr="153FA76A">
        <w:rPr>
          <w:rFonts w:eastAsia="Arial"/>
        </w:rPr>
        <w:t>Step 2: Methodology for each approach (numerical modelling or analytical modelling)</w:t>
      </w:r>
    </w:p>
    <w:p w14:paraId="4424212B" w14:textId="77777777" w:rsidR="007B29DD" w:rsidRDefault="007B29DD" w:rsidP="007B29DD">
      <w:r>
        <w:rPr>
          <w:noProof/>
        </w:rPr>
        <w:drawing>
          <wp:inline distT="0" distB="0" distL="0" distR="0" wp14:anchorId="3C49C6CA" wp14:editId="422AE9DE">
            <wp:extent cx="6061434" cy="4605956"/>
            <wp:effectExtent l="0" t="0" r="0" b="4445"/>
            <wp:docPr id="945704178" name="Picture 39" descr="Infographic detailing the three parts of Step Two.&#10;Analytical modelling approach:&#10;-Determine what aquifer under the Victorian Aquifer (VAF) that the resource is from and select appropriate recharge rates (25, 50 and 75th percentiles) from Table 7.&#10;-Determine where the recharge area is and what surface water catchment it sits in to determine the percentage change in ranges of rainfall from Table 5.&#10;-If local conditions show that the system is highly responsive and a more conservative approach is needed, apply the change in runoff figures for that catchments (Table 6) instead of the percentage change in rainfall (Table 5).&#10;-Use the techniques in Section 5.6 to develop climate change runoff projections.&#10;-Use recharge estimates from the analytical models to determine volumetric change in resource availability (ie supply) due to climate change.&#10;Groundwater modelling:&#10;-Determine where the recharge area is and what surface water catchment it sits in to determine the percentage change in ranges of rainfall from Table 5.&#10;-Identify an appropriate rainfall gauge to construct the climate baseline for the relevant recharge area.&#10;-Use the techniques in Section 5.6 to develop climate change runoff projections.&#10;-Use rainfall estimates to determine recharge for the model (eg unsaturated zone modelling, other) and determine change in resource availability (ie supply) due to climate change.&#10;-Determine change in resource availability (ie supply) due to climate ch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5">
                      <a:extLst>
                        <a:ext uri="{28A0092B-C50C-407E-A947-70E740481C1C}">
                          <a14:useLocalDpi xmlns:a14="http://schemas.microsoft.com/office/drawing/2010/main" val="0"/>
                        </a:ext>
                      </a:extLst>
                    </a:blip>
                    <a:stretch>
                      <a:fillRect/>
                    </a:stretch>
                  </pic:blipFill>
                  <pic:spPr>
                    <a:xfrm>
                      <a:off x="0" y="0"/>
                      <a:ext cx="6061434" cy="4605956"/>
                    </a:xfrm>
                    <a:prstGeom prst="rect">
                      <a:avLst/>
                    </a:prstGeom>
                  </pic:spPr>
                </pic:pic>
              </a:graphicData>
            </a:graphic>
          </wp:inline>
        </w:drawing>
      </w:r>
    </w:p>
    <w:p w14:paraId="3919391A" w14:textId="77777777" w:rsidR="007B29DD" w:rsidRDefault="007B29DD" w:rsidP="007B29DD">
      <w:pPr>
        <w:pStyle w:val="BodyText"/>
        <w:rPr>
          <w:rFonts w:eastAsia="Arial"/>
        </w:rPr>
      </w:pPr>
    </w:p>
    <w:p w14:paraId="17B0630E" w14:textId="77777777" w:rsidR="007B29DD" w:rsidRDefault="007B29DD" w:rsidP="007B29DD">
      <w:pPr>
        <w:pStyle w:val="BodyText"/>
      </w:pPr>
      <w:r w:rsidRPr="153FA76A">
        <w:rPr>
          <w:rFonts w:ascii="Arial" w:eastAsia="Arial" w:hAnsi="Arial"/>
        </w:rPr>
        <w:t>In addition to direct impacts on recharge urban authorities should consider other possible impacts on supply.</w:t>
      </w:r>
    </w:p>
    <w:p w14:paraId="64D4C3EF" w14:textId="77777777" w:rsidR="007B29DD" w:rsidRDefault="007B29DD" w:rsidP="007B29DD">
      <w:pPr>
        <w:pStyle w:val="BodyText"/>
      </w:pPr>
    </w:p>
    <w:p w14:paraId="516D9C56" w14:textId="77777777" w:rsidR="007B29DD" w:rsidRDefault="007B29DD" w:rsidP="007B29DD">
      <w:pPr>
        <w:pStyle w:val="BoldHeading"/>
      </w:pPr>
      <w:r w:rsidRPr="153FA76A">
        <w:rPr>
          <w:rFonts w:eastAsia="Arial"/>
        </w:rPr>
        <w:t>Step 3: Indirect impacts and issues for consideration in determining supply and demand for groundwater sourced urban water supplies.</w:t>
      </w:r>
    </w:p>
    <w:p w14:paraId="75137A63" w14:textId="77777777" w:rsidR="007B29DD" w:rsidRDefault="007B29DD" w:rsidP="007B29DD">
      <w:pPr>
        <w:pStyle w:val="BodyText"/>
        <w:rPr>
          <w:rFonts w:eastAsia="Arial"/>
        </w:rPr>
      </w:pPr>
      <w:r>
        <w:rPr>
          <w:noProof/>
        </w:rPr>
        <w:drawing>
          <wp:inline distT="0" distB="0" distL="0" distR="0" wp14:anchorId="676B75C4" wp14:editId="102BC3A6">
            <wp:extent cx="6004874" cy="2343886"/>
            <wp:effectExtent l="0" t="0" r="0" b="0"/>
            <wp:docPr id="1990225670" name="Picture 1311563987" descr="Infographic detailing the three parts of Step Three.&#10;Is the borefield within a groundwater management area? And if so, does it have any restrictions that may be brought in during periods of drought?&#10;-Check applicable management plans for restrictions on allocations. If there are restrictions, include these in the assessment or supply from the borefield.&#10;Review previous periods of drought or water scarcity to determine any potential impacts on borefield operations.&#10;-If water levels have previously declined in the region due to either reduced inflows or increased demands near the borefield, use these historic levels to determine whether under these conditions there would be an impact on bore yields and supply in the fu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63987"/>
                    <pic:cNvPicPr/>
                  </pic:nvPicPr>
                  <pic:blipFill>
                    <a:blip r:embed="rId46">
                      <a:extLst>
                        <a:ext uri="{28A0092B-C50C-407E-A947-70E740481C1C}">
                          <a14:useLocalDpi xmlns:a14="http://schemas.microsoft.com/office/drawing/2010/main" val="0"/>
                        </a:ext>
                      </a:extLst>
                    </a:blip>
                    <a:stretch>
                      <a:fillRect/>
                    </a:stretch>
                  </pic:blipFill>
                  <pic:spPr>
                    <a:xfrm>
                      <a:off x="0" y="0"/>
                      <a:ext cx="6004874" cy="2343886"/>
                    </a:xfrm>
                    <a:prstGeom prst="rect">
                      <a:avLst/>
                    </a:prstGeom>
                  </pic:spPr>
                </pic:pic>
              </a:graphicData>
            </a:graphic>
          </wp:inline>
        </w:drawing>
      </w:r>
    </w:p>
    <w:p w14:paraId="074B1E6E" w14:textId="77777777" w:rsidR="007B29DD" w:rsidRDefault="007B29DD" w:rsidP="007B29DD">
      <w:pPr>
        <w:pStyle w:val="BodyText"/>
        <w:rPr>
          <w:rFonts w:eastAsiaTheme="minorEastAsia"/>
        </w:rPr>
      </w:pPr>
    </w:p>
    <w:p w14:paraId="67DB1C2E" w14:textId="77777777" w:rsidR="007B29DD" w:rsidRPr="00306AF1"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644" w:name="_Toc38957446"/>
      <w:bookmarkStart w:id="645" w:name="_Ref39909594"/>
      <w:bookmarkStart w:id="646" w:name="_Ref40086669"/>
      <w:bookmarkStart w:id="647" w:name="_Toc43476505"/>
      <w:bookmarkStart w:id="648" w:name="_Toc44928750"/>
      <w:bookmarkStart w:id="649" w:name="_Toc51658022"/>
      <w:bookmarkStart w:id="650" w:name="_Toc53585927"/>
      <w:bookmarkStart w:id="651" w:name="_Toc57377178"/>
      <w:r w:rsidRPr="00306AF1">
        <w:rPr>
          <w:b/>
          <w:bCs/>
          <w:color w:val="000000" w:themeColor="text1"/>
        </w:rPr>
        <w:t>Applying climate change projections to water demands</w:t>
      </w:r>
      <w:bookmarkEnd w:id="644"/>
      <w:bookmarkEnd w:id="645"/>
      <w:bookmarkEnd w:id="646"/>
      <w:bookmarkEnd w:id="647"/>
      <w:bookmarkEnd w:id="648"/>
      <w:bookmarkEnd w:id="649"/>
      <w:bookmarkEnd w:id="650"/>
      <w:bookmarkEnd w:id="651"/>
    </w:p>
    <w:p w14:paraId="5BD4EFB8" w14:textId="77777777" w:rsidR="007B29DD" w:rsidRPr="009C57A8" w:rsidRDefault="007B29DD" w:rsidP="007B29DD">
      <w:pPr>
        <w:pStyle w:val="BodyText"/>
        <w:rPr>
          <w:lang w:val="en-US"/>
        </w:rPr>
      </w:pPr>
      <w:r w:rsidRPr="009C57A8">
        <w:rPr>
          <w:lang w:val="en-US"/>
        </w:rPr>
        <w:t>Hotter and drier conditions increase the demand for water, notably for private garden watering and the irrigation of municipal parks, gardens, sporting fields, stock and domestic use, and commercial irrigation. Under a hotter and drier climate future in Victoria, demands would be expected to increase, placing an additional strain on water resources over and above the reductions in water availability previously outlined.</w:t>
      </w:r>
    </w:p>
    <w:p w14:paraId="12FD4BF9" w14:textId="77777777" w:rsidR="007B29DD" w:rsidRDefault="007B29DD" w:rsidP="007B29DD">
      <w:pPr>
        <w:pStyle w:val="BodyText"/>
        <w:rPr>
          <w:lang w:val="en-US"/>
        </w:rPr>
      </w:pPr>
      <w:r w:rsidRPr="009C57A8">
        <w:rPr>
          <w:lang w:val="en-US"/>
        </w:rPr>
        <w:t xml:space="preserve">Water </w:t>
      </w:r>
      <w:r>
        <w:rPr>
          <w:lang w:val="en-US"/>
        </w:rPr>
        <w:t>C</w:t>
      </w:r>
      <w:r w:rsidRPr="009C57A8">
        <w:rPr>
          <w:lang w:val="en-US"/>
        </w:rPr>
        <w:t xml:space="preserve">orporations have existing climate dependent demand models for </w:t>
      </w:r>
      <w:r>
        <w:rPr>
          <w:lang w:val="en-US"/>
        </w:rPr>
        <w:t xml:space="preserve">either total water use or </w:t>
      </w:r>
      <w:r w:rsidRPr="009C57A8">
        <w:rPr>
          <w:lang w:val="en-US"/>
        </w:rPr>
        <w:t>the residential component of most urban water supply systems</w:t>
      </w:r>
      <w:r>
        <w:rPr>
          <w:lang w:val="en-US"/>
        </w:rPr>
        <w:t xml:space="preserve">, </w:t>
      </w:r>
      <w:r w:rsidRPr="009C57A8">
        <w:rPr>
          <w:lang w:val="en-US"/>
        </w:rPr>
        <w:t xml:space="preserve">and for irrigation demands in the </w:t>
      </w:r>
      <w:r>
        <w:rPr>
          <w:lang w:val="en-US"/>
        </w:rPr>
        <w:t>s</w:t>
      </w:r>
      <w:r w:rsidRPr="009C57A8">
        <w:rPr>
          <w:lang w:val="en-US"/>
        </w:rPr>
        <w:t>tate’s irrigation districts. In this case, these demand models can simply be applied using input climate variables that have been adjusted for climate change using the projected changes previously outlined in these guidelines</w:t>
      </w:r>
      <w:r>
        <w:rPr>
          <w:lang w:val="en-US"/>
        </w:rPr>
        <w:t xml:space="preserve">. An overview of this process is presented in </w:t>
      </w:r>
      <w:r>
        <w:rPr>
          <w:lang w:val="en-US"/>
        </w:rPr>
        <w:fldChar w:fldCharType="begin"/>
      </w:r>
      <w:r>
        <w:rPr>
          <w:lang w:val="en-US"/>
        </w:rPr>
        <w:instrText xml:space="preserve"> REF _Ref41049051 \h </w:instrText>
      </w:r>
      <w:r>
        <w:rPr>
          <w:lang w:val="en-US"/>
        </w:rPr>
      </w:r>
      <w:r>
        <w:rPr>
          <w:lang w:val="en-US"/>
        </w:rPr>
        <w:fldChar w:fldCharType="separate"/>
      </w:r>
      <w:r>
        <w:t xml:space="preserve">Figure </w:t>
      </w:r>
      <w:r>
        <w:rPr>
          <w:noProof/>
        </w:rPr>
        <w:t>24</w:t>
      </w:r>
      <w:r>
        <w:rPr>
          <w:lang w:val="en-US"/>
        </w:rPr>
        <w:fldChar w:fldCharType="end"/>
      </w:r>
      <w:r>
        <w:rPr>
          <w:lang w:val="en-US"/>
        </w:rPr>
        <w:t>, with more detail for each demand type in the sub-sections below. When selecting suitable climate variables, step-wise regression is recommended. This involves testing different climate variables and assessing their influence on the goodness of fit for the modelled demands.</w:t>
      </w:r>
    </w:p>
    <w:p w14:paraId="1A58590A" w14:textId="77777777" w:rsidR="007B29DD" w:rsidRPr="009C57A8" w:rsidRDefault="007B29DD" w:rsidP="007B29DD">
      <w:pPr>
        <w:pStyle w:val="BodyText"/>
        <w:rPr>
          <w:lang w:val="en-US"/>
        </w:rPr>
      </w:pPr>
      <w:r w:rsidRPr="009C57A8">
        <w:rPr>
          <w:lang w:val="en-US"/>
        </w:rPr>
        <w:t>Where a demand model does not currently exist, consideration can be given to testing the sensitivity of the supply system to changes in demand similar to those estimated for nearby towns or irrigation areas which have a demand model. Where the sensitivity is low, changes in demand under climate change can be dismissed. Where sensitivity is high, consideration should be given to fitting a climate dependent demand model, or using the responses from climate dependent demand models in nearby towns or irrigation areas to inform whether changes to demand projections under climate change are warranted.</w:t>
      </w:r>
    </w:p>
    <w:p w14:paraId="4A5C9658" w14:textId="77777777" w:rsidR="007B29DD" w:rsidRDefault="007B29DD" w:rsidP="007B29DD">
      <w:pPr>
        <w:pStyle w:val="BodyText"/>
        <w:rPr>
          <w:lang w:val="en-US"/>
        </w:rPr>
      </w:pPr>
      <w:r w:rsidRPr="009C57A8">
        <w:rPr>
          <w:lang w:val="en-US"/>
        </w:rPr>
        <w:t>Other long-term shifts in demand in response to climate change can also occur, such as changes in the way water is used and for what purpose</w:t>
      </w:r>
      <w:r>
        <w:rPr>
          <w:lang w:val="en-US"/>
        </w:rPr>
        <w:t>. T</w:t>
      </w:r>
      <w:r w:rsidRPr="009C57A8">
        <w:rPr>
          <w:lang w:val="en-US"/>
        </w:rPr>
        <w:t xml:space="preserve">hese </w:t>
      </w:r>
      <w:r>
        <w:rPr>
          <w:lang w:val="en-US"/>
        </w:rPr>
        <w:t xml:space="preserve">responses </w:t>
      </w:r>
      <w:r w:rsidRPr="009C57A8">
        <w:rPr>
          <w:lang w:val="en-US"/>
        </w:rPr>
        <w:t>are often difficult to predict.</w:t>
      </w:r>
      <w:r>
        <w:rPr>
          <w:lang w:val="en-US"/>
        </w:rPr>
        <w:t xml:space="preserve"> Workshop scenario planning, for example, could be useful for generating narratives around water use under alternative climate futures.</w:t>
      </w:r>
    </w:p>
    <w:p w14:paraId="5D009345" w14:textId="77777777" w:rsidR="007B29DD" w:rsidRDefault="007B29DD" w:rsidP="007B29DD">
      <w:pPr>
        <w:pStyle w:val="BodyText"/>
        <w:spacing w:after="0"/>
        <w:rPr>
          <w:lang w:val="en-US"/>
        </w:rPr>
      </w:pPr>
      <w:r>
        <w:rPr>
          <w:noProof/>
        </w:rPr>
        <w:lastRenderedPageBreak/>
        <w:drawing>
          <wp:inline distT="0" distB="0" distL="0" distR="0" wp14:anchorId="1366F4FB" wp14:editId="232FADAC">
            <wp:extent cx="6572250" cy="2972511"/>
            <wp:effectExtent l="19050" t="19050" r="19050" b="18415"/>
            <wp:docPr id="945704171" name="Picture 945704171" descr="Infographic showing the process for adjusting demands for projected climate change.&#10;&#10;Step One: Examine recorded demand data to assess its variability. If insufficient data, utilise the relative results from step four for a nearby demand centre and revisit data collection program.&#10;&#10;Step Two: Fit climate dependent demand model and assess its goodness of fit (eg demand equals function of either temperature, rainfall or evaporation plus any other relevant non-climate variables like population or number of connections. If no correlation with climate, reference period demands will not be directed affected by climate change.&#10;&#10;Step Three: Apply demand model under reference period climate conditions and under projected climate change.&#10;&#10;Step four: Estimate increase in demand due to climate change equals demand under projected climate change minus demand under reference period climate conditions. In addition to quantifying projected changes in demand, qualitatively consider the possibility of broader economic shifts in water use behaviour under projected hotter and drier or cooler and wetter climate chang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7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72250" cy="2972511"/>
                    </a:xfrm>
                    <a:prstGeom prst="rect">
                      <a:avLst/>
                    </a:prstGeom>
                    <a:ln>
                      <a:solidFill>
                        <a:schemeClr val="bg1">
                          <a:lumMod val="65000"/>
                        </a:schemeClr>
                      </a:solidFill>
                    </a:ln>
                  </pic:spPr>
                </pic:pic>
              </a:graphicData>
            </a:graphic>
          </wp:inline>
        </w:drawing>
      </w:r>
    </w:p>
    <w:p w14:paraId="7A1EAE15" w14:textId="77777777" w:rsidR="007B29DD" w:rsidRDefault="007B29DD" w:rsidP="007B29DD">
      <w:pPr>
        <w:pStyle w:val="Caption"/>
        <w:keepNext w:val="0"/>
        <w:spacing w:before="0"/>
      </w:pPr>
      <w:bookmarkStart w:id="652" w:name="_Ref41049051"/>
      <w:bookmarkStart w:id="653" w:name="_Toc43476594"/>
      <w:bookmarkStart w:id="654" w:name="_Toc44928837"/>
      <w:bookmarkStart w:id="655" w:name="_Toc51237500"/>
      <w:bookmarkStart w:id="656" w:name="_Toc53586015"/>
      <w:bookmarkStart w:id="657" w:name="_Toc57377266"/>
      <w:r>
        <w:t xml:space="preserve">Figure </w:t>
      </w:r>
      <w:r>
        <w:fldChar w:fldCharType="begin"/>
      </w:r>
      <w:r>
        <w:instrText>SEQ Figure \* ARABIC</w:instrText>
      </w:r>
      <w:r>
        <w:fldChar w:fldCharType="separate"/>
      </w:r>
      <w:r>
        <w:rPr>
          <w:noProof/>
        </w:rPr>
        <w:t>24</w:t>
      </w:r>
      <w:r>
        <w:fldChar w:fldCharType="end"/>
      </w:r>
      <w:bookmarkEnd w:id="652"/>
      <w:r>
        <w:t xml:space="preserve"> Overview of process for adjusting demands for projected climate change</w:t>
      </w:r>
      <w:bookmarkEnd w:id="653"/>
      <w:bookmarkEnd w:id="654"/>
      <w:bookmarkEnd w:id="655"/>
      <w:bookmarkEnd w:id="656"/>
      <w:bookmarkEnd w:id="657"/>
    </w:p>
    <w:p w14:paraId="06094AAD" w14:textId="77777777" w:rsidR="007B29DD" w:rsidRPr="00367B33" w:rsidRDefault="007B29DD" w:rsidP="007B29DD">
      <w:pPr>
        <w:pStyle w:val="BodyText"/>
        <w:rPr>
          <w:lang w:eastAsia="en-AU"/>
        </w:rPr>
      </w:pPr>
    </w:p>
    <w:p w14:paraId="2D8289D1"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658" w:name="_Toc38957447"/>
      <w:bookmarkStart w:id="659" w:name="_Toc43476506"/>
      <w:bookmarkStart w:id="660" w:name="_Toc44928751"/>
      <w:bookmarkStart w:id="661" w:name="_Toc51658023"/>
      <w:bookmarkStart w:id="662" w:name="_Toc53585928"/>
      <w:bookmarkStart w:id="663" w:name="_Toc57377179"/>
      <w:r w:rsidRPr="00306AF1">
        <w:rPr>
          <w:b/>
          <w:bCs/>
          <w:color w:val="000000" w:themeColor="text1"/>
        </w:rPr>
        <w:t>Urban water demands</w:t>
      </w:r>
      <w:bookmarkEnd w:id="658"/>
      <w:bookmarkEnd w:id="659"/>
      <w:bookmarkEnd w:id="660"/>
      <w:bookmarkEnd w:id="661"/>
      <w:bookmarkEnd w:id="662"/>
      <w:bookmarkEnd w:id="663"/>
    </w:p>
    <w:p w14:paraId="03EDEEE5" w14:textId="77777777" w:rsidR="007B29DD" w:rsidRDefault="007B29DD" w:rsidP="007B29DD">
      <w:pPr>
        <w:pStyle w:val="BodyText"/>
        <w:rPr>
          <w:lang w:eastAsia="en-AU"/>
        </w:rPr>
      </w:pPr>
      <w:r>
        <w:rPr>
          <w:lang w:eastAsia="en-AU"/>
        </w:rPr>
        <w:t xml:space="preserve">Residential and municipal demands will typically vary with climate, primarily due to increasing demand for outdoor parks and garden watering under hotter and drier conditions, and decreasing demand under cooler and wetter conditions. This variability can occur on an hourly, daily, seasonal and annual time step. Industrial and commercial water use may or may not be correlated with climate, depending on the nature of individual businesses. </w:t>
      </w:r>
      <w:r w:rsidRPr="009C57A8">
        <w:rPr>
          <w:lang w:val="en-US"/>
        </w:rPr>
        <w:t xml:space="preserve">Water </w:t>
      </w:r>
      <w:r>
        <w:rPr>
          <w:lang w:val="en-US"/>
        </w:rPr>
        <w:t>C</w:t>
      </w:r>
      <w:r w:rsidRPr="009C57A8">
        <w:rPr>
          <w:lang w:val="en-US"/>
        </w:rPr>
        <w:t xml:space="preserve">orporations are best placed to liaise with major industrial customers to assess the sensitivity and vulnerability of their demands to climate change, and to utilise metered consumption data to assess the climate sensitivity of demands for </w:t>
      </w:r>
      <w:r>
        <w:rPr>
          <w:lang w:val="en-US"/>
        </w:rPr>
        <w:t>non-residential</w:t>
      </w:r>
      <w:r w:rsidRPr="009C57A8">
        <w:rPr>
          <w:lang w:val="en-US"/>
        </w:rPr>
        <w:t xml:space="preserve"> customer groups.</w:t>
      </w:r>
      <w:r>
        <w:rPr>
          <w:lang w:val="en-US"/>
        </w:rPr>
        <w:t xml:space="preserve"> </w:t>
      </w:r>
      <w:r>
        <w:rPr>
          <w:lang w:eastAsia="en-AU"/>
        </w:rPr>
        <w:t>Non-revenue water attributable to losses is generally correlated with water use and hence will also vary with climate.</w:t>
      </w:r>
    </w:p>
    <w:p w14:paraId="59F2841B" w14:textId="77777777" w:rsidR="007B29DD" w:rsidRDefault="007B29DD" w:rsidP="007B29DD">
      <w:pPr>
        <w:pStyle w:val="BodyText"/>
        <w:rPr>
          <w:lang w:eastAsia="en-AU"/>
        </w:rPr>
      </w:pPr>
      <w:r>
        <w:rPr>
          <w:lang w:eastAsia="en-AU"/>
        </w:rPr>
        <w:t>There may also be secondary influences from climate variability and climate change on urban water use that are more difficult to quantify, particularly when they are driven by extreme events. For example, increases in days of extreme heat during peak holiday periods could drive tourist numbers at certain times towards some regions (e.g. coastal towns) and away from other regions (e.g. inland towns in bushfire prone areas), with a corresponding impact on demand for water in tourist accommodation. Water use behaviour in historical extreme climate events may provide an insight into these sensitivities.</w:t>
      </w:r>
    </w:p>
    <w:p w14:paraId="47C2F37F" w14:textId="77777777" w:rsidR="007B29DD" w:rsidRDefault="007B29DD" w:rsidP="007B29DD">
      <w:pPr>
        <w:pStyle w:val="BodyText"/>
        <w:rPr>
          <w:lang w:val="en-US"/>
        </w:rPr>
      </w:pPr>
      <w:r w:rsidRPr="009C57A8">
        <w:rPr>
          <w:lang w:val="en-US"/>
        </w:rPr>
        <w:t xml:space="preserve">Changes in peak </w:t>
      </w:r>
      <w:r>
        <w:rPr>
          <w:lang w:val="en-US"/>
        </w:rPr>
        <w:t xml:space="preserve">daily </w:t>
      </w:r>
      <w:r w:rsidRPr="009C57A8">
        <w:rPr>
          <w:lang w:val="en-US"/>
        </w:rPr>
        <w:t xml:space="preserve">demands can also occur under climate change, which are associated with increases in temperature on very hot days. </w:t>
      </w:r>
      <w:r>
        <w:rPr>
          <w:lang w:val="en-US"/>
        </w:rPr>
        <w:t xml:space="preserve">For changes in peak day demands, the projected changes in peak day temperature in Section </w:t>
      </w:r>
      <w:r>
        <w:rPr>
          <w:lang w:val="en-US"/>
        </w:rPr>
        <w:fldChar w:fldCharType="begin"/>
      </w:r>
      <w:r>
        <w:rPr>
          <w:lang w:val="en-US"/>
        </w:rPr>
        <w:instrText xml:space="preserve"> REF _Ref40166440 \r \h </w:instrText>
      </w:r>
      <w:r>
        <w:rPr>
          <w:lang w:val="en-US"/>
        </w:rPr>
      </w:r>
      <w:r>
        <w:rPr>
          <w:lang w:val="en-US"/>
        </w:rPr>
        <w:fldChar w:fldCharType="separate"/>
      </w:r>
      <w:r>
        <w:rPr>
          <w:lang w:val="en-US"/>
        </w:rPr>
        <w:t>5.7.2</w:t>
      </w:r>
      <w:r>
        <w:rPr>
          <w:lang w:val="en-US"/>
        </w:rPr>
        <w:fldChar w:fldCharType="end"/>
      </w:r>
      <w:r>
        <w:rPr>
          <w:lang w:val="en-US"/>
        </w:rPr>
        <w:t xml:space="preserve"> can be drawn upon.</w:t>
      </w:r>
    </w:p>
    <w:p w14:paraId="1D043A5D" w14:textId="77777777" w:rsidR="007B29DD" w:rsidRDefault="007B29DD" w:rsidP="007B29DD">
      <w:pPr>
        <w:pStyle w:val="BodyText"/>
        <w:rPr>
          <w:lang w:val="en-US"/>
        </w:rPr>
      </w:pPr>
      <w:r>
        <w:rPr>
          <w:lang w:val="en-US"/>
        </w:rPr>
        <w:t>For urban demand models that rely upon correlations with temperature and/or evaporation, t</w:t>
      </w:r>
      <w:r w:rsidRPr="009C57A8">
        <w:rPr>
          <w:lang w:val="en-US"/>
        </w:rPr>
        <w:t>he medi</w:t>
      </w:r>
      <w:r>
        <w:rPr>
          <w:lang w:val="en-US"/>
        </w:rPr>
        <w:t>um</w:t>
      </w:r>
      <w:r w:rsidRPr="009C57A8">
        <w:rPr>
          <w:lang w:val="en-US"/>
        </w:rPr>
        <w:t xml:space="preserve"> temperature </w:t>
      </w:r>
      <w:r>
        <w:rPr>
          <w:lang w:val="en-US"/>
        </w:rPr>
        <w:t xml:space="preserve">and </w:t>
      </w:r>
      <w:r w:rsidRPr="009C57A8">
        <w:rPr>
          <w:lang w:val="en-US"/>
        </w:rPr>
        <w:t>potential evapotranspiration</w:t>
      </w:r>
      <w:r>
        <w:rPr>
          <w:lang w:val="en-US"/>
        </w:rPr>
        <w:t xml:space="preserve"> projections</w:t>
      </w:r>
      <w:r w:rsidRPr="009C57A8">
        <w:rPr>
          <w:lang w:val="en-US"/>
        </w:rPr>
        <w:t xml:space="preserve"> provided in </w:t>
      </w:r>
      <w:r>
        <w:rPr>
          <w:lang w:val="en-US"/>
        </w:rPr>
        <w:fldChar w:fldCharType="begin"/>
      </w:r>
      <w:r>
        <w:rPr>
          <w:lang w:val="en-US"/>
        </w:rPr>
        <w:instrText xml:space="preserve"> REF _Ref40083044 \h </w:instrText>
      </w:r>
      <w:r>
        <w:rPr>
          <w:lang w:val="en-US"/>
        </w:rPr>
      </w:r>
      <w:r>
        <w:rPr>
          <w:lang w:val="en-US"/>
        </w:rPr>
        <w:fldChar w:fldCharType="separate"/>
      </w:r>
      <w:r w:rsidRPr="00FC65EF">
        <w:t xml:space="preserve">Table </w:t>
      </w:r>
      <w:r>
        <w:rPr>
          <w:noProof/>
        </w:rPr>
        <w:t>3</w:t>
      </w:r>
      <w:r>
        <w:rPr>
          <w:lang w:val="en-US"/>
        </w:rPr>
        <w:fldChar w:fldCharType="end"/>
      </w:r>
      <w:r>
        <w:rPr>
          <w:lang w:val="en-US"/>
        </w:rPr>
        <w:t xml:space="preserve"> and </w:t>
      </w:r>
      <w:r>
        <w:rPr>
          <w:lang w:val="en-US"/>
        </w:rPr>
        <w:fldChar w:fldCharType="begin"/>
      </w:r>
      <w:r>
        <w:rPr>
          <w:lang w:val="en-US"/>
        </w:rPr>
        <w:instrText xml:space="preserve"> REF _Ref40086074 \h </w:instrText>
      </w:r>
      <w:r>
        <w:rPr>
          <w:lang w:val="en-US"/>
        </w:rPr>
      </w:r>
      <w:r>
        <w:rPr>
          <w:lang w:val="en-US"/>
        </w:rPr>
        <w:fldChar w:fldCharType="separate"/>
      </w:r>
      <w:r w:rsidRPr="00414330">
        <w:t xml:space="preserve">Table </w:t>
      </w:r>
      <w:r>
        <w:rPr>
          <w:noProof/>
        </w:rPr>
        <w:t>4</w:t>
      </w:r>
      <w:r>
        <w:rPr>
          <w:lang w:val="en-US"/>
        </w:rPr>
        <w:fldChar w:fldCharType="end"/>
      </w:r>
      <w:r w:rsidRPr="009C57A8">
        <w:rPr>
          <w:lang w:val="en-US"/>
        </w:rPr>
        <w:t xml:space="preserve"> </w:t>
      </w:r>
      <w:r>
        <w:rPr>
          <w:lang w:val="en-US"/>
        </w:rPr>
        <w:t xml:space="preserve">will be sufficient for most applications. </w:t>
      </w:r>
      <w:r w:rsidRPr="009C57A8">
        <w:rPr>
          <w:lang w:val="en-US"/>
        </w:rPr>
        <w:t xml:space="preserve">Where a </w:t>
      </w:r>
      <w:r>
        <w:rPr>
          <w:lang w:val="en-US"/>
        </w:rPr>
        <w:t>W</w:t>
      </w:r>
      <w:r w:rsidRPr="009C57A8">
        <w:rPr>
          <w:lang w:val="en-US"/>
        </w:rPr>
        <w:t xml:space="preserve">ater </w:t>
      </w:r>
      <w:r>
        <w:rPr>
          <w:lang w:val="en-US"/>
        </w:rPr>
        <w:t>C</w:t>
      </w:r>
      <w:r w:rsidRPr="009C57A8">
        <w:rPr>
          <w:lang w:val="en-US"/>
        </w:rPr>
        <w:t>orporation considers that GCM uncertainty in temperature or potential evapotranspiration projections is likely to significantly impact the supply-demand balance, the uncertainty</w:t>
      </w:r>
      <w:r>
        <w:rPr>
          <w:lang w:val="en-US"/>
        </w:rPr>
        <w:t xml:space="preserve"> characterised by the low and high</w:t>
      </w:r>
      <w:r w:rsidRPr="009C57A8">
        <w:rPr>
          <w:lang w:val="en-US"/>
        </w:rPr>
        <w:t xml:space="preserve"> temperature and potential evapotranspiration</w:t>
      </w:r>
      <w:r>
        <w:rPr>
          <w:lang w:val="en-US"/>
        </w:rPr>
        <w:t xml:space="preserve"> projections in</w:t>
      </w:r>
      <w:r w:rsidRPr="009C57A8">
        <w:rPr>
          <w:lang w:val="en-US"/>
        </w:rPr>
        <w:t xml:space="preserve"> </w:t>
      </w:r>
      <w:r>
        <w:rPr>
          <w:lang w:val="en-US"/>
        </w:rPr>
        <w:fldChar w:fldCharType="begin"/>
      </w:r>
      <w:r>
        <w:rPr>
          <w:lang w:val="en-US"/>
        </w:rPr>
        <w:instrText xml:space="preserve"> REF _Ref40083044 \h </w:instrText>
      </w:r>
      <w:r>
        <w:rPr>
          <w:lang w:val="en-US"/>
        </w:rPr>
      </w:r>
      <w:r>
        <w:rPr>
          <w:lang w:val="en-US"/>
        </w:rPr>
        <w:fldChar w:fldCharType="separate"/>
      </w:r>
      <w:r w:rsidRPr="00FC65EF">
        <w:t xml:space="preserve">Table </w:t>
      </w:r>
      <w:r>
        <w:rPr>
          <w:noProof/>
        </w:rPr>
        <w:t>3</w:t>
      </w:r>
      <w:r>
        <w:rPr>
          <w:lang w:val="en-US"/>
        </w:rPr>
        <w:fldChar w:fldCharType="end"/>
      </w:r>
      <w:r>
        <w:rPr>
          <w:lang w:val="en-US"/>
        </w:rPr>
        <w:t xml:space="preserve"> and </w:t>
      </w:r>
      <w:r>
        <w:rPr>
          <w:lang w:val="en-US"/>
        </w:rPr>
        <w:fldChar w:fldCharType="begin"/>
      </w:r>
      <w:r>
        <w:rPr>
          <w:lang w:val="en-US"/>
        </w:rPr>
        <w:instrText xml:space="preserve"> REF _Ref40086074 \h </w:instrText>
      </w:r>
      <w:r>
        <w:rPr>
          <w:lang w:val="en-US"/>
        </w:rPr>
      </w:r>
      <w:r>
        <w:rPr>
          <w:lang w:val="en-US"/>
        </w:rPr>
        <w:fldChar w:fldCharType="separate"/>
      </w:r>
      <w:r w:rsidRPr="00414330">
        <w:t xml:space="preserve">Table </w:t>
      </w:r>
      <w:r>
        <w:rPr>
          <w:noProof/>
        </w:rPr>
        <w:t>4</w:t>
      </w:r>
      <w:r>
        <w:rPr>
          <w:lang w:val="en-US"/>
        </w:rPr>
        <w:fldChar w:fldCharType="end"/>
      </w:r>
      <w:r w:rsidRPr="009C57A8">
        <w:rPr>
          <w:lang w:val="en-US"/>
        </w:rPr>
        <w:t xml:space="preserve"> can be </w:t>
      </w:r>
      <w:r>
        <w:rPr>
          <w:lang w:val="en-US"/>
        </w:rPr>
        <w:t xml:space="preserve">explored </w:t>
      </w:r>
      <w:r w:rsidRPr="009C57A8">
        <w:rPr>
          <w:lang w:val="en-US"/>
        </w:rPr>
        <w:t>for that purpose if desired</w:t>
      </w:r>
      <w:r>
        <w:rPr>
          <w:lang w:val="en-US"/>
        </w:rPr>
        <w:t>.</w:t>
      </w:r>
      <w:r w:rsidRPr="009C57A8">
        <w:rPr>
          <w:lang w:val="en-US"/>
        </w:rPr>
        <w:t xml:space="preserve"> </w:t>
      </w:r>
      <w:r>
        <w:rPr>
          <w:lang w:val="en-US"/>
        </w:rPr>
        <w:t>F</w:t>
      </w:r>
      <w:r w:rsidRPr="009C57A8">
        <w:rPr>
          <w:lang w:val="en-US"/>
        </w:rPr>
        <w:t xml:space="preserve">or most </w:t>
      </w:r>
      <w:r>
        <w:rPr>
          <w:lang w:val="en-US"/>
        </w:rPr>
        <w:t xml:space="preserve">urban </w:t>
      </w:r>
      <w:r w:rsidRPr="009C57A8">
        <w:rPr>
          <w:lang w:val="en-US"/>
        </w:rPr>
        <w:t>water supply systems, projected changes in rainfall and runoff will dominate the nature of that supply-demand balance. In contrast, the uncertainty in the projections for potential evapotranspiration and temperature will contribute a much lower degree of uncertainty to the supply-demand balance.</w:t>
      </w:r>
    </w:p>
    <w:p w14:paraId="463FB27D"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227C0787" w14:textId="77777777" w:rsidTr="00306AF1">
        <w:tc>
          <w:tcPr>
            <w:tcW w:w="9639" w:type="dxa"/>
            <w:hideMark/>
          </w:tcPr>
          <w:p w14:paraId="14AF41CD" w14:textId="77777777" w:rsidR="007B29DD" w:rsidRDefault="007B29DD" w:rsidP="00306AF1">
            <w:pPr>
              <w:pStyle w:val="HighlightBoxText"/>
              <w:jc w:val="both"/>
            </w:pPr>
            <w:r w:rsidRPr="002F3BA7">
              <w:rPr>
                <w:color w:val="000000" w:themeColor="text1"/>
              </w:rPr>
              <w:t>For urban demand models that utilise temperature and/or evaporation, only the medium climate change projection for these variables need be applied.</w:t>
            </w:r>
          </w:p>
        </w:tc>
      </w:tr>
    </w:tbl>
    <w:p w14:paraId="0B398669" w14:textId="77777777" w:rsidR="007B29DD" w:rsidRPr="00971EB7" w:rsidRDefault="007B29DD" w:rsidP="007B29DD">
      <w:pPr>
        <w:pStyle w:val="BodyText"/>
        <w:rPr>
          <w:lang w:eastAsia="en-AU"/>
        </w:rPr>
      </w:pPr>
    </w:p>
    <w:p w14:paraId="38E61EBF" w14:textId="77777777" w:rsidR="007B29DD" w:rsidRDefault="007B29DD" w:rsidP="007B29DD">
      <w:pPr>
        <w:pStyle w:val="BodyText"/>
        <w:rPr>
          <w:lang w:val="en-US"/>
        </w:rPr>
      </w:pPr>
      <w:r>
        <w:t xml:space="preserve">Demands in </w:t>
      </w:r>
      <w:r>
        <w:rPr>
          <w:lang w:val="en-US"/>
        </w:rPr>
        <w:t>major cities could be more severely affected by rising temperatures than smaller towns due to urban heat island effects in major cities. Urban heat islands are defined and characterised in the VCP19 technical report (Clarke et al., 2019a). An</w:t>
      </w:r>
      <w:r w:rsidRPr="00FC503E">
        <w:rPr>
          <w:lang w:val="en-US"/>
        </w:rPr>
        <w:t xml:space="preserve"> </w:t>
      </w:r>
      <w:r>
        <w:rPr>
          <w:lang w:val="en-US"/>
        </w:rPr>
        <w:t>urban heat island</w:t>
      </w:r>
      <w:r w:rsidRPr="00FC503E">
        <w:rPr>
          <w:lang w:val="en-US"/>
        </w:rPr>
        <w:t xml:space="preserve"> refers to the increased</w:t>
      </w:r>
      <w:r>
        <w:rPr>
          <w:lang w:val="en-US"/>
        </w:rPr>
        <w:t xml:space="preserve"> </w:t>
      </w:r>
      <w:r w:rsidRPr="00FC503E">
        <w:rPr>
          <w:lang w:val="en-US"/>
        </w:rPr>
        <w:t>daily minimum near-surface (2 m) air temperature in urban</w:t>
      </w:r>
      <w:r>
        <w:rPr>
          <w:lang w:val="en-US"/>
        </w:rPr>
        <w:t xml:space="preserve"> </w:t>
      </w:r>
      <w:r w:rsidRPr="00FC503E">
        <w:rPr>
          <w:lang w:val="en-US"/>
        </w:rPr>
        <w:t>areas due to the storage of heat in buildings and roads. Most</w:t>
      </w:r>
      <w:r>
        <w:rPr>
          <w:lang w:val="en-US"/>
        </w:rPr>
        <w:t xml:space="preserve"> </w:t>
      </w:r>
      <w:r w:rsidRPr="00FC503E">
        <w:rPr>
          <w:lang w:val="en-US"/>
        </w:rPr>
        <w:t xml:space="preserve">major Australian cities have an </w:t>
      </w:r>
      <w:r>
        <w:rPr>
          <w:lang w:val="en-US"/>
        </w:rPr>
        <w:t>urban heat island</w:t>
      </w:r>
      <w:r w:rsidRPr="00FC503E">
        <w:rPr>
          <w:lang w:val="en-US"/>
        </w:rPr>
        <w:t xml:space="preserve"> of 1°C to 2°C, depending</w:t>
      </w:r>
      <w:r>
        <w:rPr>
          <w:lang w:val="en-US"/>
        </w:rPr>
        <w:t xml:space="preserve"> </w:t>
      </w:r>
      <w:r w:rsidRPr="00FC503E">
        <w:rPr>
          <w:lang w:val="en-US"/>
        </w:rPr>
        <w:t>on the nature of the local built environment. The size of the</w:t>
      </w:r>
      <w:r>
        <w:rPr>
          <w:lang w:val="en-US"/>
        </w:rPr>
        <w:t xml:space="preserve"> urban heat island</w:t>
      </w:r>
      <w:r w:rsidRPr="00FC503E">
        <w:rPr>
          <w:lang w:val="en-US"/>
        </w:rPr>
        <w:t xml:space="preserve"> is usually estimated by comparing measurements of</w:t>
      </w:r>
      <w:r>
        <w:rPr>
          <w:lang w:val="en-US"/>
        </w:rPr>
        <w:t xml:space="preserve"> </w:t>
      </w:r>
      <w:r w:rsidRPr="00FC503E">
        <w:rPr>
          <w:lang w:val="en-US"/>
        </w:rPr>
        <w:t>daily minimum temperature from the fringe of the city with</w:t>
      </w:r>
      <w:r>
        <w:rPr>
          <w:lang w:val="en-US"/>
        </w:rPr>
        <w:t xml:space="preserve"> </w:t>
      </w:r>
      <w:r w:rsidRPr="00FC503E">
        <w:rPr>
          <w:lang w:val="en-US"/>
        </w:rPr>
        <w:t>that at the city centre, inferring the enhanced warming in</w:t>
      </w:r>
      <w:r>
        <w:rPr>
          <w:lang w:val="en-US"/>
        </w:rPr>
        <w:t xml:space="preserve"> </w:t>
      </w:r>
      <w:r w:rsidRPr="00FC503E">
        <w:rPr>
          <w:lang w:val="en-US"/>
        </w:rPr>
        <w:t>daily minimum temperature due to the presence of the city.</w:t>
      </w:r>
      <w:r>
        <w:rPr>
          <w:lang w:val="en-US"/>
        </w:rPr>
        <w:t xml:space="preserve"> For example, in Melbourne, there is a 2</w:t>
      </w:r>
      <w:r w:rsidRPr="00FC503E">
        <w:rPr>
          <w:lang w:val="en-US"/>
        </w:rPr>
        <w:t>°</w:t>
      </w:r>
      <w:r>
        <w:rPr>
          <w:lang w:val="en-US"/>
        </w:rPr>
        <w:t>C urban heat island effect between the city centre and Laverton or Cranbourne. The regional climate model used in the VCP19 projections was demonstrated to much more accurately represent current urban heat island effects in urban areas compared to GCMs. The specific change in the magnitude of the urban heat island effect was not presented in the VCP19 projections (Clarke et al., 2019a). If the projected change in the urban heat island effect on demands were considered to be of significance, the VCP19 projections for minimum temperature in the city centre and reference surrounding areas would need to be extracted and compared between reference period and future conditions.</w:t>
      </w:r>
    </w:p>
    <w:p w14:paraId="6F364C7E"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rPr>
      </w:pPr>
      <w:bookmarkStart w:id="664" w:name="_Toc38957448"/>
      <w:bookmarkStart w:id="665" w:name="_Ref40180119"/>
      <w:bookmarkStart w:id="666" w:name="_Toc43476507"/>
      <w:bookmarkStart w:id="667" w:name="_Toc44928752"/>
      <w:bookmarkStart w:id="668" w:name="_Toc51658024"/>
      <w:bookmarkStart w:id="669" w:name="_Toc53585929"/>
      <w:bookmarkStart w:id="670" w:name="_Toc57377180"/>
      <w:r w:rsidRPr="00306AF1">
        <w:rPr>
          <w:b/>
          <w:bCs/>
          <w:color w:val="000000" w:themeColor="text1"/>
        </w:rPr>
        <w:t>Rural water demands</w:t>
      </w:r>
      <w:bookmarkEnd w:id="664"/>
      <w:bookmarkEnd w:id="665"/>
      <w:bookmarkEnd w:id="666"/>
      <w:bookmarkEnd w:id="667"/>
      <w:bookmarkEnd w:id="668"/>
      <w:bookmarkEnd w:id="669"/>
      <w:bookmarkEnd w:id="670"/>
    </w:p>
    <w:p w14:paraId="11216614" w14:textId="77777777" w:rsidR="007B29DD" w:rsidRPr="00D2262C" w:rsidRDefault="007B29DD" w:rsidP="007B29DD">
      <w:pPr>
        <w:pStyle w:val="BodyText"/>
        <w:rPr>
          <w:lang w:eastAsia="en-AU"/>
        </w:rPr>
      </w:pPr>
      <w:r w:rsidRPr="00D2262C">
        <w:rPr>
          <w:lang w:eastAsia="en-AU"/>
        </w:rPr>
        <w:t>Irrigation demands can be estimated using a variety of techniques</w:t>
      </w:r>
      <w:r>
        <w:rPr>
          <w:lang w:eastAsia="en-AU"/>
        </w:rPr>
        <w:t>. T</w:t>
      </w:r>
      <w:r w:rsidRPr="00D2262C">
        <w:rPr>
          <w:lang w:eastAsia="en-AU"/>
        </w:rPr>
        <w:t xml:space="preserve">he most common approach currently in Victoria is the use of the </w:t>
      </w:r>
      <w:r w:rsidRPr="002C3276">
        <w:rPr>
          <w:lang w:eastAsia="en-AU"/>
        </w:rPr>
        <w:t xml:space="preserve">Program for Regional Irrigation Demand Estimation (PRIDE) </w:t>
      </w:r>
      <w:r w:rsidRPr="00D2262C">
        <w:rPr>
          <w:lang w:eastAsia="en-AU"/>
        </w:rPr>
        <w:t xml:space="preserve">irrigation demand </w:t>
      </w:r>
      <w:r w:rsidRPr="00067994">
        <w:rPr>
          <w:lang w:eastAsia="en-AU"/>
        </w:rPr>
        <w:t>model (DSE, 2007). This m</w:t>
      </w:r>
      <w:r w:rsidRPr="00D2262C">
        <w:rPr>
          <w:lang w:eastAsia="en-AU"/>
        </w:rPr>
        <w:t xml:space="preserve">odel estimates daily crop water requirement using an input time series of rainfall and evaporation. The climate change projections for </w:t>
      </w:r>
      <w:r>
        <w:rPr>
          <w:lang w:eastAsia="en-AU"/>
        </w:rPr>
        <w:t xml:space="preserve">average annual </w:t>
      </w:r>
      <w:r w:rsidRPr="00D2262C">
        <w:rPr>
          <w:lang w:eastAsia="en-AU"/>
        </w:rPr>
        <w:t xml:space="preserve">rainfall and evaporation, previously presented in Sections </w:t>
      </w:r>
      <w:r w:rsidRPr="00D2262C">
        <w:rPr>
          <w:lang w:eastAsia="en-AU"/>
        </w:rPr>
        <w:fldChar w:fldCharType="begin"/>
      </w:r>
      <w:r w:rsidRPr="00D2262C">
        <w:rPr>
          <w:lang w:eastAsia="en-AU"/>
        </w:rPr>
        <w:instrText xml:space="preserve"> REF _Ref40179474 \r \h </w:instrText>
      </w:r>
      <w:r>
        <w:rPr>
          <w:lang w:eastAsia="en-AU"/>
        </w:rPr>
        <w:instrText xml:space="preserve"> \* MERGEFORMAT </w:instrText>
      </w:r>
      <w:r w:rsidRPr="00D2262C">
        <w:rPr>
          <w:lang w:eastAsia="en-AU"/>
        </w:rPr>
      </w:r>
      <w:r w:rsidRPr="00D2262C">
        <w:rPr>
          <w:lang w:eastAsia="en-AU"/>
        </w:rPr>
        <w:fldChar w:fldCharType="separate"/>
      </w:r>
      <w:r>
        <w:rPr>
          <w:lang w:eastAsia="en-AU"/>
        </w:rPr>
        <w:t>5.8</w:t>
      </w:r>
      <w:r w:rsidRPr="00D2262C">
        <w:rPr>
          <w:lang w:eastAsia="en-AU"/>
        </w:rPr>
        <w:fldChar w:fldCharType="end"/>
      </w:r>
      <w:r w:rsidRPr="00D2262C">
        <w:rPr>
          <w:lang w:eastAsia="en-AU"/>
        </w:rPr>
        <w:t xml:space="preserve"> and </w:t>
      </w:r>
      <w:r w:rsidRPr="00D2262C">
        <w:rPr>
          <w:lang w:eastAsia="en-AU"/>
        </w:rPr>
        <w:fldChar w:fldCharType="begin"/>
      </w:r>
      <w:r w:rsidRPr="00D2262C">
        <w:rPr>
          <w:lang w:eastAsia="en-AU"/>
        </w:rPr>
        <w:instrText xml:space="preserve"> REF _Ref40179480 \r \h </w:instrText>
      </w:r>
      <w:r>
        <w:rPr>
          <w:lang w:eastAsia="en-AU"/>
        </w:rPr>
        <w:instrText xml:space="preserve"> \* MERGEFORMAT </w:instrText>
      </w:r>
      <w:r w:rsidRPr="00D2262C">
        <w:rPr>
          <w:lang w:eastAsia="en-AU"/>
        </w:rPr>
      </w:r>
      <w:r w:rsidRPr="00D2262C">
        <w:rPr>
          <w:lang w:eastAsia="en-AU"/>
        </w:rPr>
        <w:fldChar w:fldCharType="separate"/>
      </w:r>
      <w:r>
        <w:rPr>
          <w:lang w:eastAsia="en-AU"/>
        </w:rPr>
        <w:t>5.9</w:t>
      </w:r>
      <w:r w:rsidRPr="00D2262C">
        <w:rPr>
          <w:lang w:eastAsia="en-AU"/>
        </w:rPr>
        <w:fldChar w:fldCharType="end"/>
      </w:r>
      <w:r w:rsidRPr="00D2262C">
        <w:rPr>
          <w:lang w:eastAsia="en-AU"/>
        </w:rPr>
        <w:t>, can be applied to these input time series to estimate the changes in crop water requirement under projected climate change.</w:t>
      </w:r>
    </w:p>
    <w:p w14:paraId="4955BABF" w14:textId="77777777" w:rsidR="007B29DD" w:rsidRPr="00CB5C73" w:rsidRDefault="007B29DD" w:rsidP="007B29DD">
      <w:pPr>
        <w:pStyle w:val="BodyText"/>
        <w:rPr>
          <w:lang w:eastAsia="en-AU"/>
        </w:rPr>
      </w:pPr>
      <w:r w:rsidRPr="00CB5C73">
        <w:rPr>
          <w:lang w:eastAsia="en-AU"/>
        </w:rPr>
        <w:t xml:space="preserve">Stock and domestic demands are typically small in volume in comparison to irrigation demands, and the drivers of the variability in demand for stock and domestic water use will depend upon the proportion of in-house use (which is typically invariable with climate) and the type and number of stock being supplied. Unless evidence is provided to the contrary for any given application, it is recommended that climate change projections need not be applied to stock and domestic water use </w:t>
      </w:r>
      <w:r>
        <w:rPr>
          <w:lang w:eastAsia="en-AU"/>
        </w:rPr>
        <w:t xml:space="preserve">for direct diversions from rivers </w:t>
      </w:r>
      <w:r w:rsidRPr="00CB5C73">
        <w:rPr>
          <w:lang w:eastAsia="en-AU"/>
        </w:rPr>
        <w:t>in rural areas.</w:t>
      </w:r>
    </w:p>
    <w:p w14:paraId="78EA150A" w14:textId="77777777" w:rsidR="007B29DD" w:rsidRDefault="007B29DD" w:rsidP="007B29DD">
      <w:pPr>
        <w:pStyle w:val="BodyText"/>
        <w:rPr>
          <w:lang w:val="en-US"/>
        </w:rPr>
      </w:pPr>
      <w:r>
        <w:rPr>
          <w:lang w:eastAsia="en-AU"/>
        </w:rPr>
        <w:t xml:space="preserve">Industrial and commercial water use may or may not be correlated with climate, depending on the nature of individual businesses. </w:t>
      </w:r>
      <w:r w:rsidRPr="009C57A8">
        <w:rPr>
          <w:lang w:val="en-US"/>
        </w:rPr>
        <w:t xml:space="preserve">Water </w:t>
      </w:r>
      <w:r>
        <w:rPr>
          <w:lang w:val="en-US"/>
        </w:rPr>
        <w:t>C</w:t>
      </w:r>
      <w:r w:rsidRPr="009C57A8">
        <w:rPr>
          <w:lang w:val="en-US"/>
        </w:rPr>
        <w:t xml:space="preserve">orporations are best placed to liaise with major industrial customers to assess the sensitivity and vulnerability of their demands to climate change, and to utilise metered consumption data to assess the climate sensitivity of demands for </w:t>
      </w:r>
      <w:r>
        <w:rPr>
          <w:lang w:val="en-US"/>
        </w:rPr>
        <w:t>these</w:t>
      </w:r>
      <w:r w:rsidRPr="009C57A8">
        <w:rPr>
          <w:lang w:val="en-US"/>
        </w:rPr>
        <w:t xml:space="preserve"> customer groups.</w:t>
      </w:r>
    </w:p>
    <w:p w14:paraId="473610CD" w14:textId="77777777" w:rsidR="007B29DD" w:rsidRDefault="007B29DD" w:rsidP="007B29DD">
      <w:pPr>
        <w:pStyle w:val="BodyText"/>
        <w:rPr>
          <w:highlight w:val="yellow"/>
          <w:lang w:eastAsia="en-AU"/>
        </w:rPr>
      </w:pPr>
      <w:r>
        <w:rPr>
          <w:lang w:val="en-US"/>
        </w:rPr>
        <w:t>Changes to water usage resulting from structural changes to the economy arising from climate change (such as a transition to a low-carbon economy) are outside the scope of these guidelines. Such changes will be informed by ongoing monitoring of trends in water consumption by Water Corporations and individual water users.</w:t>
      </w:r>
    </w:p>
    <w:p w14:paraId="002F5F2B"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rPr>
      </w:pPr>
      <w:bookmarkStart w:id="671" w:name="_Toc38957449"/>
      <w:bookmarkStart w:id="672" w:name="_Toc43476508"/>
      <w:bookmarkStart w:id="673" w:name="_Toc44928753"/>
      <w:bookmarkStart w:id="674" w:name="_Toc51658025"/>
      <w:bookmarkStart w:id="675" w:name="_Toc53585930"/>
      <w:bookmarkStart w:id="676" w:name="_Toc57377181"/>
      <w:r w:rsidRPr="00306AF1">
        <w:rPr>
          <w:b/>
          <w:bCs/>
          <w:color w:val="000000" w:themeColor="text1"/>
        </w:rPr>
        <w:t>Farm dams</w:t>
      </w:r>
      <w:bookmarkEnd w:id="671"/>
      <w:bookmarkEnd w:id="672"/>
      <w:bookmarkEnd w:id="673"/>
      <w:bookmarkEnd w:id="674"/>
      <w:bookmarkEnd w:id="675"/>
      <w:bookmarkEnd w:id="676"/>
    </w:p>
    <w:p w14:paraId="3462AE2B" w14:textId="77777777" w:rsidR="007B29DD" w:rsidRDefault="007B29DD" w:rsidP="007B29DD">
      <w:pPr>
        <w:pStyle w:val="BodyText"/>
        <w:rPr>
          <w:lang w:eastAsia="en-AU"/>
        </w:rPr>
      </w:pPr>
      <w:r>
        <w:rPr>
          <w:lang w:eastAsia="en-AU"/>
        </w:rPr>
        <w:t>Farm dam</w:t>
      </w:r>
      <w:r w:rsidRPr="00D2262C">
        <w:rPr>
          <w:lang w:eastAsia="en-AU"/>
        </w:rPr>
        <w:t xml:space="preserve"> demands </w:t>
      </w:r>
      <w:r>
        <w:rPr>
          <w:lang w:eastAsia="en-AU"/>
        </w:rPr>
        <w:t xml:space="preserve">are typically estimated in </w:t>
      </w:r>
      <w:r w:rsidRPr="00D2262C">
        <w:rPr>
          <w:lang w:eastAsia="en-AU"/>
        </w:rPr>
        <w:t xml:space="preserve">Victoria </w:t>
      </w:r>
      <w:r>
        <w:rPr>
          <w:lang w:eastAsia="en-AU"/>
        </w:rPr>
        <w:t xml:space="preserve">using the </w:t>
      </w:r>
      <w:r w:rsidRPr="009319BA">
        <w:rPr>
          <w:lang w:eastAsia="en-AU"/>
        </w:rPr>
        <w:t>Spa</w:t>
      </w:r>
      <w:r>
        <w:rPr>
          <w:lang w:eastAsia="en-AU"/>
        </w:rPr>
        <w:t>t</w:t>
      </w:r>
      <w:r w:rsidRPr="009319BA">
        <w:rPr>
          <w:lang w:eastAsia="en-AU"/>
        </w:rPr>
        <w:t>ial Tool for Estimating Dam Impacts (STEDI)</w:t>
      </w:r>
      <w:r>
        <w:rPr>
          <w:lang w:eastAsia="en-AU"/>
        </w:rPr>
        <w:t xml:space="preserve"> </w:t>
      </w:r>
      <w:r w:rsidRPr="006D5388">
        <w:rPr>
          <w:lang w:eastAsia="en-AU"/>
        </w:rPr>
        <w:t xml:space="preserve">model (SKM, 2011) </w:t>
      </w:r>
      <w:r w:rsidRPr="002923AF">
        <w:rPr>
          <w:lang w:eastAsia="en-AU"/>
        </w:rPr>
        <w:t>or variants thereof</w:t>
      </w:r>
      <w:r>
        <w:rPr>
          <w:lang w:eastAsia="en-AU"/>
        </w:rPr>
        <w:t xml:space="preserve"> (e.g. the ADAM model in Morden, 2017)</w:t>
      </w:r>
      <w:r w:rsidRPr="002923AF">
        <w:rPr>
          <w:lang w:eastAsia="en-AU"/>
        </w:rPr>
        <w:t xml:space="preserve">. </w:t>
      </w:r>
      <w:r>
        <w:rPr>
          <w:lang w:eastAsia="en-AU"/>
        </w:rPr>
        <w:t>The STEDI</w:t>
      </w:r>
      <w:r w:rsidRPr="00D2262C">
        <w:rPr>
          <w:lang w:eastAsia="en-AU"/>
        </w:rPr>
        <w:t xml:space="preserve"> model </w:t>
      </w:r>
      <w:r>
        <w:rPr>
          <w:lang w:eastAsia="en-AU"/>
        </w:rPr>
        <w:t>performs a water balance on farm dams using a time series of input runoff and net evaporation, and assuming that demand is a fixed percentage of the dam capacity</w:t>
      </w:r>
      <w:r w:rsidRPr="00D2262C">
        <w:rPr>
          <w:lang w:eastAsia="en-AU"/>
        </w:rPr>
        <w:t xml:space="preserve">. The climate change projections for </w:t>
      </w:r>
      <w:r>
        <w:rPr>
          <w:lang w:eastAsia="en-AU"/>
        </w:rPr>
        <w:t>average annual runoff, rainfall</w:t>
      </w:r>
      <w:r w:rsidRPr="00D2262C">
        <w:rPr>
          <w:lang w:eastAsia="en-AU"/>
        </w:rPr>
        <w:t xml:space="preserve"> and evaporation, previously presented in Sections </w:t>
      </w:r>
      <w:r w:rsidRPr="00D2262C">
        <w:rPr>
          <w:lang w:eastAsia="en-AU"/>
        </w:rPr>
        <w:fldChar w:fldCharType="begin"/>
      </w:r>
      <w:r w:rsidRPr="00D2262C">
        <w:rPr>
          <w:lang w:eastAsia="en-AU"/>
        </w:rPr>
        <w:instrText xml:space="preserve"> REF _Ref40179474 \r \h </w:instrText>
      </w:r>
      <w:r>
        <w:rPr>
          <w:lang w:eastAsia="en-AU"/>
        </w:rPr>
        <w:instrText xml:space="preserve"> \* MERGEFORMAT </w:instrText>
      </w:r>
      <w:r w:rsidRPr="00D2262C">
        <w:rPr>
          <w:lang w:eastAsia="en-AU"/>
        </w:rPr>
      </w:r>
      <w:r w:rsidRPr="00D2262C">
        <w:rPr>
          <w:lang w:eastAsia="en-AU"/>
        </w:rPr>
        <w:fldChar w:fldCharType="separate"/>
      </w:r>
      <w:r>
        <w:rPr>
          <w:lang w:eastAsia="en-AU"/>
        </w:rPr>
        <w:t>5.8</w:t>
      </w:r>
      <w:r w:rsidRPr="00D2262C">
        <w:rPr>
          <w:lang w:eastAsia="en-AU"/>
        </w:rPr>
        <w:fldChar w:fldCharType="end"/>
      </w:r>
      <w:r w:rsidRPr="00D2262C">
        <w:rPr>
          <w:lang w:eastAsia="en-AU"/>
        </w:rPr>
        <w:t xml:space="preserve"> </w:t>
      </w:r>
      <w:r>
        <w:rPr>
          <w:lang w:eastAsia="en-AU"/>
        </w:rPr>
        <w:t xml:space="preserve">to </w:t>
      </w:r>
      <w:r>
        <w:rPr>
          <w:lang w:eastAsia="en-AU"/>
        </w:rPr>
        <w:fldChar w:fldCharType="begin"/>
      </w:r>
      <w:r>
        <w:rPr>
          <w:lang w:eastAsia="en-AU"/>
        </w:rPr>
        <w:instrText xml:space="preserve"> REF _Ref40179942 \r \h </w:instrText>
      </w:r>
      <w:r>
        <w:rPr>
          <w:lang w:eastAsia="en-AU"/>
        </w:rPr>
      </w:r>
      <w:r>
        <w:rPr>
          <w:lang w:eastAsia="en-AU"/>
        </w:rPr>
        <w:fldChar w:fldCharType="separate"/>
      </w:r>
      <w:r>
        <w:rPr>
          <w:lang w:eastAsia="en-AU"/>
        </w:rPr>
        <w:t>5.10</w:t>
      </w:r>
      <w:r>
        <w:rPr>
          <w:lang w:eastAsia="en-AU"/>
        </w:rPr>
        <w:fldChar w:fldCharType="end"/>
      </w:r>
      <w:r w:rsidRPr="00D2262C">
        <w:rPr>
          <w:lang w:eastAsia="en-AU"/>
        </w:rPr>
        <w:t xml:space="preserve">, can be applied to these input time series to estimate the changes in </w:t>
      </w:r>
      <w:r>
        <w:rPr>
          <w:lang w:eastAsia="en-AU"/>
        </w:rPr>
        <w:t>farm dam behaviour</w:t>
      </w:r>
      <w:r w:rsidRPr="00D2262C">
        <w:rPr>
          <w:lang w:eastAsia="en-AU"/>
        </w:rPr>
        <w:t xml:space="preserve"> under projected climate change.</w:t>
      </w:r>
      <w:r>
        <w:rPr>
          <w:lang w:eastAsia="en-AU"/>
        </w:rPr>
        <w:t xml:space="preserve"> By default, STEDI does not allow changes in consumptive demand for water to be directly altered due to projected changes in rainfall and evaporation. For this purpose, a crop water requirement model (see Section </w:t>
      </w:r>
      <w:r>
        <w:rPr>
          <w:lang w:eastAsia="en-AU"/>
        </w:rPr>
        <w:fldChar w:fldCharType="begin"/>
      </w:r>
      <w:r>
        <w:rPr>
          <w:lang w:eastAsia="en-AU"/>
        </w:rPr>
        <w:instrText xml:space="preserve"> REF _Ref40180119 \r \h </w:instrText>
      </w:r>
      <w:r>
        <w:rPr>
          <w:lang w:eastAsia="en-AU"/>
        </w:rPr>
      </w:r>
      <w:r>
        <w:rPr>
          <w:lang w:eastAsia="en-AU"/>
        </w:rPr>
        <w:fldChar w:fldCharType="separate"/>
      </w:r>
      <w:r>
        <w:rPr>
          <w:lang w:eastAsia="en-AU"/>
        </w:rPr>
        <w:t>5.12.2</w:t>
      </w:r>
      <w:r>
        <w:rPr>
          <w:lang w:eastAsia="en-AU"/>
        </w:rPr>
        <w:fldChar w:fldCharType="end"/>
      </w:r>
      <w:r>
        <w:rPr>
          <w:lang w:eastAsia="en-AU"/>
        </w:rPr>
        <w:t>) could be utilised, if desired. However, given the uncertainties in this assumption under reference period climate conditions, this additional level of analysis would be unwarranted in most applications.</w:t>
      </w:r>
    </w:p>
    <w:p w14:paraId="48C06E48" w14:textId="77777777" w:rsidR="007B29DD" w:rsidRPr="00306AF1"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677" w:name="_Toc38957450"/>
      <w:bookmarkStart w:id="678" w:name="_Toc43476509"/>
      <w:bookmarkStart w:id="679" w:name="_Toc44928754"/>
      <w:bookmarkStart w:id="680" w:name="_Toc51658026"/>
      <w:bookmarkStart w:id="681" w:name="_Toc53585931"/>
      <w:bookmarkStart w:id="682" w:name="_Toc57377182"/>
      <w:r w:rsidRPr="00306AF1">
        <w:rPr>
          <w:b/>
          <w:bCs/>
          <w:color w:val="000000" w:themeColor="text1"/>
        </w:rPr>
        <w:t>Environmental water demands</w:t>
      </w:r>
      <w:bookmarkEnd w:id="677"/>
      <w:bookmarkEnd w:id="678"/>
      <w:bookmarkEnd w:id="679"/>
      <w:bookmarkEnd w:id="680"/>
      <w:bookmarkEnd w:id="681"/>
      <w:bookmarkEnd w:id="682"/>
    </w:p>
    <w:p w14:paraId="19538D09" w14:textId="77777777" w:rsidR="007B29DD" w:rsidRPr="00FA0898" w:rsidRDefault="007B29DD" w:rsidP="007B29DD">
      <w:pPr>
        <w:pStyle w:val="BodyText"/>
        <w:rPr>
          <w:lang w:eastAsia="en-AU"/>
        </w:rPr>
      </w:pPr>
      <w:r>
        <w:rPr>
          <w:lang w:eastAsia="en-AU"/>
        </w:rPr>
        <w:t xml:space="preserve">Minimum environmental water demands have been established in rivers across Victoria using the FLOWS method (DEPI, 2013). These demands have been set with reference to the historical climate conditions under which ecosystems have developed. Precisely understanding current environmental water demands is difficult, but a broad understanding can be obtained through a combination of observations and expert opinion. Understanding how ecosystem water requirements might or might not change under higher greenhouse gas concentrations in the atmosphere, and under projected climate change, involves even greater complexity and uncertainty. In many cases the response (if any) will be unique to the plant and animal species that dwell in any given location. For the purposes of modelling river or water supply systems, it is recommended that existing minimum environmental water demands </w:t>
      </w:r>
      <w:r>
        <w:rPr>
          <w:lang w:eastAsia="en-AU"/>
        </w:rPr>
        <w:lastRenderedPageBreak/>
        <w:t>should be assumed to be retained under projected climate change, unless specific ecological advice has otherwise been provided for your river or water supply system.</w:t>
      </w:r>
    </w:p>
    <w:p w14:paraId="355653AF"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683" w:name="_Toc43476510"/>
      <w:bookmarkStart w:id="684" w:name="_Toc44928755"/>
      <w:bookmarkStart w:id="685" w:name="_Toc51658027"/>
      <w:bookmarkStart w:id="686" w:name="_Toc53585932"/>
      <w:bookmarkStart w:id="687" w:name="_Toc57377183"/>
      <w:r w:rsidRPr="00E44CBB">
        <w:rPr>
          <w:b/>
          <w:bCs/>
          <w:color w:val="000000" w:themeColor="text1"/>
        </w:rPr>
        <w:t xml:space="preserve">Applying climate change projections to </w:t>
      </w:r>
      <w:bookmarkEnd w:id="683"/>
      <w:bookmarkEnd w:id="684"/>
      <w:r w:rsidRPr="00E44CBB">
        <w:rPr>
          <w:b/>
          <w:bCs/>
          <w:color w:val="000000" w:themeColor="text1"/>
        </w:rPr>
        <w:t>performance metrics</w:t>
      </w:r>
      <w:bookmarkEnd w:id="685"/>
      <w:bookmarkEnd w:id="686"/>
      <w:bookmarkEnd w:id="687"/>
    </w:p>
    <w:p w14:paraId="4BD52A01" w14:textId="77777777" w:rsidR="007B29DD" w:rsidRDefault="007B29DD" w:rsidP="007B29DD">
      <w:pPr>
        <w:pStyle w:val="BodyText"/>
        <w:rPr>
          <w:lang w:eastAsia="en-AU"/>
        </w:rPr>
      </w:pPr>
      <w:r>
        <w:rPr>
          <w:lang w:eastAsia="en-AU"/>
        </w:rPr>
        <w:t>For long-term water planning, the climate change projections can be applied to assess different streamflow characteristics or supply system performance under projected climate change. This section provides guidance on applying climate change projections to performance metrics, including supply system yield, supply system reliability and environmental flow compliance.</w:t>
      </w:r>
    </w:p>
    <w:p w14:paraId="4BB94280"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498DB9F8" w14:textId="77777777" w:rsidTr="00306AF1">
        <w:tc>
          <w:tcPr>
            <w:tcW w:w="9639" w:type="dxa"/>
            <w:hideMark/>
          </w:tcPr>
          <w:p w14:paraId="1D39160C" w14:textId="77777777" w:rsidR="007B29DD" w:rsidRPr="00846954" w:rsidRDefault="007B29DD" w:rsidP="00306AF1">
            <w:pPr>
              <w:pStyle w:val="HighlightBoxText"/>
              <w:jc w:val="both"/>
              <w:rPr>
                <w:color w:val="auto"/>
              </w:rPr>
            </w:pPr>
            <w:r w:rsidRPr="002F3BA7">
              <w:rPr>
                <w:color w:val="000000" w:themeColor="text1"/>
              </w:rPr>
              <w:t xml:space="preserve">There are a range of different performance metrics that can be used to assess water availability, supply system performance or the achievement of environmental flow objectives. These guidelines do not provide advice on which metric should be used for a particular purpose, but other guidance may — for example the </w:t>
            </w:r>
            <w:r w:rsidRPr="002F3BA7">
              <w:rPr>
                <w:i/>
                <w:iCs/>
                <w:color w:val="000000" w:themeColor="text1"/>
              </w:rPr>
              <w:t xml:space="preserve">Guidelines for the </w:t>
            </w:r>
            <w:r w:rsidRPr="00846954">
              <w:rPr>
                <w:i/>
                <w:iCs/>
                <w:color w:val="auto"/>
              </w:rPr>
              <w:t>Development of Urban Water Strategies and the Melbourne Water System Strategy</w:t>
            </w:r>
            <w:r w:rsidRPr="00846954">
              <w:rPr>
                <w:color w:val="auto"/>
              </w:rPr>
              <w:t xml:space="preserve"> (DELWP, 2020a).</w:t>
            </w:r>
          </w:p>
          <w:p w14:paraId="320F9344" w14:textId="77777777" w:rsidR="007B29DD" w:rsidRPr="00846954" w:rsidRDefault="007B29DD" w:rsidP="00306AF1">
            <w:pPr>
              <w:pStyle w:val="HighlightBoxText"/>
              <w:jc w:val="both"/>
              <w:rPr>
                <w:color w:val="auto"/>
              </w:rPr>
            </w:pPr>
            <w:r w:rsidRPr="00846954">
              <w:rPr>
                <w:color w:val="auto"/>
              </w:rPr>
              <w:t>Measures of water availability and supply system performance can include:</w:t>
            </w:r>
          </w:p>
          <w:p w14:paraId="1A91676E" w14:textId="77777777" w:rsidR="007B29DD" w:rsidRPr="00846954" w:rsidRDefault="007B29DD" w:rsidP="007B29DD">
            <w:pPr>
              <w:pStyle w:val="HighlightBoxText"/>
              <w:numPr>
                <w:ilvl w:val="0"/>
                <w:numId w:val="43"/>
              </w:numPr>
              <w:jc w:val="both"/>
              <w:rPr>
                <w:color w:val="auto"/>
              </w:rPr>
            </w:pPr>
            <w:r w:rsidRPr="00846954">
              <w:rPr>
                <w:color w:val="auto"/>
              </w:rPr>
              <w:t>Volume available within licence or entitlement limits — the volume that can be harvested from the source without considering water demands or level of service criteria.</w:t>
            </w:r>
          </w:p>
          <w:p w14:paraId="5739A4A0" w14:textId="77777777" w:rsidR="007B29DD" w:rsidRPr="00846954" w:rsidRDefault="007B29DD" w:rsidP="007B29DD">
            <w:pPr>
              <w:pStyle w:val="HighlightBoxText"/>
              <w:numPr>
                <w:ilvl w:val="0"/>
                <w:numId w:val="43"/>
              </w:numPr>
              <w:jc w:val="both"/>
              <w:rPr>
                <w:color w:val="auto"/>
              </w:rPr>
            </w:pPr>
            <w:r w:rsidRPr="00846954">
              <w:rPr>
                <w:color w:val="auto"/>
              </w:rPr>
              <w:t>Supply system yield — the volume that can be harvested to supply a demand at a given level of reliability.</w:t>
            </w:r>
          </w:p>
          <w:p w14:paraId="596D7AC5" w14:textId="77777777" w:rsidR="007B29DD" w:rsidRPr="00846954" w:rsidRDefault="007B29DD" w:rsidP="007B29DD">
            <w:pPr>
              <w:pStyle w:val="HighlightBoxText"/>
              <w:numPr>
                <w:ilvl w:val="0"/>
                <w:numId w:val="43"/>
              </w:numPr>
              <w:jc w:val="both"/>
              <w:rPr>
                <w:color w:val="auto"/>
              </w:rPr>
            </w:pPr>
            <w:r w:rsidRPr="00846954">
              <w:rPr>
                <w:color w:val="auto"/>
              </w:rPr>
              <w:t>Reliability of supply — the frequency of restrictions or shortfalls in supplying demands, the duration of restrictions or shortfalls in supplying demands, the percentage of time below a given threshold volume in storage, etc.</w:t>
            </w:r>
          </w:p>
          <w:p w14:paraId="580BBFF1" w14:textId="77777777" w:rsidR="007B29DD" w:rsidRPr="00846954" w:rsidRDefault="007B29DD" w:rsidP="007B29DD">
            <w:pPr>
              <w:pStyle w:val="HighlightBoxText"/>
              <w:numPr>
                <w:ilvl w:val="0"/>
                <w:numId w:val="43"/>
              </w:numPr>
              <w:jc w:val="both"/>
              <w:rPr>
                <w:color w:val="auto"/>
              </w:rPr>
            </w:pPr>
            <w:r w:rsidRPr="00846954">
              <w:rPr>
                <w:color w:val="auto"/>
              </w:rPr>
              <w:t>Other measures directly relevant to the supply system.</w:t>
            </w:r>
          </w:p>
          <w:p w14:paraId="55CF5B5D" w14:textId="77777777" w:rsidR="007B29DD" w:rsidRPr="00846954" w:rsidRDefault="007B29DD" w:rsidP="00306AF1">
            <w:pPr>
              <w:pStyle w:val="HighlightBoxText"/>
              <w:jc w:val="both"/>
              <w:rPr>
                <w:color w:val="auto"/>
              </w:rPr>
            </w:pPr>
            <w:r w:rsidRPr="00846954">
              <w:rPr>
                <w:color w:val="auto"/>
              </w:rPr>
              <w:t>Measures of reliability can also relate to other river system objectives such as their ecological performance including:</w:t>
            </w:r>
          </w:p>
          <w:p w14:paraId="0EF0DE52" w14:textId="77777777" w:rsidR="00846954" w:rsidRDefault="007B29DD" w:rsidP="00846954">
            <w:pPr>
              <w:pStyle w:val="HighlightBoxText"/>
              <w:numPr>
                <w:ilvl w:val="0"/>
                <w:numId w:val="42"/>
              </w:numPr>
              <w:jc w:val="both"/>
            </w:pPr>
            <w:r w:rsidRPr="00846954">
              <w:rPr>
                <w:color w:val="auto"/>
              </w:rPr>
              <w:t>Environmental flow compliance — criteria may include the frequency of freshes, and the frequency and duration of cease to flow events.</w:t>
            </w:r>
          </w:p>
        </w:tc>
      </w:tr>
    </w:tbl>
    <w:p w14:paraId="5D243230" w14:textId="77777777" w:rsidR="007B29DD" w:rsidRDefault="007B29DD" w:rsidP="007B29DD">
      <w:pPr>
        <w:pStyle w:val="BodyText"/>
        <w:rPr>
          <w:lang w:eastAsia="en-AU"/>
        </w:rPr>
      </w:pPr>
    </w:p>
    <w:p w14:paraId="50A64622" w14:textId="77777777" w:rsidR="007B29DD" w:rsidRDefault="007B29DD" w:rsidP="007B29DD">
      <w:pPr>
        <w:pStyle w:val="BodyText"/>
        <w:rPr>
          <w:lang w:eastAsia="en-AU"/>
        </w:rPr>
      </w:pPr>
      <w:r>
        <w:rPr>
          <w:lang w:eastAsia="en-AU"/>
        </w:rPr>
        <w:t xml:space="preserve">An example supply-demand projection for a water supply system is illustrated in </w:t>
      </w:r>
      <w:r>
        <w:rPr>
          <w:lang w:eastAsia="en-AU"/>
        </w:rPr>
        <w:fldChar w:fldCharType="begin"/>
      </w:r>
      <w:r>
        <w:rPr>
          <w:lang w:eastAsia="en-AU"/>
        </w:rPr>
        <w:instrText xml:space="preserve"> REF _Ref40189181 \h </w:instrText>
      </w:r>
      <w:r>
        <w:rPr>
          <w:lang w:eastAsia="en-AU"/>
        </w:rPr>
      </w:r>
      <w:r>
        <w:rPr>
          <w:lang w:eastAsia="en-AU"/>
        </w:rPr>
        <w:fldChar w:fldCharType="separate"/>
      </w:r>
      <w:r>
        <w:t xml:space="preserve">Figure </w:t>
      </w:r>
      <w:r>
        <w:rPr>
          <w:noProof/>
        </w:rPr>
        <w:t>25</w:t>
      </w:r>
      <w:r>
        <w:rPr>
          <w:lang w:eastAsia="en-AU"/>
        </w:rPr>
        <w:fldChar w:fldCharType="end"/>
      </w:r>
      <w:r>
        <w:rPr>
          <w:lang w:eastAsia="en-AU"/>
        </w:rPr>
        <w:t xml:space="preserve">. The vertical axis in this figure can be expressed as a volume (e.g. for comparing supply system yield directly against demand) or as some other performance measure, such as the annual reliability of supply. For illustrative purposes only, demand and yield in </w:t>
      </w:r>
      <w:r>
        <w:rPr>
          <w:lang w:eastAsia="en-AU"/>
        </w:rPr>
        <w:fldChar w:fldCharType="begin"/>
      </w:r>
      <w:r>
        <w:rPr>
          <w:lang w:eastAsia="en-AU"/>
        </w:rPr>
        <w:instrText xml:space="preserve"> REF _Ref40189181 \h </w:instrText>
      </w:r>
      <w:r>
        <w:rPr>
          <w:lang w:eastAsia="en-AU"/>
        </w:rPr>
      </w:r>
      <w:r>
        <w:rPr>
          <w:lang w:eastAsia="en-AU"/>
        </w:rPr>
        <w:fldChar w:fldCharType="separate"/>
      </w:r>
      <w:r>
        <w:t xml:space="preserve">Figure </w:t>
      </w:r>
      <w:r>
        <w:rPr>
          <w:noProof/>
        </w:rPr>
        <w:t>25</w:t>
      </w:r>
      <w:r>
        <w:rPr>
          <w:lang w:eastAsia="en-AU"/>
        </w:rPr>
        <w:fldChar w:fldCharType="end"/>
      </w:r>
      <w:r>
        <w:rPr>
          <w:lang w:eastAsia="en-AU"/>
        </w:rPr>
        <w:t xml:space="preserve"> are shown as being linear over time, but this may not necessarily be the case. The range of projections at the current point in time (~2020) may compress to two or one points if yield is identical under the three climate change projections from 1995 to now. Equally, as discussed below, the performance metrics and/or the projected demand may respond non-linearly to projected changes in climate and runoff. </w:t>
      </w:r>
    </w:p>
    <w:p w14:paraId="15DD795F" w14:textId="77777777" w:rsidR="007B29DD" w:rsidRDefault="007B29DD" w:rsidP="007B29DD">
      <w:pPr>
        <w:pStyle w:val="BodyText"/>
        <w:rPr>
          <w:lang w:eastAsia="en-AU"/>
        </w:rPr>
      </w:pPr>
      <w:r>
        <w:rPr>
          <w:lang w:eastAsia="en-AU"/>
        </w:rPr>
        <w:t xml:space="preserve">The uncertainty in the climate change projections can result in a range of possible dates for when levels of service for reliability of supply (i.e. when demand exceeds yield) will no longer be met. In </w:t>
      </w:r>
      <w:r>
        <w:rPr>
          <w:lang w:eastAsia="en-AU"/>
        </w:rPr>
        <w:fldChar w:fldCharType="begin"/>
      </w:r>
      <w:r>
        <w:rPr>
          <w:lang w:eastAsia="en-AU"/>
        </w:rPr>
        <w:instrText xml:space="preserve"> REF _Ref40189181 \h </w:instrText>
      </w:r>
      <w:r>
        <w:rPr>
          <w:lang w:eastAsia="en-AU"/>
        </w:rPr>
      </w:r>
      <w:r>
        <w:rPr>
          <w:lang w:eastAsia="en-AU"/>
        </w:rPr>
        <w:fldChar w:fldCharType="separate"/>
      </w:r>
      <w:r>
        <w:t xml:space="preserve">Figure </w:t>
      </w:r>
      <w:r>
        <w:rPr>
          <w:noProof/>
        </w:rPr>
        <w:t>25</w:t>
      </w:r>
      <w:r>
        <w:rPr>
          <w:lang w:eastAsia="en-AU"/>
        </w:rPr>
        <w:fldChar w:fldCharType="end"/>
      </w:r>
      <w:r>
        <w:rPr>
          <w:lang w:eastAsia="en-AU"/>
        </w:rPr>
        <w:t>, this uncertainty translates into a 15-year range for when action might be required to address this supply-demand imbalance. If projected demand is also considered highly uncertain due to the influence of climate, then high and low climate change projections for demand can also be presented, but in most cases this additional uncertainty is minor relative to the supply uncertainty, and is not likely to influence planning outcomes.</w:t>
      </w:r>
    </w:p>
    <w:p w14:paraId="6C85DE04" w14:textId="77777777" w:rsidR="007B29DD" w:rsidRDefault="007B29DD" w:rsidP="007B29DD">
      <w:pPr>
        <w:pStyle w:val="BodyText"/>
        <w:rPr>
          <w:lang w:eastAsia="en-AU"/>
        </w:rPr>
      </w:pPr>
    </w:p>
    <w:p w14:paraId="66A33B9B" w14:textId="77777777" w:rsidR="007B29DD" w:rsidRPr="005A2B78" w:rsidRDefault="007B29DD" w:rsidP="007B29DD">
      <w:pPr>
        <w:pStyle w:val="BodyText"/>
        <w:spacing w:after="0"/>
        <w:rPr>
          <w:lang w:eastAsia="en-AU"/>
        </w:rPr>
      </w:pPr>
      <w:r>
        <w:rPr>
          <w:noProof/>
        </w:rPr>
        <w:lastRenderedPageBreak/>
        <w:drawing>
          <wp:inline distT="0" distB="0" distL="0" distR="0" wp14:anchorId="3D219642" wp14:editId="517630EE">
            <wp:extent cx="6270402" cy="2469823"/>
            <wp:effectExtent l="19050" t="19050" r="16510" b="26035"/>
            <wp:docPr id="945704173" name="Picture 945704173" descr="Graphic showing the example application of scenario planning for projecting water supply and demand under climate change. The graphic shows an upward trend in demand between 2020 and 2070, superimposed on a downward trend of supply considering low, medium and high climate change projections. It shows that approximately 2035 is the earliest year that level of service will no longer be met. Assuming a low climate change scenario, 2050 is around the latest when level of service will no longer b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7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80378" cy="2473752"/>
                    </a:xfrm>
                    <a:prstGeom prst="rect">
                      <a:avLst/>
                    </a:prstGeom>
                    <a:ln>
                      <a:solidFill>
                        <a:schemeClr val="bg1">
                          <a:lumMod val="65000"/>
                        </a:schemeClr>
                      </a:solidFill>
                    </a:ln>
                  </pic:spPr>
                </pic:pic>
              </a:graphicData>
            </a:graphic>
          </wp:inline>
        </w:drawing>
      </w:r>
    </w:p>
    <w:p w14:paraId="1F32A8C4" w14:textId="77777777" w:rsidR="007B29DD" w:rsidRDefault="007B29DD" w:rsidP="007B29DD">
      <w:pPr>
        <w:pStyle w:val="Caption"/>
        <w:spacing w:before="0"/>
      </w:pPr>
      <w:bookmarkStart w:id="688" w:name="_Ref40189181"/>
      <w:bookmarkStart w:id="689" w:name="_Toc43476595"/>
      <w:bookmarkStart w:id="690" w:name="_Toc44928838"/>
      <w:bookmarkStart w:id="691" w:name="_Toc51237501"/>
      <w:bookmarkStart w:id="692" w:name="_Toc53586016"/>
      <w:bookmarkStart w:id="693" w:name="_Toc57377267"/>
      <w:r>
        <w:t xml:space="preserve">Figure </w:t>
      </w:r>
      <w:r>
        <w:fldChar w:fldCharType="begin"/>
      </w:r>
      <w:r>
        <w:instrText>SEQ Figure \* ARABIC</w:instrText>
      </w:r>
      <w:r>
        <w:fldChar w:fldCharType="separate"/>
      </w:r>
      <w:r>
        <w:rPr>
          <w:noProof/>
        </w:rPr>
        <w:t>25</w:t>
      </w:r>
      <w:r>
        <w:fldChar w:fldCharType="end"/>
      </w:r>
      <w:bookmarkEnd w:id="688"/>
      <w:r>
        <w:t xml:space="preserve"> Supply-demand projection under climate change</w:t>
      </w:r>
      <w:bookmarkEnd w:id="689"/>
      <w:bookmarkEnd w:id="690"/>
      <w:bookmarkEnd w:id="691"/>
      <w:bookmarkEnd w:id="692"/>
      <w:bookmarkEnd w:id="693"/>
    </w:p>
    <w:p w14:paraId="7581198D" w14:textId="77777777" w:rsidR="007B29DD" w:rsidRPr="008074CE" w:rsidRDefault="007B29DD" w:rsidP="007B29DD">
      <w:pPr>
        <w:pStyle w:val="BodyText"/>
      </w:pPr>
    </w:p>
    <w:p w14:paraId="74BE38D2" w14:textId="77777777" w:rsidR="007B29DD" w:rsidRDefault="007B29DD" w:rsidP="007B29DD">
      <w:pPr>
        <w:pStyle w:val="BodyText"/>
      </w:pPr>
      <w:r>
        <w:t xml:space="preserve">The recommended approach in the guidelines for estimating streamflow characteristics or supply system performance, when using a river or supply system model for this purpose, is to firstly generate the GCM projected rainfall, evapotranspiration, temperature and runoff for the current (~2020) year. Then these climate change scenarios can be run through a river or supply system model to generate the performance metric of interest under current conditions. The advantage of this order of tasks is that it accounts for any potential non-linear response between climate/runoff inputs and the output performance metrics. It is known, for example, that supply system reliability of supply can change non-linearly, as can ecologically relevant metrics such as the interval between freshes. The extent to which changes in rainfall and runoff will affect supply system reliability depend on a range of factors that can respond non-linearly. These include changes in streamflow volumes relative to cease to divert thresholds, and changes in storage drawdown relative to demand restriction or contingency supply triggers. By explicitly modelling supply system performance under the </w:t>
      </w:r>
      <w:r w:rsidRPr="00FE329A">
        <w:t>projected climate change</w:t>
      </w:r>
      <w:r>
        <w:t xml:space="preserve"> scenarios at the current (~2020) year, it allows for the possibility that this performance metric could be the same as that under the historic climate reference period, the same as that under the year 2040 climate change projection, or a value in-between these two bookends. The same argument would equally apply to assessing performance metrics after the year 2040.</w:t>
      </w:r>
    </w:p>
    <w:p w14:paraId="4096C135" w14:textId="77777777" w:rsidR="007B29DD" w:rsidRDefault="007B29DD" w:rsidP="007B29DD">
      <w:pPr>
        <w:pStyle w:val="BodyText"/>
      </w:pPr>
      <w:r>
        <w:t>In some circumstances, it may be more efficient to estimate the performance metric under the historic climate reference period and the year 2040 climate change projection, and then linearly interpolate between these two output values for any given projection. The advantage of this approach is that it reduces the amount of data preparation and water resource modelling that needs to be undertaken. This is because it removes the need to separately model performance in the current (~2020) year under the high, medium and low climate change projections. The disadvantage of this approach is that it assumes a linear response between changes in climate/runoff and the performance metric, which will often not be the case. When estimating performance metrics under current conditions, this quicker approach will be most applicable where practitioners are only interested in a single performance metric (e.g. supply system yield) and that performance metric is demonstrated to be the same value (or different but this difference is of negligible consequence to planning decisions) under the historic climate reference period and the year 2040 climate change projection.</w:t>
      </w:r>
    </w:p>
    <w:p w14:paraId="727EDDE6" w14:textId="77777777" w:rsidR="007B29DD" w:rsidRDefault="007B29DD" w:rsidP="007B29DD">
      <w:pPr>
        <w:rPr>
          <w:rFonts w:cs="Times New Roman"/>
        </w:rPr>
      </w:pPr>
      <w:r>
        <w:br w:type="page"/>
      </w:r>
    </w:p>
    <w:p w14:paraId="0813C3FC"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633DA83B" w14:textId="77777777" w:rsidTr="00306AF1">
        <w:tc>
          <w:tcPr>
            <w:tcW w:w="9639" w:type="dxa"/>
            <w:hideMark/>
          </w:tcPr>
          <w:p w14:paraId="79523EBC" w14:textId="77777777" w:rsidR="007B29DD" w:rsidRDefault="007B29DD" w:rsidP="00306AF1">
            <w:pPr>
              <w:pStyle w:val="HighlightBoxText"/>
              <w:jc w:val="both"/>
            </w:pPr>
            <w:r w:rsidRPr="002F3BA7">
              <w:rPr>
                <w:color w:val="000000" w:themeColor="text1"/>
              </w:rPr>
              <w:t>Linear interpolation of water resource model inputs (e.g. rainfall, evaporation, runoff) is recommended over linear interpolation of water resource model outputs (e.g. yield, reliability) when estimating current streamflow characteristics or supply system performance. This approach is preferred unless performance is demonstrated to respond linearly with changes in climate, or any non-linearity is demonstrated to be of negligible consequence to planning outcomes. After the year 2040, the linear interpolation of model outputs is considered appropriate, unless more precise measures of performance in years other than 2040 and 2065 are required by stakeholders.</w:t>
            </w:r>
          </w:p>
        </w:tc>
      </w:tr>
    </w:tbl>
    <w:p w14:paraId="4F6BDC0A" w14:textId="77777777" w:rsidR="007B29DD" w:rsidRPr="00971EB7" w:rsidRDefault="007B29DD" w:rsidP="007B29DD">
      <w:pPr>
        <w:pStyle w:val="BodyText"/>
        <w:rPr>
          <w:lang w:eastAsia="en-AU"/>
        </w:rPr>
      </w:pPr>
    </w:p>
    <w:p w14:paraId="77E54817" w14:textId="77777777" w:rsidR="007B29DD" w:rsidRPr="0092144C" w:rsidRDefault="007B29DD" w:rsidP="007B29DD">
      <w:pPr>
        <w:pStyle w:val="BodyText"/>
        <w:rPr>
          <w:highlight w:val="yellow"/>
          <w:lang w:eastAsia="en-AU"/>
        </w:rPr>
      </w:pPr>
      <w:r>
        <w:t>Between the years 2040 and 2065, and after 2065, as mentioned above, the interpolation of model inputs is preferable to the interpolation of model outputs for the same reasons, unless (also mentioned above) that non-linearity is demonstrated to not be evident or of negligible consequence to planning outcomes. It is acknowledged that climate change projection uncertainties after the year 2040 are likely to outweigh any uncertainties associated with the non-linearity of performance metrics. The dependence of current water planning decisions on precise modelling outcomes beyond 2040</w:t>
      </w:r>
      <w:r w:rsidRPr="00585D2A">
        <w:t xml:space="preserve"> </w:t>
      </w:r>
      <w:r>
        <w:t>is also likely to be lower than that prior to 2040. A linear interpolation of model outputs between the year 2040 and 2065, and linear extrapolation of model outputs after 2065 is therefore considered a reasonable approximation. That is unless stakeholders require more precise measures of performance (particularly if interested in multiple, different performance measures from the model) at a date other than 2040 or 2065.</w:t>
      </w:r>
    </w:p>
    <w:p w14:paraId="320BA01B"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694" w:name="_Toc38957451"/>
      <w:bookmarkStart w:id="695" w:name="_Toc43476511"/>
      <w:bookmarkStart w:id="696" w:name="_Toc44928756"/>
      <w:bookmarkStart w:id="697" w:name="_Toc51658028"/>
      <w:bookmarkStart w:id="698" w:name="_Toc53585933"/>
      <w:bookmarkStart w:id="699" w:name="_Toc57377184"/>
      <w:r w:rsidRPr="00E44CBB">
        <w:rPr>
          <w:b/>
          <w:bCs/>
          <w:color w:val="000000" w:themeColor="text1"/>
        </w:rPr>
        <w:t>Alpine catchments</w:t>
      </w:r>
      <w:bookmarkEnd w:id="694"/>
      <w:bookmarkEnd w:id="695"/>
      <w:bookmarkEnd w:id="696"/>
      <w:bookmarkEnd w:id="697"/>
      <w:bookmarkEnd w:id="698"/>
      <w:bookmarkEnd w:id="699"/>
    </w:p>
    <w:p w14:paraId="0309E821" w14:textId="77777777" w:rsidR="007B29DD" w:rsidRPr="00E44CBB"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700" w:name="_Toc43476512"/>
      <w:bookmarkStart w:id="701" w:name="_Toc44928757"/>
      <w:bookmarkStart w:id="702" w:name="_Toc51658029"/>
      <w:bookmarkStart w:id="703" w:name="_Toc53585934"/>
      <w:bookmarkStart w:id="704" w:name="_Toc57377185"/>
      <w:r w:rsidRPr="00E44CBB">
        <w:rPr>
          <w:b/>
          <w:bCs/>
          <w:color w:val="000000" w:themeColor="text1"/>
        </w:rPr>
        <w:t>Alpine catchment orientation</w:t>
      </w:r>
      <w:bookmarkEnd w:id="700"/>
      <w:bookmarkEnd w:id="701"/>
      <w:bookmarkEnd w:id="702"/>
      <w:bookmarkEnd w:id="703"/>
      <w:bookmarkEnd w:id="704"/>
    </w:p>
    <w:p w14:paraId="2E1AF5EF" w14:textId="77777777" w:rsidR="007B29DD" w:rsidRDefault="007B29DD" w:rsidP="007B29DD">
      <w:pPr>
        <w:pStyle w:val="BodyText"/>
        <w:rPr>
          <w:lang w:eastAsia="en-AU"/>
        </w:rPr>
      </w:pPr>
      <w:r>
        <w:rPr>
          <w:lang w:eastAsia="en-AU"/>
        </w:rPr>
        <w:t>The VCP19 regional climate model projections estimated p</w:t>
      </w:r>
      <w:r w:rsidRPr="00BC6BD6">
        <w:rPr>
          <w:lang w:eastAsia="en-AU"/>
        </w:rPr>
        <w:t xml:space="preserve">rojected enhanced drying on the western </w:t>
      </w:r>
      <w:r>
        <w:rPr>
          <w:lang w:eastAsia="en-AU"/>
        </w:rPr>
        <w:t xml:space="preserve">windward </w:t>
      </w:r>
      <w:r w:rsidRPr="00BC6BD6">
        <w:rPr>
          <w:lang w:eastAsia="en-AU"/>
        </w:rPr>
        <w:t>slopes of mountain ranges above ~1000 metres elevation, and comparatively little change on eastern slopes. Clarke et al. (2019</w:t>
      </w:r>
      <w:r>
        <w:rPr>
          <w:lang w:eastAsia="en-AU"/>
        </w:rPr>
        <w:t>a</w:t>
      </w:r>
      <w:r w:rsidRPr="00BC6BD6">
        <w:rPr>
          <w:lang w:eastAsia="en-AU"/>
        </w:rPr>
        <w:t xml:space="preserve">) describe this finding as being “physically plausible”. </w:t>
      </w:r>
      <w:r>
        <w:rPr>
          <w:lang w:eastAsia="en-AU"/>
        </w:rPr>
        <w:t>For water supply systems in alpine areas with available choices about whether to site water harvesting infrastructure on the east-facing or west-facing slopes of mountain ranges, these VCP19 findings should be qualitatively considered in decision making. For two or more given catchments of interest, this effect can be quantified (if needed for decision making) by extracting rainfall projections from the six available VCP19 projections.</w:t>
      </w:r>
    </w:p>
    <w:p w14:paraId="5B59914A" w14:textId="77777777" w:rsidR="007B29DD" w:rsidRPr="00E44CBB"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705" w:name="_Ref40191133"/>
      <w:bookmarkStart w:id="706" w:name="_Toc43476513"/>
      <w:bookmarkStart w:id="707" w:name="_Toc44928758"/>
      <w:bookmarkStart w:id="708" w:name="_Toc51658030"/>
      <w:bookmarkStart w:id="709" w:name="_Toc53585935"/>
      <w:bookmarkStart w:id="710" w:name="_Toc57377186"/>
      <w:r w:rsidRPr="00E44CBB">
        <w:rPr>
          <w:b/>
          <w:bCs/>
          <w:color w:val="000000" w:themeColor="text1"/>
        </w:rPr>
        <w:t>Changes in snow cover</w:t>
      </w:r>
      <w:bookmarkEnd w:id="705"/>
      <w:bookmarkEnd w:id="706"/>
      <w:bookmarkEnd w:id="707"/>
      <w:bookmarkEnd w:id="708"/>
      <w:bookmarkEnd w:id="709"/>
      <w:bookmarkEnd w:id="710"/>
    </w:p>
    <w:p w14:paraId="1627AEF5" w14:textId="77777777" w:rsidR="007B29DD" w:rsidRDefault="007B29DD" w:rsidP="007B29DD">
      <w:pPr>
        <w:pStyle w:val="BodyText"/>
      </w:pPr>
      <w:bookmarkStart w:id="711" w:name="_Toc38957453"/>
      <w:r>
        <w:t xml:space="preserve">Precipitation falling as snow that melts shortly after reaching the ground will generate runoff in a similar manner to rainfall. In this case, the runoff projections presented in Section </w:t>
      </w:r>
      <w:r>
        <w:fldChar w:fldCharType="begin"/>
      </w:r>
      <w:r>
        <w:instrText xml:space="preserve"> REF _Ref40179942 \r \h </w:instrText>
      </w:r>
      <w:r>
        <w:fldChar w:fldCharType="separate"/>
      </w:r>
      <w:r>
        <w:t>5.10</w:t>
      </w:r>
      <w:r>
        <w:fldChar w:fldCharType="end"/>
      </w:r>
      <w:r>
        <w:t xml:space="preserve"> will remain applicable. However, if that snow accumulates on the ground as a snowpack, runoff will be delayed until such time as the snowpack melts. This shifts the seasonality of runoff from winter months (when air temperatures in alpine regions are often below zero degrees Celsius) to spring (when air temperatures are sufficiently above zero to melt the snowpack).</w:t>
      </w:r>
    </w:p>
    <w:p w14:paraId="0B6FB623" w14:textId="77777777" w:rsidR="007B29DD" w:rsidRDefault="007B29DD" w:rsidP="007B29DD">
      <w:pPr>
        <w:pStyle w:val="BodyText"/>
      </w:pPr>
      <w:r>
        <w:t>The VicCI rainfall projections for Victoria that are presented in the guidelines are based on GCMs that do not represent snow. This is because the model grid sizes are much larger than Victoria’s snow fields, which results in the average elevation of each model grid cell being lower than that required to generate snow. The rainfall-runoff model used to generate runoff projections also does not explicitly model Victoria’s snowpack. Snowmelt is implicitly embedded in the streamflow records to which the rainfall-runoff model is calibrated; however, shifts in the volume of the snowpack under projected climate change, and associated shifts in runoff seasonality, will not be reflected in the runoff projections in the guidelines. This could potentially affect projected reliability of supply for supply systems that are at risk from changes in seasonal streamflow behaviour.</w:t>
      </w:r>
    </w:p>
    <w:p w14:paraId="57AB1AFB" w14:textId="77777777" w:rsidR="007B29DD" w:rsidRDefault="007B29DD" w:rsidP="007B29DD">
      <w:pPr>
        <w:pStyle w:val="BodyText"/>
      </w:pPr>
      <w:r>
        <w:t>The regional climate model utilised in VCP19 operates at a finer scale and therefore did model changes in snow cover in Victoria. However, these changes were not analysed. Only a descriptive overview from a preliminary analysis of changes in snow cover were presented in the VCP19 technical report (Clarke et al., 2019a), which concluded that modelled changes were similar to those previously assessed in greater detail, such as in Bhend et al. (2012).</w:t>
      </w:r>
    </w:p>
    <w:p w14:paraId="5A36E6D9" w14:textId="77777777" w:rsidR="007B29DD" w:rsidRDefault="007B29DD" w:rsidP="007B29DD">
      <w:pPr>
        <w:pStyle w:val="BodyText"/>
        <w:rPr>
          <w:lang w:eastAsia="en-AU"/>
        </w:rPr>
      </w:pPr>
      <w:r>
        <w:rPr>
          <w:lang w:eastAsia="en-AU"/>
        </w:rPr>
        <w:lastRenderedPageBreak/>
        <w:t>The spatial extent of snow in Victoria varies seasonally and from year to year, based on prevailing weather conditions. Snow formation requires both precipitation and sub-zero air temperatures. While snow can occasionally occur at very low altitudes, a snowpack lasting several weeks or more only occurs in alpine regions of north-east Victoria. All of Victoria’s ski resorts have ski fields at elevations above ~1300 metres above sea level (based on Harris et al., 2016). This can be regarded as an indicative elevation below which snow is unlikely to aggregate into a snowpack for several weeks or more. The following advice is therefore only applicable to water supply catchments above ~1300 metres above sea level.</w:t>
      </w:r>
    </w:p>
    <w:p w14:paraId="0743009B" w14:textId="77777777" w:rsidR="007B29DD" w:rsidRDefault="007B29DD" w:rsidP="007B29DD">
      <w:pPr>
        <w:pStyle w:val="BodyText"/>
        <w:rPr>
          <w:lang w:eastAsia="en-AU"/>
        </w:rPr>
      </w:pPr>
      <w:r>
        <w:rPr>
          <w:lang w:eastAsia="en-AU"/>
        </w:rPr>
        <w:t>A range of studies have estimated both historical and projected changes in snowfall, snowpack and snowmelt in Australia’s alpine regions. Some of these studies have utilised either a purpose-built model that assigns precipitation to either snow or rainfall based on local temperature information, or regional climate models that operate on a fine grid scale. As noted in the technical report for the VCP19 (Clarke et al., 2019a), the findings from these studies have been generally consistent. In Victoria’s alpine regions, under increased global warming:</w:t>
      </w:r>
    </w:p>
    <w:p w14:paraId="307AF1C2" w14:textId="77777777" w:rsidR="007B29DD" w:rsidRDefault="007B29DD" w:rsidP="007B29DD">
      <w:pPr>
        <w:pStyle w:val="BodyText"/>
        <w:numPr>
          <w:ilvl w:val="0"/>
          <w:numId w:val="27"/>
        </w:numPr>
        <w:rPr>
          <w:lang w:eastAsia="en-AU"/>
        </w:rPr>
      </w:pPr>
      <w:r>
        <w:rPr>
          <w:lang w:eastAsia="en-AU"/>
        </w:rPr>
        <w:t>Victoria’s climate is drying and is projected to continue to become drier under most GCM projections (Hope et al., 2017).</w:t>
      </w:r>
    </w:p>
    <w:p w14:paraId="779962D6" w14:textId="77777777" w:rsidR="007B29DD" w:rsidRDefault="007B29DD" w:rsidP="007B29DD">
      <w:pPr>
        <w:pStyle w:val="BodyText"/>
        <w:numPr>
          <w:ilvl w:val="0"/>
          <w:numId w:val="27"/>
        </w:numPr>
        <w:rPr>
          <w:lang w:eastAsia="en-AU"/>
        </w:rPr>
      </w:pPr>
      <w:r>
        <w:rPr>
          <w:lang w:eastAsia="en-AU"/>
        </w:rPr>
        <w:t>Maximum snow depths have declined over recent decades and the snow season is on average finishing earlier (Bhend et al., 2012).</w:t>
      </w:r>
    </w:p>
    <w:p w14:paraId="527190E5" w14:textId="77777777" w:rsidR="007B29DD" w:rsidRDefault="007B29DD" w:rsidP="007B29DD">
      <w:pPr>
        <w:pStyle w:val="BodyText"/>
        <w:numPr>
          <w:ilvl w:val="0"/>
          <w:numId w:val="27"/>
        </w:numPr>
        <w:rPr>
          <w:lang w:eastAsia="en-AU"/>
        </w:rPr>
      </w:pPr>
      <w:r>
        <w:rPr>
          <w:lang w:eastAsia="en-AU"/>
        </w:rPr>
        <w:t>There is a very high confidence that there will be a decrease in snowfall, an increase in the rate of snowmelt, and thus reduced snow cover in future decades (CSIRO and Bureau of Meteorology, 2015).</w:t>
      </w:r>
    </w:p>
    <w:p w14:paraId="69D0836C" w14:textId="77777777" w:rsidR="007B29DD" w:rsidRDefault="007B29DD" w:rsidP="007B29DD">
      <w:pPr>
        <w:pStyle w:val="BodyText"/>
        <w:numPr>
          <w:ilvl w:val="0"/>
          <w:numId w:val="27"/>
        </w:numPr>
        <w:rPr>
          <w:lang w:eastAsia="en-AU"/>
        </w:rPr>
      </w:pPr>
      <w:r>
        <w:rPr>
          <w:lang w:eastAsia="en-AU"/>
        </w:rPr>
        <w:t>These future trends will be large compared to natural variability and most evident at low elevations (CSIRO and Bureau of Meteorology, 2015).</w:t>
      </w:r>
    </w:p>
    <w:p w14:paraId="7F4EA517" w14:textId="77777777" w:rsidR="007B29DD" w:rsidRDefault="007B29DD" w:rsidP="007B29DD">
      <w:pPr>
        <w:pStyle w:val="BodyText"/>
        <w:numPr>
          <w:ilvl w:val="0"/>
          <w:numId w:val="27"/>
        </w:numPr>
        <w:rPr>
          <w:lang w:eastAsia="en-AU"/>
        </w:rPr>
      </w:pPr>
      <w:r>
        <w:rPr>
          <w:lang w:eastAsia="en-AU"/>
        </w:rPr>
        <w:t>Snowmaking activities at alpine resorts may partially offset these climate trends; however, opportunities for snowmaking are expected to reduce significantly due to warmer air temperatures (Harris et al., 2016).</w:t>
      </w:r>
    </w:p>
    <w:p w14:paraId="072061EA" w14:textId="77777777" w:rsidR="007B29DD" w:rsidRDefault="007B29DD" w:rsidP="007B29DD">
      <w:pPr>
        <w:pStyle w:val="BodyText"/>
      </w:pPr>
      <w:r>
        <w:t xml:space="preserve">The following guidance is based on considering the potential risk posed to water supplies from changes to seasonal streamflow behaviour associated with changes in accumulated snow depth. This approach draws upon the approach adopted by Gippsland Water in its </w:t>
      </w:r>
      <w:r w:rsidRPr="002B713A">
        <w:rPr>
          <w:i/>
          <w:iCs/>
        </w:rPr>
        <w:t>2017 Urban Water Strategy</w:t>
      </w:r>
      <w:r>
        <w:t xml:space="preserve"> (Gippsland Water, 2017).</w:t>
      </w:r>
    </w:p>
    <w:p w14:paraId="0058F98C" w14:textId="77777777" w:rsidR="007B29DD" w:rsidRDefault="007B29DD" w:rsidP="007B29DD">
      <w:pPr>
        <w:pStyle w:val="BodyText"/>
      </w:pPr>
      <w:r>
        <w:t xml:space="preserve">The proposed decision process is shown in </w:t>
      </w:r>
      <w:r>
        <w:fldChar w:fldCharType="begin"/>
      </w:r>
      <w:r>
        <w:instrText xml:space="preserve"> REF _Ref32487480 \h </w:instrText>
      </w:r>
      <w:r>
        <w:fldChar w:fldCharType="separate"/>
      </w:r>
      <w:r>
        <w:t xml:space="preserve">Figure </w:t>
      </w:r>
      <w:r>
        <w:rPr>
          <w:noProof/>
        </w:rPr>
        <w:t>26</w:t>
      </w:r>
      <w:r>
        <w:fldChar w:fldCharType="end"/>
      </w:r>
      <w:r>
        <w:t xml:space="preserve">. Given that most water managers will not have high proportions of their water supply sourced from catchments above ~1300 metres in elevation, it is not expected that specific additional adjustments to the runoff projections will be required in most cases. For this reason, the detailed guidance around the application of </w:t>
      </w:r>
      <w:r>
        <w:fldChar w:fldCharType="begin"/>
      </w:r>
      <w:r>
        <w:instrText xml:space="preserve"> REF _Ref32487480 \h </w:instrText>
      </w:r>
      <w:r>
        <w:fldChar w:fldCharType="separate"/>
      </w:r>
      <w:r>
        <w:t xml:space="preserve">Figure </w:t>
      </w:r>
      <w:r>
        <w:rPr>
          <w:noProof/>
        </w:rPr>
        <w:t>26</w:t>
      </w:r>
      <w:r>
        <w:fldChar w:fldCharType="end"/>
      </w:r>
      <w:r>
        <w:t xml:space="preserve"> is presented in the supplementary information on this topic in </w:t>
      </w:r>
      <w:r>
        <w:fldChar w:fldCharType="begin"/>
      </w:r>
      <w:r>
        <w:instrText xml:space="preserve"> REF _Ref39853552 \r \h </w:instrText>
      </w:r>
      <w:r>
        <w:fldChar w:fldCharType="separate"/>
      </w:r>
      <w:r>
        <w:t>Appendix B</w:t>
      </w:r>
      <w:r>
        <w:fldChar w:fldCharType="end"/>
      </w:r>
      <w:r>
        <w:t>.8.</w:t>
      </w:r>
    </w:p>
    <w:p w14:paraId="706A116D" w14:textId="77777777" w:rsidR="007B29DD" w:rsidRDefault="007B29DD" w:rsidP="007B29DD">
      <w:pPr>
        <w:pStyle w:val="BodyText"/>
      </w:pPr>
    </w:p>
    <w:p w14:paraId="302B6AD3" w14:textId="77777777" w:rsidR="007B29DD" w:rsidRDefault="007B29DD" w:rsidP="007B29DD">
      <w:pPr>
        <w:pStyle w:val="BodyText"/>
        <w:spacing w:after="0"/>
      </w:pPr>
      <w:r>
        <w:rPr>
          <w:noProof/>
        </w:rPr>
        <w:drawing>
          <wp:inline distT="0" distB="0" distL="0" distR="0" wp14:anchorId="07491639" wp14:editId="55D3C429">
            <wp:extent cx="6102544" cy="3114812"/>
            <wp:effectExtent l="19050" t="19050" r="12700" b="28575"/>
            <wp:docPr id="114" name="Picture 114" descr="Infographic displaying the decision-making process for assessing potential risk associated with projected changes in snow cover.&#10;If proportion of surface water supply catchment area with elevation is above 1300 metres above sea level is zero then no separate assessment is required. If more than zero then risk should be considered. If the risk is considered negligible then no further assessment is recommended. If there is non-negligible additional risk then you must quantify th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970" cy="3121154"/>
                    </a:xfrm>
                    <a:prstGeom prst="rect">
                      <a:avLst/>
                    </a:prstGeom>
                    <a:noFill/>
                    <a:ln>
                      <a:solidFill>
                        <a:schemeClr val="bg1">
                          <a:lumMod val="65000"/>
                        </a:schemeClr>
                      </a:solidFill>
                    </a:ln>
                  </pic:spPr>
                </pic:pic>
              </a:graphicData>
            </a:graphic>
          </wp:inline>
        </w:drawing>
      </w:r>
    </w:p>
    <w:p w14:paraId="0CADFBFE" w14:textId="77777777" w:rsidR="007B29DD" w:rsidRDefault="007B29DD" w:rsidP="007B29DD">
      <w:pPr>
        <w:pStyle w:val="Caption"/>
        <w:keepNext w:val="0"/>
        <w:spacing w:before="0"/>
      </w:pPr>
      <w:bookmarkStart w:id="712" w:name="_Ref32487480"/>
      <w:bookmarkStart w:id="713" w:name="_Toc37770304"/>
      <w:bookmarkStart w:id="714" w:name="_Toc35608022"/>
      <w:bookmarkStart w:id="715" w:name="_Toc43476596"/>
      <w:bookmarkStart w:id="716" w:name="_Toc44928839"/>
      <w:bookmarkStart w:id="717" w:name="_Toc51237502"/>
      <w:bookmarkStart w:id="718" w:name="_Toc53586017"/>
      <w:bookmarkStart w:id="719" w:name="_Toc57377268"/>
      <w:r>
        <w:t xml:space="preserve">Figure </w:t>
      </w:r>
      <w:r>
        <w:fldChar w:fldCharType="begin"/>
      </w:r>
      <w:r>
        <w:instrText>SEQ Figure \* ARABIC</w:instrText>
      </w:r>
      <w:r>
        <w:fldChar w:fldCharType="separate"/>
      </w:r>
      <w:r>
        <w:rPr>
          <w:noProof/>
        </w:rPr>
        <w:t>26</w:t>
      </w:r>
      <w:r>
        <w:fldChar w:fldCharType="end"/>
      </w:r>
      <w:bookmarkEnd w:id="712"/>
      <w:r>
        <w:t xml:space="preserve"> Decision process for assessing the potential risk associated with projected changes in </w:t>
      </w:r>
      <w:bookmarkEnd w:id="713"/>
      <w:bookmarkEnd w:id="714"/>
      <w:r>
        <w:t>snow cover</w:t>
      </w:r>
      <w:bookmarkEnd w:id="715"/>
      <w:bookmarkEnd w:id="716"/>
      <w:bookmarkEnd w:id="717"/>
      <w:bookmarkEnd w:id="718"/>
      <w:bookmarkEnd w:id="719"/>
    </w:p>
    <w:p w14:paraId="09A902DD"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20" w:name="_Toc43476514"/>
      <w:bookmarkStart w:id="721" w:name="_Toc44928759"/>
      <w:bookmarkStart w:id="722" w:name="_Toc51658031"/>
      <w:bookmarkStart w:id="723" w:name="_Toc53585936"/>
      <w:bookmarkStart w:id="724" w:name="_Toc57377187"/>
      <w:r w:rsidRPr="00E44CBB">
        <w:rPr>
          <w:b/>
          <w:bCs/>
          <w:color w:val="000000" w:themeColor="text1"/>
        </w:rPr>
        <w:lastRenderedPageBreak/>
        <w:t>Bushfires</w:t>
      </w:r>
      <w:bookmarkEnd w:id="711"/>
      <w:bookmarkEnd w:id="720"/>
      <w:bookmarkEnd w:id="721"/>
      <w:bookmarkEnd w:id="722"/>
      <w:bookmarkEnd w:id="723"/>
      <w:bookmarkEnd w:id="724"/>
    </w:p>
    <w:p w14:paraId="33DF859E" w14:textId="77777777" w:rsidR="007B29DD" w:rsidRDefault="007B29DD" w:rsidP="007B29DD">
      <w:pPr>
        <w:pStyle w:val="BodyText"/>
        <w:rPr>
          <w:lang w:eastAsia="en-AU"/>
        </w:rPr>
      </w:pPr>
      <w:r>
        <w:t>C</w:t>
      </w:r>
      <w:r w:rsidRPr="00CD507F">
        <w:t xml:space="preserve">hanges in vegetation cover from bushfires can impact upon runoff and recharge over time. </w:t>
      </w:r>
      <w:r>
        <w:rPr>
          <w:lang w:eastAsia="en-AU"/>
        </w:rPr>
        <w:t xml:space="preserve">After initial increases in runoff from bushfire affected areas — typically in the first few years following a bushfire — runoff decreases as the forest re-grows over the following years and decades. </w:t>
      </w:r>
      <w:r w:rsidRPr="00CD507F">
        <w:t xml:space="preserve">The precise nature of the interaction between bushfires and runoff/recharge is difficult to predict and can depend on the spatial extent and severity of the fire, </w:t>
      </w:r>
      <w:r>
        <w:t>the species and the age of the vegetation burnt as well as</w:t>
      </w:r>
      <w:r w:rsidRPr="00CD507F">
        <w:t xml:space="preserve"> changes in species composition following the fire.</w:t>
      </w:r>
      <w:r>
        <w:t xml:space="preserve"> </w:t>
      </w:r>
    </w:p>
    <w:p w14:paraId="5D7754F2" w14:textId="747C0192" w:rsidR="007B29DD" w:rsidRPr="001A1D56" w:rsidRDefault="007B29DD" w:rsidP="001A1D56">
      <w:pPr>
        <w:pStyle w:val="BodyText"/>
        <w:rPr>
          <w:lang w:eastAsia="en-AU"/>
        </w:rPr>
      </w:pPr>
      <w:r w:rsidRPr="00CD507F">
        <w:t xml:space="preserve">The incidence of major bushfires in Victoria has increased over recent decades. </w:t>
      </w:r>
      <w:r>
        <w:rPr>
          <w:lang w:eastAsia="en-AU"/>
        </w:rPr>
        <w:t xml:space="preserve">Dowdy (2018) examined historical changes in the </w:t>
      </w:r>
      <w:r w:rsidRPr="00931C7B">
        <w:rPr>
          <w:lang w:eastAsia="en-AU"/>
        </w:rPr>
        <w:t xml:space="preserve">Macarthur Forest Fire Danger Index </w:t>
      </w:r>
      <w:r>
        <w:rPr>
          <w:lang w:eastAsia="en-AU"/>
        </w:rPr>
        <w:t>(FFDI), which is a measure of bushfire risk based on a combination of dryness, temperature, wind speed and humidity. Dowdy (2018) found that from 1950 to 2016, there was</w:t>
      </w:r>
      <w:r w:rsidR="001A1D56">
        <w:rPr>
          <w:lang w:eastAsia="en-AU"/>
        </w:rPr>
        <w:t xml:space="preserve"> </w:t>
      </w:r>
      <w:r w:rsidRPr="07E07093">
        <w:rPr>
          <w:i/>
          <w:iCs/>
          <w:lang w:eastAsia="en-AU"/>
        </w:rPr>
        <w:t>“…a clear trend toward more dangerous conditions during spring and summer in southern Australia, including increased frequency and magnitude of extremes, as well as indicating an earlier start to the fire season”.</w:t>
      </w:r>
    </w:p>
    <w:p w14:paraId="46029DC8" w14:textId="77777777" w:rsidR="007B29DD" w:rsidRDefault="007B29DD" w:rsidP="007B29DD">
      <w:pPr>
        <w:pStyle w:val="BodyText"/>
        <w:rPr>
          <w:lang w:eastAsia="en-AU"/>
        </w:rPr>
      </w:pPr>
      <w:r>
        <w:rPr>
          <w:lang w:eastAsia="en-AU"/>
        </w:rPr>
        <w:t>While large-scale drivers such as El Ni</w:t>
      </w:r>
      <w:r>
        <w:rPr>
          <w:rFonts w:cstheme="minorHAnsi"/>
          <w:lang w:eastAsia="en-AU"/>
        </w:rPr>
        <w:t>ñ</w:t>
      </w:r>
      <w:r>
        <w:rPr>
          <w:lang w:eastAsia="en-AU"/>
        </w:rPr>
        <w:t xml:space="preserve">o are often associated with a higher likelihood of bushfires, once these associations are accounted for, there is still a residual increase in the frequency of high fire danger days. Harris and Lucas (2019) attributed this to the changing global climate, suggesting that the observed upward trends will continue. Dowdy and Pepler (2018) also showed that the number of high pyro-convection risk days in summer in Victoria, which are associated with severe bushfires, had increased (up to around a doubling of the number of days) when comparing the period 1979–1997 relative to 1998–2016. A time series of changes to bushfire risk in spring over recent decades in Victoria is shown in </w:t>
      </w:r>
      <w:r>
        <w:rPr>
          <w:lang w:eastAsia="en-AU"/>
        </w:rPr>
        <w:fldChar w:fldCharType="begin"/>
      </w:r>
      <w:r>
        <w:rPr>
          <w:lang w:eastAsia="en-AU"/>
        </w:rPr>
        <w:instrText xml:space="preserve"> REF _Ref40109912 \h </w:instrText>
      </w:r>
      <w:r>
        <w:rPr>
          <w:lang w:eastAsia="en-AU"/>
        </w:rPr>
      </w:r>
      <w:r>
        <w:rPr>
          <w:lang w:eastAsia="en-AU"/>
        </w:rPr>
        <w:fldChar w:fldCharType="separate"/>
      </w:r>
      <w:r>
        <w:t xml:space="preserve">Figure </w:t>
      </w:r>
      <w:r>
        <w:rPr>
          <w:noProof/>
        </w:rPr>
        <w:t>27</w:t>
      </w:r>
      <w:r>
        <w:rPr>
          <w:lang w:eastAsia="en-AU"/>
        </w:rPr>
        <w:fldChar w:fldCharType="end"/>
      </w:r>
      <w:r>
        <w:rPr>
          <w:lang w:eastAsia="en-AU"/>
        </w:rPr>
        <w:t>.</w:t>
      </w:r>
    </w:p>
    <w:p w14:paraId="6D6BE1A3" w14:textId="77777777" w:rsidR="007B29DD" w:rsidRDefault="007B29DD" w:rsidP="007B29DD">
      <w:pPr>
        <w:pStyle w:val="BodyText"/>
        <w:rPr>
          <w:lang w:eastAsia="en-AU"/>
        </w:rPr>
      </w:pPr>
    </w:p>
    <w:p w14:paraId="5EBC1E34" w14:textId="77777777" w:rsidR="007B29DD" w:rsidRDefault="007B29DD" w:rsidP="007B29DD">
      <w:pPr>
        <w:pStyle w:val="BodyText"/>
        <w:spacing w:after="0"/>
        <w:rPr>
          <w:lang w:eastAsia="en-AU"/>
        </w:rPr>
      </w:pPr>
      <w:r>
        <w:rPr>
          <w:noProof/>
        </w:rPr>
        <w:drawing>
          <wp:inline distT="0" distB="0" distL="0" distR="0" wp14:anchorId="7ED5801C" wp14:editId="389D1EAA">
            <wp:extent cx="6130664" cy="3893270"/>
            <wp:effectExtent l="19050" t="19050" r="22860" b="12065"/>
            <wp:docPr id="514804891" name="Picture 1311563988" descr="Bar graph showing number of dangerous bushfire days in spring in Victoria from 1978 to 2017. It shows the highest years were 1982 at 19 days, and 2006 with 21 days. The graph shows a rise in the numbers from the start of the twenty-fir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63988"/>
                    <pic:cNvPicPr/>
                  </pic:nvPicPr>
                  <pic:blipFill>
                    <a:blip r:embed="rId50">
                      <a:extLst>
                        <a:ext uri="{28A0092B-C50C-407E-A947-70E740481C1C}">
                          <a14:useLocalDpi xmlns:a14="http://schemas.microsoft.com/office/drawing/2010/main" val="0"/>
                        </a:ext>
                      </a:extLst>
                    </a:blip>
                    <a:stretch>
                      <a:fillRect/>
                    </a:stretch>
                  </pic:blipFill>
                  <pic:spPr>
                    <a:xfrm>
                      <a:off x="0" y="0"/>
                      <a:ext cx="6152716" cy="3907274"/>
                    </a:xfrm>
                    <a:prstGeom prst="rect">
                      <a:avLst/>
                    </a:prstGeom>
                    <a:ln>
                      <a:solidFill>
                        <a:schemeClr val="bg1">
                          <a:lumMod val="65000"/>
                        </a:schemeClr>
                      </a:solidFill>
                    </a:ln>
                  </pic:spPr>
                </pic:pic>
              </a:graphicData>
            </a:graphic>
          </wp:inline>
        </w:drawing>
      </w:r>
    </w:p>
    <w:p w14:paraId="71DF919F" w14:textId="77777777" w:rsidR="007B29DD" w:rsidRDefault="007B29DD" w:rsidP="007B29DD">
      <w:pPr>
        <w:pStyle w:val="Caption"/>
        <w:spacing w:before="0"/>
      </w:pPr>
      <w:bookmarkStart w:id="725" w:name="_Ref40109912"/>
      <w:bookmarkStart w:id="726" w:name="_Toc43476597"/>
      <w:bookmarkStart w:id="727" w:name="_Toc44928840"/>
      <w:bookmarkStart w:id="728" w:name="_Toc51237503"/>
      <w:bookmarkStart w:id="729" w:name="_Toc53586018"/>
      <w:bookmarkStart w:id="730" w:name="_Toc57377269"/>
      <w:r>
        <w:t xml:space="preserve">Figure </w:t>
      </w:r>
      <w:r>
        <w:fldChar w:fldCharType="begin"/>
      </w:r>
      <w:r>
        <w:instrText>SEQ Figure \* ARABIC</w:instrText>
      </w:r>
      <w:r>
        <w:fldChar w:fldCharType="separate"/>
      </w:r>
      <w:r>
        <w:rPr>
          <w:noProof/>
        </w:rPr>
        <w:t>27</w:t>
      </w:r>
      <w:r>
        <w:fldChar w:fldCharType="end"/>
      </w:r>
      <w:bookmarkEnd w:id="725"/>
      <w:r w:rsidRPr="004476FD">
        <w:t xml:space="preserve"> Number of dangerous bushfire days (forest fire danger index &gt; 25) in spring in Victoria from 1978 to 2017 (Bureau of Meteorology and CSIRO, 2018)</w:t>
      </w:r>
      <w:bookmarkEnd w:id="726"/>
      <w:bookmarkEnd w:id="727"/>
      <w:bookmarkEnd w:id="728"/>
      <w:bookmarkEnd w:id="729"/>
      <w:bookmarkEnd w:id="730"/>
    </w:p>
    <w:p w14:paraId="28E26DB6" w14:textId="77777777" w:rsidR="007B29DD" w:rsidRDefault="007B29DD" w:rsidP="007B29DD">
      <w:pPr>
        <w:pStyle w:val="BodyText"/>
        <w:rPr>
          <w:lang w:eastAsia="en-AU"/>
        </w:rPr>
      </w:pPr>
      <w:r>
        <w:t>G</w:t>
      </w:r>
      <w:r w:rsidRPr="00CD507F">
        <w:t xml:space="preserve">eneral fire weather risk (as indicated by </w:t>
      </w:r>
      <w:r>
        <w:t>FFDI</w:t>
      </w:r>
      <w:r w:rsidRPr="00CD507F">
        <w:t xml:space="preserve"> in Grose et al., 2015</w:t>
      </w:r>
      <w:r>
        <w:t>a</w:t>
      </w:r>
      <w:r w:rsidRPr="00CD507F">
        <w:t xml:space="preserve"> and Timbal et al., 2015) is projected to increase under increased greenhouse gas concentrations</w:t>
      </w:r>
      <w:r>
        <w:rPr>
          <w:lang w:eastAsia="en-AU"/>
        </w:rPr>
        <w:t>. The VCP19 projections explored this further for Victoria using a subset of GCMs run through a regional climate model. It was found that there was typically an increase of 10 to 20 dangerous fire days per year for Victoria by the late 2</w:t>
      </w:r>
      <w:r w:rsidRPr="000A4318">
        <w:rPr>
          <w:lang w:eastAsia="en-AU"/>
        </w:rPr>
        <w:t>1st</w:t>
      </w:r>
      <w:r>
        <w:rPr>
          <w:lang w:eastAsia="en-AU"/>
        </w:rPr>
        <w:t xml:space="preserve"> century relative to the start of the 2</w:t>
      </w:r>
      <w:r w:rsidRPr="000A4318">
        <w:rPr>
          <w:lang w:eastAsia="en-AU"/>
        </w:rPr>
        <w:t>1st</w:t>
      </w:r>
      <w:r>
        <w:rPr>
          <w:lang w:eastAsia="en-AU"/>
        </w:rPr>
        <w:t xml:space="preserve"> century under the RCP8.5 emissions scenario (Clarke et al., 2019a). Dangerous fire days were defined as those above the 95</w:t>
      </w:r>
      <w:r w:rsidRPr="00627174">
        <w:rPr>
          <w:vertAlign w:val="superscript"/>
          <w:lang w:eastAsia="en-AU"/>
        </w:rPr>
        <w:t>th</w:t>
      </w:r>
      <w:r>
        <w:rPr>
          <w:lang w:eastAsia="en-AU"/>
        </w:rPr>
        <w:t xml:space="preserve"> percentile historical FFDI value.</w:t>
      </w:r>
    </w:p>
    <w:p w14:paraId="119796CB" w14:textId="77777777" w:rsidR="007B29DD" w:rsidRDefault="007B29DD" w:rsidP="007B29DD">
      <w:pPr>
        <w:pStyle w:val="BodyText"/>
        <w:rPr>
          <w:lang w:eastAsia="en-AU"/>
        </w:rPr>
      </w:pPr>
      <w:r>
        <w:rPr>
          <w:lang w:eastAsia="en-AU"/>
        </w:rPr>
        <w:t>The regional climate model projections highlighted that this rate of change was roughly double in alpine regions relative to non-alpine regions. It is also noted that one of the six regional climate model projections in Clarke et al. (2019a) showed a decrease in bushfire risk by the late 2</w:t>
      </w:r>
      <w:r w:rsidRPr="000A4318">
        <w:rPr>
          <w:lang w:eastAsia="en-AU"/>
        </w:rPr>
        <w:t>1st</w:t>
      </w:r>
      <w:r>
        <w:rPr>
          <w:lang w:eastAsia="en-AU"/>
        </w:rPr>
        <w:t xml:space="preserve"> century. Changes to bushfire risk are described in the </w:t>
      </w:r>
      <w:r>
        <w:rPr>
          <w:lang w:eastAsia="en-AU"/>
        </w:rPr>
        <w:lastRenderedPageBreak/>
        <w:t>regional summaries available for VCP19, but are not provided in the application-ready datasets available online. Some uncertainties in future bushfire risk are not covered in the GCM projections, such as the interaction between anthropogenic climate change and bushfire ignition by lightning, and between anthropogenic climate change and changes to bushfire fuel loads (NESP ESCCH, 2018).</w:t>
      </w:r>
    </w:p>
    <w:p w14:paraId="7F809BA5" w14:textId="77777777" w:rsidR="007B29DD" w:rsidRDefault="007B29DD" w:rsidP="007B29DD">
      <w:pPr>
        <w:pStyle w:val="BodyText"/>
      </w:pPr>
    </w:p>
    <w:tbl>
      <w:tblPr>
        <w:tblStyle w:val="HighlightTable"/>
        <w:tblW w:w="0" w:type="auto"/>
        <w:tblLook w:val="04A0" w:firstRow="1" w:lastRow="0" w:firstColumn="1" w:lastColumn="0" w:noHBand="0" w:noVBand="1"/>
      </w:tblPr>
      <w:tblGrid>
        <w:gridCol w:w="9639"/>
      </w:tblGrid>
      <w:tr w:rsidR="007B29DD" w14:paraId="44A36400" w14:textId="77777777" w:rsidTr="00306AF1">
        <w:tc>
          <w:tcPr>
            <w:tcW w:w="9639" w:type="dxa"/>
            <w:hideMark/>
          </w:tcPr>
          <w:p w14:paraId="03E00819" w14:textId="77777777" w:rsidR="007B29DD" w:rsidRDefault="007B29DD" w:rsidP="00306AF1">
            <w:pPr>
              <w:pStyle w:val="HighlightBoxText"/>
              <w:jc w:val="both"/>
            </w:pPr>
            <w:r w:rsidRPr="002F3BA7">
              <w:rPr>
                <w:color w:val="000000" w:themeColor="text1"/>
              </w:rPr>
              <w:t>The risk of bushfires in Victoria is estimated to increase for most climate change projections. However, translating this into projected impacts on water supplies is extremely difficult.</w:t>
            </w:r>
          </w:p>
        </w:tc>
      </w:tr>
    </w:tbl>
    <w:p w14:paraId="4B402153" w14:textId="77777777" w:rsidR="007B29DD" w:rsidRPr="00971EB7" w:rsidRDefault="007B29DD" w:rsidP="007B29DD">
      <w:pPr>
        <w:pStyle w:val="BodyText"/>
        <w:rPr>
          <w:lang w:eastAsia="en-AU"/>
        </w:rPr>
      </w:pPr>
    </w:p>
    <w:p w14:paraId="764B585F" w14:textId="77777777" w:rsidR="007B29DD" w:rsidRDefault="007B29DD" w:rsidP="007B29DD">
      <w:pPr>
        <w:pStyle w:val="BodyText"/>
      </w:pPr>
      <w:r>
        <w:t xml:space="preserve">Reliably quantifying projected changes in runoff and recharge due to projected changes in future bushfire risk is extremely difficult. This is not only due to the complex relationship between bushfire and hydrologic response, but also the unknown timing, spatial extent and intensity of future bushfires. Post-fire mortality in forests with mixed </w:t>
      </w:r>
      <w:r w:rsidRPr="0047041B">
        <w:rPr>
          <w:i/>
          <w:iCs/>
        </w:rPr>
        <w:t>Eucalyptus</w:t>
      </w:r>
      <w:r>
        <w:t xml:space="preserve"> species, which cover a large proportion of Victorian catchments, are likely to be lower than mortality in wet </w:t>
      </w:r>
      <w:r w:rsidRPr="006337A9">
        <w:rPr>
          <w:i/>
          <w:iCs/>
        </w:rPr>
        <w:t>Eucalyptus</w:t>
      </w:r>
      <w:r>
        <w:t xml:space="preserve"> forests. This results in relatively modest and short-term changes in post-fire runoff as vegetation recover rather than regenerate in mixed species forests. Shorter intervals between bushfires may inhibit regeneration of some </w:t>
      </w:r>
      <w:r w:rsidRPr="0047041B">
        <w:rPr>
          <w:i/>
          <w:iCs/>
        </w:rPr>
        <w:t>Eucalyptus</w:t>
      </w:r>
      <w:r>
        <w:t xml:space="preserve"> species (such as </w:t>
      </w:r>
      <w:r w:rsidRPr="0047041B">
        <w:rPr>
          <w:i/>
          <w:iCs/>
        </w:rPr>
        <w:t>E. regnans</w:t>
      </w:r>
      <w:r>
        <w:t xml:space="preserve"> and </w:t>
      </w:r>
      <w:r w:rsidRPr="0047041B">
        <w:rPr>
          <w:i/>
          <w:iCs/>
        </w:rPr>
        <w:t>E.deleg</w:t>
      </w:r>
      <w:r>
        <w:rPr>
          <w:i/>
          <w:iCs/>
        </w:rPr>
        <w:t>a</w:t>
      </w:r>
      <w:r w:rsidRPr="0047041B">
        <w:rPr>
          <w:i/>
          <w:iCs/>
        </w:rPr>
        <w:t>tensis</w:t>
      </w:r>
      <w:r>
        <w:t xml:space="preserve">) and potentially shift vegetation composition to species with lower water use (such as </w:t>
      </w:r>
      <w:r w:rsidRPr="007A1E6C">
        <w:rPr>
          <w:i/>
          <w:iCs/>
        </w:rPr>
        <w:t>Acacia</w:t>
      </w:r>
      <w:r>
        <w:t xml:space="preserve"> species). </w:t>
      </w:r>
    </w:p>
    <w:p w14:paraId="438A31F1" w14:textId="77777777" w:rsidR="007B29DD" w:rsidRDefault="007B29DD" w:rsidP="007B29DD">
      <w:pPr>
        <w:pStyle w:val="BodyText"/>
      </w:pPr>
      <w:r>
        <w:t>Projected rainfall reduction under climate change is likely to limit vegetation water use, while projected increase in temperature can increase drought-stress. Following the 2009 bushfires, changes in streamflow yield in Melbourne’s water catchments under average rainfall conditions have been predicted to be much smaller than reductions in streamflow during the Millennium Drought (Feikema et al., 2013). The impact of projected climate change on runoff may be greater than runoff changes associated with post-fire forest regrowth. For any given application, t</w:t>
      </w:r>
      <w:r w:rsidRPr="009909A0">
        <w:t xml:space="preserve">he extent to which </w:t>
      </w:r>
      <w:r>
        <w:t xml:space="preserve">the impacts of future changes in bushfire risk on water availability can </w:t>
      </w:r>
      <w:r w:rsidRPr="008B4E58">
        <w:t>be</w:t>
      </w:r>
      <w:r>
        <w:t xml:space="preserve"> </w:t>
      </w:r>
      <w:r w:rsidRPr="009909A0">
        <w:t>quantitatively estimated will depend on</w:t>
      </w:r>
      <w:r>
        <w:t xml:space="preserve"> </w:t>
      </w:r>
      <w:r w:rsidRPr="00F8372C">
        <w:t>the ability to model the impact of fire on vegetation mortality as well as the interaction between climate change and post-fire ecosystem responses</w:t>
      </w:r>
      <w:r>
        <w:t>.</w:t>
      </w:r>
    </w:p>
    <w:p w14:paraId="27AAC717" w14:textId="77777777" w:rsidR="007B29DD" w:rsidRPr="00E44CBB" w:rsidRDefault="007B29DD" w:rsidP="007B29DD">
      <w:pPr>
        <w:pStyle w:val="Heading1TopofPage"/>
        <w:numPr>
          <w:ilvl w:val="0"/>
          <w:numId w:val="5"/>
        </w:numPr>
        <w:tabs>
          <w:tab w:val="clear" w:pos="0"/>
        </w:tabs>
        <w:rPr>
          <w:color w:val="000000" w:themeColor="text1"/>
        </w:rPr>
      </w:pPr>
      <w:bookmarkStart w:id="731" w:name="_Toc38957454"/>
      <w:bookmarkStart w:id="732" w:name="_Ref39934944"/>
      <w:bookmarkStart w:id="733" w:name="_Toc43476515"/>
      <w:bookmarkStart w:id="734" w:name="_Toc44928760"/>
      <w:bookmarkStart w:id="735" w:name="_Toc51658032"/>
      <w:bookmarkStart w:id="736" w:name="_Toc53585937"/>
      <w:bookmarkStart w:id="737" w:name="_Toc57377188"/>
      <w:r w:rsidRPr="00E44CBB">
        <w:rPr>
          <w:color w:val="000000" w:themeColor="text1"/>
        </w:rPr>
        <w:lastRenderedPageBreak/>
        <w:t>Near-Term Decision Risks</w:t>
      </w:r>
      <w:bookmarkEnd w:id="731"/>
      <w:bookmarkEnd w:id="732"/>
      <w:bookmarkEnd w:id="733"/>
      <w:bookmarkEnd w:id="734"/>
      <w:bookmarkEnd w:id="735"/>
      <w:bookmarkEnd w:id="736"/>
      <w:bookmarkEnd w:id="737"/>
    </w:p>
    <w:p w14:paraId="5DA47D58"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38" w:name="_Toc38957455"/>
      <w:bookmarkStart w:id="739" w:name="_Toc43476516"/>
      <w:bookmarkStart w:id="740" w:name="_Toc44928761"/>
      <w:bookmarkStart w:id="741" w:name="_Toc51658033"/>
      <w:bookmarkStart w:id="742" w:name="_Toc53585938"/>
      <w:bookmarkStart w:id="743" w:name="_Toc57377189"/>
      <w:r w:rsidRPr="00E44CBB">
        <w:rPr>
          <w:b/>
          <w:bCs/>
          <w:color w:val="000000" w:themeColor="text1"/>
        </w:rPr>
        <w:t>Introduction</w:t>
      </w:r>
      <w:bookmarkEnd w:id="738"/>
      <w:bookmarkEnd w:id="739"/>
      <w:bookmarkEnd w:id="740"/>
      <w:bookmarkEnd w:id="741"/>
      <w:bookmarkEnd w:id="742"/>
      <w:bookmarkEnd w:id="743"/>
    </w:p>
    <w:p w14:paraId="0A697775" w14:textId="77777777" w:rsidR="007B29DD" w:rsidRPr="005C4D4F" w:rsidRDefault="007B29DD" w:rsidP="007B29DD">
      <w:pPr>
        <w:pStyle w:val="BodyText"/>
        <w:rPr>
          <w:lang w:eastAsia="en-AU"/>
        </w:rPr>
      </w:pPr>
      <w:r>
        <w:rPr>
          <w:lang w:eastAsia="en-AU"/>
        </w:rPr>
        <w:t xml:space="preserve">Near-term decision risks occur where a water supply planning decision must be made now about actions to occur over the next ten years, and the planning decisions are vulnerable to the climate change impact assessment assumptions and </w:t>
      </w:r>
      <w:r w:rsidRPr="00A00DB5">
        <w:rPr>
          <w:lang w:eastAsia="en-AU"/>
        </w:rPr>
        <w:t>could be regretted</w:t>
      </w:r>
      <w:r>
        <w:rPr>
          <w:lang w:eastAsia="en-AU"/>
        </w:rPr>
        <w:t xml:space="preserve"> if those assumptions were subsequently found to be incorrect.</w:t>
      </w:r>
    </w:p>
    <w:p w14:paraId="0B1878DB" w14:textId="77777777" w:rsidR="007B29DD" w:rsidRDefault="007B29DD" w:rsidP="007B29DD">
      <w:pPr>
        <w:pStyle w:val="BodyText"/>
        <w:rPr>
          <w:lang w:eastAsia="en-AU"/>
        </w:rPr>
      </w:pPr>
      <w:r>
        <w:rPr>
          <w:lang w:eastAsia="en-AU"/>
        </w:rPr>
        <w:t>There are numerous uncertainties around the climate change projections and related assumptions adopted in these guidelines. Some uncertainties are addressed explicitly in the previous sections of the guidelines. Firstly, the uncertainty in GCM selection is dealt with by offering a high, medium and low climate change projection, representing GCM uncertainty. Secondly, the uncertainty associated with GCM projections is mitigated by also utilising a post-</w:t>
      </w:r>
      <w:r w:rsidRPr="009D24B7">
        <w:rPr>
          <w:lang w:eastAsia="en-AU"/>
        </w:rPr>
        <w:t xml:space="preserve">1997 </w:t>
      </w:r>
      <w:r>
        <w:rPr>
          <w:lang w:eastAsia="en-AU"/>
        </w:rPr>
        <w:t>step climate change projection, including for near-term applications such as drought planning. Uncertainty in climate variability from a relatively short reference climate period is addressed through reference period extension procedures. However, the possibility remains that these and other underlying assumptions in the guidelines could be incorrect.</w:t>
      </w:r>
    </w:p>
    <w:p w14:paraId="44E1299F" w14:textId="77777777" w:rsidR="007B29DD" w:rsidRPr="0073732C" w:rsidRDefault="007B29DD" w:rsidP="007B29DD">
      <w:pPr>
        <w:pStyle w:val="BodyText"/>
        <w:rPr>
          <w:lang w:eastAsia="en-AU"/>
        </w:rPr>
      </w:pPr>
      <w:bookmarkStart w:id="744" w:name="_Hlk52541347"/>
      <w:r>
        <w:rPr>
          <w:lang w:eastAsia="en-AU"/>
        </w:rPr>
        <w:t>This section outlines additional methods and information available to assess the vulnerability of water resource planning decisions to the guideline assumptions, and any associated regret.</w:t>
      </w:r>
    </w:p>
    <w:p w14:paraId="0D069E38"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45" w:name="_Toc38957456"/>
      <w:bookmarkStart w:id="746" w:name="_Toc43476517"/>
      <w:bookmarkStart w:id="747" w:name="_Toc44928762"/>
      <w:bookmarkStart w:id="748" w:name="_Toc51658034"/>
      <w:bookmarkStart w:id="749" w:name="_Toc53585939"/>
      <w:bookmarkStart w:id="750" w:name="_Toc57377190"/>
      <w:bookmarkEnd w:id="744"/>
      <w:r w:rsidRPr="00E44CBB">
        <w:rPr>
          <w:b/>
          <w:bCs/>
          <w:color w:val="000000" w:themeColor="text1"/>
        </w:rPr>
        <w:t>What if the assumptions in the guidelines are incorrect?</w:t>
      </w:r>
      <w:bookmarkEnd w:id="745"/>
      <w:bookmarkEnd w:id="746"/>
      <w:bookmarkEnd w:id="747"/>
      <w:bookmarkEnd w:id="748"/>
      <w:bookmarkEnd w:id="749"/>
      <w:bookmarkEnd w:id="750"/>
    </w:p>
    <w:p w14:paraId="51F07B92" w14:textId="77777777" w:rsidR="007B29DD" w:rsidRDefault="007B29DD" w:rsidP="007B29DD">
      <w:pPr>
        <w:pStyle w:val="BodyText"/>
        <w:rPr>
          <w:lang w:eastAsia="en-AU"/>
        </w:rPr>
      </w:pPr>
      <w:r>
        <w:rPr>
          <w:lang w:eastAsia="en-AU"/>
        </w:rPr>
        <w:t xml:space="preserve">The range of assumptions made in the guidelines could serve to either over-estimate or under-estimate the impacts of climate change on water supplies, depending on the extent to which those assumptions turn out to be correct. A list of assumptions and their implications for assessing climate change impacts on water supplies is provided in </w:t>
      </w:r>
      <w:r>
        <w:rPr>
          <w:lang w:eastAsia="en-AU"/>
        </w:rPr>
        <w:fldChar w:fldCharType="begin"/>
      </w:r>
      <w:r>
        <w:rPr>
          <w:lang w:eastAsia="en-AU"/>
        </w:rPr>
        <w:instrText xml:space="preserve"> REF _Ref40195268 \h </w:instrText>
      </w:r>
      <w:r>
        <w:rPr>
          <w:lang w:eastAsia="en-AU"/>
        </w:rPr>
      </w:r>
      <w:r>
        <w:rPr>
          <w:lang w:eastAsia="en-AU"/>
        </w:rPr>
        <w:fldChar w:fldCharType="separate"/>
      </w:r>
      <w:r>
        <w:t xml:space="preserve">Table </w:t>
      </w:r>
      <w:r>
        <w:rPr>
          <w:noProof/>
        </w:rPr>
        <w:t>8</w:t>
      </w:r>
      <w:r>
        <w:rPr>
          <w:lang w:eastAsia="en-AU"/>
        </w:rPr>
        <w:fldChar w:fldCharType="end"/>
      </w:r>
      <w:r>
        <w:rPr>
          <w:lang w:eastAsia="en-AU"/>
        </w:rPr>
        <w:t xml:space="preserve">. </w:t>
      </w:r>
    </w:p>
    <w:p w14:paraId="11C176D8" w14:textId="77777777" w:rsidR="007B29DD" w:rsidRDefault="007B29DD" w:rsidP="007B29DD">
      <w:pPr>
        <w:pStyle w:val="Caption"/>
      </w:pPr>
      <w:bookmarkStart w:id="751" w:name="_Ref40195268"/>
      <w:bookmarkStart w:id="752" w:name="_Toc43476562"/>
      <w:bookmarkStart w:id="753" w:name="_Toc44928807"/>
      <w:bookmarkStart w:id="754" w:name="_Toc51237470"/>
      <w:bookmarkStart w:id="755" w:name="_Toc53585985"/>
      <w:bookmarkStart w:id="756" w:name="_Toc57377236"/>
      <w:r>
        <w:t xml:space="preserve">Table </w:t>
      </w:r>
      <w:r>
        <w:fldChar w:fldCharType="begin"/>
      </w:r>
      <w:r>
        <w:instrText>SEQ Table \* ARABIC</w:instrText>
      </w:r>
      <w:r>
        <w:fldChar w:fldCharType="separate"/>
      </w:r>
      <w:r>
        <w:rPr>
          <w:noProof/>
        </w:rPr>
        <w:t>8</w:t>
      </w:r>
      <w:r>
        <w:fldChar w:fldCharType="end"/>
      </w:r>
      <w:bookmarkEnd w:id="751"/>
      <w:r>
        <w:t xml:space="preserve"> Potential impact of incorrect assumptions in the guidelines</w:t>
      </w:r>
      <w:bookmarkEnd w:id="752"/>
      <w:bookmarkEnd w:id="753"/>
      <w:bookmarkEnd w:id="754"/>
      <w:bookmarkEnd w:id="755"/>
      <w:bookmarkEnd w:id="756"/>
    </w:p>
    <w:tbl>
      <w:tblPr>
        <w:tblStyle w:val="TableGrid"/>
        <w:tblW w:w="0" w:type="auto"/>
        <w:tblLook w:val="04A0" w:firstRow="1" w:lastRow="0" w:firstColumn="1" w:lastColumn="0" w:noHBand="0" w:noVBand="1"/>
      </w:tblPr>
      <w:tblGrid>
        <w:gridCol w:w="1843"/>
        <w:gridCol w:w="4536"/>
        <w:gridCol w:w="3260"/>
      </w:tblGrid>
      <w:tr w:rsidR="007B29DD" w14:paraId="3026D14D" w14:textId="77777777" w:rsidTr="00AD42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843" w:type="dxa"/>
            <w:shd w:val="clear" w:color="auto" w:fill="D0CECE" w:themeFill="background2" w:themeFillShade="E6"/>
          </w:tcPr>
          <w:p w14:paraId="45F8F809" w14:textId="77777777" w:rsidR="007B29DD" w:rsidRPr="00D33BBC" w:rsidRDefault="007B29DD" w:rsidP="00306AF1">
            <w:pPr>
              <w:pStyle w:val="BodyText"/>
              <w:jc w:val="center"/>
              <w:rPr>
                <w:b/>
              </w:rPr>
            </w:pPr>
            <w:r w:rsidRPr="00D33BBC">
              <w:rPr>
                <w:b/>
              </w:rPr>
              <w:t>Guideline assumption</w:t>
            </w:r>
          </w:p>
        </w:tc>
        <w:tc>
          <w:tcPr>
            <w:tcW w:w="4536" w:type="dxa"/>
            <w:shd w:val="clear" w:color="auto" w:fill="D0CECE" w:themeFill="background2" w:themeFillShade="E6"/>
          </w:tcPr>
          <w:p w14:paraId="7B505A9E" w14:textId="77777777" w:rsidR="007B29DD" w:rsidRPr="00D33BBC" w:rsidRDefault="007B29DD" w:rsidP="00306AF1">
            <w:pPr>
              <w:pStyle w:val="BodyText"/>
              <w:jc w:val="center"/>
              <w:cnfStyle w:val="100000000000" w:firstRow="1" w:lastRow="0" w:firstColumn="0" w:lastColumn="0" w:oddVBand="0" w:evenVBand="0" w:oddHBand="0" w:evenHBand="0" w:firstRowFirstColumn="0" w:firstRowLastColumn="0" w:lastRowFirstColumn="0" w:lastRowLastColumn="0"/>
              <w:rPr>
                <w:b/>
              </w:rPr>
            </w:pPr>
            <w:r w:rsidRPr="00D33BBC">
              <w:rPr>
                <w:b/>
              </w:rPr>
              <w:t>Reason why the assumption could be incorrect</w:t>
            </w:r>
          </w:p>
        </w:tc>
        <w:tc>
          <w:tcPr>
            <w:tcW w:w="3260" w:type="dxa"/>
            <w:shd w:val="clear" w:color="auto" w:fill="D0CECE" w:themeFill="background2" w:themeFillShade="E6"/>
          </w:tcPr>
          <w:p w14:paraId="54B14813" w14:textId="77777777" w:rsidR="007B29DD" w:rsidRPr="00D33BBC" w:rsidRDefault="007B29DD" w:rsidP="00306AF1">
            <w:pPr>
              <w:pStyle w:val="BodyText"/>
              <w:jc w:val="center"/>
              <w:cnfStyle w:val="100000000000" w:firstRow="1" w:lastRow="0" w:firstColumn="0" w:lastColumn="0" w:oddVBand="0" w:evenVBand="0" w:oddHBand="0" w:evenHBand="0" w:firstRowFirstColumn="0" w:firstRowLastColumn="0" w:lastRowFirstColumn="0" w:lastRowLastColumn="0"/>
              <w:rPr>
                <w:b/>
              </w:rPr>
            </w:pPr>
            <w:r w:rsidRPr="00D33BBC">
              <w:rPr>
                <w:b/>
              </w:rPr>
              <w:t>DELWP response</w:t>
            </w:r>
          </w:p>
        </w:tc>
      </w:tr>
      <w:tr w:rsidR="007B29DD" w14:paraId="55A55578" w14:textId="77777777" w:rsidTr="00306AF1">
        <w:tc>
          <w:tcPr>
            <w:tcW w:w="1843" w:type="dxa"/>
          </w:tcPr>
          <w:p w14:paraId="5C384CFD" w14:textId="77777777" w:rsidR="007B29DD" w:rsidRDefault="007B29DD" w:rsidP="00306AF1">
            <w:pPr>
              <w:pStyle w:val="BodyText"/>
            </w:pPr>
            <w:r>
              <w:t>RCP8.5 emissions trajectory.</w:t>
            </w:r>
          </w:p>
        </w:tc>
        <w:tc>
          <w:tcPr>
            <w:tcW w:w="4536" w:type="dxa"/>
          </w:tcPr>
          <w:p w14:paraId="76EE73D4" w14:textId="77777777" w:rsidR="007B29DD" w:rsidRDefault="007B29DD" w:rsidP="00306AF1">
            <w:pPr>
              <w:pStyle w:val="BodyText"/>
            </w:pPr>
            <w:r>
              <w:t>RCP8.5 could overstate the actual emissions trajectory due to greenhouse gas reduction measures by the world’s governments, thereby over-estimating projected climate change impacts after 2030.</w:t>
            </w:r>
          </w:p>
        </w:tc>
        <w:tc>
          <w:tcPr>
            <w:tcW w:w="3260" w:type="dxa"/>
          </w:tcPr>
          <w:p w14:paraId="34DE77C3" w14:textId="77777777" w:rsidR="007B29DD" w:rsidRDefault="007B29DD" w:rsidP="00306AF1">
            <w:pPr>
              <w:pStyle w:val="BodyText"/>
            </w:pPr>
            <w:r>
              <w:t>Option available to test water supply behaviour under a lower emissions scenario RCP4.5.</w:t>
            </w:r>
          </w:p>
        </w:tc>
      </w:tr>
      <w:tr w:rsidR="007B29DD" w14:paraId="1CA13A21" w14:textId="77777777" w:rsidTr="00306AF1">
        <w:tc>
          <w:tcPr>
            <w:tcW w:w="1843" w:type="dxa"/>
            <w:vMerge w:val="restart"/>
          </w:tcPr>
          <w:p w14:paraId="42CCD06F" w14:textId="77777777" w:rsidR="007B29DD" w:rsidRDefault="007B29DD" w:rsidP="00306AF1">
            <w:pPr>
              <w:pStyle w:val="BodyText"/>
            </w:pPr>
            <w:r>
              <w:t>RCP4.5 emissions trajectory.</w:t>
            </w:r>
          </w:p>
        </w:tc>
        <w:tc>
          <w:tcPr>
            <w:tcW w:w="4536" w:type="dxa"/>
          </w:tcPr>
          <w:p w14:paraId="4665051F" w14:textId="77777777" w:rsidR="007B29DD" w:rsidRDefault="007B29DD" w:rsidP="00306AF1">
            <w:pPr>
              <w:pStyle w:val="BodyText"/>
            </w:pPr>
            <w:r>
              <w:t>RCP4.5 could understate the actual emissions trajectory, due to a lack of greenhouse gas reduction measures by the world’s governments or climate change feedback loops (e.g. bushfires) that are not accounted for in GCMs.</w:t>
            </w:r>
          </w:p>
        </w:tc>
        <w:tc>
          <w:tcPr>
            <w:tcW w:w="3260" w:type="dxa"/>
          </w:tcPr>
          <w:p w14:paraId="2C824516" w14:textId="77777777" w:rsidR="007B29DD" w:rsidRDefault="007B29DD" w:rsidP="00306AF1">
            <w:pPr>
              <w:pStyle w:val="BodyText"/>
            </w:pPr>
            <w:r>
              <w:t>The global temperature response under RCP6.0 is similar to that for RCP4.5 up to ~2065.</w:t>
            </w:r>
          </w:p>
        </w:tc>
      </w:tr>
      <w:tr w:rsidR="007B29DD" w14:paraId="3DC9A9B3" w14:textId="77777777" w:rsidTr="00306AF1">
        <w:tc>
          <w:tcPr>
            <w:tcW w:w="1843" w:type="dxa"/>
            <w:vMerge/>
          </w:tcPr>
          <w:p w14:paraId="703FD55C" w14:textId="77777777" w:rsidR="007B29DD" w:rsidRDefault="007B29DD" w:rsidP="00306AF1">
            <w:pPr>
              <w:pStyle w:val="BodyText"/>
            </w:pPr>
          </w:p>
        </w:tc>
        <w:tc>
          <w:tcPr>
            <w:tcW w:w="4536" w:type="dxa"/>
          </w:tcPr>
          <w:p w14:paraId="5BE90E4D" w14:textId="77777777" w:rsidR="007B29DD" w:rsidRDefault="007B29DD" w:rsidP="00306AF1">
            <w:pPr>
              <w:pStyle w:val="BodyText"/>
            </w:pPr>
            <w:r>
              <w:t>RCP4.5 could overstate the actual emissions trajectory after 2040 if the Paris Agreement targets are fully achieved.</w:t>
            </w:r>
          </w:p>
        </w:tc>
        <w:tc>
          <w:tcPr>
            <w:tcW w:w="3260" w:type="dxa"/>
          </w:tcPr>
          <w:p w14:paraId="16D67EC3" w14:textId="77777777" w:rsidR="007B29DD" w:rsidRDefault="007B29DD" w:rsidP="00306AF1">
            <w:pPr>
              <w:pStyle w:val="BodyText"/>
            </w:pPr>
            <w:r>
              <w:t>Based on current pledged commitments and key non-signatories to the Paris Agreement, this is unlikely at the current time. This assumption will be revisited in future updates to the guidelines.</w:t>
            </w:r>
          </w:p>
        </w:tc>
      </w:tr>
      <w:tr w:rsidR="007B29DD" w14:paraId="49227A22" w14:textId="77777777" w:rsidTr="00306AF1">
        <w:tc>
          <w:tcPr>
            <w:tcW w:w="1843" w:type="dxa"/>
          </w:tcPr>
          <w:p w14:paraId="7C800DF7" w14:textId="77777777" w:rsidR="007B29DD" w:rsidRDefault="007B29DD" w:rsidP="00306AF1">
            <w:pPr>
              <w:pStyle w:val="BodyText"/>
            </w:pPr>
            <w:r w:rsidRPr="003178A9">
              <w:t>10th</w:t>
            </w:r>
            <w:r>
              <w:t xml:space="preserve">, </w:t>
            </w:r>
            <w:r w:rsidRPr="0089606A">
              <w:t>50th</w:t>
            </w:r>
            <w:r>
              <w:t xml:space="preserve"> and </w:t>
            </w:r>
            <w:r w:rsidRPr="005E0E0D">
              <w:t>90th</w:t>
            </w:r>
            <w:r>
              <w:t xml:space="preserve"> percentile model outcomes adopted for low, medium and high projections.</w:t>
            </w:r>
          </w:p>
        </w:tc>
        <w:tc>
          <w:tcPr>
            <w:tcW w:w="4536" w:type="dxa"/>
          </w:tcPr>
          <w:p w14:paraId="57A4CA0B" w14:textId="77777777" w:rsidR="007B29DD" w:rsidRDefault="007B29DD" w:rsidP="00306AF1">
            <w:pPr>
              <w:pStyle w:val="BodyText"/>
            </w:pPr>
            <w:r>
              <w:t>10% of models project climate change to be wetter than shown by this range, and 10% of models project climate change to be drier than shown by this range.</w:t>
            </w:r>
          </w:p>
        </w:tc>
        <w:tc>
          <w:tcPr>
            <w:tcW w:w="3260" w:type="dxa"/>
          </w:tcPr>
          <w:p w14:paraId="67E7F803" w14:textId="77777777" w:rsidR="007B29DD" w:rsidRDefault="007B29DD" w:rsidP="00306AF1">
            <w:pPr>
              <w:pStyle w:val="BodyText"/>
            </w:pPr>
            <w:r>
              <w:t>The approach adopted allows planning for a wide range of projections, without being unduly influenced by outlying GCMs.</w:t>
            </w:r>
          </w:p>
        </w:tc>
      </w:tr>
      <w:tr w:rsidR="007B29DD" w14:paraId="64928C6E" w14:textId="77777777" w:rsidTr="00306AF1">
        <w:tc>
          <w:tcPr>
            <w:tcW w:w="1843" w:type="dxa"/>
          </w:tcPr>
          <w:p w14:paraId="4AB44B89" w14:textId="77777777" w:rsidR="007B29DD" w:rsidRDefault="007B29DD" w:rsidP="00306AF1">
            <w:pPr>
              <w:pStyle w:val="BodyText"/>
              <w:keepNext/>
            </w:pPr>
            <w:r>
              <w:lastRenderedPageBreak/>
              <w:t>Apply annual climate change projections.</w:t>
            </w:r>
          </w:p>
        </w:tc>
        <w:tc>
          <w:tcPr>
            <w:tcW w:w="4536" w:type="dxa"/>
          </w:tcPr>
          <w:p w14:paraId="01C290CE" w14:textId="77777777" w:rsidR="007B29DD" w:rsidRDefault="007B29DD" w:rsidP="00306AF1">
            <w:pPr>
              <w:pStyle w:val="BodyText"/>
              <w:keepNext/>
            </w:pPr>
            <w:r>
              <w:t>Changes in seasonal rainfall behaviour could be different to annual changes, as observed in Victoria over the last two decades. This could result in an over-estimation of runoff available for winter/spring harvesting and an under-estimation of runoff available for summer harvesting.</w:t>
            </w:r>
          </w:p>
        </w:tc>
        <w:tc>
          <w:tcPr>
            <w:tcW w:w="3260" w:type="dxa"/>
          </w:tcPr>
          <w:p w14:paraId="2039CDA2" w14:textId="77777777" w:rsidR="007B29DD" w:rsidRDefault="007B29DD" w:rsidP="00306AF1">
            <w:pPr>
              <w:pStyle w:val="BodyText"/>
              <w:keepNext/>
            </w:pPr>
            <w:r>
              <w:t>Utilise historical seasonal shifts for near-term applications, and apply sensitivity testing for long-term applications if planning outcomes are considered vulnerable to this assumption.</w:t>
            </w:r>
          </w:p>
        </w:tc>
      </w:tr>
      <w:tr w:rsidR="007B29DD" w14:paraId="3DC9454A" w14:textId="77777777" w:rsidTr="00306AF1">
        <w:tc>
          <w:tcPr>
            <w:tcW w:w="1843" w:type="dxa"/>
          </w:tcPr>
          <w:p w14:paraId="65223ADD" w14:textId="77777777" w:rsidR="007B29DD" w:rsidRDefault="007B29DD" w:rsidP="00306AF1">
            <w:pPr>
              <w:pStyle w:val="BodyText"/>
            </w:pPr>
            <w:r>
              <w:t>Historical rainfall-runoff response.</w:t>
            </w:r>
          </w:p>
        </w:tc>
        <w:tc>
          <w:tcPr>
            <w:tcW w:w="4536" w:type="dxa"/>
          </w:tcPr>
          <w:p w14:paraId="6D39277E" w14:textId="77777777" w:rsidR="007B29DD" w:rsidRDefault="007B29DD" w:rsidP="00306AF1">
            <w:pPr>
              <w:pStyle w:val="BodyText"/>
            </w:pPr>
            <w:r>
              <w:t>Climate change projections for runoff may overstate runoff under drying climate change projections, particularly for catchments with observed reductions in annual runoff for a given annual rainfall during and after extended drought.</w:t>
            </w:r>
          </w:p>
        </w:tc>
        <w:tc>
          <w:tcPr>
            <w:tcW w:w="3260" w:type="dxa"/>
          </w:tcPr>
          <w:p w14:paraId="44AD0C9A" w14:textId="77777777" w:rsidR="007B29DD" w:rsidRDefault="007B29DD" w:rsidP="00306AF1">
            <w:pPr>
              <w:pStyle w:val="BodyText"/>
            </w:pPr>
            <w:r>
              <w:t>Catchments where a change in response has been observed in extended droughts to date have been identified in the guidelines. DELWP will advise further as research in this area is completed.</w:t>
            </w:r>
          </w:p>
        </w:tc>
      </w:tr>
      <w:tr w:rsidR="007B29DD" w14:paraId="7649D086" w14:textId="77777777" w:rsidTr="00306AF1">
        <w:tc>
          <w:tcPr>
            <w:tcW w:w="1843" w:type="dxa"/>
          </w:tcPr>
          <w:p w14:paraId="6D73FD73" w14:textId="77777777" w:rsidR="007B29DD" w:rsidRDefault="007B29DD" w:rsidP="00306AF1">
            <w:pPr>
              <w:pStyle w:val="BodyText"/>
            </w:pPr>
            <w:r>
              <w:t>Medium temperature and evaporation climate change projection for demand estimation.</w:t>
            </w:r>
          </w:p>
        </w:tc>
        <w:tc>
          <w:tcPr>
            <w:tcW w:w="4536" w:type="dxa"/>
          </w:tcPr>
          <w:p w14:paraId="15CF0F41" w14:textId="77777777" w:rsidR="007B29DD" w:rsidRDefault="007B29DD" w:rsidP="00306AF1">
            <w:pPr>
              <w:pStyle w:val="BodyText"/>
            </w:pPr>
            <w:r>
              <w:t>This could over-estimate or under-estimate demand under projected climate change if the low or high projection were to eventuate.</w:t>
            </w:r>
          </w:p>
        </w:tc>
        <w:tc>
          <w:tcPr>
            <w:tcW w:w="3260" w:type="dxa"/>
          </w:tcPr>
          <w:p w14:paraId="4388E86F" w14:textId="77777777" w:rsidR="007B29DD" w:rsidRDefault="007B29DD" w:rsidP="00306AF1">
            <w:pPr>
              <w:pStyle w:val="BodyText"/>
            </w:pPr>
            <w:r>
              <w:t>High and low temperature and potential evapotranspiration projections have been provided to enable sensitivity testing, but testing to date by DELWP suggests this assumption will generally only be of minor to negligible consequence for planning outcomes for water.</w:t>
            </w:r>
          </w:p>
        </w:tc>
      </w:tr>
      <w:tr w:rsidR="007B29DD" w14:paraId="1EAB94EA" w14:textId="77777777" w:rsidTr="00306AF1">
        <w:tc>
          <w:tcPr>
            <w:tcW w:w="1843" w:type="dxa"/>
          </w:tcPr>
          <w:p w14:paraId="08D19B98" w14:textId="77777777" w:rsidR="007B29DD" w:rsidRDefault="007B29DD" w:rsidP="00306AF1">
            <w:pPr>
              <w:pStyle w:val="BodyText"/>
            </w:pPr>
            <w:r>
              <w:t>Linear extrapolation after 2065.</w:t>
            </w:r>
          </w:p>
        </w:tc>
        <w:tc>
          <w:tcPr>
            <w:tcW w:w="4536" w:type="dxa"/>
          </w:tcPr>
          <w:p w14:paraId="6C4AD3E2" w14:textId="77777777" w:rsidR="007B29DD" w:rsidRDefault="007B29DD" w:rsidP="00306AF1">
            <w:pPr>
              <w:pStyle w:val="BodyText"/>
            </w:pPr>
            <w:r>
              <w:t>Climate change projections under RCP4.5 will be slightly over-estimated, and climate change projections under RCP8.5 will be slightly under-estimated from 2065 to 2075.</w:t>
            </w:r>
          </w:p>
        </w:tc>
        <w:tc>
          <w:tcPr>
            <w:tcW w:w="3260" w:type="dxa"/>
          </w:tcPr>
          <w:p w14:paraId="0DAF71C0" w14:textId="77777777" w:rsidR="007B29DD" w:rsidRDefault="007B29DD" w:rsidP="00306AF1">
            <w:pPr>
              <w:pStyle w:val="BodyText"/>
            </w:pPr>
            <w:r>
              <w:t>The extent of linear extrapolation recommended is limited to ten years beyond the last available projection in 2065. Projections beyond 2065 are expected to be updated in future updates to the guidelines.</w:t>
            </w:r>
          </w:p>
        </w:tc>
      </w:tr>
      <w:tr w:rsidR="007B29DD" w14:paraId="14C31E60" w14:textId="77777777" w:rsidTr="00306AF1">
        <w:tc>
          <w:tcPr>
            <w:tcW w:w="1843" w:type="dxa"/>
          </w:tcPr>
          <w:p w14:paraId="377C9765" w14:textId="77777777" w:rsidR="007B29DD" w:rsidRDefault="007B29DD" w:rsidP="00306AF1">
            <w:pPr>
              <w:pStyle w:val="BodyText"/>
            </w:pPr>
            <w:r>
              <w:t>Compounding effects from all of the above.</w:t>
            </w:r>
          </w:p>
        </w:tc>
        <w:tc>
          <w:tcPr>
            <w:tcW w:w="4536" w:type="dxa"/>
          </w:tcPr>
          <w:p w14:paraId="41C8D4FC" w14:textId="77777777" w:rsidR="007B29DD" w:rsidRDefault="007B29DD" w:rsidP="00306AF1">
            <w:pPr>
              <w:pStyle w:val="BodyText"/>
            </w:pPr>
            <w:r>
              <w:t>It is possible that more than one, or all, of these guideline assumptions could be incorrect.</w:t>
            </w:r>
          </w:p>
        </w:tc>
        <w:tc>
          <w:tcPr>
            <w:tcW w:w="3260" w:type="dxa"/>
          </w:tcPr>
          <w:p w14:paraId="509F9279" w14:textId="77777777" w:rsidR="007B29DD" w:rsidRDefault="007B29DD" w:rsidP="00306AF1">
            <w:pPr>
              <w:pStyle w:val="BodyText"/>
            </w:pPr>
            <w:r>
              <w:t xml:space="preserve">Utilise alternative impact assessment datasets and approaches (see Section </w:t>
            </w:r>
            <w:r>
              <w:fldChar w:fldCharType="begin"/>
            </w:r>
            <w:r>
              <w:instrText xml:space="preserve"> REF _Ref40259576 \r \h </w:instrText>
            </w:r>
            <w:r>
              <w:fldChar w:fldCharType="separate"/>
            </w:r>
            <w:r>
              <w:t>6.4</w:t>
            </w:r>
            <w:r>
              <w:fldChar w:fldCharType="end"/>
            </w:r>
            <w:r>
              <w:t>).</w:t>
            </w:r>
          </w:p>
        </w:tc>
      </w:tr>
    </w:tbl>
    <w:p w14:paraId="1C710A5D" w14:textId="77777777" w:rsidR="007B29DD" w:rsidRDefault="007B29DD" w:rsidP="007B29DD">
      <w:pPr>
        <w:pStyle w:val="BodyText12ptBefore"/>
      </w:pPr>
      <w:bookmarkStart w:id="757" w:name="_Toc38957457"/>
      <w:bookmarkStart w:id="758" w:name="_Toc43476518"/>
      <w:bookmarkStart w:id="759" w:name="_Toc44928763"/>
      <w:bookmarkStart w:id="760" w:name="_Toc51658035"/>
      <w:bookmarkStart w:id="761" w:name="_Toc53585940"/>
    </w:p>
    <w:p w14:paraId="37A7622F"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62" w:name="_Toc57377191"/>
      <w:r w:rsidRPr="00E44CBB">
        <w:rPr>
          <w:b/>
          <w:bCs/>
          <w:color w:val="000000" w:themeColor="text1"/>
        </w:rPr>
        <w:t>Defining vulnerability to climate change assumptions</w:t>
      </w:r>
      <w:bookmarkEnd w:id="757"/>
      <w:bookmarkEnd w:id="758"/>
      <w:bookmarkEnd w:id="759"/>
      <w:bookmarkEnd w:id="760"/>
      <w:bookmarkEnd w:id="761"/>
      <w:bookmarkEnd w:id="762"/>
    </w:p>
    <w:p w14:paraId="2B6E7B18" w14:textId="77777777" w:rsidR="007B29DD" w:rsidRDefault="007B29DD" w:rsidP="007B29DD">
      <w:pPr>
        <w:pStyle w:val="BodyText"/>
        <w:rPr>
          <w:lang w:eastAsia="en-AU"/>
        </w:rPr>
      </w:pPr>
      <w:bookmarkStart w:id="763" w:name="_Toc38957458"/>
      <w:r>
        <w:rPr>
          <w:lang w:eastAsia="en-AU"/>
        </w:rPr>
        <w:t>Vulnerability indicates the potential for unsatisfactory outcomes, if the assumptions in the guidelines are incorrect. Regret indicates the ability of those unsatisfactory outcomes to be reversed or altered, if they were to eventuate. Vulnerability will be lower for supply systems that draw from supply sources that are more climate resilient. Regret considers the availability of alternative, timely corrective actions, and if available, the cost of implementing them. Regret should also consider the possibility of wetter projections or lower emissions trajectories eventuating, and the consequences associated with that, such as lower cost recovery from assets. Where actions arising from application of the guidelines are not required until after ten years into the future, it is expected that there will be the opportunity to re-visit decisions in the next update of the guidelines, with the benefit of additional climate change information and updated climate change projections.</w:t>
      </w:r>
    </w:p>
    <w:p w14:paraId="48750F46" w14:textId="77777777" w:rsidR="007B29DD" w:rsidRDefault="007B29DD" w:rsidP="007B29DD">
      <w:pPr>
        <w:pStyle w:val="BodyText"/>
        <w:rPr>
          <w:lang w:eastAsia="en-AU"/>
        </w:rPr>
      </w:pPr>
      <w:r>
        <w:rPr>
          <w:lang w:eastAsia="en-AU"/>
        </w:rPr>
        <w:t>It is proposed that streamflow characteristics or supply system performance should be considered potentially at risk to the assumptions in these guidelines if:</w:t>
      </w:r>
    </w:p>
    <w:p w14:paraId="4DD7DC2D" w14:textId="77777777" w:rsidR="007B29DD" w:rsidRDefault="007B29DD" w:rsidP="007B29DD">
      <w:pPr>
        <w:pStyle w:val="BodyText"/>
        <w:numPr>
          <w:ilvl w:val="0"/>
          <w:numId w:val="28"/>
        </w:numPr>
        <w:rPr>
          <w:lang w:eastAsia="en-AU"/>
        </w:rPr>
      </w:pPr>
      <w:r>
        <w:rPr>
          <w:lang w:eastAsia="en-AU"/>
        </w:rPr>
        <w:t>For supply systems:</w:t>
      </w:r>
    </w:p>
    <w:p w14:paraId="6D268BD4" w14:textId="77777777" w:rsidR="007B29DD" w:rsidRDefault="007B29DD" w:rsidP="007B29DD">
      <w:pPr>
        <w:pStyle w:val="BodyText"/>
        <w:ind w:left="720"/>
        <w:rPr>
          <w:lang w:eastAsia="en-AU"/>
        </w:rPr>
      </w:pPr>
      <w:r>
        <w:rPr>
          <w:lang w:eastAsia="en-AU"/>
        </w:rPr>
        <w:t>(i) P</w:t>
      </w:r>
      <w:r w:rsidRPr="00D16F77">
        <w:rPr>
          <w:lang w:eastAsia="en-AU"/>
        </w:rPr>
        <w:t xml:space="preserve">rojected supply system performance is expected to drop below target levels </w:t>
      </w:r>
      <w:r>
        <w:rPr>
          <w:lang w:eastAsia="en-AU"/>
        </w:rPr>
        <w:t>over the next decade (and/or)</w:t>
      </w:r>
    </w:p>
    <w:p w14:paraId="7ACF29EA" w14:textId="77777777" w:rsidR="007B29DD" w:rsidRDefault="007B29DD" w:rsidP="007B29DD">
      <w:pPr>
        <w:pStyle w:val="BodyText"/>
        <w:ind w:left="720"/>
        <w:rPr>
          <w:lang w:eastAsia="en-AU"/>
        </w:rPr>
      </w:pPr>
      <w:r>
        <w:rPr>
          <w:lang w:eastAsia="en-AU"/>
        </w:rPr>
        <w:t>(ii)</w:t>
      </w:r>
      <w:r w:rsidRPr="00D16F77">
        <w:rPr>
          <w:lang w:eastAsia="en-AU"/>
        </w:rPr>
        <w:t xml:space="preserve"> </w:t>
      </w:r>
      <w:r>
        <w:rPr>
          <w:lang w:eastAsia="en-AU"/>
        </w:rPr>
        <w:t>A</w:t>
      </w:r>
      <w:r w:rsidRPr="00D16F77">
        <w:rPr>
          <w:lang w:eastAsia="en-AU"/>
        </w:rPr>
        <w:t>ction could be required prior to the next update of the guidelines</w:t>
      </w:r>
      <w:r>
        <w:rPr>
          <w:lang w:eastAsia="en-AU"/>
        </w:rPr>
        <w:t>.</w:t>
      </w:r>
      <w:r w:rsidRPr="00D16F77">
        <w:rPr>
          <w:lang w:eastAsia="en-AU"/>
        </w:rPr>
        <w:t xml:space="preserve"> </w:t>
      </w:r>
    </w:p>
    <w:p w14:paraId="7887F768" w14:textId="77777777" w:rsidR="007B29DD" w:rsidRDefault="007B29DD" w:rsidP="007B29DD">
      <w:pPr>
        <w:pStyle w:val="BodyText"/>
        <w:ind w:left="720"/>
        <w:rPr>
          <w:lang w:eastAsia="en-AU"/>
        </w:rPr>
      </w:pPr>
      <w:r>
        <w:rPr>
          <w:lang w:eastAsia="en-AU"/>
        </w:rPr>
        <w:t>(iii) T</w:t>
      </w:r>
      <w:r w:rsidRPr="00D16F77">
        <w:rPr>
          <w:lang w:eastAsia="en-AU"/>
        </w:rPr>
        <w:t xml:space="preserve">he </w:t>
      </w:r>
      <w:r>
        <w:rPr>
          <w:lang w:eastAsia="en-AU"/>
        </w:rPr>
        <w:t>regret associated with</w:t>
      </w:r>
      <w:r w:rsidRPr="00D16F77">
        <w:rPr>
          <w:lang w:eastAsia="en-AU"/>
        </w:rPr>
        <w:t xml:space="preserve"> inaccurate climate change assumptions </w:t>
      </w:r>
      <w:r>
        <w:rPr>
          <w:lang w:eastAsia="en-AU"/>
        </w:rPr>
        <w:t xml:space="preserve">in the guidelines </w:t>
      </w:r>
      <w:r w:rsidRPr="00D16F77">
        <w:rPr>
          <w:lang w:eastAsia="en-AU"/>
        </w:rPr>
        <w:t>would be high.</w:t>
      </w:r>
    </w:p>
    <w:p w14:paraId="132B454C" w14:textId="77777777" w:rsidR="007B29DD" w:rsidRDefault="007B29DD" w:rsidP="007B29DD">
      <w:pPr>
        <w:pStyle w:val="BodyText"/>
        <w:numPr>
          <w:ilvl w:val="0"/>
          <w:numId w:val="28"/>
        </w:numPr>
        <w:rPr>
          <w:lang w:eastAsia="en-AU"/>
        </w:rPr>
      </w:pPr>
      <w:r>
        <w:rPr>
          <w:lang w:eastAsia="en-AU"/>
        </w:rPr>
        <w:lastRenderedPageBreak/>
        <w:t>For water dependent assets or values:</w:t>
      </w:r>
    </w:p>
    <w:p w14:paraId="7E0E3977" w14:textId="77777777" w:rsidR="007B29DD" w:rsidRDefault="007B29DD" w:rsidP="007B29DD">
      <w:pPr>
        <w:pStyle w:val="BodyText"/>
        <w:ind w:left="720"/>
        <w:rPr>
          <w:lang w:eastAsia="en-AU"/>
        </w:rPr>
      </w:pPr>
      <w:r>
        <w:rPr>
          <w:lang w:eastAsia="en-AU"/>
        </w:rPr>
        <w:t xml:space="preserve">(i) Those assets or values are </w:t>
      </w:r>
      <w:r w:rsidRPr="00D16F77">
        <w:rPr>
          <w:lang w:eastAsia="en-AU"/>
        </w:rPr>
        <w:t xml:space="preserve">considered at risk </w:t>
      </w:r>
      <w:r>
        <w:rPr>
          <w:lang w:eastAsia="en-AU"/>
        </w:rPr>
        <w:t>over the next decade.</w:t>
      </w:r>
    </w:p>
    <w:p w14:paraId="02BF87AA" w14:textId="77777777" w:rsidR="007B29DD" w:rsidRDefault="007B29DD" w:rsidP="007B29DD">
      <w:pPr>
        <w:pStyle w:val="BodyText"/>
        <w:ind w:left="720"/>
        <w:rPr>
          <w:lang w:eastAsia="en-AU"/>
        </w:rPr>
      </w:pPr>
      <w:r>
        <w:rPr>
          <w:lang w:eastAsia="en-AU"/>
        </w:rPr>
        <w:t>(ii) T</w:t>
      </w:r>
      <w:r w:rsidRPr="00D16F77">
        <w:rPr>
          <w:lang w:eastAsia="en-AU"/>
        </w:rPr>
        <w:t xml:space="preserve">he </w:t>
      </w:r>
      <w:r>
        <w:rPr>
          <w:lang w:eastAsia="en-AU"/>
        </w:rPr>
        <w:t>regret associated with</w:t>
      </w:r>
      <w:r w:rsidRPr="00D16F77">
        <w:rPr>
          <w:lang w:eastAsia="en-AU"/>
        </w:rPr>
        <w:t xml:space="preserve"> inaccurate climate change assumptions would be high</w:t>
      </w:r>
      <w:r>
        <w:rPr>
          <w:lang w:eastAsia="en-AU"/>
        </w:rPr>
        <w:t>.</w:t>
      </w:r>
    </w:p>
    <w:p w14:paraId="08C43AEF" w14:textId="77777777" w:rsidR="007B29DD" w:rsidRPr="00D16F77" w:rsidRDefault="007B29DD" w:rsidP="007B29DD">
      <w:pPr>
        <w:pStyle w:val="BodyText"/>
        <w:rPr>
          <w:lang w:eastAsia="en-AU"/>
        </w:rPr>
      </w:pPr>
      <w:r>
        <w:rPr>
          <w:lang w:eastAsia="en-AU"/>
        </w:rPr>
        <w:t>The above assessment assumes that the assessment process outlined in the guidelines is suitable for the purposes of assessing risks in your supply system or river system. There may be some circumstances where the potential climate change risk that you are facing is not suitably captured by this process. An example of this could be where annual scaling of runoff is applied to a run-of-river supply system and the assessment outcomes are that the supply system will remain above target performance levels over the next decade. However, if small additional increases in within-year drought duration could compromise supply system performance, then this should be considered further and assessed if needed.</w:t>
      </w:r>
    </w:p>
    <w:p w14:paraId="6B15A2D0"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64" w:name="_Ref40259576"/>
      <w:bookmarkStart w:id="765" w:name="_Toc43476519"/>
      <w:bookmarkStart w:id="766" w:name="_Toc44928764"/>
      <w:bookmarkStart w:id="767" w:name="_Toc51658036"/>
      <w:bookmarkStart w:id="768" w:name="_Toc53585941"/>
      <w:bookmarkStart w:id="769" w:name="_Toc57377192"/>
      <w:r w:rsidRPr="00E44CBB">
        <w:rPr>
          <w:b/>
          <w:bCs/>
          <w:color w:val="000000" w:themeColor="text1"/>
        </w:rPr>
        <w:t>What to do if your planning decisions are considered at risk from the guideline assumptions</w:t>
      </w:r>
      <w:bookmarkEnd w:id="763"/>
      <w:bookmarkEnd w:id="764"/>
      <w:bookmarkEnd w:id="765"/>
      <w:bookmarkEnd w:id="766"/>
      <w:bookmarkEnd w:id="767"/>
      <w:bookmarkEnd w:id="768"/>
      <w:bookmarkEnd w:id="769"/>
    </w:p>
    <w:p w14:paraId="3813FB0B" w14:textId="77777777" w:rsidR="007B29DD" w:rsidRDefault="007B29DD" w:rsidP="007B29DD">
      <w:pPr>
        <w:pStyle w:val="BodyText"/>
        <w:rPr>
          <w:lang w:eastAsia="en-AU"/>
        </w:rPr>
      </w:pPr>
      <w:r w:rsidRPr="00097067">
        <w:rPr>
          <w:lang w:eastAsia="en-AU"/>
        </w:rPr>
        <w:t xml:space="preserve">Where </w:t>
      </w:r>
      <w:r>
        <w:rPr>
          <w:lang w:eastAsia="en-AU"/>
        </w:rPr>
        <w:t>a near-term risk to the assumptions in the guidelines is identified, the following actions are suggested:</w:t>
      </w:r>
    </w:p>
    <w:p w14:paraId="71929881" w14:textId="77777777" w:rsidR="007B29DD" w:rsidRPr="00A06961" w:rsidRDefault="007B29DD" w:rsidP="007B29DD">
      <w:pPr>
        <w:pStyle w:val="BodyText"/>
        <w:numPr>
          <w:ilvl w:val="0"/>
          <w:numId w:val="47"/>
        </w:numPr>
        <w:rPr>
          <w:lang w:eastAsia="en-AU"/>
        </w:rPr>
      </w:pPr>
      <w:r w:rsidRPr="00A06961">
        <w:rPr>
          <w:lang w:eastAsia="en-AU"/>
        </w:rPr>
        <w:t xml:space="preserve">Reassess </w:t>
      </w:r>
      <w:r>
        <w:rPr>
          <w:lang w:eastAsia="en-AU"/>
        </w:rPr>
        <w:t xml:space="preserve">projected </w:t>
      </w:r>
      <w:r w:rsidRPr="00A06961">
        <w:rPr>
          <w:lang w:eastAsia="en-AU"/>
        </w:rPr>
        <w:t xml:space="preserve">business as usual </w:t>
      </w:r>
      <w:r>
        <w:rPr>
          <w:lang w:eastAsia="en-AU"/>
        </w:rPr>
        <w:t xml:space="preserve">streamflow characteristics or </w:t>
      </w:r>
      <w:r w:rsidRPr="00A06961">
        <w:rPr>
          <w:lang w:eastAsia="en-AU"/>
        </w:rPr>
        <w:t xml:space="preserve">supply system performance </w:t>
      </w:r>
      <w:r>
        <w:rPr>
          <w:lang w:eastAsia="en-AU"/>
        </w:rPr>
        <w:t xml:space="preserve">under climate change </w:t>
      </w:r>
      <w:r w:rsidRPr="00A06961">
        <w:rPr>
          <w:lang w:eastAsia="en-AU"/>
        </w:rPr>
        <w:t>using additional techniques and projections</w:t>
      </w:r>
      <w:r>
        <w:rPr>
          <w:lang w:eastAsia="en-AU"/>
        </w:rPr>
        <w:t>; and</w:t>
      </w:r>
    </w:p>
    <w:p w14:paraId="1FF17FF5" w14:textId="77777777" w:rsidR="007B29DD" w:rsidRDefault="007B29DD" w:rsidP="007B29DD">
      <w:pPr>
        <w:pStyle w:val="BodyText"/>
        <w:numPr>
          <w:ilvl w:val="0"/>
          <w:numId w:val="47"/>
        </w:numPr>
        <w:rPr>
          <w:lang w:eastAsia="en-AU"/>
        </w:rPr>
      </w:pPr>
      <w:r w:rsidRPr="00A06961">
        <w:rPr>
          <w:lang w:eastAsia="en-AU"/>
        </w:rPr>
        <w:t xml:space="preserve">If the proposed action </w:t>
      </w:r>
      <w:r>
        <w:rPr>
          <w:lang w:eastAsia="en-AU"/>
        </w:rPr>
        <w:t xml:space="preserve">to be implemented over the next decade </w:t>
      </w:r>
      <w:r w:rsidRPr="00A06961">
        <w:rPr>
          <w:lang w:eastAsia="en-AU"/>
        </w:rPr>
        <w:t xml:space="preserve">is not climate resilient, reassess </w:t>
      </w:r>
      <w:r>
        <w:rPr>
          <w:lang w:eastAsia="en-AU"/>
        </w:rPr>
        <w:t xml:space="preserve">streamflow characteristics </w:t>
      </w:r>
      <w:r w:rsidRPr="00A06961">
        <w:rPr>
          <w:lang w:eastAsia="en-AU"/>
        </w:rPr>
        <w:t xml:space="preserve">or supply system performance with the proposed action using additional </w:t>
      </w:r>
      <w:r>
        <w:rPr>
          <w:lang w:eastAsia="en-AU"/>
        </w:rPr>
        <w:t xml:space="preserve">techniques </w:t>
      </w:r>
      <w:r w:rsidRPr="00A06961">
        <w:rPr>
          <w:lang w:eastAsia="en-AU"/>
        </w:rPr>
        <w:t>and projections.</w:t>
      </w:r>
    </w:p>
    <w:p w14:paraId="0EC68D7C" w14:textId="77777777" w:rsidR="007B29DD" w:rsidRDefault="007B29DD" w:rsidP="007B29DD">
      <w:pPr>
        <w:pStyle w:val="BodyText"/>
        <w:rPr>
          <w:lang w:eastAsia="en-AU"/>
        </w:rPr>
      </w:pPr>
      <w:r>
        <w:rPr>
          <w:lang w:eastAsia="en-AU"/>
        </w:rPr>
        <w:t xml:space="preserve">The decision process is illustrated in </w:t>
      </w:r>
      <w:r>
        <w:rPr>
          <w:lang w:eastAsia="en-AU"/>
        </w:rPr>
        <w:fldChar w:fldCharType="begin"/>
      </w:r>
      <w:r>
        <w:rPr>
          <w:lang w:eastAsia="en-AU"/>
        </w:rPr>
        <w:instrText xml:space="preserve"> REF _Ref40454871 \h </w:instrText>
      </w:r>
      <w:r>
        <w:rPr>
          <w:lang w:eastAsia="en-AU"/>
        </w:rPr>
      </w:r>
      <w:r>
        <w:rPr>
          <w:lang w:eastAsia="en-AU"/>
        </w:rPr>
        <w:fldChar w:fldCharType="separate"/>
      </w:r>
      <w:r w:rsidRPr="00AF0689">
        <w:t xml:space="preserve">Figure </w:t>
      </w:r>
      <w:r>
        <w:rPr>
          <w:noProof/>
        </w:rPr>
        <w:t>28</w:t>
      </w:r>
      <w:r>
        <w:rPr>
          <w:lang w:eastAsia="en-AU"/>
        </w:rPr>
        <w:fldChar w:fldCharType="end"/>
      </w:r>
      <w:r>
        <w:rPr>
          <w:lang w:eastAsia="en-AU"/>
        </w:rPr>
        <w:t>. It is recognised that alternative datasets and assessment techniques are continuing to be developed, so the advice in this section is not prescriptive. If a user of the guideline wishes to adopt alternative techniques or projections not listed in these guidelines, please discuss this with the Department so that any collective learnings from innovations in climate change impact assessment can potentially be shared with other users of the guidelines.</w:t>
      </w:r>
    </w:p>
    <w:p w14:paraId="722E795A" w14:textId="77777777" w:rsidR="007B29DD" w:rsidRDefault="007B29DD" w:rsidP="007B29DD">
      <w:pPr>
        <w:pStyle w:val="BodyText"/>
        <w:rPr>
          <w:lang w:eastAsia="en-AU"/>
        </w:rPr>
      </w:pPr>
    </w:p>
    <w:p w14:paraId="7BF27172" w14:textId="77777777" w:rsidR="007B29DD" w:rsidRDefault="007B29DD" w:rsidP="007B29DD">
      <w:pPr>
        <w:pStyle w:val="BodyText"/>
        <w:spacing w:after="0"/>
        <w:rPr>
          <w:lang w:eastAsia="en-AU"/>
        </w:rPr>
      </w:pPr>
      <w:r>
        <w:rPr>
          <w:noProof/>
        </w:rPr>
        <w:drawing>
          <wp:inline distT="0" distB="0" distL="0" distR="0" wp14:anchorId="31D9AAC8" wp14:editId="07E1CD27">
            <wp:extent cx="6193214" cy="3860362"/>
            <wp:effectExtent l="19050" t="19050" r="17145" b="26035"/>
            <wp:docPr id="945704191" name="Picture 945704191" descr="Infographic showing suggested climate change impact assessment response for near-term decision di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9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6824" cy="3862612"/>
                    </a:xfrm>
                    <a:prstGeom prst="rect">
                      <a:avLst/>
                    </a:prstGeom>
                    <a:ln>
                      <a:solidFill>
                        <a:schemeClr val="bg1">
                          <a:lumMod val="65000"/>
                        </a:schemeClr>
                      </a:solidFill>
                    </a:ln>
                  </pic:spPr>
                </pic:pic>
              </a:graphicData>
            </a:graphic>
          </wp:inline>
        </w:drawing>
      </w:r>
    </w:p>
    <w:p w14:paraId="1EF71714" w14:textId="77777777" w:rsidR="007B29DD" w:rsidRDefault="007B29DD" w:rsidP="007B29DD">
      <w:pPr>
        <w:pStyle w:val="Caption"/>
        <w:spacing w:before="0"/>
      </w:pPr>
      <w:bookmarkStart w:id="770" w:name="_Ref40454871"/>
      <w:bookmarkStart w:id="771" w:name="_Toc43476598"/>
      <w:bookmarkStart w:id="772" w:name="_Toc44928841"/>
      <w:bookmarkStart w:id="773" w:name="_Toc51237504"/>
      <w:bookmarkStart w:id="774" w:name="_Toc53586019"/>
      <w:bookmarkStart w:id="775" w:name="_Toc57377270"/>
      <w:r w:rsidRPr="00AF0689">
        <w:t xml:space="preserve">Figure </w:t>
      </w:r>
      <w:r>
        <w:fldChar w:fldCharType="begin"/>
      </w:r>
      <w:r>
        <w:instrText>SEQ Figure \* ARABIC</w:instrText>
      </w:r>
      <w:r>
        <w:fldChar w:fldCharType="separate"/>
      </w:r>
      <w:r>
        <w:rPr>
          <w:noProof/>
        </w:rPr>
        <w:t>28</w:t>
      </w:r>
      <w:r>
        <w:fldChar w:fldCharType="end"/>
      </w:r>
      <w:bookmarkEnd w:id="770"/>
      <w:r w:rsidRPr="00AF0689">
        <w:t xml:space="preserve"> Suggested </w:t>
      </w:r>
      <w:r>
        <w:t xml:space="preserve">climate change impact assessment </w:t>
      </w:r>
      <w:r w:rsidRPr="00AF0689">
        <w:t>response for near-term decision risks</w:t>
      </w:r>
      <w:bookmarkEnd w:id="771"/>
      <w:bookmarkEnd w:id="772"/>
      <w:bookmarkEnd w:id="773"/>
      <w:bookmarkEnd w:id="774"/>
      <w:bookmarkEnd w:id="775"/>
    </w:p>
    <w:p w14:paraId="083D2D11" w14:textId="77777777" w:rsidR="007B29DD" w:rsidRDefault="007B29DD" w:rsidP="007B29DD">
      <w:pPr>
        <w:pStyle w:val="BodyText"/>
      </w:pPr>
    </w:p>
    <w:p w14:paraId="2DF68DA3" w14:textId="77777777" w:rsidR="007B29DD" w:rsidRPr="008074CE" w:rsidRDefault="007B29DD" w:rsidP="007B29DD">
      <w:pPr>
        <w:pStyle w:val="BodyText"/>
      </w:pPr>
    </w:p>
    <w:p w14:paraId="66A48359" w14:textId="77777777" w:rsidR="007B29DD" w:rsidRPr="00E44CBB"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776" w:name="_Toc43476520"/>
      <w:bookmarkStart w:id="777" w:name="_Toc44928765"/>
      <w:bookmarkStart w:id="778" w:name="_Toc51658037"/>
      <w:bookmarkStart w:id="779" w:name="_Toc53585942"/>
      <w:bookmarkStart w:id="780" w:name="_Toc57377193"/>
      <w:r w:rsidRPr="00E44CBB">
        <w:rPr>
          <w:b/>
          <w:bCs/>
          <w:color w:val="000000" w:themeColor="text1"/>
        </w:rPr>
        <w:lastRenderedPageBreak/>
        <w:t>Additional climate change projections</w:t>
      </w:r>
      <w:bookmarkEnd w:id="776"/>
      <w:bookmarkEnd w:id="777"/>
      <w:bookmarkEnd w:id="778"/>
      <w:bookmarkEnd w:id="779"/>
      <w:bookmarkEnd w:id="780"/>
    </w:p>
    <w:p w14:paraId="504FE511" w14:textId="77777777" w:rsidR="007B29DD" w:rsidRDefault="007B29DD" w:rsidP="007B29DD">
      <w:pPr>
        <w:pStyle w:val="BodyText"/>
        <w:rPr>
          <w:lang w:eastAsia="en-AU"/>
        </w:rPr>
      </w:pPr>
      <w:r>
        <w:rPr>
          <w:lang w:eastAsia="en-AU"/>
        </w:rPr>
        <w:t xml:space="preserve">A range of additional climate change projections are available in addition to the VicCI projections adopted in these guidelines. If alternative climate change projections are being sought, in the first instance DELWP recommends the use of the VCP19 projections. A statement of whether these projections are wetter, drier or about the same as the VicCI projections for any given river basin (for the year 2065, RCP8.5 scenario) is provided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.2.1. For river basins where the VCP19 projections lie within the range of the VicCI projections, they could be interpreted as providing greater confidence in the VicCI projections. Where the VCP19 projections lie outside of the range of the VicCI projections, they can be utilised to test a river or supply system to a wetter or drier climate change projection than those available from the VicCI projections.</w:t>
      </w:r>
    </w:p>
    <w:p w14:paraId="2413A10F" w14:textId="77777777" w:rsidR="007B29DD" w:rsidRDefault="007B29DD" w:rsidP="007B29DD">
      <w:pPr>
        <w:pStyle w:val="BodyText"/>
        <w:rPr>
          <w:lang w:eastAsia="en-AU"/>
        </w:rPr>
      </w:pPr>
      <w:r>
        <w:rPr>
          <w:lang w:eastAsia="en-AU"/>
        </w:rPr>
        <w:t xml:space="preserve">Other available climate change projections include the NARCliM projections, the Climate Change in Australia NRM region projections, and the National Hydrologic Projections. These are less preferred for use in water supply impact assessment in Victoria than VCP19, but can be drawn upon as required to apply the alternative impact assessment techniques described below. Each of these additional projections are briefly discussed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.2.</w:t>
      </w:r>
    </w:p>
    <w:p w14:paraId="201674CC" w14:textId="77777777" w:rsidR="007B29DD" w:rsidRPr="00E44CBB" w:rsidRDefault="007B29DD" w:rsidP="007B29DD">
      <w:pPr>
        <w:pStyle w:val="Heading3"/>
        <w:numPr>
          <w:ilvl w:val="2"/>
          <w:numId w:val="5"/>
        </w:numPr>
        <w:tabs>
          <w:tab w:val="clear" w:pos="0"/>
          <w:tab w:val="left" w:pos="1418"/>
          <w:tab w:val="left" w:pos="1701"/>
          <w:tab w:val="left" w:pos="1985"/>
        </w:tabs>
        <w:spacing w:before="200" w:after="100" w:line="240" w:lineRule="exact"/>
        <w:rPr>
          <w:b/>
          <w:bCs/>
          <w:color w:val="000000" w:themeColor="text1"/>
        </w:rPr>
      </w:pPr>
      <w:bookmarkStart w:id="781" w:name="_Toc43476521"/>
      <w:bookmarkStart w:id="782" w:name="_Toc44928766"/>
      <w:bookmarkStart w:id="783" w:name="_Toc51658038"/>
      <w:bookmarkStart w:id="784" w:name="_Toc53585943"/>
      <w:bookmarkStart w:id="785" w:name="_Toc57377194"/>
      <w:r w:rsidRPr="00E44CBB">
        <w:rPr>
          <w:b/>
          <w:bCs/>
          <w:color w:val="000000" w:themeColor="text1"/>
        </w:rPr>
        <w:t>Additional climate change impact assessment techniques</w:t>
      </w:r>
      <w:bookmarkEnd w:id="781"/>
      <w:bookmarkEnd w:id="782"/>
      <w:bookmarkEnd w:id="783"/>
      <w:bookmarkEnd w:id="784"/>
      <w:bookmarkEnd w:id="785"/>
    </w:p>
    <w:p w14:paraId="188B805E" w14:textId="77777777" w:rsidR="007B29DD" w:rsidRDefault="007B29DD" w:rsidP="007B29DD">
      <w:pPr>
        <w:pStyle w:val="BodyText"/>
      </w:pPr>
      <w:r>
        <w:rPr>
          <w:lang w:eastAsia="en-AU"/>
        </w:rPr>
        <w:t xml:space="preserve">The guidelines assume that climate change impact assessment will be primarily undertaken using a scenario planning approach combined with adaptive management. This approach has clear advantages in that it is time-based over a planning horizon, is informative for decision making, and is comparatively simple to apply and communicate. A range of other potential climate change impact assessment techniques are also available, which could offer different or complementary insights to scenario planning. The three techniques considered most relevant to climate change impact assessment in Victoria include sensitivity testing / stress testing, decision scaling, and multi-objective pareto front optimisation. These additional techniques are presented in more detail in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.6.</w:t>
      </w:r>
    </w:p>
    <w:p w14:paraId="3AC849D9" w14:textId="77777777" w:rsidR="007B29DD" w:rsidRPr="00E44CBB" w:rsidRDefault="007B29DD" w:rsidP="007B29DD">
      <w:pPr>
        <w:pStyle w:val="Heading1TopofPage"/>
        <w:numPr>
          <w:ilvl w:val="0"/>
          <w:numId w:val="5"/>
        </w:numPr>
        <w:tabs>
          <w:tab w:val="clear" w:pos="0"/>
        </w:tabs>
        <w:rPr>
          <w:color w:val="000000" w:themeColor="text1"/>
        </w:rPr>
      </w:pPr>
      <w:bookmarkStart w:id="786" w:name="_Toc38957459"/>
      <w:bookmarkStart w:id="787" w:name="_Toc43476522"/>
      <w:bookmarkStart w:id="788" w:name="_Toc44928767"/>
      <w:bookmarkStart w:id="789" w:name="_Toc51658039"/>
      <w:bookmarkStart w:id="790" w:name="_Toc53585944"/>
      <w:bookmarkStart w:id="791" w:name="_Toc57377195"/>
      <w:r w:rsidRPr="00E44CBB">
        <w:rPr>
          <w:color w:val="000000" w:themeColor="text1"/>
        </w:rPr>
        <w:lastRenderedPageBreak/>
        <w:t>Future Updates to Climate Change Projections</w:t>
      </w:r>
      <w:bookmarkEnd w:id="786"/>
      <w:bookmarkEnd w:id="787"/>
      <w:bookmarkEnd w:id="788"/>
      <w:bookmarkEnd w:id="789"/>
      <w:bookmarkEnd w:id="790"/>
      <w:bookmarkEnd w:id="791"/>
    </w:p>
    <w:p w14:paraId="30C5F069" w14:textId="77777777" w:rsidR="007B29DD" w:rsidRDefault="007B29DD" w:rsidP="007B29DD">
      <w:pPr>
        <w:pStyle w:val="BodyText"/>
        <w:rPr>
          <w:lang w:eastAsia="en-AU"/>
        </w:rPr>
      </w:pPr>
      <w:r w:rsidRPr="00E54650">
        <w:rPr>
          <w:lang w:eastAsia="en-AU"/>
        </w:rPr>
        <w:t xml:space="preserve">These guidelines </w:t>
      </w:r>
      <w:r>
        <w:rPr>
          <w:lang w:eastAsia="en-AU"/>
        </w:rPr>
        <w:t>incorporate the latest information on climate change projections at the time of writing in 2020. Climate change science, hydrology, hydrogeology and water supply planning are active areas of research and our knowledge of climate change and its impacts will continue to evolve over time. The global politics of greenhouse gas emissions and mitigation is also expected to evolve over time.</w:t>
      </w:r>
    </w:p>
    <w:p w14:paraId="34A4B92C" w14:textId="77777777" w:rsidR="007B29DD" w:rsidRDefault="007B29DD" w:rsidP="007B29DD">
      <w:pPr>
        <w:pStyle w:val="BodyText"/>
        <w:rPr>
          <w:lang w:eastAsia="en-AU"/>
        </w:rPr>
      </w:pPr>
      <w:r>
        <w:rPr>
          <w:lang w:eastAsia="en-AU"/>
        </w:rPr>
        <w:t xml:space="preserve">The next (sixth) Assessment Report from the IPCC has been delayed by the COVID-19 disruption but is expected to be published progressively from mid-2021 to mid-2022. This will include the release of the CMIP6 suite of global climate modelling results, which are expected to include more GCMs and a greater number of intermediate emissions scenarios. </w:t>
      </w:r>
    </w:p>
    <w:p w14:paraId="2E609C56" w14:textId="77777777" w:rsidR="007B29DD" w:rsidRDefault="007B29DD" w:rsidP="007B29DD">
      <w:pPr>
        <w:pStyle w:val="BodyText"/>
        <w:rPr>
          <w:lang w:eastAsia="en-AU"/>
        </w:rPr>
      </w:pPr>
      <w:r>
        <w:rPr>
          <w:lang w:eastAsia="en-AU"/>
        </w:rPr>
        <w:t xml:space="preserve">DELWP will commence reviewing the outputs from the Sixth Assessment Report as they become available and will advise users </w:t>
      </w:r>
      <w:r w:rsidDel="008A1A08">
        <w:rPr>
          <w:lang w:eastAsia="en-AU"/>
        </w:rPr>
        <w:t xml:space="preserve">of </w:t>
      </w:r>
      <w:r>
        <w:rPr>
          <w:lang w:eastAsia="en-AU"/>
        </w:rPr>
        <w:t>any updates to the guidelines using the mechanisms outlined below. Post-processing GCM outputs to make them application-ready for local application by river basin in Victoria, including the generation of projected changes in runoff, is typically around a 12-month process.</w:t>
      </w:r>
    </w:p>
    <w:p w14:paraId="4B5A506E" w14:textId="77777777" w:rsidR="007B29DD" w:rsidRPr="00E44CBB" w:rsidRDefault="007B29DD" w:rsidP="007B29DD">
      <w:pPr>
        <w:pStyle w:val="Heading2"/>
        <w:numPr>
          <w:ilvl w:val="1"/>
          <w:numId w:val="5"/>
        </w:numPr>
        <w:tabs>
          <w:tab w:val="clear" w:pos="0"/>
          <w:tab w:val="left" w:pos="1418"/>
          <w:tab w:val="left" w:pos="1701"/>
          <w:tab w:val="left" w:pos="1985"/>
        </w:tabs>
        <w:spacing w:before="240" w:after="100" w:line="280" w:lineRule="exact"/>
        <w:rPr>
          <w:b/>
          <w:bCs/>
          <w:color w:val="000000" w:themeColor="text1"/>
        </w:rPr>
      </w:pPr>
      <w:bookmarkStart w:id="792" w:name="_Ref41399303"/>
      <w:bookmarkStart w:id="793" w:name="_Toc43476523"/>
      <w:bookmarkStart w:id="794" w:name="_Toc44928768"/>
      <w:bookmarkStart w:id="795" w:name="_Toc51658040"/>
      <w:bookmarkStart w:id="796" w:name="_Toc53585945"/>
      <w:bookmarkStart w:id="797" w:name="_Toc57377196"/>
      <w:r w:rsidRPr="00E44CBB">
        <w:rPr>
          <w:b/>
          <w:bCs/>
          <w:color w:val="000000" w:themeColor="text1"/>
        </w:rPr>
        <w:t>Where to get updated guidance from DELWP as it emerges</w:t>
      </w:r>
      <w:bookmarkEnd w:id="792"/>
      <w:bookmarkEnd w:id="793"/>
      <w:bookmarkEnd w:id="794"/>
      <w:bookmarkEnd w:id="795"/>
      <w:bookmarkEnd w:id="796"/>
      <w:bookmarkEnd w:id="797"/>
    </w:p>
    <w:p w14:paraId="62CC66D9" w14:textId="77777777" w:rsidR="007B29DD" w:rsidRDefault="007B29DD" w:rsidP="007B29DD">
      <w:pPr>
        <w:pStyle w:val="BodyText"/>
        <w:rPr>
          <w:lang w:eastAsia="en-AU"/>
        </w:rPr>
      </w:pPr>
      <w:r>
        <w:rPr>
          <w:lang w:eastAsia="en-AU"/>
        </w:rPr>
        <w:t xml:space="preserve">DELWP's Hydrology and Climate Science team sits within the Water Resource Strategy Division of the Water and Catchments Group in DELWP. The Hydrology and Climate Science team can be contacted at: </w:t>
      </w:r>
    </w:p>
    <w:p w14:paraId="56927955" w14:textId="343609FE" w:rsidR="007B29DD" w:rsidRDefault="006C5210" w:rsidP="007B29DD">
      <w:pPr>
        <w:pStyle w:val="BodyText"/>
        <w:ind w:firstLine="567"/>
        <w:rPr>
          <w:lang w:eastAsia="en-AU"/>
        </w:rPr>
      </w:pPr>
      <w:hyperlink r:id="rId52" w:history="1">
        <w:r w:rsidR="007B29DD" w:rsidRPr="00187938">
          <w:rPr>
            <w:rStyle w:val="Hyperlink"/>
            <w:lang w:eastAsia="en-AU"/>
          </w:rPr>
          <w:t>HCS.Team@delwp.vic.gov.au</w:t>
        </w:r>
      </w:hyperlink>
      <w:r w:rsidR="007B29DD">
        <w:rPr>
          <w:lang w:eastAsia="en-AU"/>
        </w:rPr>
        <w:t>.</w:t>
      </w:r>
    </w:p>
    <w:p w14:paraId="4C459E4D" w14:textId="77777777" w:rsidR="007B29DD" w:rsidRDefault="007B29DD" w:rsidP="007B29DD">
      <w:pPr>
        <w:pStyle w:val="BodyText"/>
        <w:rPr>
          <w:lang w:eastAsia="en-AU"/>
        </w:rPr>
      </w:pPr>
      <w:r>
        <w:rPr>
          <w:lang w:eastAsia="en-AU"/>
        </w:rPr>
        <w:t>You can also use this email address to subscribe to the team newsletter, which periodically provides the latest information on research, publications, webinars and science days from the VicWaCI research program.</w:t>
      </w:r>
    </w:p>
    <w:p w14:paraId="25D6C372" w14:textId="77777777" w:rsidR="007B29DD" w:rsidRDefault="007B29DD" w:rsidP="007B29DD">
      <w:pPr>
        <w:pStyle w:val="BodyText"/>
        <w:rPr>
          <w:lang w:eastAsia="en-AU"/>
        </w:rPr>
      </w:pPr>
      <w:r>
        <w:rPr>
          <w:lang w:eastAsia="en-AU"/>
        </w:rPr>
        <w:t>Information can also be accessed via the DELWP website:</w:t>
      </w:r>
    </w:p>
    <w:p w14:paraId="3B14AD3A" w14:textId="77777777" w:rsidR="007B29DD" w:rsidRDefault="006C5210" w:rsidP="007B29DD">
      <w:pPr>
        <w:pStyle w:val="BodyText"/>
        <w:ind w:firstLine="567"/>
        <w:rPr>
          <w:lang w:eastAsia="en-AU"/>
        </w:rPr>
      </w:pPr>
      <w:hyperlink r:id="rId53" w:history="1">
        <w:r w:rsidR="007B29DD" w:rsidRPr="00D77D0E">
          <w:rPr>
            <w:rStyle w:val="Hyperlink"/>
            <w:lang w:eastAsia="en-AU"/>
          </w:rPr>
          <w:t>https://www.water.vic.gov.au/climate-change</w:t>
        </w:r>
      </w:hyperlink>
    </w:p>
    <w:p w14:paraId="2346687B" w14:textId="77777777" w:rsidR="007B29DD" w:rsidRPr="00954D05" w:rsidRDefault="007B29DD" w:rsidP="007B29DD">
      <w:pPr>
        <w:pStyle w:val="BodyText"/>
      </w:pPr>
      <w:r>
        <w:t>Future updates of these guidelines will be made available via the DELWP website and will be tracked by use of a version log (</w:t>
      </w:r>
      <w:r>
        <w:fldChar w:fldCharType="begin"/>
      </w:r>
      <w:r>
        <w:instrText xml:space="preserve"> REF _Ref50629404 \r \h </w:instrText>
      </w:r>
      <w:r>
        <w:fldChar w:fldCharType="separate"/>
      </w:r>
      <w:r>
        <w:t>Appendix C</w:t>
      </w:r>
      <w:r>
        <w:fldChar w:fldCharType="end"/>
      </w:r>
      <w:r>
        <w:t>).</w:t>
      </w:r>
    </w:p>
    <w:p w14:paraId="5F230B6D" w14:textId="77777777" w:rsidR="007B29DD" w:rsidRPr="00E44CBB" w:rsidRDefault="007B29DD" w:rsidP="007B29DD">
      <w:pPr>
        <w:pStyle w:val="Heading1TopofPage"/>
        <w:numPr>
          <w:ilvl w:val="0"/>
          <w:numId w:val="5"/>
        </w:numPr>
        <w:tabs>
          <w:tab w:val="clear" w:pos="0"/>
        </w:tabs>
        <w:rPr>
          <w:color w:val="000000" w:themeColor="text1"/>
        </w:rPr>
      </w:pPr>
      <w:bookmarkStart w:id="798" w:name="_Ref40369322"/>
      <w:bookmarkStart w:id="799" w:name="_Toc43476524"/>
      <w:bookmarkStart w:id="800" w:name="_Toc44928769"/>
      <w:bookmarkStart w:id="801" w:name="_Toc51658041"/>
      <w:bookmarkStart w:id="802" w:name="_Toc53585946"/>
      <w:bookmarkStart w:id="803" w:name="_Toc57377197"/>
      <w:r w:rsidRPr="00E44CBB">
        <w:rPr>
          <w:color w:val="000000" w:themeColor="text1"/>
        </w:rPr>
        <w:lastRenderedPageBreak/>
        <w:t>References</w:t>
      </w:r>
      <w:bookmarkEnd w:id="798"/>
      <w:bookmarkEnd w:id="799"/>
      <w:bookmarkEnd w:id="800"/>
      <w:bookmarkEnd w:id="801"/>
      <w:bookmarkEnd w:id="802"/>
      <w:bookmarkEnd w:id="803"/>
    </w:p>
    <w:p w14:paraId="5E7A3F25" w14:textId="77777777" w:rsidR="007B29DD" w:rsidRDefault="007B29DD" w:rsidP="007B29DD">
      <w:pPr>
        <w:pStyle w:val="References"/>
      </w:pPr>
      <w:r w:rsidRPr="00470DEE">
        <w:t>Arnbjerg-Nielson (2012)</w:t>
      </w:r>
      <w:r>
        <w:t xml:space="preserve"> </w:t>
      </w:r>
      <w:r w:rsidRPr="007B1B67">
        <w:rPr>
          <w:i/>
          <w:iCs/>
        </w:rPr>
        <w:t>Quantification of climate change effects on extreme precipitation used for high resolution hydrologic design</w:t>
      </w:r>
      <w:r>
        <w:t>, Urban Water Journal, 9:2, 57-65, DOI: 10.1080/1573062X.2011.630091</w:t>
      </w:r>
    </w:p>
    <w:p w14:paraId="12D55386" w14:textId="77777777" w:rsidR="007B29DD" w:rsidRDefault="007B29DD" w:rsidP="007B29DD">
      <w:pPr>
        <w:pStyle w:val="References"/>
      </w:pPr>
      <w:r w:rsidRPr="00E81215">
        <w:t xml:space="preserve">Ashcroft L, Karoly DJ, Dowdy AJ (2019) </w:t>
      </w:r>
      <w:r w:rsidRPr="00E81215">
        <w:rPr>
          <w:i/>
          <w:iCs/>
        </w:rPr>
        <w:t>Historical extreme rainfall events in southeastern Australia</w:t>
      </w:r>
      <w:r w:rsidRPr="00E81215">
        <w:t xml:space="preserve">. Weather </w:t>
      </w:r>
      <w:r>
        <w:t xml:space="preserve">and </w:t>
      </w:r>
      <w:r w:rsidRPr="00E81215">
        <w:t>Clim</w:t>
      </w:r>
      <w:r>
        <w:t>ate</w:t>
      </w:r>
      <w:r w:rsidRPr="00E81215">
        <w:t xml:space="preserve"> Extremes</w:t>
      </w:r>
      <w:r>
        <w:t>, Vol 25, September 2019</w:t>
      </w:r>
      <w:r w:rsidRPr="00E81215">
        <w:t>. https://doi.org/10.1016/j.wace.2019.100210</w:t>
      </w:r>
      <w:r w:rsidRPr="00F7502E">
        <w:t>Ball J, Babister M, Nathan R, Weeks W, Weinmann E, Retallick M, Testoni I, (Editors)</w:t>
      </w:r>
      <w:r>
        <w:t xml:space="preserve"> (</w:t>
      </w:r>
      <w:r w:rsidRPr="00F7502E">
        <w:t>2019</w:t>
      </w:r>
      <w:r>
        <w:t>)</w:t>
      </w:r>
      <w:r w:rsidRPr="00F7502E">
        <w:t xml:space="preserve"> </w:t>
      </w:r>
      <w:r w:rsidRPr="00F7502E">
        <w:rPr>
          <w:i/>
          <w:iCs/>
        </w:rPr>
        <w:t>Australian Rainfall and Runoff: A Guide to Flood Estimation</w:t>
      </w:r>
      <w:r w:rsidRPr="00F7502E">
        <w:t>, Commonwealth of Australia</w:t>
      </w:r>
      <w:r w:rsidRPr="00712551">
        <w:t xml:space="preserve"> </w:t>
      </w:r>
    </w:p>
    <w:p w14:paraId="1CF1F06F" w14:textId="7930D6CA" w:rsidR="007B29DD" w:rsidRDefault="007B29DD" w:rsidP="007B29DD">
      <w:pPr>
        <w:pStyle w:val="References"/>
      </w:pPr>
      <w:r>
        <w:t xml:space="preserve">Ballis, N (2019) </w:t>
      </w:r>
      <w:r w:rsidRPr="00247911">
        <w:rPr>
          <w:i/>
          <w:iCs/>
        </w:rPr>
        <w:t xml:space="preserve">Palaeoclimate reconstructions for water resource analyses: Challenges and opportunities. Natasha Ballis, </w:t>
      </w:r>
      <w:r w:rsidR="004F53D8">
        <w:rPr>
          <w:i/>
          <w:iCs/>
        </w:rPr>
        <w:t xml:space="preserve">the </w:t>
      </w:r>
      <w:r w:rsidRPr="00247911">
        <w:rPr>
          <w:i/>
          <w:iCs/>
        </w:rPr>
        <w:t>University of Melbourne</w:t>
      </w:r>
      <w:r>
        <w:t>. DELWP Climate and Water Science Day, 29 October 2019, Carlton.</w:t>
      </w:r>
      <w:r w:rsidRPr="00491241">
        <w:t xml:space="preserve"> </w:t>
      </w:r>
    </w:p>
    <w:p w14:paraId="08A18102" w14:textId="77777777" w:rsidR="007B29DD" w:rsidRDefault="007B29DD" w:rsidP="007B29DD">
      <w:pPr>
        <w:pStyle w:val="References"/>
      </w:pPr>
      <w:r w:rsidRPr="00712551">
        <w:t>Barnett B</w:t>
      </w:r>
      <w:r>
        <w:t xml:space="preserve">, </w:t>
      </w:r>
      <w:r w:rsidRPr="00712551">
        <w:t xml:space="preserve">Townley </w:t>
      </w:r>
      <w:r>
        <w:t>L,</w:t>
      </w:r>
      <w:r w:rsidRPr="00712551">
        <w:t xml:space="preserve"> Post V</w:t>
      </w:r>
      <w:r>
        <w:t xml:space="preserve">, </w:t>
      </w:r>
      <w:r w:rsidRPr="00712551">
        <w:t>Evans RE</w:t>
      </w:r>
      <w:r>
        <w:t xml:space="preserve">, </w:t>
      </w:r>
      <w:r w:rsidRPr="00712551">
        <w:t>Hunt R</w:t>
      </w:r>
      <w:r>
        <w:t xml:space="preserve">, </w:t>
      </w:r>
      <w:r w:rsidRPr="00712551">
        <w:t>Peeters L</w:t>
      </w:r>
      <w:r>
        <w:t xml:space="preserve">, </w:t>
      </w:r>
      <w:r w:rsidRPr="00712551">
        <w:t>Richardson S</w:t>
      </w:r>
      <w:r>
        <w:t xml:space="preserve">, </w:t>
      </w:r>
      <w:r w:rsidRPr="00712551">
        <w:t>Werner A</w:t>
      </w:r>
      <w:r>
        <w:t xml:space="preserve">, </w:t>
      </w:r>
      <w:r w:rsidRPr="00712551">
        <w:t>Knapton A</w:t>
      </w:r>
      <w:r>
        <w:t xml:space="preserve"> and </w:t>
      </w:r>
      <w:r w:rsidRPr="00712551">
        <w:t xml:space="preserve">Boronkay A (2012) </w:t>
      </w:r>
      <w:r w:rsidRPr="007737CC">
        <w:rPr>
          <w:i/>
          <w:iCs/>
        </w:rPr>
        <w:t>Australian Groundwater Modelling Guidelines</w:t>
      </w:r>
      <w:r w:rsidRPr="00712551">
        <w:t>.</w:t>
      </w:r>
    </w:p>
    <w:p w14:paraId="36DEE36C" w14:textId="77777777" w:rsidR="007B29DD" w:rsidRDefault="007B29DD" w:rsidP="007B29DD">
      <w:pPr>
        <w:pStyle w:val="References"/>
      </w:pPr>
      <w:r w:rsidRPr="45E60869">
        <w:t xml:space="preserve">Barron, OV, Crosbie, RS, Charles, SP, Dawes, WR, Ali, R, Evans, WR, Cresswell, R, Pollock, D, Hodgson, G, Currie, D, Mpelasoka, F, Pickett, T, Aryal, S, Donn, M &amp; Wurcker, B (2011) </w:t>
      </w:r>
      <w:r w:rsidRPr="45E60869">
        <w:rPr>
          <w:i/>
          <w:iCs/>
        </w:rPr>
        <w:t>Climate change impact on groundwater resources in Australia,</w:t>
      </w:r>
      <w:r w:rsidRPr="45E60869">
        <w:t xml:space="preserve"> Waterlines report, National Water Commission, Canberra.</w:t>
      </w:r>
    </w:p>
    <w:p w14:paraId="1FC77AD5" w14:textId="77777777" w:rsidR="007B29DD" w:rsidRDefault="007B29DD" w:rsidP="007B29DD">
      <w:pPr>
        <w:pStyle w:val="References"/>
      </w:pPr>
      <w:r w:rsidRPr="00A83E3F">
        <w:t>Bates</w:t>
      </w:r>
      <w:r>
        <w:t xml:space="preserve"> B</w:t>
      </w:r>
      <w:r w:rsidRPr="00A83E3F">
        <w:t>, McLuckie</w:t>
      </w:r>
      <w:r>
        <w:t xml:space="preserve"> D</w:t>
      </w:r>
      <w:r w:rsidRPr="00A83E3F">
        <w:t>, Westra</w:t>
      </w:r>
      <w:r>
        <w:t xml:space="preserve"> S</w:t>
      </w:r>
      <w:r w:rsidRPr="00A83E3F">
        <w:t>, Johnson</w:t>
      </w:r>
      <w:r>
        <w:t xml:space="preserve"> F</w:t>
      </w:r>
      <w:r w:rsidRPr="00A83E3F">
        <w:t>, Green</w:t>
      </w:r>
      <w:r>
        <w:t xml:space="preserve"> J</w:t>
      </w:r>
      <w:r w:rsidRPr="00A83E3F">
        <w:t>, Mummery</w:t>
      </w:r>
      <w:r>
        <w:t xml:space="preserve"> J</w:t>
      </w:r>
      <w:r w:rsidRPr="00A83E3F">
        <w:t>, Abbs</w:t>
      </w:r>
      <w:r>
        <w:t xml:space="preserve"> D (2019) </w:t>
      </w:r>
      <w:r w:rsidRPr="00A83E3F">
        <w:rPr>
          <w:i/>
        </w:rPr>
        <w:t>Climate Change Considerations</w:t>
      </w:r>
      <w:r>
        <w:t>. Chapter 6 in Book 1 of Australian Rainfall and Runoff: A Guide to Flood Estimation, Commonwealth of Australia</w:t>
      </w:r>
    </w:p>
    <w:p w14:paraId="42BFF3A1" w14:textId="77777777" w:rsidR="007B29DD" w:rsidRDefault="007B29DD" w:rsidP="007B29DD">
      <w:pPr>
        <w:pStyle w:val="References"/>
      </w:pPr>
      <w:r>
        <w:t xml:space="preserve">Bennett B (2019) </w:t>
      </w:r>
      <w:r w:rsidRPr="006554F9">
        <w:rPr>
          <w:i/>
          <w:iCs/>
        </w:rPr>
        <w:t>foreSIGHT: Systems Insights from Generation of Hydroclimatic Timeseries</w:t>
      </w:r>
      <w:r>
        <w:t xml:space="preserve"> Available at: https://cran.r-project.org/web/packages/foreSIGHT/index.html</w:t>
      </w:r>
    </w:p>
    <w:p w14:paraId="58F22E72" w14:textId="77777777" w:rsidR="007B29DD" w:rsidRDefault="007B29DD" w:rsidP="007B29DD">
      <w:pPr>
        <w:pStyle w:val="References"/>
      </w:pPr>
      <w:r>
        <w:t xml:space="preserve">Bennett B, Culley S, Westra S, Guo D, Maier H (2019a) </w:t>
      </w:r>
      <w:r w:rsidRPr="006554F9">
        <w:rPr>
          <w:i/>
          <w:iCs/>
        </w:rPr>
        <w:t>Package foreSIGHT</w:t>
      </w:r>
      <w:r>
        <w:t xml:space="preserve"> Available at: https://cran.r-project.org/web/packages/foreSIGHT/index.html</w:t>
      </w:r>
    </w:p>
    <w:p w14:paraId="5DECA5C7" w14:textId="77777777" w:rsidR="007B29DD" w:rsidRDefault="007B29DD" w:rsidP="007B29DD">
      <w:pPr>
        <w:pStyle w:val="References"/>
      </w:pPr>
      <w:r>
        <w:t xml:space="preserve">Bennett B, Culley S, Westra S, Guo D, Maier H (2019b) </w:t>
      </w:r>
      <w:r w:rsidRPr="006554F9">
        <w:rPr>
          <w:i/>
          <w:iCs/>
        </w:rPr>
        <w:t>foreSIGHT Vignettes</w:t>
      </w:r>
      <w:r>
        <w:t xml:space="preserve"> Available at: https://cran.r-project.org/web/packages/foreSIGHT/vignettes/Vignette.html [Accessed 25 June 2020]</w:t>
      </w:r>
    </w:p>
    <w:p w14:paraId="5AA09F61" w14:textId="77777777" w:rsidR="007B29DD" w:rsidRDefault="007B29DD" w:rsidP="007B29DD">
      <w:pPr>
        <w:pStyle w:val="References"/>
      </w:pPr>
      <w:r>
        <w:t xml:space="preserve">Bennett B, Culley S, Westra S, Maier H (2018) </w:t>
      </w:r>
      <w:r w:rsidRPr="006554F9">
        <w:rPr>
          <w:i/>
          <w:iCs/>
        </w:rPr>
        <w:t>An R tool for scenario-neutral cliamte impact analysis of water resource systems</w:t>
      </w:r>
      <w:r>
        <w:t>. In 9th International Congress on Environmental Modelling and SoftwareFort Collins, Colorado, USA. Available at: https://scholarsarchive.byu.edu/iemssconference/2018/Stream-F/22/</w:t>
      </w:r>
    </w:p>
    <w:p w14:paraId="5F0F2F24" w14:textId="77777777" w:rsidR="007B29DD" w:rsidRDefault="007B29DD" w:rsidP="007B29DD">
      <w:pPr>
        <w:pStyle w:val="References"/>
      </w:pPr>
      <w:r w:rsidRPr="004245B2">
        <w:t>Berghout B, Henley B, Kuczera G</w:t>
      </w:r>
      <w:r>
        <w:t xml:space="preserve"> (</w:t>
      </w:r>
      <w:r w:rsidRPr="004245B2">
        <w:t>2015</w:t>
      </w:r>
      <w:r>
        <w:t>)</w:t>
      </w:r>
      <w:r w:rsidRPr="004245B2">
        <w:t xml:space="preserve"> </w:t>
      </w:r>
      <w:r w:rsidRPr="006554F9">
        <w:rPr>
          <w:i/>
          <w:iCs/>
        </w:rPr>
        <w:t>Impact of climate data uncertainty on estimated system yield</w:t>
      </w:r>
      <w:r w:rsidRPr="004245B2">
        <w:t>. In 36</w:t>
      </w:r>
      <w:r w:rsidRPr="0018545D">
        <w:rPr>
          <w:vertAlign w:val="superscript"/>
        </w:rPr>
        <w:t>th</w:t>
      </w:r>
      <w:r w:rsidRPr="004245B2">
        <w:t xml:space="preserve"> Hydrology and Water Resources Symposium: The Art and Science of WaterEngineers Australia: Hobart; 443–451.</w:t>
      </w:r>
    </w:p>
    <w:p w14:paraId="64906F4A" w14:textId="77777777" w:rsidR="007B29DD" w:rsidRDefault="007B29DD" w:rsidP="007B29DD">
      <w:pPr>
        <w:pStyle w:val="References"/>
      </w:pPr>
      <w:r>
        <w:t xml:space="preserve">Betts RA, Golding N, Gonzalez P, Gornall J, Kahana R, Kay G, Mitchell L and Wiltshire A (2015) </w:t>
      </w:r>
      <w:r w:rsidRPr="008E2471">
        <w:rPr>
          <w:i/>
          <w:iCs/>
        </w:rPr>
        <w:t>Climate and land use change impacts on global terrestrial ecosystems and river flows in the HadGEM2-ES Earth system model using the representative concentration pathways</w:t>
      </w:r>
      <w:r>
        <w:t>. Biogeosciences, 12, 1317-1338, 2015. doi:10.5194/bg-12-1317/2015/</w:t>
      </w:r>
    </w:p>
    <w:p w14:paraId="140A435A" w14:textId="77777777" w:rsidR="007B29DD" w:rsidRDefault="007B29DD" w:rsidP="007B29DD">
      <w:pPr>
        <w:pStyle w:val="References"/>
      </w:pPr>
      <w:r>
        <w:t xml:space="preserve">Bhend J, Bathols J. &amp; Hennessy K (2012) </w:t>
      </w:r>
      <w:r>
        <w:rPr>
          <w:i/>
          <w:iCs/>
        </w:rPr>
        <w:t>Climate change impacts on snow in Victoria</w:t>
      </w:r>
      <w:r>
        <w:t>. CSIRO report for the Victorian Department of Sustainability and Environment. 42 pp.</w:t>
      </w:r>
    </w:p>
    <w:p w14:paraId="68C68286" w14:textId="77777777" w:rsidR="007B29DD" w:rsidRDefault="007B29DD" w:rsidP="007B29DD">
      <w:pPr>
        <w:pStyle w:val="References"/>
      </w:pPr>
      <w:r>
        <w:t xml:space="preserve">Black D, Wallbrink P, Jordan P, Waters D, Carroll C, Blackmore J </w:t>
      </w:r>
      <w:r w:rsidRPr="00C97A36">
        <w:rPr>
          <w:i/>
          <w:iCs/>
        </w:rPr>
        <w:t>(e-water Cooperative Research Centre 2011) Guidelines for water management modelling: Towards best-practice model application</w:t>
      </w:r>
      <w:r>
        <w:t>. Version 1.0. September 2011. ISBN 978-1-921543-46-3.</w:t>
      </w:r>
    </w:p>
    <w:p w14:paraId="228A3CAD" w14:textId="77777777" w:rsidR="007B29DD" w:rsidRDefault="007B29DD" w:rsidP="007B29DD">
      <w:pPr>
        <w:pStyle w:val="References"/>
      </w:pPr>
      <w:r>
        <w:t xml:space="preserve">Brown C (2011) </w:t>
      </w:r>
      <w:r w:rsidRPr="000B6361">
        <w:rPr>
          <w:i/>
          <w:iCs/>
        </w:rPr>
        <w:t>Decision Scaling for Robust Planning and Policy under Climate Uncertainty</w:t>
      </w:r>
      <w:r>
        <w:t>.</w:t>
      </w:r>
      <w:r w:rsidRPr="000B6361">
        <w:t xml:space="preserve"> World Resources Report, Washington DC. Available online at </w:t>
      </w:r>
      <w:hyperlink r:id="rId54" w:history="1">
        <w:r w:rsidRPr="0018001D">
          <w:rPr>
            <w:rStyle w:val="Hyperlink"/>
          </w:rPr>
          <w:t>http://www.worldresourcesreport.org</w:t>
        </w:r>
      </w:hyperlink>
      <w:r>
        <w:t>.</w:t>
      </w:r>
    </w:p>
    <w:p w14:paraId="2C468533" w14:textId="77777777" w:rsidR="007B29DD" w:rsidRDefault="007B29DD" w:rsidP="007B29DD">
      <w:pPr>
        <w:pStyle w:val="References"/>
      </w:pPr>
      <w:r>
        <w:t xml:space="preserve">Brown C, Steinschneider S, Ray P, Sungwook W, Basdekas L and Yates D (2019) </w:t>
      </w:r>
      <w:r w:rsidRPr="002D6ABF">
        <w:rPr>
          <w:i/>
          <w:iCs/>
        </w:rPr>
        <w:t>Decision Scaling (DS): Decision Support for Climate Change</w:t>
      </w:r>
      <w:r>
        <w:t xml:space="preserve"> in Marchau VAWJ, Walker WE, Bloemen PJTM and Popper SW (eds.) (2019) </w:t>
      </w:r>
      <w:r w:rsidRPr="002D6ABF">
        <w:rPr>
          <w:i/>
          <w:iCs/>
        </w:rPr>
        <w:t>Decision Making under Deep Uncertainty</w:t>
      </w:r>
      <w:r>
        <w:t>.</w:t>
      </w:r>
      <w:r w:rsidRPr="002D6ABF">
        <w:t xml:space="preserve"> ISBN 978-3-030-05252-2</w:t>
      </w:r>
    </w:p>
    <w:p w14:paraId="2870D2E4" w14:textId="77777777" w:rsidR="007B29DD" w:rsidRDefault="007B29DD" w:rsidP="007B29DD">
      <w:pPr>
        <w:pStyle w:val="References"/>
      </w:pPr>
      <w:r>
        <w:t xml:space="preserve">Bureau of Meteorology (2016) </w:t>
      </w:r>
      <w:r>
        <w:rPr>
          <w:i/>
        </w:rPr>
        <w:t>Hydrologic Reference Stations Trend Explorer</w:t>
      </w:r>
      <w:r>
        <w:t>. http://www.bom.gov.au/water/hrs/index.shtml#id=408202&amp;panel=trend-explorer. Accessed 9/3/2016.</w:t>
      </w:r>
    </w:p>
    <w:p w14:paraId="0B5734BF" w14:textId="77777777" w:rsidR="007B29DD" w:rsidRDefault="007B29DD" w:rsidP="007B29DD">
      <w:pPr>
        <w:pStyle w:val="References"/>
      </w:pPr>
      <w:r w:rsidRPr="00514A8B">
        <w:t xml:space="preserve">Bureau of Meteorology (2019) </w:t>
      </w:r>
      <w:r w:rsidRPr="00514A8B">
        <w:rPr>
          <w:i/>
          <w:iCs/>
        </w:rPr>
        <w:t>‘Rainfall extremes are getting more extreme’ – are they?</w:t>
      </w:r>
      <w:r w:rsidRPr="00514A8B">
        <w:t xml:space="preserve"> Victorian Water and Climate Initiative. ISBN 978-1-76077-623-7. Bureau of Meteorology for the Department of Environment Land Water and Planning.</w:t>
      </w:r>
    </w:p>
    <w:p w14:paraId="2B8F348B" w14:textId="77777777" w:rsidR="007B29DD" w:rsidRDefault="007B29DD" w:rsidP="007B29DD">
      <w:pPr>
        <w:pStyle w:val="References"/>
      </w:pPr>
      <w:r>
        <w:lastRenderedPageBreak/>
        <w:t xml:space="preserve">Bureau of Meteorology (BoM) (2020) </w:t>
      </w:r>
      <w:r w:rsidRPr="00E5349C">
        <w:rPr>
          <w:i/>
          <w:iCs/>
        </w:rPr>
        <w:t>Victoria in 2019: warmer and drier than average</w:t>
      </w:r>
      <w:r>
        <w:t xml:space="preserve">. </w:t>
      </w:r>
      <w:hyperlink r:id="rId55" w:anchor="recordsTmaxDailyHigh" w:history="1">
        <w:r w:rsidRPr="00FC0C3B">
          <w:rPr>
            <w:rStyle w:val="Hyperlink"/>
          </w:rPr>
          <w:t>http://www.bom.gov.au/climate/current/annual/vic/archive/2019.summary.shtml#recordsTmaxDailyHigh</w:t>
        </w:r>
      </w:hyperlink>
    </w:p>
    <w:p w14:paraId="2FDF71F8" w14:textId="77777777" w:rsidR="007B29DD" w:rsidRDefault="007B29DD" w:rsidP="007B29DD">
      <w:pPr>
        <w:pStyle w:val="References"/>
      </w:pPr>
      <w:r>
        <w:t xml:space="preserve">Bureau of Meteorology and CSIRO (2018) </w:t>
      </w:r>
      <w:r w:rsidRPr="00550FB1">
        <w:rPr>
          <w:i/>
          <w:iCs/>
        </w:rPr>
        <w:t>State of the Climate 2018</w:t>
      </w:r>
      <w:r>
        <w:t xml:space="preserve">. </w:t>
      </w:r>
      <w:r w:rsidRPr="00550FB1">
        <w:t>ISBN: 978-1-925315-97-4</w:t>
      </w:r>
      <w:r>
        <w:t>.</w:t>
      </w:r>
    </w:p>
    <w:p w14:paraId="2A23F6C9" w14:textId="77777777" w:rsidR="007B29DD" w:rsidRDefault="007B29DD" w:rsidP="007B29DD">
      <w:pPr>
        <w:pStyle w:val="References"/>
      </w:pPr>
      <w:r w:rsidRPr="00BF7E76">
        <w:t>Charles SP, Chiew FHS, Potter NJ, Zheng H, Fu G and Zhang L (2020) Impact of downscaled rainfall biases on projected runoff changes. Hydrology and Earth Systems Science, 24, 2981–2997, doi: 10.5194/hess-24-2981-2020.</w:t>
      </w:r>
    </w:p>
    <w:p w14:paraId="40BF3FA2" w14:textId="77777777" w:rsidR="007B29DD" w:rsidRDefault="007B29DD" w:rsidP="007B29DD">
      <w:pPr>
        <w:pStyle w:val="References"/>
      </w:pPr>
      <w:r w:rsidRPr="003251A5">
        <w:t xml:space="preserve">Christensen, J. and Olhoff, A. (2019) </w:t>
      </w:r>
      <w:r w:rsidRPr="003251A5">
        <w:rPr>
          <w:i/>
          <w:iCs/>
        </w:rPr>
        <w:t>Lessons from a decade of emissions gap assessments</w:t>
      </w:r>
      <w:r w:rsidRPr="003251A5">
        <w:t>. United Nations Environment Programme (UNEP), Nairobi.</w:t>
      </w:r>
    </w:p>
    <w:p w14:paraId="03F8EFB0" w14:textId="77777777" w:rsidR="007B29DD" w:rsidRDefault="007B29DD" w:rsidP="007B29DD">
      <w:pPr>
        <w:pStyle w:val="References"/>
      </w:pPr>
      <w:r>
        <w:t xml:space="preserve">Clarke JM, Grose M, Thatcher M, Hernaman V, Heady C, Round V, Rafter T, Trenham C &amp; Wilson L (2019a) </w:t>
      </w:r>
      <w:r w:rsidRPr="00816D98">
        <w:rPr>
          <w:i/>
          <w:iCs/>
        </w:rPr>
        <w:t>Victorian Climate Projections 2019 Technical Report</w:t>
      </w:r>
      <w:r>
        <w:t>. CSIRO, Melbourne Australia</w:t>
      </w:r>
    </w:p>
    <w:p w14:paraId="000FF182" w14:textId="77777777" w:rsidR="007B29DD" w:rsidRDefault="007B29DD" w:rsidP="007B29DD">
      <w:pPr>
        <w:pStyle w:val="References"/>
      </w:pPr>
      <w:r>
        <w:t xml:space="preserve">Clarke JM, Grose M, Thatcher M, Round V and Heady C (2019b) </w:t>
      </w:r>
      <w:r>
        <w:rPr>
          <w:i/>
          <w:iCs/>
        </w:rPr>
        <w:t>Gippsland</w:t>
      </w:r>
      <w:r w:rsidRPr="00F1672A">
        <w:rPr>
          <w:i/>
          <w:iCs/>
        </w:rPr>
        <w:t xml:space="preserve"> Climate Projections 2019</w:t>
      </w:r>
      <w:r>
        <w:t xml:space="preserve">. CSIRO, Melbourne Australia. Updated </w:t>
      </w:r>
      <w:r w:rsidRPr="00B535E6">
        <w:t>19th</w:t>
      </w:r>
      <w:r>
        <w:t xml:space="preserve"> February 2020. </w:t>
      </w:r>
      <w:r w:rsidRPr="00F84092">
        <w:t>ISBN 978-1-76077-730-2 (pdf/online/MS word)</w:t>
      </w:r>
    </w:p>
    <w:p w14:paraId="7EB0AF09" w14:textId="77777777" w:rsidR="007B29DD" w:rsidRDefault="007B29DD" w:rsidP="007B29DD">
      <w:pPr>
        <w:pStyle w:val="References"/>
      </w:pPr>
      <w:r w:rsidRPr="00063D95">
        <w:t xml:space="preserve">Crosbie </w:t>
      </w:r>
      <w:r>
        <w:t xml:space="preserve">RS, Pickett T, Mpelasoka FS, Hodgson G, Charles SP and Barron OV (2013) </w:t>
      </w:r>
      <w:r w:rsidRPr="00974C65">
        <w:rPr>
          <w:i/>
          <w:iCs/>
        </w:rPr>
        <w:t>An assessment of the climate change impacts on groundwater recharge at a continental scale using a probabilistic approach with an ensemble of GCMs</w:t>
      </w:r>
      <w:r>
        <w:t>. Climatic Change 117, 41-53 (2013).</w:t>
      </w:r>
    </w:p>
    <w:p w14:paraId="5B37EFEB" w14:textId="77777777" w:rsidR="007B29DD" w:rsidRDefault="007B29DD" w:rsidP="007B29DD">
      <w:pPr>
        <w:pStyle w:val="References"/>
      </w:pPr>
      <w:r>
        <w:t xml:space="preserve">CSIRO and Bureau of Meteorology (2015) </w:t>
      </w:r>
      <w:r w:rsidRPr="001C2FA6">
        <w:rPr>
          <w:i/>
          <w:iCs/>
        </w:rPr>
        <w:t>Climate Change in Australia Information for Australia’s Natural Resource Management Regions: Technical Report</w:t>
      </w:r>
      <w:r>
        <w:t xml:space="preserve">, CSIRO and Bureau of Meteorology, Australia. </w:t>
      </w:r>
      <w:r w:rsidRPr="001C2FA6">
        <w:t>ISBN 9781921232947 (PDF)</w:t>
      </w:r>
    </w:p>
    <w:p w14:paraId="0BFBF765" w14:textId="77777777" w:rsidR="007B29DD" w:rsidRDefault="007B29DD" w:rsidP="007B29DD">
      <w:pPr>
        <w:pStyle w:val="References"/>
      </w:pPr>
      <w:r>
        <w:t xml:space="preserve">Cui L and Kuczera G (2010) </w:t>
      </w:r>
      <w:r w:rsidRPr="00717AA7">
        <w:rPr>
          <w:i/>
          <w:iCs/>
        </w:rPr>
        <w:t>Coping with climate change uncertainty using robust multi-objective optimization: Application to Urban Water Supply Systems</w:t>
      </w:r>
      <w:r>
        <w:t>. Climate Change 2010: Practical Responses to Climate Change. Engineers Australia.</w:t>
      </w:r>
    </w:p>
    <w:p w14:paraId="5C4E9C2E" w14:textId="77777777" w:rsidR="007B29DD" w:rsidRDefault="007B29DD" w:rsidP="007B29DD">
      <w:pPr>
        <w:pStyle w:val="References"/>
      </w:pPr>
      <w:r w:rsidRPr="00DF2ED2">
        <w:t>Culley S, Bennett B, Westra S, Maier HR. 2019. Generating realistic perturbed hydrometeorological time series to inform scenario-neutral climate impact assessments. Journal of Hydrology 576: 111–122</w:t>
      </w:r>
    </w:p>
    <w:p w14:paraId="4ECA7D48" w14:textId="77777777" w:rsidR="007B29DD" w:rsidRDefault="007B29DD" w:rsidP="007B29DD">
      <w:pPr>
        <w:pStyle w:val="References"/>
      </w:pPr>
      <w:r>
        <w:t xml:space="preserve">DELWP (2008) </w:t>
      </w:r>
      <w:r w:rsidRPr="00F40003">
        <w:rPr>
          <w:i/>
          <w:iCs/>
        </w:rPr>
        <w:t>Streamflow Transformation for Climate Change</w:t>
      </w:r>
      <w:r>
        <w:t>. Report produced April 2008. http://www.depi.vic.gov.au/__data/assets/pdf_file/0006/188952/streamflow-transformation-utility-reference.pdf</w:t>
      </w:r>
    </w:p>
    <w:p w14:paraId="49351490" w14:textId="77777777" w:rsidR="007B29DD" w:rsidRDefault="007B29DD" w:rsidP="007B29DD">
      <w:pPr>
        <w:pStyle w:val="References"/>
      </w:pPr>
      <w:r>
        <w:t xml:space="preserve">DELWP (2015) </w:t>
      </w:r>
      <w:r w:rsidRPr="00F40003">
        <w:rPr>
          <w:i/>
          <w:iCs/>
        </w:rPr>
        <w:t>Resource Allocation Model (REALM)</w:t>
      </w:r>
      <w:r>
        <w:rPr>
          <w:i/>
          <w:iCs/>
        </w:rPr>
        <w:t>.</w:t>
      </w:r>
      <w:r>
        <w:t xml:space="preserve"> http://www.depi.vic.gov.au/water/water-resource-reporting/surface-water-modelling/resource-allocation-model-realm Accessed 9/3/2016.</w:t>
      </w:r>
    </w:p>
    <w:p w14:paraId="1462B740" w14:textId="77777777" w:rsidR="007B29DD" w:rsidRDefault="007B29DD" w:rsidP="007B29DD">
      <w:pPr>
        <w:pStyle w:val="References"/>
      </w:pPr>
      <w:r w:rsidRPr="007F6726">
        <w:t xml:space="preserve">DELWP (2016a) </w:t>
      </w:r>
      <w:r w:rsidRPr="009C5FD3">
        <w:rPr>
          <w:i/>
          <w:iCs/>
        </w:rPr>
        <w:t>Guidelines for Assessing the Impact of Climate Change on Water Supplies in Victoria</w:t>
      </w:r>
      <w:r>
        <w:rPr>
          <w:i/>
          <w:iCs/>
        </w:rPr>
        <w:t>,</w:t>
      </w:r>
      <w:r w:rsidRPr="007F6726">
        <w:t xml:space="preserve"> Final. December 2016. V7.0. ISBN 978-1-76047-346-4 (pdf/online)</w:t>
      </w:r>
    </w:p>
    <w:p w14:paraId="2A1CCB0C" w14:textId="77777777" w:rsidR="007B29DD" w:rsidRDefault="007B29DD" w:rsidP="007B29DD">
      <w:pPr>
        <w:pStyle w:val="BodyText"/>
      </w:pPr>
      <w:r>
        <w:t xml:space="preserve">DELWP (2016b) </w:t>
      </w:r>
      <w:r w:rsidRPr="00A53A3A">
        <w:rPr>
          <w:i/>
          <w:iCs/>
        </w:rPr>
        <w:t>Water for Victoria. Water Plan.</w:t>
      </w:r>
      <w:r>
        <w:t xml:space="preserve"> </w:t>
      </w:r>
      <w:r w:rsidRPr="00A53A3A">
        <w:t>ISBN 978</w:t>
      </w:r>
      <w:r w:rsidRPr="00A53A3A">
        <w:rPr>
          <w:rFonts w:ascii="Cambria Math" w:hAnsi="Cambria Math" w:cs="Cambria Math"/>
        </w:rPr>
        <w:t>‑</w:t>
      </w:r>
      <w:r w:rsidRPr="00A53A3A">
        <w:t>1</w:t>
      </w:r>
      <w:r w:rsidRPr="00A53A3A">
        <w:rPr>
          <w:rFonts w:ascii="Cambria Math" w:hAnsi="Cambria Math" w:cs="Cambria Math"/>
        </w:rPr>
        <w:t>‑</w:t>
      </w:r>
      <w:r w:rsidRPr="00A53A3A">
        <w:t>76047</w:t>
      </w:r>
      <w:r w:rsidRPr="00A53A3A">
        <w:rPr>
          <w:rFonts w:ascii="Cambria Math" w:hAnsi="Cambria Math" w:cs="Cambria Math"/>
        </w:rPr>
        <w:t>‑</w:t>
      </w:r>
      <w:r w:rsidRPr="00A53A3A">
        <w:t>348</w:t>
      </w:r>
      <w:r w:rsidRPr="00A53A3A">
        <w:rPr>
          <w:rFonts w:ascii="Cambria Math" w:hAnsi="Cambria Math" w:cs="Cambria Math"/>
        </w:rPr>
        <w:t>‑</w:t>
      </w:r>
      <w:r w:rsidRPr="00A53A3A">
        <w:t>8</w:t>
      </w:r>
    </w:p>
    <w:p w14:paraId="2DA65910" w14:textId="77777777" w:rsidR="007B29DD" w:rsidRDefault="007B29DD" w:rsidP="007B29DD">
      <w:pPr>
        <w:pStyle w:val="References"/>
      </w:pPr>
      <w:r>
        <w:t xml:space="preserve">DELWP (2018) </w:t>
      </w:r>
      <w:r w:rsidRPr="00F17D88">
        <w:rPr>
          <w:i/>
        </w:rPr>
        <w:t>Pilot Water Sector Climate Change Adaptation Action Plan</w:t>
      </w:r>
      <w:r>
        <w:t xml:space="preserve">. </w:t>
      </w:r>
      <w:r w:rsidRPr="00F2655B">
        <w:t>ISBN 978-1-76077-274-1 (pdf/online/MS word)</w:t>
      </w:r>
      <w:r>
        <w:t>.</w:t>
      </w:r>
    </w:p>
    <w:p w14:paraId="61B37C26" w14:textId="77777777" w:rsidR="007B29DD" w:rsidRDefault="007B29DD" w:rsidP="007B29DD">
      <w:pPr>
        <w:pStyle w:val="References"/>
      </w:pPr>
      <w:r>
        <w:t xml:space="preserve">DELWP (2019a) </w:t>
      </w:r>
      <w:r w:rsidRPr="00184C33">
        <w:rPr>
          <w:i/>
        </w:rPr>
        <w:t>Managing Climate Change Risk. Guidance for Board Members and Executives of Water Corporations and Catchment Management Authorities</w:t>
      </w:r>
      <w:r>
        <w:t>. June 2019.</w:t>
      </w:r>
      <w:r w:rsidRPr="00184C33">
        <w:t xml:space="preserve"> ISBN 978-1-76077-694-7 (pdf/online/MS word)</w:t>
      </w:r>
    </w:p>
    <w:p w14:paraId="3DAEA6A1" w14:textId="77777777" w:rsidR="007B29DD" w:rsidRDefault="007B29DD" w:rsidP="007B29DD">
      <w:pPr>
        <w:pStyle w:val="References"/>
      </w:pPr>
      <w:r>
        <w:t xml:space="preserve">DELWP (2019b) </w:t>
      </w:r>
      <w:r w:rsidRPr="00BD608C">
        <w:rPr>
          <w:i/>
          <w:iCs/>
        </w:rPr>
        <w:t>Annual Water Outlook 2019. Guidelines for Urban Water Corporations</w:t>
      </w:r>
      <w:r>
        <w:t>. 17 September 2019.</w:t>
      </w:r>
    </w:p>
    <w:p w14:paraId="703B4CBF" w14:textId="77777777" w:rsidR="007B29DD" w:rsidRDefault="007B29DD" w:rsidP="007B29DD">
      <w:pPr>
        <w:pStyle w:val="References"/>
      </w:pPr>
      <w:r>
        <w:t xml:space="preserve">DELWP (2019c) </w:t>
      </w:r>
      <w:r w:rsidRPr="000E3E0C">
        <w:rPr>
          <w:i/>
        </w:rPr>
        <w:t>Guideline for Rural Water Corporations preparation of Annual Water Outlook</w:t>
      </w:r>
      <w:r>
        <w:t>.</w:t>
      </w:r>
    </w:p>
    <w:p w14:paraId="2DFC288F" w14:textId="77777777" w:rsidR="007B29DD" w:rsidRDefault="007B29DD" w:rsidP="007B29DD">
      <w:pPr>
        <w:pStyle w:val="References"/>
      </w:pPr>
      <w:r>
        <w:t xml:space="preserve">DELWP (2019d) </w:t>
      </w:r>
      <w:r w:rsidRPr="00E46142">
        <w:rPr>
          <w:i/>
          <w:iCs/>
        </w:rPr>
        <w:t>Victoria’s Climate Science Report 2019</w:t>
      </w:r>
      <w:r>
        <w:t xml:space="preserve">. </w:t>
      </w:r>
      <w:r w:rsidRPr="00E46142">
        <w:t>ISBN 978-1-76077-853-8 (pdf)</w:t>
      </w:r>
    </w:p>
    <w:p w14:paraId="3DACC274" w14:textId="77777777" w:rsidR="007B29DD" w:rsidRDefault="007B29DD" w:rsidP="007B29DD">
      <w:pPr>
        <w:pStyle w:val="References"/>
        <w:rPr>
          <w:i/>
          <w:iCs/>
        </w:rPr>
      </w:pPr>
      <w:r>
        <w:t xml:space="preserve">DELWP (2019e) </w:t>
      </w:r>
      <w:r w:rsidRPr="00286C1A">
        <w:rPr>
          <w:i/>
          <w:iCs/>
        </w:rPr>
        <w:t>Streamflow Transformation Plugin for the Source modelling platform, User Manual.</w:t>
      </w:r>
    </w:p>
    <w:p w14:paraId="27ACA114" w14:textId="77777777" w:rsidR="007B29DD" w:rsidRDefault="007B29DD" w:rsidP="007B29DD">
      <w:pPr>
        <w:pStyle w:val="References"/>
      </w:pPr>
      <w:r>
        <w:t xml:space="preserve">DELWP (2020a) </w:t>
      </w:r>
      <w:r w:rsidRPr="009C5FD3">
        <w:rPr>
          <w:i/>
          <w:iCs/>
        </w:rPr>
        <w:t>Guidelines for the Development of Urban Water Strategies and the Melbourne Water System Strategy</w:t>
      </w:r>
      <w:r>
        <w:t>.</w:t>
      </w:r>
    </w:p>
    <w:p w14:paraId="24AC33F0" w14:textId="77777777" w:rsidR="007B29DD" w:rsidRDefault="007B29DD" w:rsidP="007B29DD">
      <w:pPr>
        <w:pStyle w:val="References"/>
      </w:pPr>
      <w:r>
        <w:t xml:space="preserve">DELWP (2020b) </w:t>
      </w:r>
      <w:r w:rsidRPr="00A8453F">
        <w:rPr>
          <w:i/>
          <w:iCs/>
        </w:rPr>
        <w:t>Long-Term Water Resource Assessment for Southern Victoria. Overview Report</w:t>
      </w:r>
      <w:r>
        <w:t xml:space="preserve">. </w:t>
      </w:r>
      <w:r w:rsidRPr="00A8453F">
        <w:t>ISBN 978-1-76077-924-5 (pdf/online/MS word)</w:t>
      </w:r>
    </w:p>
    <w:p w14:paraId="7D515673" w14:textId="77777777" w:rsidR="007B29DD" w:rsidRDefault="007B29DD" w:rsidP="007B29DD">
      <w:pPr>
        <w:pStyle w:val="References"/>
        <w:rPr>
          <w:i/>
          <w:iCs/>
        </w:rPr>
      </w:pPr>
      <w:r>
        <w:t xml:space="preserve">DELWP (2020c) </w:t>
      </w:r>
      <w:r w:rsidRPr="006C50C4">
        <w:rPr>
          <w:i/>
          <w:iCs/>
        </w:rPr>
        <w:t>Hydroclimate Data Transformation Plugin for the Source modelling platform, User Manual</w:t>
      </w:r>
    </w:p>
    <w:p w14:paraId="6BD4B7E9" w14:textId="4A4CB05E" w:rsidR="00DB39D2" w:rsidRPr="00804DDC" w:rsidRDefault="001E11C7" w:rsidP="001E11C7">
      <w:pPr>
        <w:pStyle w:val="References"/>
      </w:pPr>
      <w:r>
        <w:t xml:space="preserve">DELWP, Bureau of Meteorology, Commonwealth Scientific and Industrial Research Organisation, </w:t>
      </w:r>
      <w:r w:rsidR="00804DDC">
        <w:t xml:space="preserve">The </w:t>
      </w:r>
      <w:r>
        <w:t xml:space="preserve">University of Melbourne (2020) </w:t>
      </w:r>
      <w:r w:rsidRPr="00804DDC">
        <w:rPr>
          <w:i/>
          <w:iCs/>
        </w:rPr>
        <w:t>Victoria’s Water in a Changing Climate</w:t>
      </w:r>
      <w:r>
        <w:t>.</w:t>
      </w:r>
    </w:p>
    <w:p w14:paraId="346E78EF" w14:textId="77777777" w:rsidR="007B29DD" w:rsidRDefault="007B29DD" w:rsidP="007B29DD">
      <w:pPr>
        <w:pStyle w:val="References"/>
      </w:pPr>
      <w:r>
        <w:t xml:space="preserve">DEPI (2013) </w:t>
      </w:r>
      <w:r w:rsidRPr="009207B9">
        <w:rPr>
          <w:i/>
          <w:iCs/>
        </w:rPr>
        <w:t>FLOWS – a method for determining environmental water requirements in Victoria</w:t>
      </w:r>
      <w:r>
        <w:t>. Edition 2. Victorian Department of Environment and Primary Industries.</w:t>
      </w:r>
    </w:p>
    <w:p w14:paraId="0D2225BF" w14:textId="77777777" w:rsidR="007B29DD" w:rsidRDefault="007B29DD" w:rsidP="007B29DD">
      <w:pPr>
        <w:pStyle w:val="References"/>
      </w:pPr>
      <w:r>
        <w:lastRenderedPageBreak/>
        <w:t xml:space="preserve">Dowdy (2018) </w:t>
      </w:r>
      <w:r w:rsidRPr="0028608D">
        <w:rPr>
          <w:i/>
          <w:iCs/>
        </w:rPr>
        <w:t>Climatological Variability of Fire Weather in Australia</w:t>
      </w:r>
      <w:r>
        <w:rPr>
          <w:i/>
          <w:iCs/>
        </w:rPr>
        <w:t>.</w:t>
      </w:r>
      <w:r>
        <w:t xml:space="preserve"> Journal of Applied Meteorology and Climatology 57: 221-234</w:t>
      </w:r>
    </w:p>
    <w:p w14:paraId="720EB759" w14:textId="77777777" w:rsidR="007B29DD" w:rsidRDefault="007B29DD" w:rsidP="007B29DD">
      <w:pPr>
        <w:pStyle w:val="References"/>
      </w:pPr>
      <w:r w:rsidRPr="0028608D">
        <w:t>Dowdy AJ and Pepler A</w:t>
      </w:r>
      <w:r>
        <w:t xml:space="preserve"> (</w:t>
      </w:r>
      <w:r w:rsidRPr="0028608D">
        <w:t>2018</w:t>
      </w:r>
      <w:r>
        <w:t>)</w:t>
      </w:r>
      <w:r w:rsidRPr="0028608D">
        <w:t xml:space="preserve"> </w:t>
      </w:r>
      <w:r w:rsidRPr="0028608D">
        <w:rPr>
          <w:i/>
          <w:iCs/>
        </w:rPr>
        <w:t>Pyroconvection risk in Australia: climatological changes in atmospheric stability and surface fire conditions</w:t>
      </w:r>
      <w:r w:rsidRPr="0028608D">
        <w:t>. Geophysical Research Letters, </w:t>
      </w:r>
      <w:hyperlink r:id="rId56" w:history="1">
        <w:r w:rsidRPr="0028608D">
          <w:t>doi:10.1002/2017GL076654</w:t>
        </w:r>
      </w:hyperlink>
    </w:p>
    <w:p w14:paraId="399CBC8E" w14:textId="77777777" w:rsidR="007B29DD" w:rsidRDefault="007B29DD" w:rsidP="007B29DD">
      <w:pPr>
        <w:pStyle w:val="References"/>
      </w:pPr>
      <w:r>
        <w:t xml:space="preserve">Dowdy AJ (2020) </w:t>
      </w:r>
      <w:r w:rsidRPr="00D6086E">
        <w:rPr>
          <w:i/>
          <w:iCs/>
        </w:rPr>
        <w:t>Climatology of thunderstorms, convective rainfall and dry lightning environments in Australia</w:t>
      </w:r>
      <w:r>
        <w:t xml:space="preserve">. Climate Dynamics 54, </w:t>
      </w:r>
      <w:r w:rsidRPr="00D6086E">
        <w:t>3041–3052 (2020). https://doi.org/10.1007/s00382-020-05167-9</w:t>
      </w:r>
    </w:p>
    <w:p w14:paraId="4CFA6ABA" w14:textId="77777777" w:rsidR="007B29DD" w:rsidRDefault="007B29DD" w:rsidP="007B29DD">
      <w:pPr>
        <w:pStyle w:val="References"/>
      </w:pPr>
      <w:r>
        <w:t xml:space="preserve">DSE (2007) </w:t>
      </w:r>
      <w:r w:rsidRPr="00067994">
        <w:rPr>
          <w:i/>
          <w:iCs/>
        </w:rPr>
        <w:t>PRIDE user manual. PRIDE version 2.0</w:t>
      </w:r>
      <w:r>
        <w:t>. July 2007.</w:t>
      </w:r>
    </w:p>
    <w:p w14:paraId="3DDD44ED" w14:textId="77777777" w:rsidR="007B29DD" w:rsidRDefault="007B29DD" w:rsidP="007B29DD">
      <w:pPr>
        <w:pStyle w:val="References"/>
      </w:pPr>
      <w:r>
        <w:t xml:space="preserve">Duncker A, Vogelsang D and McMichael S (2014) </w:t>
      </w:r>
      <w:r w:rsidRPr="00AD6F4F">
        <w:rPr>
          <w:i/>
          <w:iCs/>
        </w:rPr>
        <w:t>Realtime network operations optimisation from source to tap: A project to build a distribution optimisation tool to help SA Water manage its new highly flexible network</w:t>
      </w:r>
      <w:r>
        <w:t>. Water: Journal of the Australian Water Association, Vol. 41, Issue 4.</w:t>
      </w:r>
    </w:p>
    <w:p w14:paraId="6CAA0C64" w14:textId="77777777" w:rsidR="007B29DD" w:rsidRDefault="007B29DD" w:rsidP="007B29DD">
      <w:pPr>
        <w:pStyle w:val="References"/>
      </w:pPr>
      <w:r w:rsidRPr="00B04810">
        <w:t>den Elzen</w:t>
      </w:r>
      <w:r>
        <w:t xml:space="preserve"> M</w:t>
      </w:r>
      <w:r w:rsidRPr="00B04810">
        <w:t>,</w:t>
      </w:r>
      <w:r>
        <w:t xml:space="preserve"> </w:t>
      </w:r>
      <w:r w:rsidRPr="00B04810">
        <w:t>Kuramochi</w:t>
      </w:r>
      <w:r>
        <w:t xml:space="preserve"> T</w:t>
      </w:r>
      <w:r w:rsidRPr="00B04810">
        <w:t>, Höhne</w:t>
      </w:r>
      <w:r>
        <w:t xml:space="preserve"> N</w:t>
      </w:r>
      <w:r w:rsidRPr="00B04810">
        <w:t>, Cantzler</w:t>
      </w:r>
      <w:r>
        <w:t xml:space="preserve"> J</w:t>
      </w:r>
      <w:r w:rsidRPr="00B04810">
        <w:t>, Esmeijer</w:t>
      </w:r>
      <w:r>
        <w:t xml:space="preserve"> K</w:t>
      </w:r>
      <w:r w:rsidRPr="00B04810">
        <w:t>, Fekete</w:t>
      </w:r>
      <w:r>
        <w:t xml:space="preserve"> H</w:t>
      </w:r>
      <w:r w:rsidRPr="00B04810">
        <w:t>, Fransen</w:t>
      </w:r>
      <w:r>
        <w:t xml:space="preserve"> T</w:t>
      </w:r>
      <w:r w:rsidRPr="00B04810">
        <w:t>, Keramidas</w:t>
      </w:r>
      <w:r>
        <w:t xml:space="preserve"> K</w:t>
      </w:r>
      <w:r w:rsidRPr="00B04810">
        <w:t>, Roelfsema</w:t>
      </w:r>
      <w:r>
        <w:t xml:space="preserve"> M</w:t>
      </w:r>
      <w:r w:rsidRPr="00B04810">
        <w:t>, Sha</w:t>
      </w:r>
      <w:r>
        <w:t xml:space="preserve"> F</w:t>
      </w:r>
      <w:r w:rsidRPr="00B04810">
        <w:t>, van Soest</w:t>
      </w:r>
      <w:r>
        <w:t xml:space="preserve"> H</w:t>
      </w:r>
      <w:r w:rsidRPr="00B04810">
        <w:t>, Vandyck</w:t>
      </w:r>
      <w:r>
        <w:t xml:space="preserve"> T (2019)</w:t>
      </w:r>
      <w:r w:rsidRPr="00B04810">
        <w:t xml:space="preserve"> </w:t>
      </w:r>
      <w:r w:rsidRPr="00043E53">
        <w:rPr>
          <w:i/>
          <w:iCs/>
        </w:rPr>
        <w:t>Are the G20 economies making enough progress to meet their NDC targets?</w:t>
      </w:r>
      <w:r w:rsidRPr="00B04810">
        <w:t xml:space="preserve"> Energy Policy 126 (2019) 238-250. https://www.sciencedirect.com/science/article/pii/S030142151830750X</w:t>
      </w:r>
    </w:p>
    <w:p w14:paraId="52AA3F6E" w14:textId="77777777" w:rsidR="007B29DD" w:rsidRDefault="007B29DD" w:rsidP="007B29DD">
      <w:pPr>
        <w:pStyle w:val="References"/>
      </w:pPr>
      <w:r w:rsidRPr="00FE184F">
        <w:t xml:space="preserve">Ekström M, Grose MR and Whetton PH (2015) </w:t>
      </w:r>
      <w:r w:rsidRPr="00FE184F">
        <w:rPr>
          <w:i/>
          <w:iCs/>
        </w:rPr>
        <w:t>An appraisal of downscaling methods used in climate change research</w:t>
      </w:r>
      <w:r w:rsidRPr="00FE184F">
        <w:t>. WIREs Climate Change. 6:301-319.</w:t>
      </w:r>
    </w:p>
    <w:p w14:paraId="68503666" w14:textId="77777777" w:rsidR="007B29DD" w:rsidRDefault="007B29DD" w:rsidP="007B29DD">
      <w:pPr>
        <w:pStyle w:val="References"/>
      </w:pPr>
      <w:r>
        <w:t xml:space="preserve">Feikema PM, Sherwin CB, Lane PNJ (2013) </w:t>
      </w:r>
      <w:r w:rsidRPr="00043E53">
        <w:rPr>
          <w:i/>
          <w:iCs/>
        </w:rPr>
        <w:t>Influence of climate, fire severity and forest mortality on predictions of long term streamflow: Potential effect of the 2009 wildfire on Melbourne’s water supply catchments</w:t>
      </w:r>
      <w:r>
        <w:t>, Journal of Hydrology, Volume 488, 2013, Pages 1-16, ISSN 0022-1694, https://doi.org/10.1016/j.jhydrol.2013.02.001.</w:t>
      </w:r>
    </w:p>
    <w:p w14:paraId="6843E648" w14:textId="77777777" w:rsidR="007B29DD" w:rsidRDefault="007B29DD" w:rsidP="007B29DD">
      <w:pPr>
        <w:pStyle w:val="References"/>
      </w:pPr>
      <w:r w:rsidRPr="00942BAD">
        <w:t xml:space="preserve">Fowler KJA, Peel MC, Western AW, Zhang L, Peterson TJ (2016) </w:t>
      </w:r>
      <w:r w:rsidRPr="00885906">
        <w:rPr>
          <w:i/>
        </w:rPr>
        <w:t>Simulating runoff under changing climatic conditions: revisiting an apparent deficiency of conceptual rainfall-runoff models</w:t>
      </w:r>
      <w:r w:rsidRPr="00942BAD">
        <w:t xml:space="preserve">. Water Resources Research, </w:t>
      </w:r>
      <w:r w:rsidRPr="003C6CD6">
        <w:t>Water Resources Research, 52, 1820–1846, doi:10.1002/2015WR018068</w:t>
      </w:r>
      <w:r w:rsidRPr="00942BAD">
        <w:t>.</w:t>
      </w:r>
    </w:p>
    <w:p w14:paraId="0FE64255" w14:textId="77777777" w:rsidR="007B29DD" w:rsidRDefault="007B29DD" w:rsidP="007B29DD">
      <w:pPr>
        <w:pStyle w:val="References"/>
      </w:pPr>
      <w:r>
        <w:t>Fowler K, Knoben W, Peel M, Peterson T, Ryu D, Saft M</w:t>
      </w:r>
      <w:r w:rsidRPr="0092494E">
        <w:t xml:space="preserve">, </w:t>
      </w:r>
      <w:r>
        <w:t>Seo Ki-W, Western A (2020)</w:t>
      </w:r>
      <w:r w:rsidRPr="0092494E">
        <w:t xml:space="preserve"> Many commonly used rainfall</w:t>
      </w:r>
      <w:r w:rsidRPr="0092494E">
        <w:rPr>
          <w:rFonts w:ascii="Cambria Math" w:hAnsi="Cambria Math" w:cs="Cambria Math"/>
        </w:rPr>
        <w:t>‐</w:t>
      </w:r>
      <w:r w:rsidRPr="0092494E">
        <w:t>runoff models lack long, slow dynamics: Implications for runoff projections. Water Resources Research, 56, e2019WR025286. doi.org/ 10.1029/2019WR025286</w:t>
      </w:r>
      <w:r>
        <w:t>.</w:t>
      </w:r>
    </w:p>
    <w:p w14:paraId="0F8B791E" w14:textId="77777777" w:rsidR="007B29DD" w:rsidRDefault="007B29DD" w:rsidP="007B29DD">
      <w:pPr>
        <w:pStyle w:val="References"/>
        <w:rPr>
          <w:rStyle w:val="Hyperlink"/>
        </w:rPr>
      </w:pPr>
      <w:r>
        <w:t xml:space="preserve">Freund M, Henley BJ, Karoly DJ, Allen KJ and Baker PJ (2017) </w:t>
      </w:r>
      <w:r w:rsidRPr="0025733A">
        <w:rPr>
          <w:i/>
          <w:iCs/>
        </w:rPr>
        <w:t>Multi-centry cool- and warm-season rainfall reconstructions for Australia’s major climatic regions</w:t>
      </w:r>
      <w:r>
        <w:t xml:space="preserve">. Climate of the Past, 13, 1751-1770, 2017. </w:t>
      </w:r>
      <w:hyperlink r:id="rId57" w:history="1">
        <w:r w:rsidRPr="007B1804">
          <w:rPr>
            <w:rStyle w:val="Hyperlink"/>
          </w:rPr>
          <w:t>https://doi.org/10.5194/cp-13-1751-2017</w:t>
        </w:r>
      </w:hyperlink>
    </w:p>
    <w:p w14:paraId="74B23D40" w14:textId="77777777" w:rsidR="007B29DD" w:rsidRDefault="007B29DD" w:rsidP="007B29DD">
      <w:pPr>
        <w:pStyle w:val="References"/>
      </w:pPr>
      <w:r>
        <w:t>Frost A, Srikanthan R, Cowertwait P. (2004). Stochastic Generation of Point Rainfall Data at Subdaily Timescales: A Comparison of DRIP and NRSP. Melbourne.</w:t>
      </w:r>
    </w:p>
    <w:p w14:paraId="74E4B9C8" w14:textId="77777777" w:rsidR="007B29DD" w:rsidRDefault="007B29DD" w:rsidP="007B29DD">
      <w:pPr>
        <w:pStyle w:val="References"/>
      </w:pPr>
      <w:r w:rsidRPr="00063436">
        <w:t>Fu</w:t>
      </w:r>
      <w:r>
        <w:t xml:space="preserve"> </w:t>
      </w:r>
      <w:r w:rsidRPr="00063436">
        <w:t>G</w:t>
      </w:r>
      <w:r>
        <w:t xml:space="preserve">, </w:t>
      </w:r>
      <w:r w:rsidRPr="00063436">
        <w:t>Chiew</w:t>
      </w:r>
      <w:r>
        <w:t xml:space="preserve"> F,</w:t>
      </w:r>
      <w:r w:rsidRPr="00063436">
        <w:t xml:space="preserve"> Shi</w:t>
      </w:r>
      <w:r>
        <w:t xml:space="preserve"> X (2018)</w:t>
      </w:r>
      <w:r w:rsidRPr="00063436">
        <w:t xml:space="preserve"> </w:t>
      </w:r>
      <w:r w:rsidRPr="00063436">
        <w:rPr>
          <w:i/>
          <w:iCs/>
        </w:rPr>
        <w:t>Generations of multi-sites stochastic daily rainfall with four weather generators: A case study of a small catchment in Australia</w:t>
      </w:r>
      <w:r w:rsidRPr="00063436">
        <w:t>. Theoretical and Applied Climatology. 2018; 134(3-4):1027-1046. https://doi.org/10.1007/s00704-017-2306-3</w:t>
      </w:r>
    </w:p>
    <w:p w14:paraId="05B81F7A" w14:textId="77777777" w:rsidR="007B29DD" w:rsidRDefault="007B29DD" w:rsidP="007B29DD">
      <w:pPr>
        <w:pStyle w:val="References"/>
      </w:pPr>
      <w:r>
        <w:t xml:space="preserve">Gippsland Water (2017) </w:t>
      </w:r>
      <w:r>
        <w:rPr>
          <w:i/>
          <w:iCs/>
        </w:rPr>
        <w:t>2017 Urban Water Strategy</w:t>
      </w:r>
      <w:r>
        <w:t>.</w:t>
      </w:r>
    </w:p>
    <w:p w14:paraId="039C3B81" w14:textId="77777777" w:rsidR="007B29DD" w:rsidRDefault="007B29DD" w:rsidP="007B29DD">
      <w:pPr>
        <w:pStyle w:val="References"/>
      </w:pPr>
      <w:r>
        <w:t xml:space="preserve">Global Carbon Project (2020) </w:t>
      </w:r>
      <w:r w:rsidRPr="007737CC">
        <w:rPr>
          <w:i/>
          <w:iCs/>
        </w:rPr>
        <w:t>Global Carbon Budget 2019</w:t>
      </w:r>
      <w:r>
        <w:t xml:space="preserve">. </w:t>
      </w:r>
      <w:hyperlink r:id="rId58" w:history="1">
        <w:r w:rsidRPr="004E54BB">
          <w:rPr>
            <w:rStyle w:val="Hyperlink"/>
          </w:rPr>
          <w:t>https://www.globalcarbonproject.org/carbonbudget/19/infographics.htm</w:t>
        </w:r>
      </w:hyperlink>
      <w:r>
        <w:t xml:space="preserve"> </w:t>
      </w:r>
    </w:p>
    <w:p w14:paraId="1BA36F79" w14:textId="77777777" w:rsidR="007B29DD" w:rsidRDefault="007B29DD" w:rsidP="007B29DD">
      <w:pPr>
        <w:pStyle w:val="References"/>
      </w:pPr>
      <w:r>
        <w:t xml:space="preserve">Grose M. et al. (2015a) </w:t>
      </w:r>
      <w:r w:rsidRPr="00693052">
        <w:rPr>
          <w:i/>
        </w:rPr>
        <w:t>Southern Slopes Cluster Report, Climate Change in Australia Projections for Australia’s Natural Resource Management Regions</w:t>
      </w:r>
      <w:r>
        <w:t>: Cluster Reports, eds. Ekström, M. et al., CSIRO and Bureau of Meteorology, Australia.</w:t>
      </w:r>
    </w:p>
    <w:p w14:paraId="67F843DB" w14:textId="77777777" w:rsidR="007B29DD" w:rsidRDefault="007B29DD" w:rsidP="007B29DD">
      <w:pPr>
        <w:pStyle w:val="References"/>
      </w:pPr>
      <w:r>
        <w:t xml:space="preserve">Grose MR, Timbal B, Wilson L, Bathols J and Kent D (2015b) </w:t>
      </w:r>
      <w:r w:rsidRPr="00BE680F">
        <w:rPr>
          <w:i/>
          <w:iCs/>
        </w:rPr>
        <w:t>The subtropical ridge in CMIP5 models, and implications for projections of rainfall in southeast Australia</w:t>
      </w:r>
      <w:r>
        <w:t>. Australian Meteorological and Oceanographic Journal, 65, 90-106.</w:t>
      </w:r>
    </w:p>
    <w:p w14:paraId="3A500CAA" w14:textId="77777777" w:rsidR="007B29DD" w:rsidRDefault="007B29DD" w:rsidP="007B29DD">
      <w:pPr>
        <w:pStyle w:val="References"/>
      </w:pPr>
      <w:r>
        <w:t xml:space="preserve">Grose MR, Risbey JS, Moise AF, Osbrough S, Heady C, Wilson L and Erwin T (2017) </w:t>
      </w:r>
      <w:r w:rsidRPr="001E2714">
        <w:rPr>
          <w:i/>
          <w:iCs/>
        </w:rPr>
        <w:t>Constraints on Southern Australian Rainfall Change Based on Atmospheric Circulation in CMIP5 Simulations</w:t>
      </w:r>
      <w:r>
        <w:t xml:space="preserve">. Journal of Climate, 2017, Volume 30, No. 1. </w:t>
      </w:r>
      <w:hyperlink r:id="rId59" w:history="1">
        <w:r w:rsidRPr="00673319">
          <w:rPr>
            <w:rStyle w:val="Hyperlink"/>
          </w:rPr>
          <w:t>https://doi.org/10.1175/JCLI-D-16-0142.1</w:t>
        </w:r>
      </w:hyperlink>
      <w:r>
        <w:t xml:space="preserve"> </w:t>
      </w:r>
    </w:p>
    <w:p w14:paraId="2C02A303" w14:textId="77777777" w:rsidR="007B29DD" w:rsidRDefault="007B29DD" w:rsidP="007B29DD">
      <w:pPr>
        <w:pStyle w:val="References"/>
        <w:rPr>
          <w:rStyle w:val="Hyperlink"/>
        </w:rPr>
      </w:pPr>
      <w:r>
        <w:rPr>
          <w:color w:val="auto"/>
        </w:rPr>
        <w:t xml:space="preserve">Guerreiro SB, Fowler HJ, Barbero R, Westra S, Lenderlink G, Blenkinsop S, Lewis E and Li X (2018) </w:t>
      </w:r>
      <w:r>
        <w:rPr>
          <w:i/>
          <w:iCs/>
          <w:color w:val="auto"/>
        </w:rPr>
        <w:t>Detection of continental-scale intensification of hourly rainfall extremes</w:t>
      </w:r>
      <w:r>
        <w:rPr>
          <w:color w:val="auto"/>
        </w:rPr>
        <w:t xml:space="preserve">. Nature Climate Change Letters. </w:t>
      </w:r>
      <w:hyperlink r:id="rId60" w:history="1">
        <w:r>
          <w:rPr>
            <w:rStyle w:val="Hyperlink"/>
          </w:rPr>
          <w:t>https://doi.org/10.1038/s41558-018-0245-3</w:t>
        </w:r>
      </w:hyperlink>
    </w:p>
    <w:p w14:paraId="7C3467FA" w14:textId="77777777" w:rsidR="007B29DD" w:rsidRDefault="007B29DD" w:rsidP="007B29DD">
      <w:pPr>
        <w:pStyle w:val="References"/>
        <w:rPr>
          <w:color w:val="auto"/>
        </w:rPr>
      </w:pPr>
      <w:r w:rsidRPr="00CE5404">
        <w:rPr>
          <w:color w:val="auto"/>
        </w:rPr>
        <w:t>Guo D, Westra S, Maier HR. 2018. An inverse approach to perturb historical rainfall data for scenario-neutral climate impact studies. Journal of Hydrology 556: 877–890</w:t>
      </w:r>
    </w:p>
    <w:p w14:paraId="0185E360" w14:textId="77777777" w:rsidR="007B29DD" w:rsidRPr="00553397" w:rsidRDefault="007B29DD" w:rsidP="007B29DD">
      <w:pPr>
        <w:pStyle w:val="References"/>
      </w:pPr>
      <w:r w:rsidRPr="00CF4067">
        <w:lastRenderedPageBreak/>
        <w:t>HARC</w:t>
      </w:r>
      <w:r>
        <w:t xml:space="preserve"> (</w:t>
      </w:r>
      <w:r w:rsidRPr="00CF4067">
        <w:t>2019</w:t>
      </w:r>
      <w:r>
        <w:t>)</w:t>
      </w:r>
      <w:r w:rsidRPr="00CF4067">
        <w:t xml:space="preserve"> </w:t>
      </w:r>
      <w:r w:rsidRPr="00CF4067">
        <w:rPr>
          <w:i/>
          <w:iCs/>
        </w:rPr>
        <w:t>Representing climate change projections in rainfall, evaporation and sea level inputs to hydraulic models of Melbourne’s sewer network</w:t>
      </w:r>
      <w:r w:rsidRPr="00CF4067">
        <w:t>. HARC for Melbourne Water.</w:t>
      </w:r>
    </w:p>
    <w:p w14:paraId="08708F9A" w14:textId="77777777" w:rsidR="007B29DD" w:rsidRDefault="007B29DD" w:rsidP="007B29DD">
      <w:pPr>
        <w:pStyle w:val="References"/>
      </w:pPr>
      <w:r w:rsidRPr="00553397">
        <w:t xml:space="preserve">HARC (2020) </w:t>
      </w:r>
      <w:r w:rsidRPr="003E0950">
        <w:rPr>
          <w:i/>
          <w:iCs/>
        </w:rPr>
        <w:t>Investigation in anomalies resulting from decile scaling</w:t>
      </w:r>
      <w:r w:rsidRPr="00553397">
        <w:t>. File Note, 13 February 2020.</w:t>
      </w:r>
    </w:p>
    <w:p w14:paraId="6141C37D" w14:textId="77777777" w:rsidR="007B29DD" w:rsidRDefault="007B29DD" w:rsidP="007B29DD">
      <w:pPr>
        <w:pStyle w:val="References"/>
      </w:pPr>
      <w:r w:rsidRPr="00B6097B">
        <w:t xml:space="preserve">Harris S, Lucas C (2019) </w:t>
      </w:r>
      <w:r w:rsidRPr="00C055B3">
        <w:rPr>
          <w:i/>
          <w:iCs/>
        </w:rPr>
        <w:t>Understanding the variability of Australian fire weather between 1973 and 2017</w:t>
      </w:r>
      <w:r w:rsidRPr="00B6097B">
        <w:t xml:space="preserve">. PLoS ONE 14(9): e0222328. https://doi.org/10.1371/journal.pone.0222328 </w:t>
      </w:r>
    </w:p>
    <w:p w14:paraId="32F56EC3" w14:textId="77777777" w:rsidR="007B29DD" w:rsidRDefault="007B29DD" w:rsidP="007B29DD">
      <w:pPr>
        <w:pStyle w:val="References"/>
      </w:pPr>
      <w:r>
        <w:t xml:space="preserve">Harris RMB, Remenyi T and Bindoff NL (2016) </w:t>
      </w:r>
      <w:r w:rsidRPr="00A428CB">
        <w:rPr>
          <w:i/>
          <w:iCs/>
        </w:rPr>
        <w:t>The Potential Impacts of Climate Change on Victorian Alpine Resorts</w:t>
      </w:r>
      <w:r>
        <w:t>. A Report for the Alpine Resorts Co-ordinating Council. Antarctic Climate and Ecosystems Cooperative Research Centre.</w:t>
      </w:r>
    </w:p>
    <w:p w14:paraId="0CA6F0A1" w14:textId="77777777" w:rsidR="007B29DD" w:rsidRDefault="007B29DD" w:rsidP="007B29DD">
      <w:pPr>
        <w:pStyle w:val="References"/>
      </w:pPr>
      <w:r>
        <w:t xml:space="preserve">Hausfather Z (2019) </w:t>
      </w:r>
      <w:r w:rsidRPr="00FD3787">
        <w:rPr>
          <w:i/>
          <w:iCs/>
        </w:rPr>
        <w:t>CMIP6: the next generation of climate models explained</w:t>
      </w:r>
      <w:r>
        <w:t xml:space="preserve">. 2 December 2019. </w:t>
      </w:r>
      <w:hyperlink r:id="rId61" w:history="1">
        <w:r w:rsidRPr="00673319">
          <w:rPr>
            <w:rStyle w:val="Hyperlink"/>
          </w:rPr>
          <w:t>https://www.carbonbrief.org/cmip6-the-next-generation-of-climate-models-explained</w:t>
        </w:r>
      </w:hyperlink>
      <w:r>
        <w:t xml:space="preserve">. </w:t>
      </w:r>
    </w:p>
    <w:p w14:paraId="7B6A1665" w14:textId="77777777" w:rsidR="007B29DD" w:rsidRDefault="007B29DD" w:rsidP="007B29DD">
      <w:pPr>
        <w:pStyle w:val="References"/>
      </w:pPr>
      <w:r w:rsidRPr="009E5246">
        <w:t xml:space="preserve">Hausfather Z and Peters GP (2020) </w:t>
      </w:r>
      <w:r w:rsidRPr="009E5246">
        <w:rPr>
          <w:i/>
          <w:iCs/>
        </w:rPr>
        <w:t>Emissions – the ‘business as usual’ story is misleading</w:t>
      </w:r>
      <w:r w:rsidRPr="009E5246">
        <w:t>. Comment. Nature 577, 618-620 (2020). doi: 10.1038/d41586-020-00177-3.</w:t>
      </w:r>
    </w:p>
    <w:p w14:paraId="2FEA0C97" w14:textId="77777777" w:rsidR="007B29DD" w:rsidRDefault="007B29DD" w:rsidP="007B29DD">
      <w:pPr>
        <w:pStyle w:val="References"/>
      </w:pPr>
      <w:r>
        <w:t>Heneker TM, Lambert MF, Kuczera G. (2001) A point rainfall model for risk-based design. Journal of Hydrology 247 (1–2): 54–71</w:t>
      </w:r>
    </w:p>
    <w:p w14:paraId="40F1C5E9" w14:textId="77777777" w:rsidR="007B29DD" w:rsidRDefault="007B29DD" w:rsidP="007B29DD">
      <w:pPr>
        <w:pStyle w:val="References"/>
      </w:pPr>
      <w:r>
        <w:t xml:space="preserve">Henley BJ, Peel MC, Nathan R, King AD, Ukkola AM, Karoly D and Tan KS (2019) </w:t>
      </w:r>
      <w:r w:rsidRPr="00F00E17">
        <w:rPr>
          <w:i/>
          <w:iCs/>
        </w:rPr>
        <w:t>Amplification of risks to water supply at 1.5</w:t>
      </w:r>
      <w:r w:rsidRPr="00F00E17">
        <w:rPr>
          <w:i/>
          <w:iCs/>
          <w:vertAlign w:val="superscript"/>
        </w:rPr>
        <w:t>o</w:t>
      </w:r>
      <w:r w:rsidRPr="00F00E17">
        <w:rPr>
          <w:i/>
          <w:iCs/>
        </w:rPr>
        <w:t>C and 2</w:t>
      </w:r>
      <w:r w:rsidRPr="00F00E17">
        <w:rPr>
          <w:i/>
          <w:iCs/>
          <w:vertAlign w:val="superscript"/>
        </w:rPr>
        <w:t>o</w:t>
      </w:r>
      <w:r w:rsidRPr="00F00E17">
        <w:rPr>
          <w:i/>
          <w:iCs/>
        </w:rPr>
        <w:t>C in drying climates: a case study for Melbourne, Australia</w:t>
      </w:r>
      <w:r>
        <w:t>. Environ. Res. Lett. 14 (2019) 084028.</w:t>
      </w:r>
    </w:p>
    <w:p w14:paraId="1642594F" w14:textId="77777777" w:rsidR="007B29DD" w:rsidRPr="0028440E" w:rsidRDefault="007B29DD" w:rsidP="007B29DD">
      <w:pPr>
        <w:pStyle w:val="References"/>
      </w:pPr>
      <w:r>
        <w:t xml:space="preserve">Hope PK, Timbal B and Fawcett R (2010) </w:t>
      </w:r>
      <w:r>
        <w:rPr>
          <w:i/>
          <w:iCs/>
        </w:rPr>
        <w:t>Associations between rainfall variability in the southwest and southeast of Australia and their evolution through time</w:t>
      </w:r>
      <w:r>
        <w:t>. International Journal of Climatology, 30, 1360-1371.</w:t>
      </w:r>
    </w:p>
    <w:p w14:paraId="0A68E120" w14:textId="77777777" w:rsidR="007B29DD" w:rsidRDefault="007B29DD" w:rsidP="007B29DD">
      <w:pPr>
        <w:pStyle w:val="References"/>
      </w:pPr>
      <w:r>
        <w:t xml:space="preserve">Hope PK, Grose MR, Timbal B, Dowdy AJ, Bhend J, Katzfey JJ, Bedin T, Wilson L and Whetton PH (2015a) </w:t>
      </w:r>
      <w:r w:rsidRPr="000D3083">
        <w:rPr>
          <w:i/>
          <w:iCs/>
        </w:rPr>
        <w:t>Seasonal and regional signature of the projected southern Australian rainfall reduction</w:t>
      </w:r>
      <w:r>
        <w:t>. Australian Meteorological and Oceanographic Journal, 65, 54-71.</w:t>
      </w:r>
    </w:p>
    <w:p w14:paraId="74914FA7" w14:textId="77777777" w:rsidR="007B29DD" w:rsidRDefault="007B29DD" w:rsidP="007B29DD">
      <w:pPr>
        <w:pStyle w:val="References"/>
      </w:pPr>
      <w:r>
        <w:t xml:space="preserve">Hope P, Timbal B, Hendon H and Ekström M (eds) (2015b) </w:t>
      </w:r>
      <w:r w:rsidRPr="00335505">
        <w:rPr>
          <w:i/>
        </w:rPr>
        <w:t>Victorian Climate Initiative annual report 2014-15</w:t>
      </w:r>
      <w:r>
        <w:t>. October 2015. Bureau of Meteorology Research Report BRR005.</w:t>
      </w:r>
    </w:p>
    <w:p w14:paraId="05A9C15E" w14:textId="77777777" w:rsidR="007B29DD" w:rsidRDefault="007B29DD" w:rsidP="007B29DD">
      <w:pPr>
        <w:pStyle w:val="References"/>
      </w:pPr>
      <w:r w:rsidRPr="00F60A3D">
        <w:t>Hope, P., Timbal, B., Hendon, H. and Ekström, M. (eds.) (2016) Victorian Climate Initiative final annual report 2015-16, Bureau of Meteorology, Bureau Research Report - 015, September 2016.</w:t>
      </w:r>
    </w:p>
    <w:p w14:paraId="5C6BE4D3" w14:textId="77777777" w:rsidR="007B29DD" w:rsidRDefault="007B29DD" w:rsidP="007B29DD">
      <w:pPr>
        <w:pStyle w:val="References"/>
      </w:pPr>
      <w:r w:rsidRPr="00581F32">
        <w:t xml:space="preserve">Hope, P, Timbal, B, Hendon, H, Ekström, M, Potter, N. </w:t>
      </w:r>
      <w:r>
        <w:t>(</w:t>
      </w:r>
      <w:r w:rsidRPr="00581F32">
        <w:t>2017</w:t>
      </w:r>
      <w:r>
        <w:t>)</w:t>
      </w:r>
      <w:r w:rsidRPr="00581F32">
        <w:t xml:space="preserve"> </w:t>
      </w:r>
      <w:r w:rsidRPr="00581F32">
        <w:rPr>
          <w:i/>
          <w:iCs/>
        </w:rPr>
        <w:t>A synthesis of findings from the Victorian Climate Initiative (VicCI)</w:t>
      </w:r>
      <w:r w:rsidRPr="00581F32">
        <w:t>. Bureau of Meteorology, 56pp, Australia</w:t>
      </w:r>
      <w:r>
        <w:t xml:space="preserve">. </w:t>
      </w:r>
      <w:r w:rsidRPr="00E2589F">
        <w:t>ISBN: 9780642706935</w:t>
      </w:r>
    </w:p>
    <w:p w14:paraId="32365CE7" w14:textId="77777777" w:rsidR="007B29DD" w:rsidRDefault="007B29DD" w:rsidP="007B29DD">
      <w:pPr>
        <w:pStyle w:val="References"/>
      </w:pPr>
      <w:r>
        <w:t>IPCC (2015)</w:t>
      </w:r>
      <w:r w:rsidRPr="00733D60">
        <w:t xml:space="preserve"> </w:t>
      </w:r>
      <w:r w:rsidRPr="00733D60">
        <w:rPr>
          <w:i/>
          <w:iCs/>
        </w:rPr>
        <w:t>Climate Change 2014: Synthesis Report</w:t>
      </w:r>
      <w:r>
        <w:t>. Contribution of Working Groups I, II and III to the Fifth Assessment Report of the Intergovernmental Panel on Climate Change [Core Writing Team, R.K. Pachauri and L.A. Meyer (eds.)]. IPCC, Geneva, Switzerland, 151 pp.</w:t>
      </w:r>
      <w:r w:rsidRPr="00733D60">
        <w:t xml:space="preserve"> ISBN 978-92-9169-143-2</w:t>
      </w:r>
    </w:p>
    <w:p w14:paraId="6A96D31F" w14:textId="77777777" w:rsidR="007B29DD" w:rsidRDefault="007B29DD" w:rsidP="007B29DD">
      <w:pPr>
        <w:pStyle w:val="References"/>
      </w:pPr>
      <w:r>
        <w:t xml:space="preserve">IPCC (2018) </w:t>
      </w:r>
      <w:r w:rsidRPr="0090693B">
        <w:rPr>
          <w:i/>
          <w:iCs/>
        </w:rPr>
        <w:t>Global Warming of 1.5°C.</w:t>
      </w:r>
      <w:r>
        <w:rPr>
          <w:i/>
          <w:iCs/>
        </w:rPr>
        <w:t xml:space="preserve"> </w:t>
      </w:r>
      <w:r w:rsidRPr="0090693B">
        <w:t>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t xml:space="preserve"> [Masson-Delmotte, V., P. Zhai, H.-O. Pörtner, D. Roberts, J. Skea, P.R. Shukla, A. Pirani, W. Moufouma-Okia, C. Péan, R. Pidcock, S. Connors, J.B.R. Matthews, Y. Chen, X. Zhou, M.I. Gomis, E. Lonnoy, T. Maycock,M. Tignor, and T. Waterfield (eds.)].</w:t>
      </w:r>
    </w:p>
    <w:p w14:paraId="372E37DC" w14:textId="77777777" w:rsidR="007B29DD" w:rsidRPr="00B651AC" w:rsidRDefault="007B29DD" w:rsidP="007B29DD">
      <w:pPr>
        <w:pStyle w:val="References"/>
        <w:rPr>
          <w:i/>
          <w:iCs/>
        </w:rPr>
      </w:pPr>
      <w:r w:rsidRPr="00D30EF9">
        <w:t xml:space="preserve">Jacobs (2020) </w:t>
      </w:r>
      <w:r w:rsidRPr="0081183D">
        <w:rPr>
          <w:i/>
          <w:iCs/>
        </w:rPr>
        <w:t>Rainfall Intensities in Victoria under Climate Change: Final Report</w:t>
      </w:r>
      <w:r w:rsidRPr="00D30EF9">
        <w:t xml:space="preserve">. Jacobs Australia Pty Limited for Department of Environment Land Water and Planning, </w:t>
      </w:r>
      <w:r>
        <w:t xml:space="preserve">Victoria, </w:t>
      </w:r>
      <w:r w:rsidRPr="00D30EF9">
        <w:t>April 2020.</w:t>
      </w:r>
    </w:p>
    <w:p w14:paraId="0321C679" w14:textId="77777777" w:rsidR="007B29DD" w:rsidRDefault="007B29DD" w:rsidP="007B29DD">
      <w:pPr>
        <w:pStyle w:val="References"/>
      </w:pPr>
      <w:r w:rsidRPr="0090640D">
        <w:t xml:space="preserve">Jones RN (2012), </w:t>
      </w:r>
      <w:r w:rsidRPr="0090640D">
        <w:rPr>
          <w:i/>
        </w:rPr>
        <w:t>Detecting and attributing nonlinear anthropogenic regional warming in south</w:t>
      </w:r>
      <w:r>
        <w:rPr>
          <w:i/>
        </w:rPr>
        <w:t>-</w:t>
      </w:r>
      <w:r w:rsidRPr="0090640D">
        <w:rPr>
          <w:i/>
        </w:rPr>
        <w:t>eastern Australia</w:t>
      </w:r>
      <w:r w:rsidRPr="0090640D">
        <w:t>,</w:t>
      </w:r>
      <w:r>
        <w:t xml:space="preserve"> </w:t>
      </w:r>
      <w:r w:rsidRPr="0090640D">
        <w:t>J. Geophys. Res., 117, D04105, doi:10.1029/2011JD016328.</w:t>
      </w:r>
    </w:p>
    <w:p w14:paraId="41C7B160" w14:textId="77777777" w:rsidR="007B29DD" w:rsidRDefault="007B29DD" w:rsidP="007B29DD">
      <w:pPr>
        <w:pStyle w:val="References"/>
      </w:pPr>
      <w:r w:rsidRPr="00290C81">
        <w:t xml:space="preserve">Jones RN and Ricketts JH (2017) </w:t>
      </w:r>
      <w:r w:rsidRPr="00290C81">
        <w:rPr>
          <w:i/>
          <w:iCs/>
        </w:rPr>
        <w:t>Reconciling the signal and noise of atmospheric warming on decadal timescales</w:t>
      </w:r>
      <w:r w:rsidRPr="00290C81">
        <w:t>. Climate Change Working Paper No. 38, Victoria Institute of Strategic Economic Studies, Victoria University, Melbourne, Australia. ISBN: 978</w:t>
      </w:r>
      <w:r w:rsidRPr="00290C81">
        <w:rPr>
          <w:rFonts w:ascii="Cambria Math" w:hAnsi="Cambria Math" w:cs="Cambria Math"/>
        </w:rPr>
        <w:t>‐</w:t>
      </w:r>
      <w:r w:rsidRPr="00290C81">
        <w:t>1</w:t>
      </w:r>
      <w:r w:rsidRPr="00290C81">
        <w:rPr>
          <w:rFonts w:ascii="Cambria Math" w:hAnsi="Cambria Math" w:cs="Cambria Math"/>
        </w:rPr>
        <w:t>‐</w:t>
      </w:r>
      <w:r w:rsidRPr="00290C81">
        <w:t>86272</w:t>
      </w:r>
      <w:r w:rsidRPr="00290C81">
        <w:rPr>
          <w:rFonts w:ascii="Cambria Math" w:hAnsi="Cambria Math" w:cs="Cambria Math"/>
        </w:rPr>
        <w:t>‐</w:t>
      </w:r>
      <w:r w:rsidRPr="00290C81">
        <w:t>726</w:t>
      </w:r>
      <w:r w:rsidRPr="00290C81">
        <w:rPr>
          <w:rFonts w:ascii="Cambria Math" w:hAnsi="Cambria Math" w:cs="Cambria Math"/>
        </w:rPr>
        <w:t>‐</w:t>
      </w:r>
      <w:r w:rsidRPr="00290C81">
        <w:t>7.</w:t>
      </w:r>
    </w:p>
    <w:p w14:paraId="24EC8A2B" w14:textId="77777777" w:rsidR="007B29DD" w:rsidRDefault="007B29DD" w:rsidP="007B29DD">
      <w:pPr>
        <w:pStyle w:val="References"/>
      </w:pPr>
      <w:r>
        <w:t xml:space="preserve">Karmalkar AV and Bradley RS (2017) </w:t>
      </w:r>
      <w:r w:rsidRPr="008E2471">
        <w:rPr>
          <w:i/>
          <w:iCs/>
        </w:rPr>
        <w:t>Consequences of Global Warming of 1.5</w:t>
      </w:r>
      <w:r w:rsidRPr="008E2471">
        <w:rPr>
          <w:i/>
          <w:iCs/>
          <w:vertAlign w:val="superscript"/>
        </w:rPr>
        <w:t>o</w:t>
      </w:r>
      <w:r w:rsidRPr="008E2471">
        <w:rPr>
          <w:i/>
          <w:iCs/>
        </w:rPr>
        <w:t>C and 2</w:t>
      </w:r>
      <w:r w:rsidRPr="008E2471">
        <w:rPr>
          <w:i/>
          <w:iCs/>
          <w:vertAlign w:val="superscript"/>
        </w:rPr>
        <w:t>o</w:t>
      </w:r>
      <w:r w:rsidRPr="008E2471">
        <w:rPr>
          <w:i/>
          <w:iCs/>
        </w:rPr>
        <w:t>C for Regional Temperature and Precipitation Changes in the Contiguous United States</w:t>
      </w:r>
      <w:r>
        <w:t>. PLoS ONE 12(1): e0168697. doi:10.1371/journal.pone.0168697</w:t>
      </w:r>
    </w:p>
    <w:p w14:paraId="217D5962" w14:textId="77777777" w:rsidR="007B29DD" w:rsidRDefault="007B29DD" w:rsidP="007B29DD">
      <w:pPr>
        <w:pStyle w:val="References"/>
      </w:pPr>
      <w:r>
        <w:t xml:space="preserve">Kuczera G, Cui L, Xu C, Jeevaraj C and Canci M (2015) </w:t>
      </w:r>
      <w:r w:rsidRPr="006A4DC8">
        <w:rPr>
          <w:i/>
          <w:iCs/>
        </w:rPr>
        <w:t>Using multi-objective optimization as a tool for discovery: Development of operating rules for Perths’ IWSS</w:t>
      </w:r>
      <w:r>
        <w:t>. 36</w:t>
      </w:r>
      <w:r w:rsidRPr="006A4DC8">
        <w:rPr>
          <w:vertAlign w:val="superscript"/>
        </w:rPr>
        <w:t>th</w:t>
      </w:r>
      <w:r>
        <w:t xml:space="preserve"> Hydrology and Water Resources Symposium, 2015.</w:t>
      </w:r>
    </w:p>
    <w:p w14:paraId="60DABC32" w14:textId="77777777" w:rsidR="007B29DD" w:rsidRDefault="007B29DD" w:rsidP="007B29DD">
      <w:pPr>
        <w:pStyle w:val="References"/>
      </w:pPr>
      <w:r>
        <w:lastRenderedPageBreak/>
        <w:t xml:space="preserve">Kuczera G. (2020) Multi-Site Multi-Season Multi-State Contemporaneous Auto-Regressive Model (MSSSCAR). In </w:t>
      </w:r>
      <w:r w:rsidRPr="00ED37FC">
        <w:rPr>
          <w:i/>
          <w:iCs/>
        </w:rPr>
        <w:t>WATHNET5 User Manual</w:t>
      </w:r>
      <w:r>
        <w:t>.</w:t>
      </w:r>
    </w:p>
    <w:p w14:paraId="4272C1D3" w14:textId="77777777" w:rsidR="007B29DD" w:rsidRDefault="007B29DD" w:rsidP="007B29DD">
      <w:pPr>
        <w:pStyle w:val="References"/>
      </w:pPr>
      <w:r>
        <w:t xml:space="preserve">Kularathna MDUP, Rowan TSC, Schultz-Byard H, Broad DR, McIver D, Flower D, Baker B, Rhodes BG and Smith PJ (2015) </w:t>
      </w:r>
      <w:r w:rsidRPr="00067BFC">
        <w:rPr>
          <w:i/>
          <w:iCs/>
        </w:rPr>
        <w:t>Multi-Objective Optimisation using Optimizer WSS to Support Operation and Planning Decisions of Melbourne Water Supply System</w:t>
      </w:r>
      <w:r>
        <w:t xml:space="preserve">. </w:t>
      </w:r>
      <w:r w:rsidRPr="00B535E6">
        <w:t>19th</w:t>
      </w:r>
      <w:r>
        <w:t xml:space="preserve"> International Congress on Modelling and Simulation, Perth, Australia, 12-16 December 2011.</w:t>
      </w:r>
    </w:p>
    <w:p w14:paraId="47829890" w14:textId="77777777" w:rsidR="007B29DD" w:rsidRDefault="007B29DD" w:rsidP="007B29DD">
      <w:pPr>
        <w:pStyle w:val="References"/>
      </w:pPr>
      <w:r w:rsidRPr="00060B0B">
        <w:t>Kwon H, Lall U, Khalil AF.</w:t>
      </w:r>
      <w:r>
        <w:t xml:space="preserve"> (</w:t>
      </w:r>
      <w:r w:rsidRPr="00060B0B">
        <w:t>2007</w:t>
      </w:r>
      <w:r>
        <w:t>)</w:t>
      </w:r>
      <w:r w:rsidRPr="00060B0B">
        <w:t>. Stochastic simulation model for nonstationary time series using an autoregressive wavelet decomposition: Applications to rainfall and temperature. Water Resources Research 43 (5) DOI: doi:10.1029/2006WR005258</w:t>
      </w:r>
    </w:p>
    <w:p w14:paraId="7823AF24" w14:textId="77777777" w:rsidR="007B29DD" w:rsidRDefault="007B29DD" w:rsidP="007B29DD">
      <w:pPr>
        <w:pStyle w:val="References"/>
        <w:rPr>
          <w:rStyle w:val="Hyperlink"/>
          <w:rFonts w:ascii="Arial" w:hAnsi="Arial"/>
          <w:shd w:val="clear" w:color="auto" w:fill="FFFFFF"/>
          <w:lang w:val="en-US" w:eastAsia="zh-CN"/>
        </w:rPr>
      </w:pPr>
      <w:r w:rsidRPr="00B21E3E">
        <w:rPr>
          <w:rFonts w:ascii="Arial" w:hAnsi="Arial"/>
          <w:color w:val="222222"/>
          <w:shd w:val="clear" w:color="auto" w:fill="FFFFFF"/>
          <w:lang w:val="en-US" w:eastAsia="zh-CN"/>
        </w:rPr>
        <w:t xml:space="preserve">Le Quéré, C., Jackson, R.B., Jones, M.W. et al. </w:t>
      </w:r>
      <w:r>
        <w:rPr>
          <w:rFonts w:ascii="Arial" w:hAnsi="Arial"/>
          <w:color w:val="222222"/>
          <w:shd w:val="clear" w:color="auto" w:fill="FFFFFF"/>
          <w:lang w:val="en-US" w:eastAsia="zh-CN"/>
        </w:rPr>
        <w:t xml:space="preserve">(2020). </w:t>
      </w:r>
      <w:r w:rsidRPr="00CB3769">
        <w:rPr>
          <w:rFonts w:ascii="Arial" w:hAnsi="Arial"/>
          <w:i/>
          <w:iCs/>
          <w:color w:val="222222"/>
          <w:shd w:val="clear" w:color="auto" w:fill="FFFFFF"/>
          <w:lang w:val="en-US" w:eastAsia="zh-CN"/>
        </w:rPr>
        <w:t>Temporary reduction in daily global CO2 emissions during the COVID-19 forced confinement</w:t>
      </w:r>
      <w:r>
        <w:rPr>
          <w:rFonts w:ascii="Arial" w:hAnsi="Arial"/>
          <w:color w:val="222222"/>
          <w:shd w:val="clear" w:color="auto" w:fill="FFFFFF"/>
          <w:lang w:val="en-US" w:eastAsia="zh-CN"/>
        </w:rPr>
        <w:t>,</w:t>
      </w:r>
      <w:r w:rsidRPr="00B21E3E">
        <w:rPr>
          <w:rFonts w:ascii="Arial" w:hAnsi="Arial"/>
          <w:color w:val="222222"/>
          <w:shd w:val="clear" w:color="auto" w:fill="FFFFFF"/>
          <w:lang w:val="en-US" w:eastAsia="zh-CN"/>
        </w:rPr>
        <w:t xml:space="preserve"> Nat. Clim. Chang. (2020). </w:t>
      </w:r>
      <w:hyperlink r:id="rId62" w:history="1">
        <w:r w:rsidRPr="00C22D94">
          <w:rPr>
            <w:rStyle w:val="Hyperlink"/>
            <w:rFonts w:ascii="Arial" w:hAnsi="Arial"/>
            <w:shd w:val="clear" w:color="auto" w:fill="FFFFFF"/>
            <w:lang w:val="en-US" w:eastAsia="zh-CN"/>
          </w:rPr>
          <w:t>https://doi.org/10.1038/s41558-020-0797-x</w:t>
        </w:r>
      </w:hyperlink>
    </w:p>
    <w:p w14:paraId="0C02E853" w14:textId="77777777" w:rsidR="007B29DD" w:rsidRDefault="007B29DD" w:rsidP="007B29DD">
      <w:pPr>
        <w:pStyle w:val="References"/>
        <w:rPr>
          <w:rFonts w:ascii="Arial" w:hAnsi="Arial"/>
          <w:color w:val="222222"/>
          <w:shd w:val="clear" w:color="auto" w:fill="FFFFFF"/>
          <w:lang w:val="en-US" w:eastAsia="zh-CN"/>
        </w:rPr>
      </w:pPr>
      <w:r>
        <w:rPr>
          <w:rFonts w:ascii="Arial" w:hAnsi="Arial"/>
          <w:color w:val="222222"/>
          <w:shd w:val="clear" w:color="auto" w:fill="FFFFFF"/>
          <w:lang w:val="en-US" w:eastAsia="zh-CN"/>
        </w:rPr>
        <w:t xml:space="preserve">Lim E-P, Hendon HH, Boschat G, Hudson D, Thompson DWJ, Dowdy AJ and Arblaster JM (2019) </w:t>
      </w:r>
      <w:r w:rsidRPr="00921650">
        <w:rPr>
          <w:rFonts w:ascii="Arial" w:hAnsi="Arial"/>
          <w:i/>
          <w:iCs/>
          <w:color w:val="222222"/>
          <w:shd w:val="clear" w:color="auto" w:fill="FFFFFF"/>
          <w:lang w:val="en-US" w:eastAsia="zh-CN"/>
        </w:rPr>
        <w:t>Australian hot and dry extremes induced by weakenings of the stratospheric polar vortex</w:t>
      </w:r>
      <w:r>
        <w:rPr>
          <w:rFonts w:ascii="Arial" w:hAnsi="Arial"/>
          <w:color w:val="222222"/>
          <w:shd w:val="clear" w:color="auto" w:fill="FFFFFF"/>
          <w:lang w:val="en-US" w:eastAsia="zh-CN"/>
        </w:rPr>
        <w:t xml:space="preserve">. </w:t>
      </w:r>
      <w:r w:rsidRPr="00921650">
        <w:rPr>
          <w:rFonts w:ascii="Arial" w:hAnsi="Arial"/>
          <w:color w:val="222222"/>
          <w:shd w:val="clear" w:color="auto" w:fill="FFFFFF"/>
          <w:lang w:val="en-US" w:eastAsia="zh-CN"/>
        </w:rPr>
        <w:t>Nat. Geosci. 12, 896–901 (2019). https://doi.org/10.1038/s41561-019-0456-x</w:t>
      </w:r>
      <w:r>
        <w:rPr>
          <w:rFonts w:ascii="Arial" w:hAnsi="Arial"/>
          <w:color w:val="222222"/>
          <w:shd w:val="clear" w:color="auto" w:fill="FFFFFF"/>
          <w:lang w:val="en-US" w:eastAsia="zh-CN"/>
        </w:rPr>
        <w:t>.</w:t>
      </w:r>
    </w:p>
    <w:p w14:paraId="66976F86" w14:textId="77777777" w:rsidR="007B29DD" w:rsidRDefault="007B29DD" w:rsidP="007B29DD">
      <w:pPr>
        <w:pStyle w:val="References"/>
      </w:pPr>
      <w:r w:rsidRPr="00553397">
        <w:rPr>
          <w:rFonts w:ascii="Arial" w:hAnsi="Arial"/>
          <w:color w:val="222222"/>
          <w:shd w:val="clear" w:color="auto" w:fill="FFFFFF"/>
          <w:lang w:val="en-US" w:eastAsia="zh-CN"/>
        </w:rPr>
        <w:t xml:space="preserve">Mann ME (2020) </w:t>
      </w:r>
      <w:r w:rsidRPr="00553397">
        <w:rPr>
          <w:rFonts w:ascii="Arial" w:hAnsi="Arial"/>
          <w:i/>
          <w:iCs/>
          <w:color w:val="222222"/>
          <w:shd w:val="clear" w:color="auto" w:fill="FFFFFF"/>
          <w:lang w:val="en-US" w:eastAsia="zh-CN"/>
        </w:rPr>
        <w:t>The story about the ‘business as usual’ story is misleading</w:t>
      </w:r>
      <w:r w:rsidRPr="00553397">
        <w:rPr>
          <w:rFonts w:ascii="Arial" w:hAnsi="Arial"/>
          <w:color w:val="222222"/>
          <w:shd w:val="clear" w:color="auto" w:fill="FFFFFF"/>
          <w:lang w:val="en-US" w:eastAsia="zh-CN"/>
        </w:rPr>
        <w:t>.</w:t>
      </w:r>
      <w:r w:rsidRPr="00553397">
        <w:t xml:space="preserve"> </w:t>
      </w:r>
      <w:hyperlink r:id="rId63" w:history="1">
        <w:r w:rsidRPr="00553397">
          <w:rPr>
            <w:rStyle w:val="Hyperlink"/>
            <w:rFonts w:ascii="Arial" w:hAnsi="Arial"/>
            <w:shd w:val="clear" w:color="auto" w:fill="FFFFFF"/>
            <w:lang w:val="en-US" w:eastAsia="zh-CN"/>
          </w:rPr>
          <w:t>https://michaelmann.net/content/story-about-%E2%80%98business-usual%E2%80%99-story-misleading</w:t>
        </w:r>
      </w:hyperlink>
      <w:r w:rsidRPr="00553397">
        <w:rPr>
          <w:rFonts w:ascii="Arial" w:hAnsi="Arial"/>
          <w:color w:val="222222"/>
          <w:shd w:val="clear" w:color="auto" w:fill="FFFFFF"/>
          <w:lang w:val="en-US" w:eastAsia="zh-CN"/>
        </w:rPr>
        <w:t>.</w:t>
      </w:r>
    </w:p>
    <w:p w14:paraId="5A9E4A6F" w14:textId="77777777" w:rsidR="007B29DD" w:rsidRDefault="007B29DD" w:rsidP="007B29DD">
      <w:pPr>
        <w:pStyle w:val="References"/>
      </w:pPr>
      <w:r w:rsidRPr="0017040B">
        <w:t xml:space="preserve">Marchau VAWJ, Walker WE, Bloemen PJTM and Popper SW (eds.) (2019) </w:t>
      </w:r>
      <w:r w:rsidRPr="0017040B">
        <w:rPr>
          <w:i/>
          <w:iCs/>
        </w:rPr>
        <w:t>Decision Making Under Deep Uncertainty</w:t>
      </w:r>
      <w:r w:rsidRPr="0017040B">
        <w:t>. ISBN 978-3-030-05252-2</w:t>
      </w:r>
    </w:p>
    <w:p w14:paraId="059A6D9A" w14:textId="77777777" w:rsidR="007B29DD" w:rsidRDefault="007B29DD" w:rsidP="007B29DD">
      <w:pPr>
        <w:pStyle w:val="References"/>
        <w:rPr>
          <w:rFonts w:ascii="Arial" w:hAnsi="Arial"/>
          <w:color w:val="222222"/>
          <w:shd w:val="clear" w:color="auto" w:fill="FFFFFF"/>
          <w:lang w:val="en-US" w:eastAsia="zh-CN"/>
        </w:rPr>
      </w:pPr>
      <w:r>
        <w:rPr>
          <w:rFonts w:ascii="Arial" w:hAnsi="Arial"/>
          <w:color w:val="222222"/>
          <w:shd w:val="clear" w:color="auto" w:fill="FFFFFF"/>
          <w:lang w:val="en-US" w:eastAsia="zh-CN"/>
        </w:rPr>
        <w:t xml:space="preserve">Martinec J, Rango A and Roberts R (2008) </w:t>
      </w:r>
      <w:r>
        <w:rPr>
          <w:rFonts w:ascii="Arial" w:hAnsi="Arial"/>
          <w:i/>
          <w:iCs/>
          <w:color w:val="222222"/>
          <w:shd w:val="clear" w:color="auto" w:fill="FFFFFF"/>
          <w:lang w:val="en-US" w:eastAsia="zh-CN"/>
        </w:rPr>
        <w:t>Snowmelt Runoff Model (SRM) User’s Manual</w:t>
      </w:r>
      <w:r>
        <w:rPr>
          <w:rFonts w:ascii="Arial" w:hAnsi="Arial"/>
          <w:color w:val="222222"/>
          <w:shd w:val="clear" w:color="auto" w:fill="FFFFFF"/>
          <w:lang w:val="en-US" w:eastAsia="zh-CN"/>
        </w:rPr>
        <w:t>. Edited by Gomez-Landesa E and Bleiweiss MP. New Mexico State University.</w:t>
      </w:r>
    </w:p>
    <w:p w14:paraId="106B684B" w14:textId="77777777" w:rsidR="007B29DD" w:rsidRDefault="007B29DD" w:rsidP="007B29DD">
      <w:pPr>
        <w:pStyle w:val="References"/>
        <w:rPr>
          <w:rFonts w:ascii="Arial" w:hAnsi="Arial"/>
          <w:color w:val="222222"/>
          <w:shd w:val="clear" w:color="auto" w:fill="FFFFFF"/>
          <w:lang w:val="en-US" w:eastAsia="zh-CN"/>
        </w:rPr>
      </w:pPr>
      <w:r>
        <w:t>McMahon TA, Kiem AS, Peel MC, Jordan PW, Pegram GGS. (2008) A new approach to stochastically generating six-monthly rainfall sequences based on empirical mode decomposition. Journal of Hydrometeorology 9 (6): 1377–1389</w:t>
      </w:r>
    </w:p>
    <w:p w14:paraId="038CB355" w14:textId="77777777" w:rsidR="007B29DD" w:rsidRDefault="007B29DD" w:rsidP="007B29DD">
      <w:pPr>
        <w:pStyle w:val="BodyText"/>
      </w:pPr>
      <w:r>
        <w:t xml:space="preserve">Minister for Environment, Climate Change and Water (2015) </w:t>
      </w:r>
      <w:r w:rsidRPr="00A2202F">
        <w:rPr>
          <w:i/>
          <w:iCs/>
        </w:rPr>
        <w:t>Statement of Obligations (General)</w:t>
      </w:r>
      <w:r>
        <w:t>. 20/12/2015.</w:t>
      </w:r>
    </w:p>
    <w:p w14:paraId="47C86C31" w14:textId="77777777" w:rsidR="007B29DD" w:rsidRDefault="007B29DD" w:rsidP="007B29DD">
      <w:pPr>
        <w:pStyle w:val="References"/>
      </w:pPr>
      <w:r>
        <w:t xml:space="preserve">Morden R (2017) </w:t>
      </w:r>
      <w:r w:rsidRPr="006D5388">
        <w:rPr>
          <w:i/>
          <w:iCs/>
        </w:rPr>
        <w:t>A new method of accounting for runoff dams</w:t>
      </w:r>
      <w:r>
        <w:t xml:space="preserve">. </w:t>
      </w:r>
      <w:r w:rsidRPr="006D5388">
        <w:t>22nd International Congress on Modelling and Simulation, Hobart, Tasmania, Australia, 3 to 8 December 2017</w:t>
      </w:r>
      <w:r>
        <w:t>.</w:t>
      </w:r>
    </w:p>
    <w:p w14:paraId="6EEB62FF" w14:textId="77777777" w:rsidR="007B29DD" w:rsidRDefault="007B29DD" w:rsidP="007B29DD">
      <w:pPr>
        <w:pStyle w:val="References"/>
      </w:pPr>
      <w:r>
        <w:t xml:space="preserve">Mortazavi-Naeini M, Kuczera G, Kiem AS, Henley B, Berghout B and Turner E (2013) </w:t>
      </w:r>
      <w:r w:rsidRPr="00C940BC">
        <w:rPr>
          <w:i/>
          <w:iCs/>
        </w:rPr>
        <w:t>Robust optimisation of urban drought security for an uncertain climate</w:t>
      </w:r>
      <w:r>
        <w:t>. Final report.</w:t>
      </w:r>
      <w:r w:rsidRPr="00C940BC">
        <w:t xml:space="preserve"> ISBN: 978-1-925039-68-9</w:t>
      </w:r>
      <w:r>
        <w:t>.</w:t>
      </w:r>
    </w:p>
    <w:p w14:paraId="5741D09D" w14:textId="77777777" w:rsidR="007B29DD" w:rsidRDefault="007B29DD" w:rsidP="007B29DD">
      <w:pPr>
        <w:pStyle w:val="References"/>
      </w:pPr>
      <w:r>
        <w:t xml:space="preserve">Mortazavi-Naeini M, Kuczera G, Kiem AS, Cui L, Henley B, Berghout B and Turner E (2015) </w:t>
      </w:r>
      <w:r w:rsidRPr="00FE3F8E">
        <w:rPr>
          <w:i/>
          <w:iCs/>
        </w:rPr>
        <w:t>Robust optimization to secure urban bulk water supply against extreme drought and uncertain climate change</w:t>
      </w:r>
      <w:r>
        <w:t>. Environmental Modelling and Software 69 (2015) 437-451.</w:t>
      </w:r>
    </w:p>
    <w:p w14:paraId="12ECFA2B" w14:textId="77777777" w:rsidR="007B29DD" w:rsidRDefault="007B29DD" w:rsidP="007B29DD">
      <w:pPr>
        <w:pStyle w:val="References"/>
      </w:pPr>
      <w:r>
        <w:t xml:space="preserve">Murray-Darling Basin Authority (2009) </w:t>
      </w:r>
      <w:r w:rsidRPr="008B16CB">
        <w:rPr>
          <w:i/>
          <w:iCs/>
        </w:rPr>
        <w:t xml:space="preserve">Hydrologic modelling practice notes. </w:t>
      </w:r>
      <w:hyperlink r:id="rId64" w:history="1">
        <w:r w:rsidRPr="00284766">
          <w:rPr>
            <w:rStyle w:val="Hyperlink"/>
          </w:rPr>
          <w:t>https://www.mdba.gov.au/publications/mdba-reports/hydrologic-modelling-practice-notes</w:t>
        </w:r>
      </w:hyperlink>
      <w:r>
        <w:t>. Accessed 2/10/2020.</w:t>
      </w:r>
    </w:p>
    <w:p w14:paraId="28460303" w14:textId="77777777" w:rsidR="007B29DD" w:rsidRDefault="007B29DD" w:rsidP="007B29DD">
      <w:pPr>
        <w:pStyle w:val="References"/>
      </w:pPr>
      <w:r w:rsidRPr="00600697">
        <w:t xml:space="preserve">NASA (2020) </w:t>
      </w:r>
      <w:r w:rsidRPr="001E54DD">
        <w:rPr>
          <w:i/>
          <w:iCs/>
        </w:rPr>
        <w:t>Carbon Dioxide - Vital Signs</w:t>
      </w:r>
      <w:r w:rsidRPr="00600697">
        <w:t>. https://climate.nasa.gov/vital-signs/carbon-dioxide/ Accessed 1/5/2020.</w:t>
      </w:r>
    </w:p>
    <w:p w14:paraId="20EE5731" w14:textId="77777777" w:rsidR="007B29DD" w:rsidRDefault="007B29DD" w:rsidP="007B29DD">
      <w:pPr>
        <w:pStyle w:val="References"/>
      </w:pPr>
      <w:r>
        <w:t xml:space="preserve">NESP ESCCH (2018) </w:t>
      </w:r>
      <w:r w:rsidRPr="00600EA0">
        <w:rPr>
          <w:i/>
          <w:iCs/>
        </w:rPr>
        <w:t>Bushfires and Climate Change in Australia</w:t>
      </w:r>
      <w:r>
        <w:t>. Brochure.</w:t>
      </w:r>
    </w:p>
    <w:p w14:paraId="7293C91E" w14:textId="77777777" w:rsidR="007B29DD" w:rsidRDefault="007B29DD" w:rsidP="007B29DD">
      <w:pPr>
        <w:pStyle w:val="References"/>
      </w:pPr>
      <w:r>
        <w:t xml:space="preserve">Nguyen H, Lucas C, Evans A, Timbal B and Hanson L (2015) </w:t>
      </w:r>
      <w:r w:rsidRPr="00B30537">
        <w:rPr>
          <w:i/>
          <w:iCs/>
        </w:rPr>
        <w:t>Expansion of the Southern Hemisphere Hadley Cell in Response to Greenhouse Gas Forcing</w:t>
      </w:r>
      <w:r>
        <w:t>. Journal of Climate, 28 8067-8077.</w:t>
      </w:r>
    </w:p>
    <w:p w14:paraId="2A976754" w14:textId="77777777" w:rsidR="007B29DD" w:rsidRDefault="007B29DD" w:rsidP="007B29DD">
      <w:pPr>
        <w:pStyle w:val="References"/>
      </w:pPr>
      <w:r>
        <w:t xml:space="preserve">NSW DPIE (2019) </w:t>
      </w:r>
      <w:r w:rsidRPr="00016070">
        <w:rPr>
          <w:i/>
          <w:iCs/>
        </w:rPr>
        <w:t>About NARCliM</w:t>
      </w:r>
      <w:r>
        <w:t xml:space="preserve">. </w:t>
      </w:r>
      <w:hyperlink r:id="rId65" w:history="1">
        <w:r>
          <w:rPr>
            <w:rStyle w:val="Hyperlink"/>
          </w:rPr>
          <w:t>https://climatechange.environment.nsw.gov.au/Climate-projections-for-NSW/About-NARCliM</w:t>
        </w:r>
      </w:hyperlink>
      <w:r>
        <w:t>. Accessed 16/12/2019.</w:t>
      </w:r>
      <w:r w:rsidRPr="00473948">
        <w:t xml:space="preserve"> </w:t>
      </w:r>
      <w:r>
        <w:t>NSW Department of Planning, Industry and Environment.</w:t>
      </w:r>
    </w:p>
    <w:p w14:paraId="0D63DCDB" w14:textId="77777777" w:rsidR="007B29DD" w:rsidRDefault="007B29DD" w:rsidP="007B29DD">
      <w:pPr>
        <w:pStyle w:val="References"/>
      </w:pPr>
      <w:r>
        <w:t xml:space="preserve">Parliament of Victoria (2017) </w:t>
      </w:r>
      <w:r w:rsidRPr="00A2202F">
        <w:rPr>
          <w:i/>
          <w:iCs/>
        </w:rPr>
        <w:t>Climate Change Act 2017</w:t>
      </w:r>
      <w:r>
        <w:t xml:space="preserve">. Available from </w:t>
      </w:r>
      <w:hyperlink r:id="rId66" w:history="1">
        <w:r w:rsidRPr="009C5FD3">
          <w:t>http://classic.austlii.edu.au/au/legis/vic/consol_act/cca2017109/</w:t>
        </w:r>
      </w:hyperlink>
    </w:p>
    <w:p w14:paraId="4B1C8125" w14:textId="77777777" w:rsidR="007B29DD" w:rsidRDefault="007B29DD" w:rsidP="007B29DD">
      <w:pPr>
        <w:pStyle w:val="References"/>
      </w:pPr>
      <w:r>
        <w:t xml:space="preserve">Peel MC, Srikanthan R, McMahon TA, Karoly DJ. (2011) Ensemble Empirical Mode Decomposition of monthly climatic indices relevant to Australian hydroclimatology. In Proceedings of the </w:t>
      </w:r>
      <w:r w:rsidRPr="00B535E6">
        <w:t>19th</w:t>
      </w:r>
      <w:r>
        <w:t xml:space="preserve"> International Congress on Modelling and Simulation, Pert, WA, Australia36153621.</w:t>
      </w:r>
    </w:p>
    <w:p w14:paraId="1F933C23" w14:textId="77777777" w:rsidR="007B29DD" w:rsidRDefault="007B29DD" w:rsidP="007B29DD">
      <w:pPr>
        <w:pStyle w:val="References"/>
      </w:pPr>
      <w:r>
        <w:t>Peel MC, Srikanthan R, McMahon TA, Karoly DJ. (2015) Approximating uncertainty of annual runoff and reservoir yield using stochastic replicates of global climate model data. Hydrology and Earth System Sciences 19: 1615–1639 DOI: https://doi.org/10.5194/hess-19-1615-2015</w:t>
      </w:r>
    </w:p>
    <w:p w14:paraId="6E76E06E" w14:textId="77777777" w:rsidR="007B29DD" w:rsidRDefault="007B29DD" w:rsidP="007B29DD">
      <w:pPr>
        <w:pStyle w:val="References"/>
      </w:pPr>
      <w:r>
        <w:lastRenderedPageBreak/>
        <w:t xml:space="preserve">Pepler A, Dowdy A and Hope P (2018) </w:t>
      </w:r>
      <w:r w:rsidRPr="0031630F">
        <w:rPr>
          <w:i/>
          <w:iCs/>
        </w:rPr>
        <w:t>A global climatology of surface anticyclones, their variability, associated drivers and long-term trends</w:t>
      </w:r>
      <w:r>
        <w:t xml:space="preserve">. Climate Dynamics (2019) 52:5397-5412. </w:t>
      </w:r>
      <w:hyperlink r:id="rId67" w:history="1">
        <w:r w:rsidRPr="00FC0C3B">
          <w:rPr>
            <w:rStyle w:val="Hyperlink"/>
          </w:rPr>
          <w:t>https://doi.org/10.1007/s00382-018-4451-5</w:t>
        </w:r>
      </w:hyperlink>
    </w:p>
    <w:p w14:paraId="618CD45E" w14:textId="77777777" w:rsidR="007B29DD" w:rsidRDefault="007B29DD" w:rsidP="007B29DD">
      <w:pPr>
        <w:pStyle w:val="References"/>
        <w:rPr>
          <w:rStyle w:val="Hyperlink"/>
        </w:rPr>
      </w:pPr>
      <w:r>
        <w:t xml:space="preserve">Pepler A, Hope P and Dowdy A (2019) </w:t>
      </w:r>
      <w:r w:rsidRPr="0031630F">
        <w:rPr>
          <w:i/>
          <w:iCs/>
        </w:rPr>
        <w:t>Long-term changes in southern Australia anticyclones and their impacts</w:t>
      </w:r>
      <w:r>
        <w:t xml:space="preserve">. Climate Dynamics. </w:t>
      </w:r>
      <w:hyperlink r:id="rId68" w:history="1">
        <w:r w:rsidRPr="00FC0C3B">
          <w:rPr>
            <w:rStyle w:val="Hyperlink"/>
          </w:rPr>
          <w:t>https://doi.org/10.1007/s00382-019-04819-9</w:t>
        </w:r>
      </w:hyperlink>
    </w:p>
    <w:p w14:paraId="72BC1674" w14:textId="77777777" w:rsidR="007B29DD" w:rsidRDefault="007B29DD" w:rsidP="007B29DD">
      <w:pPr>
        <w:pStyle w:val="References"/>
      </w:pPr>
      <w:r w:rsidRPr="00921650">
        <w:t>Pepler AS, Dowdy AJ, van Rensch P</w:t>
      </w:r>
      <w:r>
        <w:t>, Rudeva I, Catto JL and Hope P (2020)</w:t>
      </w:r>
      <w:r w:rsidRPr="00921650">
        <w:t xml:space="preserve"> </w:t>
      </w:r>
      <w:r w:rsidRPr="00921650">
        <w:rPr>
          <w:i/>
          <w:iCs/>
        </w:rPr>
        <w:t>The contributions of fronts, lows and thunderstorms to southern Australian rainfall</w:t>
      </w:r>
      <w:r w:rsidRPr="00921650">
        <w:t>. Clim</w:t>
      </w:r>
      <w:r>
        <w:t>ate</w:t>
      </w:r>
      <w:r w:rsidRPr="00921650">
        <w:t xml:space="preserve"> Dyn</w:t>
      </w:r>
      <w:r>
        <w:t>amics</w:t>
      </w:r>
      <w:r w:rsidRPr="00921650">
        <w:t xml:space="preserve"> (2020). </w:t>
      </w:r>
      <w:hyperlink r:id="rId69" w:history="1">
        <w:r w:rsidRPr="009E7314">
          <w:rPr>
            <w:rStyle w:val="Hyperlink"/>
          </w:rPr>
          <w:t>https://doi.org/10.1007/s00382-020-05338-8</w:t>
        </w:r>
      </w:hyperlink>
    </w:p>
    <w:p w14:paraId="34B64718" w14:textId="77777777" w:rsidR="007B29DD" w:rsidRDefault="007B29DD" w:rsidP="007B29DD">
      <w:pPr>
        <w:pStyle w:val="References"/>
      </w:pPr>
      <w:r>
        <w:t xml:space="preserve">Pepler AS (2020) </w:t>
      </w:r>
      <w:r w:rsidRPr="0034659F">
        <w:rPr>
          <w:i/>
          <w:iCs/>
        </w:rPr>
        <w:t>Record Lack of Cyclones in Southern Australia During 2019</w:t>
      </w:r>
      <w:r>
        <w:t xml:space="preserve">. Geophysical Research Letters, Volume47, Issue13, 16 July 2020. </w:t>
      </w:r>
      <w:r w:rsidRPr="0034659F">
        <w:t>https://doi.org/10.1029/2020GL088488</w:t>
      </w:r>
      <w:r>
        <w:t>.</w:t>
      </w:r>
    </w:p>
    <w:p w14:paraId="4FD22D5F" w14:textId="77777777" w:rsidR="007B29DD" w:rsidRDefault="007B29DD" w:rsidP="007B29DD">
      <w:pPr>
        <w:pStyle w:val="References"/>
      </w:pPr>
      <w:r>
        <w:t xml:space="preserve">Potter NJ, Chiew FHS, Zheng H, Ekström M and Zhang L </w:t>
      </w:r>
      <w:r w:rsidRPr="003A6CDF">
        <w:t xml:space="preserve">(2016) </w:t>
      </w:r>
      <w:r>
        <w:t>H</w:t>
      </w:r>
      <w:r w:rsidRPr="003A6CDF">
        <w:rPr>
          <w:i/>
        </w:rPr>
        <w:t>ydroclimate projections for Victoria at 2040 and 2065</w:t>
      </w:r>
      <w:r>
        <w:t>. Draft Version 1.7. CSIRO for the Department of Environment, Land, Water and Planning.</w:t>
      </w:r>
    </w:p>
    <w:p w14:paraId="4D23848E" w14:textId="77777777" w:rsidR="007B29DD" w:rsidRDefault="007B29DD" w:rsidP="007B29DD">
      <w:pPr>
        <w:pStyle w:val="References"/>
      </w:pPr>
      <w:r>
        <w:t>Potter NJ, Ekstr</w:t>
      </w:r>
      <w:r>
        <w:rPr>
          <w:rFonts w:cstheme="minorHAnsi"/>
        </w:rPr>
        <w:t>ö</w:t>
      </w:r>
      <w:r>
        <w:t xml:space="preserve">m M, Chiew FHS, Zhang L and Fu G (2018) </w:t>
      </w:r>
      <w:r w:rsidRPr="00185763">
        <w:rPr>
          <w:i/>
          <w:iCs/>
        </w:rPr>
        <w:t>Change-signal impacts in downscaled data and its influence on hydroclimate projections</w:t>
      </w:r>
      <w:r>
        <w:t xml:space="preserve">. Journal of Hydrology 564 (2018) 12-25. </w:t>
      </w:r>
      <w:hyperlink r:id="rId70" w:history="1">
        <w:r w:rsidRPr="00A53AB6">
          <w:rPr>
            <w:rStyle w:val="Hyperlink"/>
          </w:rPr>
          <w:t>https://doi.org/10.1016/j.jhydrol.2018.06.018</w:t>
        </w:r>
      </w:hyperlink>
    </w:p>
    <w:p w14:paraId="66A11CC4" w14:textId="77777777" w:rsidR="007B29DD" w:rsidRDefault="007B29DD" w:rsidP="007B29DD">
      <w:pPr>
        <w:pStyle w:val="References"/>
      </w:pPr>
      <w:r w:rsidRPr="0058259D">
        <w:t>Potter, N. J., Chiew, F. H. S., Charles, S. P., Fu, G., Zheng, H., &amp; Zhang, L. (2020). Bias in dynamically downscaled rainfall characteristics for hydroclimatic projections. Hydrol. Earth Syst. Sci., 24(6), 2963-2979. doi:10.5194/hess-24-2963-2020</w:t>
      </w:r>
    </w:p>
    <w:p w14:paraId="4DD97B98" w14:textId="77777777" w:rsidR="007B29DD" w:rsidRDefault="007B29DD" w:rsidP="007B29DD">
      <w:pPr>
        <w:pStyle w:val="References"/>
      </w:pPr>
      <w:r>
        <w:t>Purves T, Larkings K and Salma S (2015) The trade-off between water security and cost. Ozwater 2015.</w:t>
      </w:r>
    </w:p>
    <w:p w14:paraId="2B6761BE" w14:textId="77777777" w:rsidR="007B29DD" w:rsidRDefault="007B29DD" w:rsidP="007B29DD">
      <w:pPr>
        <w:pStyle w:val="References"/>
      </w:pPr>
      <w:r>
        <w:t xml:space="preserve">Rauniyar SP and Power SB (2020) </w:t>
      </w:r>
      <w:r w:rsidRPr="009520A7">
        <w:rPr>
          <w:i/>
          <w:iCs/>
        </w:rPr>
        <w:t>The impact of anthropogenic forcing and natural processes on past, present and future rainfall over Victoria, Australia</w:t>
      </w:r>
      <w:r>
        <w:t xml:space="preserve">. Journal of Climate (2020) </w:t>
      </w:r>
      <w:r w:rsidRPr="009520A7">
        <w:t>https://doi.org/10.1175/JCLI-D-19-0759.1</w:t>
      </w:r>
    </w:p>
    <w:p w14:paraId="381D829A" w14:textId="77777777" w:rsidR="007B29DD" w:rsidRDefault="007B29DD" w:rsidP="007B29DD">
      <w:pPr>
        <w:pStyle w:val="References"/>
      </w:pPr>
      <w:r w:rsidRPr="002A5E3D">
        <w:t>Richardson CW. 1981. Stochastic simulation of daily precipitation, temperature, and solar radiation. Water Resources Research 17 (1): 182–190</w:t>
      </w:r>
    </w:p>
    <w:p w14:paraId="5F2819D9" w14:textId="77777777" w:rsidR="007B29DD" w:rsidRDefault="007B29DD" w:rsidP="007B29DD">
      <w:pPr>
        <w:pStyle w:val="References"/>
      </w:pPr>
      <w:r>
        <w:t xml:space="preserve">Risbey JS, Pook MJ, McIntosh PC, Wheeler MC and Hendon HH (2009) </w:t>
      </w:r>
      <w:r w:rsidRPr="00E4307E">
        <w:rPr>
          <w:i/>
          <w:iCs/>
        </w:rPr>
        <w:t>On the Remote Drivers of Rainfall Variability in Australia</w:t>
      </w:r>
      <w:r>
        <w:rPr>
          <w:i/>
          <w:iCs/>
        </w:rPr>
        <w:t>.</w:t>
      </w:r>
      <w:r>
        <w:t xml:space="preserve"> Monthly Weather Review (2009) 137 (10): 3233–3253. https://doi.org/10.1175/2009MWR2861.1.</w:t>
      </w:r>
    </w:p>
    <w:p w14:paraId="207473C0" w14:textId="77777777" w:rsidR="007B29DD" w:rsidRDefault="007B29DD" w:rsidP="007B29DD">
      <w:pPr>
        <w:pStyle w:val="References"/>
      </w:pPr>
      <w:r>
        <w:t xml:space="preserve">Saft M, Western AW, Zhang L, Peel MC and Potter NJ (2015) </w:t>
      </w:r>
      <w:r w:rsidRPr="00481858">
        <w:rPr>
          <w:i/>
          <w:iCs/>
        </w:rPr>
        <w:t>The influence of multiyear drought on the annual rainfall-runoff relationship: An Australian experience</w:t>
      </w:r>
      <w:r>
        <w:t>. Water Resources Research, 51, 2444-2463.</w:t>
      </w:r>
    </w:p>
    <w:p w14:paraId="2E893F07" w14:textId="77777777" w:rsidR="007B29DD" w:rsidRDefault="007B29DD" w:rsidP="007B29DD">
      <w:pPr>
        <w:pStyle w:val="References"/>
      </w:pPr>
      <w:r>
        <w:t xml:space="preserve">Saft M, Peel MC, Western AW, Perraud J-M and Zhang L (2016), </w:t>
      </w:r>
      <w:r>
        <w:rPr>
          <w:i/>
        </w:rPr>
        <w:t>Bias in streamflow projections due to climate-induced shifts in catchment response</w:t>
      </w:r>
      <w:r>
        <w:t>. Geophysical Research Letters, 43, 1574–1581, doi:10.1002/2015GL067326.</w:t>
      </w:r>
    </w:p>
    <w:p w14:paraId="6243C4CF" w14:textId="77777777" w:rsidR="007B29DD" w:rsidRDefault="007B29DD" w:rsidP="007B29DD">
      <w:pPr>
        <w:pStyle w:val="References"/>
      </w:pPr>
      <w:r w:rsidRPr="001D2C59">
        <w:t xml:space="preserve">Satheesh A. 2017. Stochastic Analysis Tool. In </w:t>
      </w:r>
      <w:r>
        <w:t>e</w:t>
      </w:r>
      <w:r w:rsidRPr="001D2C59">
        <w:t xml:space="preserve">Water Source </w:t>
      </w:r>
      <w:r>
        <w:t>User Guide 5.0</w:t>
      </w:r>
      <w:r w:rsidRPr="001D2C59">
        <w:t>. Available at: https://wiki.ewater.org.au/display/SD50/Stochastic+Analysis+Tool</w:t>
      </w:r>
    </w:p>
    <w:p w14:paraId="5CE22E29" w14:textId="77777777" w:rsidR="007B29DD" w:rsidRDefault="007B29DD" w:rsidP="007B29DD">
      <w:pPr>
        <w:pStyle w:val="References"/>
      </w:pPr>
      <w:r>
        <w:t xml:space="preserve">Seqwater (2017) </w:t>
      </w:r>
      <w:r w:rsidRPr="00A21E7A">
        <w:rPr>
          <w:i/>
          <w:iCs/>
        </w:rPr>
        <w:t>Water for Life. South-East Queensland’s Water Security Program. 2016-2046</w:t>
      </w:r>
      <w:r>
        <w:t>. Version 2, March 2017.</w:t>
      </w:r>
      <w:r w:rsidRPr="00A21E7A">
        <w:t xml:space="preserve"> ISBN-13:978-0-9943790-0-9</w:t>
      </w:r>
      <w:r>
        <w:t>.</w:t>
      </w:r>
    </w:p>
    <w:p w14:paraId="6C11C97C" w14:textId="77777777" w:rsidR="007B29DD" w:rsidRDefault="007B29DD" w:rsidP="007B29DD">
      <w:pPr>
        <w:pStyle w:val="References"/>
      </w:pPr>
      <w:r>
        <w:t xml:space="preserve">Sinclair Knight Merz (SKM) (2011) </w:t>
      </w:r>
      <w:r w:rsidRPr="006D5388">
        <w:rPr>
          <w:i/>
          <w:iCs/>
        </w:rPr>
        <w:t>STEDI: Estimating the impact of farm dams on streamflow: User Manual</w:t>
      </w:r>
      <w:r>
        <w:t>. Produced for the Department of Sustainability and Environment, Victoria, July 2011.</w:t>
      </w:r>
    </w:p>
    <w:p w14:paraId="016B9E26" w14:textId="77777777" w:rsidR="007B29DD" w:rsidRDefault="007B29DD" w:rsidP="007B29DD">
      <w:pPr>
        <w:pStyle w:val="References"/>
      </w:pPr>
      <w:r>
        <w:t>Siriwardena L, Srikanthan R, McMahon TA. (2002) Evaluation of Two Daily Rainfall Data Generation Models. Melbourne.</w:t>
      </w:r>
    </w:p>
    <w:p w14:paraId="189ED446" w14:textId="77777777" w:rsidR="007B29DD" w:rsidRDefault="007B29DD" w:rsidP="007B29DD">
      <w:pPr>
        <w:pStyle w:val="References"/>
      </w:pPr>
      <w:r>
        <w:t>Srikanthan R. (2005) Stochastic Generation of Daily Rainfall Data Using a Nested Transition Probability Matrix Model. In 29th Hydrology and Water Resources Symposium: Water Capital, Engineers Australia: Canberra; 26–33.</w:t>
      </w:r>
    </w:p>
    <w:p w14:paraId="20424B50" w14:textId="77777777" w:rsidR="007B29DD" w:rsidRDefault="007B29DD" w:rsidP="007B29DD">
      <w:pPr>
        <w:pStyle w:val="References"/>
      </w:pPr>
      <w:r>
        <w:t>Srikanthan R. (2006) Stochastic Generation of Spatially Consistent Daily Rainfall at Multiple Sites. In 30th Hydrology &amp; Water Resources Symposium: Past, Present &amp; Future, Engineers Australia: Launceston, Tasmania, Australia; 408–413.</w:t>
      </w:r>
    </w:p>
    <w:p w14:paraId="2A4FFECA" w14:textId="77777777" w:rsidR="007B29DD" w:rsidRDefault="007B29DD" w:rsidP="007B29DD">
      <w:pPr>
        <w:pStyle w:val="References"/>
      </w:pPr>
      <w:r>
        <w:t>Srikanthan R, Kuczera G, Thyer M, McMahon TA. (2002a) Stochastic Generation of Annual Rainfall Data. Melbourne.</w:t>
      </w:r>
    </w:p>
    <w:p w14:paraId="59EE487C" w14:textId="77777777" w:rsidR="007B29DD" w:rsidRDefault="007B29DD" w:rsidP="007B29DD">
      <w:pPr>
        <w:pStyle w:val="References"/>
      </w:pPr>
      <w:r>
        <w:t>Srikanthan R, McMahon TA, Sharma A. (2002b) Stochastic Generation of Monthly Rainfall Data. Melbourne.</w:t>
      </w:r>
    </w:p>
    <w:p w14:paraId="255FAEFA" w14:textId="77777777" w:rsidR="007B29DD" w:rsidRDefault="007B29DD" w:rsidP="007B29DD">
      <w:pPr>
        <w:pStyle w:val="References"/>
      </w:pPr>
      <w:r>
        <w:t>Srikanthan R, Zhou SL. (2003) Stochastic Generation of Climate Data. Melbourne.</w:t>
      </w:r>
    </w:p>
    <w:p w14:paraId="62C87A98" w14:textId="77777777" w:rsidR="007B29DD" w:rsidRDefault="007B29DD" w:rsidP="007B29DD">
      <w:pPr>
        <w:pStyle w:val="References"/>
      </w:pPr>
      <w:r>
        <w:t>Srikanthan R, Chiew F, Frost A. (2007) SCL Stochastic Climate Library, User Manual</w:t>
      </w:r>
    </w:p>
    <w:p w14:paraId="401407E3" w14:textId="77777777" w:rsidR="007B29DD" w:rsidRDefault="007B29DD" w:rsidP="007B29DD">
      <w:pPr>
        <w:pStyle w:val="References"/>
      </w:pPr>
      <w:r>
        <w:t xml:space="preserve">Steinschneider S and Brown C (2013) </w:t>
      </w:r>
      <w:r w:rsidRPr="00886306">
        <w:rPr>
          <w:i/>
          <w:iCs/>
        </w:rPr>
        <w:t>A semiparametric multivariate, multisite weather generator with low-frequency variability for use in climate risk assessments</w:t>
      </w:r>
      <w:r>
        <w:t xml:space="preserve">. Water Resources Research Vol. 49, Issue II, pp. 7205-7220. </w:t>
      </w:r>
      <w:hyperlink r:id="rId71" w:history="1">
        <w:r w:rsidRPr="0018001D">
          <w:rPr>
            <w:rStyle w:val="Hyperlink"/>
          </w:rPr>
          <w:t>https://doi.org/10.1002/wrcr.20528</w:t>
        </w:r>
      </w:hyperlink>
    </w:p>
    <w:p w14:paraId="5B7F742B" w14:textId="77777777" w:rsidR="007B29DD" w:rsidRDefault="007B29DD" w:rsidP="007B29DD">
      <w:pPr>
        <w:pStyle w:val="References"/>
      </w:pPr>
      <w:r>
        <w:lastRenderedPageBreak/>
        <w:t xml:space="preserve">Stephens CM, McVicar TR, Johnson FM and Marshall LA (2018) </w:t>
      </w:r>
      <w:r w:rsidRPr="001B334E">
        <w:rPr>
          <w:i/>
          <w:iCs/>
        </w:rPr>
        <w:t>Revisiting Pan Evaporation Trends in Australia a Decade on</w:t>
      </w:r>
      <w:r>
        <w:t xml:space="preserve">. Geophysical Research Letters, Volume 45, Issue 20. </w:t>
      </w:r>
      <w:hyperlink r:id="rId72" w:history="1">
        <w:r w:rsidRPr="00027D7D">
          <w:rPr>
            <w:rStyle w:val="Hyperlink"/>
          </w:rPr>
          <w:t>https://doi.org/10.1029/2018GL079332</w:t>
        </w:r>
      </w:hyperlink>
    </w:p>
    <w:p w14:paraId="43987441" w14:textId="77777777" w:rsidR="007B29DD" w:rsidRDefault="007B29DD" w:rsidP="007B29DD">
      <w:pPr>
        <w:pStyle w:val="References"/>
      </w:pPr>
      <w:r>
        <w:t xml:space="preserve">Tan KS and Neal B (2018) </w:t>
      </w:r>
      <w:r w:rsidRPr="00E85189">
        <w:rPr>
          <w:i/>
          <w:iCs/>
        </w:rPr>
        <w:t>Changes in Annual Rainfall Runoff Responses in Melbourne’s Major Water Supply Catchments</w:t>
      </w:r>
      <w:r>
        <w:t xml:space="preserve">. Hydrology and Water Resources Symposium, 3-6 December 2018. </w:t>
      </w:r>
    </w:p>
    <w:p w14:paraId="4AB0CB43" w14:textId="77777777" w:rsidR="007B29DD" w:rsidRDefault="007B29DD" w:rsidP="007B29DD">
      <w:pPr>
        <w:pStyle w:val="References"/>
      </w:pPr>
      <w:r w:rsidRPr="00836DE5">
        <w:t>Thyer M, Frost A, Kuczera G, Srikanthan R. 2006. Stochastic modelling of (not-so) long-term hydrological data: current status and future research. In 30th Hydrology &amp; Water Resources Symposium: Past, Present and FutureEngineers Australia: Launceston, Tasmania, Australia; 321–326.</w:t>
      </w:r>
    </w:p>
    <w:p w14:paraId="7B72A785" w14:textId="77777777" w:rsidR="007B29DD" w:rsidRDefault="007B29DD" w:rsidP="007B29DD">
      <w:pPr>
        <w:pStyle w:val="References"/>
      </w:pPr>
      <w:r>
        <w:t xml:space="preserve">Timbal, B et al. (2015) </w:t>
      </w:r>
      <w:r w:rsidRPr="00C05C8B">
        <w:rPr>
          <w:i/>
        </w:rPr>
        <w:t>Murray Basin Cluster Report</w:t>
      </w:r>
      <w:r>
        <w:t>. Climate Change in Australia Projections for Australia’s Natural Resource Management Regions: Cluster Reports, eds. Ekström, M. et al., CSIRO and Bureau of Meteorology, Australia.</w:t>
      </w:r>
    </w:p>
    <w:p w14:paraId="7891A5E1" w14:textId="77777777" w:rsidR="007B29DD" w:rsidRDefault="007B29DD" w:rsidP="007B29DD">
      <w:pPr>
        <w:pStyle w:val="References"/>
      </w:pPr>
      <w:r>
        <w:t xml:space="preserve">Timbal, B et al. (2016), </w:t>
      </w:r>
      <w:r>
        <w:rPr>
          <w:i/>
        </w:rPr>
        <w:t>Climate Change Science and Victoria</w:t>
      </w:r>
      <w:r>
        <w:t>, Victoria Climate Initiative (VicCI) report, Bureau of Meteorology and CSIRO, Australia.</w:t>
      </w:r>
    </w:p>
    <w:p w14:paraId="06959FA7" w14:textId="77777777" w:rsidR="007B29DD" w:rsidRDefault="007B29DD" w:rsidP="007B29DD">
      <w:pPr>
        <w:pStyle w:val="References"/>
      </w:pPr>
      <w:r>
        <w:t xml:space="preserve">Tokarska KB, Stolpe MB, Sippel S, Fischer EM, Smith CJ, Lehner F and Knutti R (2020) </w:t>
      </w:r>
      <w:r w:rsidRPr="000667AA">
        <w:rPr>
          <w:i/>
          <w:iCs/>
        </w:rPr>
        <w:t>Past warming trend constrains future warming in CMIP6 models.</w:t>
      </w:r>
      <w:r>
        <w:t xml:space="preserve"> Science Advances, </w:t>
      </w:r>
      <w:r w:rsidRPr="00FD3787">
        <w:t>2020; 6:eaaz9549</w:t>
      </w:r>
      <w:r>
        <w:t xml:space="preserve">. </w:t>
      </w:r>
      <w:hyperlink r:id="rId73" w:history="1">
        <w:r w:rsidRPr="00673319">
          <w:rPr>
            <w:rStyle w:val="Hyperlink"/>
          </w:rPr>
          <w:t>https://advances.sciencemag.org/content/6/12/eaaz9549</w:t>
        </w:r>
      </w:hyperlink>
      <w:r>
        <w:t xml:space="preserve"> </w:t>
      </w:r>
    </w:p>
    <w:p w14:paraId="351A8756" w14:textId="77777777" w:rsidR="007B29DD" w:rsidRDefault="007B29DD" w:rsidP="007B29DD">
      <w:pPr>
        <w:pStyle w:val="References"/>
      </w:pPr>
      <w:r w:rsidRPr="00A516EE">
        <w:t>UK Met</w:t>
      </w:r>
      <w:r>
        <w:t xml:space="preserve"> </w:t>
      </w:r>
      <w:r w:rsidRPr="00A516EE">
        <w:t xml:space="preserve">Office (2020) </w:t>
      </w:r>
      <w:r w:rsidRPr="000667AA">
        <w:rPr>
          <w:i/>
          <w:iCs/>
        </w:rPr>
        <w:t>Australian bushfires help push forecast 2020 CO</w:t>
      </w:r>
      <w:r w:rsidRPr="000667AA">
        <w:rPr>
          <w:rFonts w:ascii="Cambria Math" w:hAnsi="Cambria Math" w:cs="Cambria Math"/>
          <w:i/>
          <w:iCs/>
        </w:rPr>
        <w:t>₂</w:t>
      </w:r>
      <w:r w:rsidRPr="000667AA">
        <w:rPr>
          <w:i/>
          <w:iCs/>
        </w:rPr>
        <w:t xml:space="preserve"> rise</w:t>
      </w:r>
      <w:r w:rsidRPr="00A516EE">
        <w:t>. https://www.metoffice.gov.uk/about-us/press-office/news/weather-and-climate/2020/2020-global-co2-forecast. Accessed 1/5/2020.</w:t>
      </w:r>
    </w:p>
    <w:p w14:paraId="55C6B486" w14:textId="77777777" w:rsidR="007B29DD" w:rsidRDefault="007B29DD" w:rsidP="007B29DD">
      <w:pPr>
        <w:pStyle w:val="References"/>
      </w:pPr>
      <w:r>
        <w:t xml:space="preserve">United Nations Framework Convention on Climate Change (UNFCCC) (2016) </w:t>
      </w:r>
      <w:r w:rsidRPr="007402D2">
        <w:rPr>
          <w:i/>
          <w:iCs/>
        </w:rPr>
        <w:t>Report of the Conference of the Parties on its twenty-first session, held in Paris from 30 November to 13 December 2015. Addendum. Part two: Action taken by the Conference of the Parties at its twenty-first session</w:t>
      </w:r>
      <w:r>
        <w:t>.</w:t>
      </w:r>
      <w:r w:rsidRPr="007402D2">
        <w:t xml:space="preserve"> </w:t>
      </w:r>
      <w:r>
        <w:t xml:space="preserve">Decision 1/CP.21. </w:t>
      </w:r>
      <w:r w:rsidRPr="007402D2">
        <w:t>FCCC/CP/2015/10/Add.1</w:t>
      </w:r>
    </w:p>
    <w:p w14:paraId="4308610E" w14:textId="77777777" w:rsidR="007B29DD" w:rsidRDefault="007B29DD" w:rsidP="007B29DD">
      <w:pPr>
        <w:pStyle w:val="References"/>
      </w:pPr>
      <w:r>
        <w:t xml:space="preserve">United States National Severe Storm Laboratory (2020) </w:t>
      </w:r>
      <w:r>
        <w:rPr>
          <w:i/>
          <w:iCs/>
        </w:rPr>
        <w:t>Severe Weather 101 – Winter Weather</w:t>
      </w:r>
      <w:r>
        <w:t xml:space="preserve"> </w:t>
      </w:r>
      <w:hyperlink r:id="rId74" w:history="1">
        <w:r>
          <w:rPr>
            <w:rStyle w:val="Hyperlink"/>
          </w:rPr>
          <w:t>https://www.nssl.noaa.gov/education/svrwx101/winter/faq/</w:t>
        </w:r>
      </w:hyperlink>
      <w:r>
        <w:t xml:space="preserve"> accessed 13/2/2020.</w:t>
      </w:r>
    </w:p>
    <w:p w14:paraId="338030E6" w14:textId="77777777" w:rsidR="007B29DD" w:rsidRDefault="007B29DD" w:rsidP="007B29DD">
      <w:pPr>
        <w:pStyle w:val="References"/>
      </w:pPr>
      <w:r>
        <w:t xml:space="preserve">van Kalkan T, Nachiappan N, Berry D and Skinner J (2012) </w:t>
      </w:r>
      <w:r w:rsidRPr="00AD6F4F">
        <w:rPr>
          <w:i/>
          <w:iCs/>
        </w:rPr>
        <w:t>An optimized, real time water delivery and management system for the Murrumbidgee River</w:t>
      </w:r>
      <w:r>
        <w:t>. Hydrology and Water Resources Symposium 2012.</w:t>
      </w:r>
    </w:p>
    <w:p w14:paraId="57E0C716" w14:textId="77777777" w:rsidR="007B29DD" w:rsidRDefault="007B29DD" w:rsidP="007B29DD">
      <w:pPr>
        <w:pStyle w:val="References"/>
      </w:pPr>
      <w:r>
        <w:t xml:space="preserve">Verdon-Kidd DC and Kiem AS (2009) </w:t>
      </w:r>
      <w:r w:rsidRPr="008B0086">
        <w:rPr>
          <w:i/>
          <w:iCs/>
        </w:rPr>
        <w:t>Nature and causes of protracted droughts in south east Australia – Comparison between the Federation, WWII and Big Dry droughts</w:t>
      </w:r>
      <w:r>
        <w:t>. Geophysical Research Letters, 36, L22707, doi:10.1029/2009GL041067.</w:t>
      </w:r>
    </w:p>
    <w:p w14:paraId="65428788" w14:textId="77777777" w:rsidR="007B29DD" w:rsidRDefault="007B29DD" w:rsidP="007B29DD">
      <w:pPr>
        <w:pStyle w:val="References"/>
      </w:pPr>
      <w:r>
        <w:t xml:space="preserve">Verdon-Kidd D, Beatty R and Allen K (2019) </w:t>
      </w:r>
      <w:r w:rsidRPr="00CD6A5F">
        <w:rPr>
          <w:i/>
          <w:iCs/>
        </w:rPr>
        <w:t>Planning Urban Water System Responses to Megadrought. How looking back can help us look forward</w:t>
      </w:r>
      <w:r>
        <w:t>. Water e-journal. ISSN-2206-1991. Volume 4, No. 3, 2019. https://doi.org/10.21139/wej.2019.020.</w:t>
      </w:r>
    </w:p>
    <w:p w14:paraId="445665DD" w14:textId="77777777" w:rsidR="007B29DD" w:rsidRDefault="007B29DD" w:rsidP="007B29DD">
      <w:pPr>
        <w:pStyle w:val="References"/>
        <w:rPr>
          <w:color w:val="auto"/>
        </w:rPr>
      </w:pPr>
      <w:r>
        <w:rPr>
          <w:color w:val="auto"/>
        </w:rPr>
        <w:t xml:space="preserve">Wasko C and Nathan R (2019) </w:t>
      </w:r>
      <w:r>
        <w:rPr>
          <w:i/>
          <w:iCs/>
          <w:color w:val="auto"/>
        </w:rPr>
        <w:t>Influence of changes in rainfall and soil moisture on trends in flooding</w:t>
      </w:r>
      <w:r>
        <w:rPr>
          <w:color w:val="auto"/>
        </w:rPr>
        <w:t xml:space="preserve">. Journal of Hydrology 575 (2019) 432-441. </w:t>
      </w:r>
      <w:hyperlink r:id="rId75" w:history="1">
        <w:r>
          <w:rPr>
            <w:rStyle w:val="Hyperlink"/>
          </w:rPr>
          <w:t>https://doi.org/10.1016/j.jhydrol.2019.05.054</w:t>
        </w:r>
      </w:hyperlink>
    </w:p>
    <w:p w14:paraId="418EB9FC" w14:textId="77777777" w:rsidR="007B29DD" w:rsidRDefault="007B29DD" w:rsidP="007B29DD">
      <w:pPr>
        <w:pStyle w:val="References"/>
      </w:pPr>
      <w:r>
        <w:t xml:space="preserve">Wasko C and Sharma A (2015) </w:t>
      </w:r>
      <w:r w:rsidRPr="00F63DE7">
        <w:rPr>
          <w:i/>
          <w:iCs/>
        </w:rPr>
        <w:t>Steeper temporal distribution of rain intensity at higher temperatures within Australian storms</w:t>
      </w:r>
      <w:r>
        <w:t>. Natural Geoscience, 8 June 2015.</w:t>
      </w:r>
    </w:p>
    <w:p w14:paraId="1B81C533" w14:textId="77777777" w:rsidR="007B29DD" w:rsidRDefault="007B29DD" w:rsidP="007B29DD">
      <w:pPr>
        <w:pStyle w:val="References"/>
      </w:pPr>
      <w:r>
        <w:t xml:space="preserve">Wasko C, Lu WT and Mehrotra R (2018) </w:t>
      </w:r>
      <w:r w:rsidRPr="00F63DE7">
        <w:rPr>
          <w:i/>
          <w:iCs/>
        </w:rPr>
        <w:t>Relationship of extreme precipitation, dry-bulb temperature, and dew point temperature across Australia</w:t>
      </w:r>
      <w:r>
        <w:t>. Environmental Research Letters, 13 (2018) 074031.</w:t>
      </w:r>
    </w:p>
    <w:p w14:paraId="5C770866" w14:textId="77777777" w:rsidR="007B29DD" w:rsidRDefault="007B29DD" w:rsidP="007B29DD">
      <w:pPr>
        <w:pStyle w:val="References"/>
      </w:pPr>
      <w:r>
        <w:t xml:space="preserve">Water Services Association of Australia (WSAA) (2016) </w:t>
      </w:r>
      <w:r w:rsidRPr="00853274">
        <w:rPr>
          <w:i/>
        </w:rPr>
        <w:t>Climate Change Adaptation Guidelines</w:t>
      </w:r>
      <w:r>
        <w:t>. February 2016. WSA 303 – 2016-v1.2</w:t>
      </w:r>
    </w:p>
    <w:p w14:paraId="5D8A06D9" w14:textId="77777777" w:rsidR="007B29DD" w:rsidRDefault="007B29DD" w:rsidP="007B29DD">
      <w:pPr>
        <w:pStyle w:val="References"/>
      </w:pPr>
      <w:r>
        <w:t xml:space="preserve">World Meteorological Organization (2020) </w:t>
      </w:r>
      <w:r w:rsidRPr="007558C3">
        <w:rPr>
          <w:i/>
          <w:iCs/>
        </w:rPr>
        <w:t>WMO Statement on the State of the Global Climate in 2019</w:t>
      </w:r>
      <w:r>
        <w:t>. WMO-No. 1248.</w:t>
      </w:r>
      <w:r w:rsidRPr="007558C3">
        <w:t xml:space="preserve"> ISBN 978-92-63-11248-4</w:t>
      </w:r>
      <w:r>
        <w:t>.</w:t>
      </w:r>
    </w:p>
    <w:p w14:paraId="13358BDA" w14:textId="77777777" w:rsidR="007B29DD" w:rsidRDefault="007B29DD" w:rsidP="007B29DD">
      <w:pPr>
        <w:pStyle w:val="References"/>
      </w:pPr>
      <w:r>
        <w:t>Wu Z, Huang NE. 2004. A study of the characteristics of white noise using the empirical mode decomposition method. Proceedings of the Royal Society of London. Series A: Mathematical, Physical and Engineering Sciences 460 (2046): 1597–1611</w:t>
      </w:r>
    </w:p>
    <w:p w14:paraId="0842D595" w14:textId="77777777" w:rsidR="007B29DD" w:rsidRDefault="007B29DD" w:rsidP="007B29DD">
      <w:pPr>
        <w:pStyle w:val="References"/>
      </w:pPr>
      <w:r>
        <w:t>Wu Z, Huang NE. 2009. Ensemble empirical mode decomposition: a noise-assisted data analysis method. Advances in Adaptive Data Analysis 1 (01): 1–41</w:t>
      </w:r>
    </w:p>
    <w:p w14:paraId="07086F21" w14:textId="77777777" w:rsidR="007B29DD" w:rsidRDefault="007B29DD" w:rsidP="007B29DD">
      <w:pPr>
        <w:rPr>
          <w:rFonts w:cs="Times New Roman"/>
        </w:rPr>
      </w:pPr>
      <w:r>
        <w:br w:type="page"/>
      </w:r>
    </w:p>
    <w:p w14:paraId="699BE8BA" w14:textId="77777777" w:rsidR="007B29DD" w:rsidRDefault="007B29DD" w:rsidP="007B29DD">
      <w:pPr>
        <w:pStyle w:val="Heading1NoNumber"/>
      </w:pPr>
      <w:bookmarkStart w:id="804" w:name="_Toc310023292"/>
      <w:bookmarkStart w:id="805" w:name="_Toc310023507"/>
      <w:bookmarkStart w:id="806" w:name="_Toc310023842"/>
      <w:bookmarkStart w:id="807" w:name="_Toc310023859"/>
      <w:bookmarkStart w:id="808" w:name="_Toc310023873"/>
      <w:bookmarkStart w:id="809" w:name="_Toc310023885"/>
      <w:bookmarkStart w:id="810" w:name="_Toc310023897"/>
      <w:bookmarkStart w:id="811" w:name="_Toc372460097"/>
      <w:bookmarkStart w:id="812" w:name="_Toc372748005"/>
      <w:bookmarkStart w:id="813" w:name="_Toc372748095"/>
      <w:bookmarkStart w:id="814" w:name="_Toc372748185"/>
      <w:bookmarkStart w:id="815" w:name="_Toc379299479"/>
      <w:bookmarkStart w:id="816" w:name="_Toc420521701"/>
      <w:bookmarkStart w:id="817" w:name="_Toc483576265"/>
      <w:bookmarkStart w:id="818" w:name="_Toc43476525"/>
      <w:bookmarkStart w:id="819" w:name="_Toc44928770"/>
      <w:bookmarkStart w:id="820" w:name="_Toc51658042"/>
      <w:bookmarkStart w:id="821" w:name="_Toc53585947"/>
      <w:bookmarkStart w:id="822" w:name="_Toc57377198"/>
      <w:r w:rsidRPr="009C0715">
        <w:lastRenderedPageBreak/>
        <w:t>Glossary</w:t>
      </w:r>
      <w:bookmarkStart w:id="823" w:name="_GlossaryMarke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tbl>
      <w:tblPr>
        <w:tblW w:w="0" w:type="auto"/>
        <w:tblLook w:val="0400" w:firstRow="0" w:lastRow="0" w:firstColumn="0" w:lastColumn="0" w:noHBand="0" w:noVBand="1"/>
      </w:tblPr>
      <w:tblGrid>
        <w:gridCol w:w="2376"/>
        <w:gridCol w:w="7195"/>
      </w:tblGrid>
      <w:tr w:rsidR="007B29DD" w14:paraId="69D14357" w14:textId="77777777" w:rsidTr="00306AF1">
        <w:tc>
          <w:tcPr>
            <w:tcW w:w="2376" w:type="dxa"/>
          </w:tcPr>
          <w:p w14:paraId="1D3C1A10" w14:textId="77777777" w:rsidR="007B29DD" w:rsidRPr="00C64707" w:rsidRDefault="007B29DD" w:rsidP="00306AF1">
            <w:pPr>
              <w:pStyle w:val="BodyText"/>
              <w:rPr>
                <w:b/>
              </w:rPr>
            </w:pPr>
            <w:r>
              <w:rPr>
                <w:b/>
              </w:rPr>
              <w:t>Adaptation</w:t>
            </w:r>
          </w:p>
        </w:tc>
        <w:tc>
          <w:tcPr>
            <w:tcW w:w="7195" w:type="dxa"/>
          </w:tcPr>
          <w:p w14:paraId="25C0A045" w14:textId="77777777" w:rsidR="007B29DD" w:rsidRPr="003D1F67" w:rsidRDefault="007B29DD" w:rsidP="00306AF1">
            <w:pPr>
              <w:pStyle w:val="BodyText"/>
              <w:rPr>
                <w:bCs/>
              </w:rPr>
            </w:pPr>
            <w:r w:rsidRPr="003D1F67">
              <w:rPr>
                <w:bCs/>
              </w:rPr>
              <w:t>Changes made to natural or human systems to prepare for actual or expected changes in the climate in order to minimise harm, act on opportunities or cope with the consequences.</w:t>
            </w:r>
          </w:p>
        </w:tc>
      </w:tr>
      <w:tr w:rsidR="007B29DD" w14:paraId="28BC5B6F" w14:textId="77777777" w:rsidTr="00306AF1">
        <w:tc>
          <w:tcPr>
            <w:tcW w:w="2376" w:type="dxa"/>
          </w:tcPr>
          <w:p w14:paraId="1C115D5D" w14:textId="77777777" w:rsidR="007B29DD" w:rsidRDefault="007B29DD" w:rsidP="00306AF1">
            <w:pPr>
              <w:pStyle w:val="BodyText"/>
              <w:rPr>
                <w:b/>
              </w:rPr>
            </w:pPr>
            <w:r>
              <w:rPr>
                <w:b/>
              </w:rPr>
              <w:t>Anthropogenic climate change</w:t>
            </w:r>
          </w:p>
        </w:tc>
        <w:tc>
          <w:tcPr>
            <w:tcW w:w="7195" w:type="dxa"/>
          </w:tcPr>
          <w:p w14:paraId="61377CD1" w14:textId="77777777" w:rsidR="007B29DD" w:rsidRDefault="007B29DD" w:rsidP="00306AF1">
            <w:pPr>
              <w:pStyle w:val="BodyText"/>
            </w:pPr>
            <w:r>
              <w:t>Climate change attributable to anthropogenic forcing.</w:t>
            </w:r>
          </w:p>
        </w:tc>
      </w:tr>
      <w:tr w:rsidR="007B29DD" w14:paraId="75DC92F1" w14:textId="77777777" w:rsidTr="00306AF1">
        <w:tc>
          <w:tcPr>
            <w:tcW w:w="2376" w:type="dxa"/>
          </w:tcPr>
          <w:p w14:paraId="5D0C6E50" w14:textId="77777777" w:rsidR="007B29DD" w:rsidRDefault="007B29DD" w:rsidP="00306AF1">
            <w:pPr>
              <w:pStyle w:val="BodyText"/>
              <w:rPr>
                <w:b/>
              </w:rPr>
            </w:pPr>
            <w:r>
              <w:rPr>
                <w:b/>
              </w:rPr>
              <w:t>Anthropogenic forcing</w:t>
            </w:r>
          </w:p>
        </w:tc>
        <w:tc>
          <w:tcPr>
            <w:tcW w:w="7195" w:type="dxa"/>
          </w:tcPr>
          <w:p w14:paraId="40F0EDB8" w14:textId="77777777" w:rsidR="007B29DD" w:rsidRDefault="007B29DD" w:rsidP="00306AF1">
            <w:pPr>
              <w:pStyle w:val="BodyText"/>
            </w:pPr>
            <w:r>
              <w:t>Increases in energy in the world’s atmosphere associated human activity.</w:t>
            </w:r>
          </w:p>
        </w:tc>
      </w:tr>
      <w:tr w:rsidR="007B29DD" w14:paraId="16EFE3C8" w14:textId="77777777" w:rsidTr="00306AF1">
        <w:tc>
          <w:tcPr>
            <w:tcW w:w="2376" w:type="dxa"/>
          </w:tcPr>
          <w:p w14:paraId="29FE255B" w14:textId="77777777" w:rsidR="007B29DD" w:rsidRDefault="007B29DD" w:rsidP="00306AF1">
            <w:pPr>
              <w:pStyle w:val="BodyText"/>
              <w:rPr>
                <w:b/>
              </w:rPr>
            </w:pPr>
            <w:r>
              <w:rPr>
                <w:b/>
              </w:rPr>
              <w:t>Carbon dioxide (CO</w:t>
            </w:r>
            <w:r w:rsidRPr="003D1F67">
              <w:rPr>
                <w:b/>
                <w:vertAlign w:val="subscript"/>
              </w:rPr>
              <w:t>2</w:t>
            </w:r>
            <w:r>
              <w:rPr>
                <w:b/>
              </w:rPr>
              <w:t>)</w:t>
            </w:r>
          </w:p>
        </w:tc>
        <w:tc>
          <w:tcPr>
            <w:tcW w:w="7195" w:type="dxa"/>
          </w:tcPr>
          <w:p w14:paraId="15EBED00" w14:textId="77777777" w:rsidR="007B29DD" w:rsidRDefault="007B29DD" w:rsidP="00306AF1">
            <w:pPr>
              <w:pStyle w:val="BodyText"/>
            </w:pPr>
            <w:r>
              <w:t>A naturally occurring gas, also a by-product of human actions such as burning fossil fuels or land use changes. It is the main human-generated greenhouse gas that affects the Earth’s atmosphere.</w:t>
            </w:r>
          </w:p>
        </w:tc>
      </w:tr>
      <w:tr w:rsidR="007B29DD" w14:paraId="62DEF90B" w14:textId="77777777" w:rsidTr="00306AF1">
        <w:tc>
          <w:tcPr>
            <w:tcW w:w="2376" w:type="dxa"/>
          </w:tcPr>
          <w:p w14:paraId="0C022DC6" w14:textId="77777777" w:rsidR="007B29DD" w:rsidRDefault="007B29DD" w:rsidP="00306AF1">
            <w:pPr>
              <w:pStyle w:val="BodyText"/>
              <w:rPr>
                <w:b/>
              </w:rPr>
            </w:pPr>
            <w:r>
              <w:rPr>
                <w:b/>
              </w:rPr>
              <w:t>Climate</w:t>
            </w:r>
          </w:p>
        </w:tc>
        <w:tc>
          <w:tcPr>
            <w:tcW w:w="7195" w:type="dxa"/>
          </w:tcPr>
          <w:p w14:paraId="4AA2CEA9" w14:textId="77777777" w:rsidR="007B29DD" w:rsidRDefault="007B29DD" w:rsidP="00306AF1">
            <w:pPr>
              <w:pStyle w:val="BodyText"/>
            </w:pPr>
            <w:r>
              <w:t>The weather experienced at a site or region over an extended period of at least 20 years (as utilised for GCM time slices of climate conditions).</w:t>
            </w:r>
          </w:p>
        </w:tc>
      </w:tr>
      <w:tr w:rsidR="007B29DD" w14:paraId="38F89032" w14:textId="77777777" w:rsidTr="00306AF1">
        <w:tc>
          <w:tcPr>
            <w:tcW w:w="2376" w:type="dxa"/>
          </w:tcPr>
          <w:p w14:paraId="1F04F80F" w14:textId="77777777" w:rsidR="007B29DD" w:rsidRDefault="007B29DD" w:rsidP="00306AF1">
            <w:pPr>
              <w:pStyle w:val="BodyText"/>
              <w:rPr>
                <w:b/>
              </w:rPr>
            </w:pPr>
            <w:r w:rsidRPr="003D1F67">
              <w:rPr>
                <w:b/>
              </w:rPr>
              <w:t>Climate change</w:t>
            </w:r>
          </w:p>
        </w:tc>
        <w:tc>
          <w:tcPr>
            <w:tcW w:w="7195" w:type="dxa"/>
          </w:tcPr>
          <w:p w14:paraId="1CAD21DB" w14:textId="77777777" w:rsidR="007B29DD" w:rsidRDefault="007B29DD" w:rsidP="00306AF1">
            <w:pPr>
              <w:pStyle w:val="BodyText"/>
            </w:pPr>
            <w:r>
              <w:t>Changes in the state of the climate, including an increase in the occurrence of extreme weather events, long-term changes in weather patterns and sea level rise attributed directly or indirectly to human activity. Distinct from climate variability as the changes persist for an extended period, typically decades or longer.</w:t>
            </w:r>
          </w:p>
        </w:tc>
      </w:tr>
      <w:tr w:rsidR="007B29DD" w14:paraId="2161041A" w14:textId="77777777" w:rsidTr="00306AF1">
        <w:tc>
          <w:tcPr>
            <w:tcW w:w="2376" w:type="dxa"/>
          </w:tcPr>
          <w:p w14:paraId="32C0AC80" w14:textId="77777777" w:rsidR="007B29DD" w:rsidRPr="003D1F67" w:rsidRDefault="007B29DD" w:rsidP="00306AF1">
            <w:pPr>
              <w:pStyle w:val="BodyText"/>
              <w:rPr>
                <w:b/>
              </w:rPr>
            </w:pPr>
            <w:r>
              <w:rPr>
                <w:b/>
              </w:rPr>
              <w:t>Climate projection</w:t>
            </w:r>
          </w:p>
        </w:tc>
        <w:tc>
          <w:tcPr>
            <w:tcW w:w="7195" w:type="dxa"/>
          </w:tcPr>
          <w:p w14:paraId="24A67847" w14:textId="77777777" w:rsidR="007B29DD" w:rsidRDefault="007B29DD" w:rsidP="00306AF1">
            <w:pPr>
              <w:pStyle w:val="BodyText"/>
            </w:pPr>
            <w:r>
              <w:t>The modelled response of the climate system to a scenario of future concentration of greenhouse gases and aerosols, generally derived using climate models. Climate projections are based on a specific emissions scenario, for example Representative Concentration Pathways (RCPs).</w:t>
            </w:r>
          </w:p>
        </w:tc>
      </w:tr>
      <w:tr w:rsidR="007B29DD" w14:paraId="3EBDE851" w14:textId="77777777" w:rsidTr="00306AF1">
        <w:tc>
          <w:tcPr>
            <w:tcW w:w="2376" w:type="dxa"/>
          </w:tcPr>
          <w:p w14:paraId="21E717CA" w14:textId="77777777" w:rsidR="007B29DD" w:rsidRDefault="007B29DD" w:rsidP="00306AF1">
            <w:pPr>
              <w:pStyle w:val="BodyText"/>
              <w:rPr>
                <w:b/>
              </w:rPr>
            </w:pPr>
            <w:r>
              <w:rPr>
                <w:b/>
              </w:rPr>
              <w:t>Climate variability</w:t>
            </w:r>
          </w:p>
        </w:tc>
        <w:tc>
          <w:tcPr>
            <w:tcW w:w="7195" w:type="dxa"/>
          </w:tcPr>
          <w:p w14:paraId="398858A8" w14:textId="77777777" w:rsidR="007B29DD" w:rsidRDefault="007B29DD" w:rsidP="00306AF1">
            <w:pPr>
              <w:pStyle w:val="BodyText"/>
            </w:pPr>
            <w:r>
              <w:t>See Climate change.</w:t>
            </w:r>
          </w:p>
        </w:tc>
      </w:tr>
      <w:tr w:rsidR="007B29DD" w14:paraId="241420ED" w14:textId="77777777" w:rsidTr="00306AF1">
        <w:tc>
          <w:tcPr>
            <w:tcW w:w="2376" w:type="dxa"/>
          </w:tcPr>
          <w:p w14:paraId="1686499D" w14:textId="77777777" w:rsidR="007B29DD" w:rsidRDefault="007B29DD" w:rsidP="00306AF1">
            <w:pPr>
              <w:pStyle w:val="BodyText"/>
              <w:rPr>
                <w:b/>
              </w:rPr>
            </w:pPr>
            <w:r>
              <w:rPr>
                <w:b/>
              </w:rPr>
              <w:t>Coupled Model Intercomparison Project (CMIP)</w:t>
            </w:r>
          </w:p>
        </w:tc>
        <w:tc>
          <w:tcPr>
            <w:tcW w:w="7195" w:type="dxa"/>
          </w:tcPr>
          <w:p w14:paraId="38C2CBE0" w14:textId="77777777" w:rsidR="007B29DD" w:rsidRDefault="007B29DD" w:rsidP="00306AF1">
            <w:pPr>
              <w:pStyle w:val="BodyText"/>
            </w:pPr>
            <w:r>
              <w:t>A multiple-phase project that coordinates and archives climate model simulations, based on shared model inputs, by modelling groups from around the world. Models from Phase 5 (CMIP5) informed the Intergovernmental Panel on Climate Change's Fifth Assessment Report, while models from Phase 6 (CMIP6) will feed into the Sixth Assessment Report.</w:t>
            </w:r>
          </w:p>
        </w:tc>
      </w:tr>
      <w:tr w:rsidR="007B29DD" w14:paraId="11EB2D89" w14:textId="77777777" w:rsidTr="00306AF1">
        <w:tc>
          <w:tcPr>
            <w:tcW w:w="2376" w:type="dxa"/>
          </w:tcPr>
          <w:p w14:paraId="333FE1B1" w14:textId="77777777" w:rsidR="007B29DD" w:rsidRDefault="007B29DD" w:rsidP="00306AF1">
            <w:pPr>
              <w:pStyle w:val="BodyText"/>
              <w:rPr>
                <w:b/>
              </w:rPr>
            </w:pPr>
            <w:r>
              <w:rPr>
                <w:b/>
              </w:rPr>
              <w:t>Cool Season</w:t>
            </w:r>
          </w:p>
        </w:tc>
        <w:tc>
          <w:tcPr>
            <w:tcW w:w="7195" w:type="dxa"/>
          </w:tcPr>
          <w:p w14:paraId="34C2029E" w14:textId="77777777" w:rsidR="007B29DD" w:rsidRDefault="007B29DD" w:rsidP="00306AF1">
            <w:pPr>
              <w:pStyle w:val="BodyText"/>
            </w:pPr>
            <w:r>
              <w:t>For Victoria, the cool season is assumed to run from April to October.</w:t>
            </w:r>
          </w:p>
        </w:tc>
      </w:tr>
      <w:tr w:rsidR="007B29DD" w14:paraId="389DC477" w14:textId="77777777" w:rsidTr="00306AF1">
        <w:tc>
          <w:tcPr>
            <w:tcW w:w="2376" w:type="dxa"/>
          </w:tcPr>
          <w:p w14:paraId="063E94D9" w14:textId="77777777" w:rsidR="007B29DD" w:rsidRDefault="007B29DD" w:rsidP="00306AF1">
            <w:pPr>
              <w:pStyle w:val="BodyText"/>
              <w:rPr>
                <w:b/>
              </w:rPr>
            </w:pPr>
            <w:r>
              <w:rPr>
                <w:b/>
              </w:rPr>
              <w:t>DELWP</w:t>
            </w:r>
          </w:p>
        </w:tc>
        <w:tc>
          <w:tcPr>
            <w:tcW w:w="7195" w:type="dxa"/>
          </w:tcPr>
          <w:p w14:paraId="29E10587" w14:textId="77777777" w:rsidR="007B29DD" w:rsidRDefault="007B29DD" w:rsidP="00306AF1">
            <w:pPr>
              <w:pStyle w:val="BodyText"/>
            </w:pPr>
            <w:r w:rsidRPr="004C70FA">
              <w:rPr>
                <w:lang w:val="en-US"/>
              </w:rPr>
              <w:t>Victorian Department of Environment, Land, Water and Planning</w:t>
            </w:r>
            <w:r>
              <w:rPr>
                <w:lang w:val="en-US"/>
              </w:rPr>
              <w:t>.</w:t>
            </w:r>
          </w:p>
        </w:tc>
      </w:tr>
      <w:tr w:rsidR="007B29DD" w14:paraId="1F2D8E95" w14:textId="77777777" w:rsidTr="00306AF1">
        <w:tc>
          <w:tcPr>
            <w:tcW w:w="2376" w:type="dxa"/>
          </w:tcPr>
          <w:p w14:paraId="1786DA75" w14:textId="77777777" w:rsidR="007B29DD" w:rsidRDefault="007B29DD" w:rsidP="00306AF1">
            <w:pPr>
              <w:pStyle w:val="BodyText"/>
              <w:rPr>
                <w:b/>
              </w:rPr>
            </w:pPr>
            <w:r>
              <w:rPr>
                <w:b/>
              </w:rPr>
              <w:t>Downscaling</w:t>
            </w:r>
          </w:p>
        </w:tc>
        <w:tc>
          <w:tcPr>
            <w:tcW w:w="7195" w:type="dxa"/>
          </w:tcPr>
          <w:p w14:paraId="2B776A16" w14:textId="77777777" w:rsidR="007B29DD" w:rsidRDefault="007B29DD" w:rsidP="00306AF1">
            <w:pPr>
              <w:pStyle w:val="BodyText"/>
            </w:pPr>
            <w:r>
              <w:t>A method that produces local to regional-scale climate information from larger-scale models or data analyses. Different methods include dynamical, statistical and empirical downscaling.</w:t>
            </w:r>
          </w:p>
        </w:tc>
      </w:tr>
      <w:tr w:rsidR="007B29DD" w14:paraId="1649566E" w14:textId="77777777" w:rsidTr="00306AF1">
        <w:tc>
          <w:tcPr>
            <w:tcW w:w="2376" w:type="dxa"/>
          </w:tcPr>
          <w:p w14:paraId="31C3B3A2" w14:textId="77777777" w:rsidR="007B29DD" w:rsidRDefault="007B29DD" w:rsidP="00306AF1">
            <w:pPr>
              <w:pStyle w:val="BodyText"/>
              <w:rPr>
                <w:b/>
              </w:rPr>
            </w:pPr>
            <w:r>
              <w:rPr>
                <w:b/>
              </w:rPr>
              <w:t>Emissions scenario</w:t>
            </w:r>
          </w:p>
        </w:tc>
        <w:tc>
          <w:tcPr>
            <w:tcW w:w="7195" w:type="dxa"/>
          </w:tcPr>
          <w:p w14:paraId="3BCF2EF6" w14:textId="77777777" w:rsidR="007B29DD" w:rsidRDefault="007B29DD" w:rsidP="00306AF1">
            <w:pPr>
              <w:pStyle w:val="BodyText"/>
            </w:pPr>
            <w:r>
              <w:t>Used within this document to broadly describe Representative Concentration Pathways (RCPs) — see definition below.</w:t>
            </w:r>
          </w:p>
        </w:tc>
      </w:tr>
      <w:tr w:rsidR="007B29DD" w14:paraId="36FD87FF" w14:textId="77777777" w:rsidTr="00306AF1">
        <w:tc>
          <w:tcPr>
            <w:tcW w:w="2376" w:type="dxa"/>
          </w:tcPr>
          <w:p w14:paraId="1685833E" w14:textId="77777777" w:rsidR="007B29DD" w:rsidRDefault="007B29DD" w:rsidP="00306AF1">
            <w:pPr>
              <w:pStyle w:val="BodyText"/>
              <w:rPr>
                <w:b/>
              </w:rPr>
            </w:pPr>
            <w:r>
              <w:rPr>
                <w:b/>
              </w:rPr>
              <w:t xml:space="preserve">ENSO - </w:t>
            </w:r>
            <w:r w:rsidRPr="008B21BA">
              <w:rPr>
                <w:b/>
              </w:rPr>
              <w:t>El Niño Southern Oscillation</w:t>
            </w:r>
          </w:p>
        </w:tc>
        <w:tc>
          <w:tcPr>
            <w:tcW w:w="7195" w:type="dxa"/>
          </w:tcPr>
          <w:p w14:paraId="1B08ADBA" w14:textId="77777777" w:rsidR="007B29DD" w:rsidRDefault="007B29DD" w:rsidP="00306AF1">
            <w:pPr>
              <w:pStyle w:val="BodyText"/>
            </w:pPr>
            <w:r w:rsidRPr="008B21BA">
              <w:t>A fluctuation in global scale tropical and subtropical surface pressure, wind, sea surface temperature, and rainfall, and an exchange of air between the south-east Pacific subtropical high and the Indonesian equatorial low. Often measured by the surface pressure anomaly difference between Tahiti and Darwin or the sea surface temperatures in the central and eastern equatorial Pacific. There are three phases: neutral, El Niño and La Niña. During an El Niño event the prevailing trade winds weaken, reducing upwelling and altering ocean currents such that the eastern tropical surface temperatures warm, further weakening the trade winds. The opposite occurs during a La Niña event.</w:t>
            </w:r>
          </w:p>
        </w:tc>
      </w:tr>
      <w:tr w:rsidR="007B29DD" w14:paraId="519E9377" w14:textId="77777777" w:rsidTr="00306AF1">
        <w:tc>
          <w:tcPr>
            <w:tcW w:w="2376" w:type="dxa"/>
          </w:tcPr>
          <w:p w14:paraId="375709CB" w14:textId="77777777" w:rsidR="007B29DD" w:rsidRDefault="007B29DD" w:rsidP="00306AF1">
            <w:pPr>
              <w:pStyle w:val="BodyText"/>
              <w:rPr>
                <w:b/>
              </w:rPr>
            </w:pPr>
            <w:r>
              <w:rPr>
                <w:b/>
              </w:rPr>
              <w:t>External forcing</w:t>
            </w:r>
          </w:p>
        </w:tc>
        <w:tc>
          <w:tcPr>
            <w:tcW w:w="7195" w:type="dxa"/>
          </w:tcPr>
          <w:p w14:paraId="211F8784" w14:textId="77777777" w:rsidR="007B29DD" w:rsidRDefault="007B29DD" w:rsidP="00306AF1">
            <w:pPr>
              <w:pStyle w:val="BodyText"/>
            </w:pPr>
            <w:r>
              <w:t>External forcing refers to a forcing agent outside the climate system causing a change in the climate system. Volcanic eruptions, solar variations,</w:t>
            </w:r>
            <w:r w:rsidDel="001F65B5">
              <w:t xml:space="preserve"> </w:t>
            </w:r>
            <w:r>
              <w:t>anthropogenic changes in the composition of the atmosphere and land-use change are external forcings.</w:t>
            </w:r>
          </w:p>
        </w:tc>
      </w:tr>
      <w:tr w:rsidR="007B29DD" w14:paraId="79D44F07" w14:textId="77777777" w:rsidTr="00306AF1">
        <w:tc>
          <w:tcPr>
            <w:tcW w:w="2376" w:type="dxa"/>
          </w:tcPr>
          <w:p w14:paraId="4B8C2521" w14:textId="77777777" w:rsidR="007B29DD" w:rsidRDefault="007B29DD" w:rsidP="00306AF1">
            <w:pPr>
              <w:pStyle w:val="BodyText"/>
              <w:rPr>
                <w:b/>
              </w:rPr>
            </w:pPr>
            <w:r>
              <w:rPr>
                <w:b/>
              </w:rPr>
              <w:lastRenderedPageBreak/>
              <w:t>Extreme weather</w:t>
            </w:r>
          </w:p>
        </w:tc>
        <w:tc>
          <w:tcPr>
            <w:tcW w:w="7195" w:type="dxa"/>
          </w:tcPr>
          <w:p w14:paraId="5A794837" w14:textId="77777777" w:rsidR="007B29DD" w:rsidRDefault="007B29DD" w:rsidP="00306AF1">
            <w:pPr>
              <w:pStyle w:val="BodyText"/>
            </w:pPr>
            <w:r>
              <w:t>A weather event that is rare at a particular place and time of year. Definitions of rare vary, but an extreme weather event would normally occur less than 10% of the time.</w:t>
            </w:r>
          </w:p>
        </w:tc>
      </w:tr>
      <w:tr w:rsidR="007B29DD" w14:paraId="18CB03BD" w14:textId="77777777" w:rsidTr="00306AF1">
        <w:tc>
          <w:tcPr>
            <w:tcW w:w="2376" w:type="dxa"/>
          </w:tcPr>
          <w:p w14:paraId="60E8B2B5" w14:textId="77777777" w:rsidR="007B29DD" w:rsidRDefault="007B29DD" w:rsidP="00306AF1">
            <w:pPr>
              <w:pStyle w:val="BodyText"/>
              <w:rPr>
                <w:b/>
              </w:rPr>
            </w:pPr>
            <w:r>
              <w:rPr>
                <w:b/>
              </w:rPr>
              <w:t>Global climate model (GCM)</w:t>
            </w:r>
          </w:p>
        </w:tc>
        <w:tc>
          <w:tcPr>
            <w:tcW w:w="7195" w:type="dxa"/>
          </w:tcPr>
          <w:p w14:paraId="5A1CAAA3" w14:textId="77777777" w:rsidR="007B29DD" w:rsidRDefault="007B29DD" w:rsidP="00306AF1">
            <w:pPr>
              <w:pStyle w:val="BodyText"/>
            </w:pPr>
            <w:r>
              <w:t>A numerical representation of the climate system across the whole globe that is based on the physical, chemical and biological properties of its components, their interactions and feedback processes. Grid squares in global climate models are usually between 100 km and 200 km in size.</w:t>
            </w:r>
          </w:p>
        </w:tc>
      </w:tr>
      <w:tr w:rsidR="007B29DD" w14:paraId="25971A7B" w14:textId="77777777" w:rsidTr="00306AF1">
        <w:tc>
          <w:tcPr>
            <w:tcW w:w="2376" w:type="dxa"/>
          </w:tcPr>
          <w:p w14:paraId="3F5B18F1" w14:textId="77777777" w:rsidR="007B29DD" w:rsidRDefault="007B29DD" w:rsidP="00306AF1">
            <w:pPr>
              <w:pStyle w:val="BodyText"/>
              <w:rPr>
                <w:b/>
              </w:rPr>
            </w:pPr>
            <w:r>
              <w:rPr>
                <w:b/>
              </w:rPr>
              <w:t>Global warming</w:t>
            </w:r>
          </w:p>
        </w:tc>
        <w:tc>
          <w:tcPr>
            <w:tcW w:w="7195" w:type="dxa"/>
          </w:tcPr>
          <w:p w14:paraId="24D8A0A2" w14:textId="77777777" w:rsidR="007B29DD" w:rsidRDefault="007B29DD" w:rsidP="00306AF1">
            <w:pPr>
              <w:pStyle w:val="BodyText"/>
            </w:pPr>
            <w:r>
              <w:t>Global warming refers to the increase, observed or projected, in global surface temperature.</w:t>
            </w:r>
          </w:p>
        </w:tc>
      </w:tr>
      <w:tr w:rsidR="007B29DD" w14:paraId="4886FFA5" w14:textId="77777777" w:rsidTr="00306AF1">
        <w:tc>
          <w:tcPr>
            <w:tcW w:w="2376" w:type="dxa"/>
          </w:tcPr>
          <w:p w14:paraId="30DF99EE" w14:textId="77777777" w:rsidR="007B29DD" w:rsidRDefault="007B29DD" w:rsidP="00306AF1">
            <w:pPr>
              <w:pStyle w:val="BodyText"/>
              <w:rPr>
                <w:b/>
              </w:rPr>
            </w:pPr>
            <w:r>
              <w:rPr>
                <w:b/>
              </w:rPr>
              <w:t>Greenhouse gas</w:t>
            </w:r>
          </w:p>
        </w:tc>
        <w:tc>
          <w:tcPr>
            <w:tcW w:w="7195" w:type="dxa"/>
          </w:tcPr>
          <w:p w14:paraId="0D21109D" w14:textId="77777777" w:rsidR="007B29DD" w:rsidRDefault="007B29DD" w:rsidP="00306AF1">
            <w:pPr>
              <w:pStyle w:val="BodyText"/>
            </w:pPr>
            <w:r>
              <w:t>Gaseous components of the atmosphere, both natural and human-generated, that absorb and emit solar radiation at specific wavelengths. Water vapour (H</w:t>
            </w:r>
            <w:r w:rsidRPr="007737CC">
              <w:rPr>
                <w:vertAlign w:val="subscript"/>
              </w:rPr>
              <w:t>2</w:t>
            </w:r>
            <w:r>
              <w:t>O), carbon dioxide (CO</w:t>
            </w:r>
            <w:r w:rsidRPr="007737CC">
              <w:rPr>
                <w:vertAlign w:val="subscript"/>
              </w:rPr>
              <w:t>2</w:t>
            </w:r>
            <w:r>
              <w:t>), nitrous oxide (N</w:t>
            </w:r>
            <w:r w:rsidRPr="007737CC">
              <w:rPr>
                <w:vertAlign w:val="subscript"/>
              </w:rPr>
              <w:t>2</w:t>
            </w:r>
            <w:r>
              <w:t>O), methane (CH</w:t>
            </w:r>
            <w:r w:rsidRPr="007737CC">
              <w:rPr>
                <w:vertAlign w:val="subscript"/>
              </w:rPr>
              <w:t>4</w:t>
            </w:r>
            <w:r>
              <w:t>) and ozone (O</w:t>
            </w:r>
            <w:r w:rsidRPr="007737CC">
              <w:rPr>
                <w:vertAlign w:val="subscript"/>
              </w:rPr>
              <w:t>3</w:t>
            </w:r>
            <w:r>
              <w:t>) are the primary greenhouse gases in the Earth’s atmosphere.</w:t>
            </w:r>
          </w:p>
        </w:tc>
      </w:tr>
      <w:tr w:rsidR="007B29DD" w14:paraId="30C65AC2" w14:textId="77777777" w:rsidTr="00306AF1">
        <w:tc>
          <w:tcPr>
            <w:tcW w:w="2376" w:type="dxa"/>
          </w:tcPr>
          <w:p w14:paraId="7E0A4803" w14:textId="77777777" w:rsidR="007B29DD" w:rsidRDefault="007B29DD" w:rsidP="00306AF1">
            <w:pPr>
              <w:pStyle w:val="BodyText"/>
              <w:rPr>
                <w:b/>
              </w:rPr>
            </w:pPr>
            <w:r>
              <w:rPr>
                <w:b/>
              </w:rPr>
              <w:t>Hadley Cell</w:t>
            </w:r>
          </w:p>
        </w:tc>
        <w:tc>
          <w:tcPr>
            <w:tcW w:w="7195" w:type="dxa"/>
          </w:tcPr>
          <w:p w14:paraId="6B798A95" w14:textId="77777777" w:rsidR="007B29DD" w:rsidRDefault="007B29DD" w:rsidP="00306AF1">
            <w:pPr>
              <w:pStyle w:val="BodyText"/>
            </w:pPr>
            <w:r>
              <w:t>A large-scale atmospheric circulation pattern in which air rises at the Equator and sinks at about 30</w:t>
            </w:r>
            <w:r w:rsidRPr="00C34BB7">
              <w:rPr>
                <w:vertAlign w:val="superscript"/>
              </w:rPr>
              <w:t>o</w:t>
            </w:r>
            <w:r>
              <w:t xml:space="preserve"> latitude north or south. The Hadley Cell controls the position of the band of high pressure systems (called the sub-tropical ridge).</w:t>
            </w:r>
          </w:p>
        </w:tc>
      </w:tr>
      <w:tr w:rsidR="007B29DD" w14:paraId="0B221289" w14:textId="77777777" w:rsidTr="00306AF1">
        <w:tc>
          <w:tcPr>
            <w:tcW w:w="2376" w:type="dxa"/>
          </w:tcPr>
          <w:p w14:paraId="44949C38" w14:textId="77777777" w:rsidR="007B29DD" w:rsidRDefault="007B29DD" w:rsidP="00306AF1">
            <w:pPr>
              <w:pStyle w:val="BodyText"/>
              <w:rPr>
                <w:b/>
              </w:rPr>
            </w:pPr>
            <w:r>
              <w:rPr>
                <w:b/>
              </w:rPr>
              <w:t>Indian Ocean Dipole (IOD)</w:t>
            </w:r>
          </w:p>
        </w:tc>
        <w:tc>
          <w:tcPr>
            <w:tcW w:w="7195" w:type="dxa"/>
          </w:tcPr>
          <w:p w14:paraId="1439DEB9" w14:textId="77777777" w:rsidR="007B29DD" w:rsidRDefault="007B29DD" w:rsidP="00306AF1">
            <w:pPr>
              <w:pStyle w:val="BodyText"/>
            </w:pPr>
            <w:r w:rsidRPr="008B21BA">
              <w:t>A measure of sea surface temperature anomalies across the Indian Ocean at and near the equator. When the dipole is in a positive phase, sea surface temperatures around Indonesia are cooler than average whil</w:t>
            </w:r>
            <w:r>
              <w:t>e</w:t>
            </w:r>
            <w:r w:rsidRPr="008B21BA">
              <w:t xml:space="preserve"> those in the western Indian Ocean are warmer than average. There is an increase in the easterly winds across the Indian Ocean in association with this sea surface temperature pattern, while convection in areas near Australia reduces. This results in suppressed rainfall over the Australian region. Conversely, during a negative phase, there are warmer than average sea surface temperatures near Indonesia and cooler than average sea surface temperatures in the western Indian Ocean, resulting in more westerly winds across the Indian Ocean, greater convection near Australia, and enhanced rainfall in the Australian region</w:t>
            </w:r>
            <w:r>
              <w:t>.</w:t>
            </w:r>
          </w:p>
        </w:tc>
      </w:tr>
      <w:tr w:rsidR="007B29DD" w14:paraId="4014B09D" w14:textId="77777777" w:rsidTr="00306AF1">
        <w:tc>
          <w:tcPr>
            <w:tcW w:w="2376" w:type="dxa"/>
          </w:tcPr>
          <w:p w14:paraId="352DD581" w14:textId="77777777" w:rsidR="007B29DD" w:rsidRDefault="007B29DD" w:rsidP="00306AF1">
            <w:pPr>
              <w:pStyle w:val="BodyText"/>
              <w:rPr>
                <w:b/>
              </w:rPr>
            </w:pPr>
            <w:r>
              <w:rPr>
                <w:b/>
              </w:rPr>
              <w:t>Inter-decadal Pacific Oscillation (IPO)</w:t>
            </w:r>
          </w:p>
        </w:tc>
        <w:tc>
          <w:tcPr>
            <w:tcW w:w="7195" w:type="dxa"/>
          </w:tcPr>
          <w:p w14:paraId="3A64977F" w14:textId="77777777" w:rsidR="007B29DD" w:rsidRDefault="007B29DD" w:rsidP="00306AF1">
            <w:pPr>
              <w:pStyle w:val="BodyText"/>
            </w:pPr>
            <w:r>
              <w:t>A fluctuation in the sea surface temperature (SST) and mean sea level pressure (MSLP) of both the north and south Pacific Ocean with a cycle of 15 to 30 years. Unlike ENSO, the IPO may not be a single physical ‘mode’ of variability, but be the result of a few processes with different origins. The IPO interacts with the ENSO to affect the climate variability over Australia</w:t>
            </w:r>
          </w:p>
        </w:tc>
      </w:tr>
      <w:tr w:rsidR="007B29DD" w14:paraId="24168B07" w14:textId="77777777" w:rsidTr="00306AF1">
        <w:tc>
          <w:tcPr>
            <w:tcW w:w="2376" w:type="dxa"/>
          </w:tcPr>
          <w:p w14:paraId="74C849D4" w14:textId="77777777" w:rsidR="007B29DD" w:rsidRDefault="007B29DD" w:rsidP="00306AF1">
            <w:pPr>
              <w:pStyle w:val="BodyText"/>
              <w:rPr>
                <w:b/>
              </w:rPr>
            </w:pPr>
            <w:r>
              <w:rPr>
                <w:b/>
              </w:rPr>
              <w:t>Intergovernmental Panel on Climate Change (IPCC)</w:t>
            </w:r>
          </w:p>
        </w:tc>
        <w:tc>
          <w:tcPr>
            <w:tcW w:w="7195" w:type="dxa"/>
          </w:tcPr>
          <w:p w14:paraId="42C53F34" w14:textId="77777777" w:rsidR="007B29DD" w:rsidRDefault="007B29DD" w:rsidP="00306AF1">
            <w:pPr>
              <w:pStyle w:val="BodyText"/>
            </w:pPr>
            <w:r w:rsidRPr="000102D7">
              <w:t>The Intergovernmental Panel on Climate Change is the United Nations body for assessing the science related to climate change</w:t>
            </w:r>
            <w:r>
              <w:t>. The IPCC was established in 1988 by the World Meteorological Organization (WMO) and the United Nations Environment Programme (UNEP).</w:t>
            </w:r>
          </w:p>
        </w:tc>
      </w:tr>
      <w:tr w:rsidR="007B29DD" w14:paraId="58E6C32C" w14:textId="77777777" w:rsidTr="00306AF1">
        <w:tc>
          <w:tcPr>
            <w:tcW w:w="2376" w:type="dxa"/>
          </w:tcPr>
          <w:p w14:paraId="0FE05CEB" w14:textId="77777777" w:rsidR="007B29DD" w:rsidRDefault="007B29DD" w:rsidP="00306AF1">
            <w:pPr>
              <w:pStyle w:val="BodyText"/>
              <w:rPr>
                <w:b/>
              </w:rPr>
            </w:pPr>
            <w:r>
              <w:rPr>
                <w:b/>
              </w:rPr>
              <w:t>Mitigation</w:t>
            </w:r>
          </w:p>
        </w:tc>
        <w:tc>
          <w:tcPr>
            <w:tcW w:w="7195" w:type="dxa"/>
          </w:tcPr>
          <w:p w14:paraId="2D5960E4" w14:textId="77777777" w:rsidR="007B29DD" w:rsidRDefault="007B29DD" w:rsidP="00306AF1">
            <w:pPr>
              <w:pStyle w:val="BodyText"/>
            </w:pPr>
            <w:r>
              <w:t>A human intervention to reduce the sources or enhance the sinks of greenhouse gases (GHGs).</w:t>
            </w:r>
          </w:p>
        </w:tc>
      </w:tr>
      <w:tr w:rsidR="007B29DD" w14:paraId="3006404E" w14:textId="77777777" w:rsidTr="00306AF1">
        <w:tc>
          <w:tcPr>
            <w:tcW w:w="2376" w:type="dxa"/>
          </w:tcPr>
          <w:p w14:paraId="27DA5F9A" w14:textId="77777777" w:rsidR="007B29DD" w:rsidRDefault="007B29DD" w:rsidP="00306AF1">
            <w:pPr>
              <w:pStyle w:val="BodyText"/>
              <w:rPr>
                <w:b/>
              </w:rPr>
            </w:pPr>
            <w:r>
              <w:rPr>
                <w:b/>
              </w:rPr>
              <w:t>Natural variability</w:t>
            </w:r>
          </w:p>
        </w:tc>
        <w:tc>
          <w:tcPr>
            <w:tcW w:w="7195" w:type="dxa"/>
          </w:tcPr>
          <w:p w14:paraId="7F927101" w14:textId="77777777" w:rsidR="007B29DD" w:rsidRDefault="007B29DD" w:rsidP="00306AF1">
            <w:pPr>
              <w:pStyle w:val="BodyText"/>
            </w:pPr>
            <w:r>
              <w:t>Variations in the climate (both its average state and the occurrence of extremes) that vary on scales from day to day, up to decade to decade, due to natural processes in weather systems. For example, consecutive summers will not all be the same, with some cooler and some warmer than the long-term average.</w:t>
            </w:r>
          </w:p>
        </w:tc>
      </w:tr>
      <w:tr w:rsidR="007B29DD" w14:paraId="0A0C31CC" w14:textId="77777777" w:rsidTr="00306AF1">
        <w:tc>
          <w:tcPr>
            <w:tcW w:w="2376" w:type="dxa"/>
          </w:tcPr>
          <w:p w14:paraId="7ADDBD6F" w14:textId="77777777" w:rsidR="007B29DD" w:rsidRDefault="007B29DD" w:rsidP="00306AF1">
            <w:pPr>
              <w:pStyle w:val="BodyText"/>
              <w:rPr>
                <w:b/>
              </w:rPr>
            </w:pPr>
            <w:r>
              <w:rPr>
                <w:b/>
              </w:rPr>
              <w:t>Overshoot</w:t>
            </w:r>
          </w:p>
        </w:tc>
        <w:tc>
          <w:tcPr>
            <w:tcW w:w="7195" w:type="dxa"/>
          </w:tcPr>
          <w:p w14:paraId="27B94802" w14:textId="77777777" w:rsidR="007B29DD" w:rsidRDefault="007B29DD" w:rsidP="00306AF1">
            <w:pPr>
              <w:pStyle w:val="BodyText"/>
            </w:pPr>
            <w:r>
              <w:t>Emissions, concentration or temperature pathways in which the metric of interest temporarily exceeds, or overshoots the long-term goal</w:t>
            </w:r>
          </w:p>
        </w:tc>
      </w:tr>
      <w:tr w:rsidR="007B29DD" w14:paraId="40D6BE92" w14:textId="77777777" w:rsidTr="00306AF1">
        <w:tc>
          <w:tcPr>
            <w:tcW w:w="2376" w:type="dxa"/>
          </w:tcPr>
          <w:p w14:paraId="10DF1403" w14:textId="77777777" w:rsidR="007B29DD" w:rsidRDefault="007B29DD" w:rsidP="00306AF1">
            <w:pPr>
              <w:pStyle w:val="BodyText"/>
              <w:rPr>
                <w:b/>
              </w:rPr>
            </w:pPr>
            <w:r>
              <w:rPr>
                <w:b/>
              </w:rPr>
              <w:t>Paleoclimate</w:t>
            </w:r>
          </w:p>
        </w:tc>
        <w:tc>
          <w:tcPr>
            <w:tcW w:w="7195" w:type="dxa"/>
          </w:tcPr>
          <w:p w14:paraId="590F73B5" w14:textId="77777777" w:rsidR="007B29DD" w:rsidRDefault="007B29DD" w:rsidP="00306AF1">
            <w:pPr>
              <w:pStyle w:val="BodyText"/>
            </w:pPr>
            <w:r>
              <w:t>Indirect measurements of climate are referred to as palaeoclimate archives or proxies, which consist of geologic (e.g. sediment cores) and biologic (e.g. tree rings) materials that preserve evidence of past changes in climate. Palaeoclimate research provides the opportunity to look at changes in climate beyond the relatively short timeline of instrumental records.</w:t>
            </w:r>
          </w:p>
        </w:tc>
      </w:tr>
      <w:tr w:rsidR="007B29DD" w14:paraId="65114918" w14:textId="77777777" w:rsidTr="00306AF1">
        <w:tc>
          <w:tcPr>
            <w:tcW w:w="2376" w:type="dxa"/>
          </w:tcPr>
          <w:p w14:paraId="0959BC63" w14:textId="77777777" w:rsidR="007B29DD" w:rsidRDefault="007B29DD" w:rsidP="00306AF1">
            <w:pPr>
              <w:pStyle w:val="BodyText"/>
              <w:rPr>
                <w:b/>
              </w:rPr>
            </w:pPr>
            <w:r>
              <w:rPr>
                <w:b/>
              </w:rPr>
              <w:lastRenderedPageBreak/>
              <w:t>Percentile</w:t>
            </w:r>
          </w:p>
        </w:tc>
        <w:tc>
          <w:tcPr>
            <w:tcW w:w="7195" w:type="dxa"/>
          </w:tcPr>
          <w:p w14:paraId="529CD12B" w14:textId="77777777" w:rsidR="007B29DD" w:rsidRDefault="007B29DD" w:rsidP="00306AF1">
            <w:pPr>
              <w:pStyle w:val="BodyText"/>
            </w:pPr>
            <w:r>
              <w:t xml:space="preserve">A value on a scale of one hundred that indicates the percentage of the data set values that is equal to, or below it. For example, the </w:t>
            </w:r>
            <w:r w:rsidRPr="005E0E0D">
              <w:t>90th</w:t>
            </w:r>
            <w:r>
              <w:t xml:space="preserve"> (or </w:t>
            </w:r>
            <w:r w:rsidRPr="003178A9">
              <w:t>10th</w:t>
            </w:r>
            <w:r>
              <w:t>) percentile may be used to refer to the threshold for the upper (or lower) extremes.</w:t>
            </w:r>
          </w:p>
        </w:tc>
      </w:tr>
      <w:tr w:rsidR="007B29DD" w14:paraId="310F12EC" w14:textId="77777777" w:rsidTr="00306AF1">
        <w:tc>
          <w:tcPr>
            <w:tcW w:w="2376" w:type="dxa"/>
          </w:tcPr>
          <w:p w14:paraId="632DFBD4" w14:textId="77777777" w:rsidR="007B29DD" w:rsidRDefault="007B29DD" w:rsidP="00306AF1">
            <w:pPr>
              <w:pStyle w:val="BodyText"/>
              <w:rPr>
                <w:b/>
              </w:rPr>
            </w:pPr>
            <w:r>
              <w:rPr>
                <w:b/>
              </w:rPr>
              <w:t>Potential evapotranspiration (PET)</w:t>
            </w:r>
          </w:p>
        </w:tc>
        <w:tc>
          <w:tcPr>
            <w:tcW w:w="7195" w:type="dxa"/>
          </w:tcPr>
          <w:p w14:paraId="7622D33F" w14:textId="77777777" w:rsidR="007B29DD" w:rsidRDefault="007B29DD" w:rsidP="00306AF1">
            <w:pPr>
              <w:pStyle w:val="BodyText"/>
            </w:pPr>
            <w:r w:rsidRPr="008B21BA">
              <w:t>The rate of evapotranspiration from a limitless source of water. It is typically higher than actual evapotranspiration, which will be limited by water availability. Evapotranspiration includes transpiration from vegetation and evaporation from water bodies</w:t>
            </w:r>
            <w:r>
              <w:t>.</w:t>
            </w:r>
          </w:p>
        </w:tc>
      </w:tr>
      <w:tr w:rsidR="007B29DD" w14:paraId="7E3AE1D6" w14:textId="77777777" w:rsidTr="00306AF1">
        <w:tc>
          <w:tcPr>
            <w:tcW w:w="2376" w:type="dxa"/>
          </w:tcPr>
          <w:p w14:paraId="2A55A51A" w14:textId="77777777" w:rsidR="007B29DD" w:rsidRDefault="007B29DD" w:rsidP="00306AF1">
            <w:pPr>
              <w:pStyle w:val="BodyText"/>
              <w:rPr>
                <w:b/>
              </w:rPr>
            </w:pPr>
            <w:r>
              <w:rPr>
                <w:b/>
              </w:rPr>
              <w:t>Pre-industrial</w:t>
            </w:r>
          </w:p>
        </w:tc>
        <w:tc>
          <w:tcPr>
            <w:tcW w:w="7195" w:type="dxa"/>
          </w:tcPr>
          <w:p w14:paraId="32ABA738" w14:textId="77777777" w:rsidR="007B29DD" w:rsidRDefault="007B29DD" w:rsidP="00306AF1">
            <w:pPr>
              <w:pStyle w:val="BodyText"/>
            </w:pPr>
            <w:r>
              <w:t>Prior to the industrial revolution (i.e. pre-1750), when human activities such as the burning of fossil fuels increased the concentration of greenhouse gases in the atmosphere. Consistent with the IPCC, this report uses 1850–1900 as the pre-industrial baseline, as it is the earliest period with near-global temperature observations.</w:t>
            </w:r>
          </w:p>
        </w:tc>
      </w:tr>
      <w:tr w:rsidR="007B29DD" w14:paraId="7606CDA5" w14:textId="77777777" w:rsidTr="00306AF1">
        <w:tc>
          <w:tcPr>
            <w:tcW w:w="2376" w:type="dxa"/>
          </w:tcPr>
          <w:p w14:paraId="33F6CE6C" w14:textId="77777777" w:rsidR="007B29DD" w:rsidRDefault="007B29DD" w:rsidP="00306AF1">
            <w:pPr>
              <w:pStyle w:val="BodyText"/>
              <w:rPr>
                <w:b/>
              </w:rPr>
            </w:pPr>
            <w:r>
              <w:rPr>
                <w:b/>
              </w:rPr>
              <w:t>Regional Climate Model (RCM)</w:t>
            </w:r>
          </w:p>
        </w:tc>
        <w:tc>
          <w:tcPr>
            <w:tcW w:w="7195" w:type="dxa"/>
          </w:tcPr>
          <w:p w14:paraId="1E59CC7E" w14:textId="77777777" w:rsidR="007B29DD" w:rsidRDefault="007B29DD" w:rsidP="00306AF1">
            <w:pPr>
              <w:pStyle w:val="BodyText"/>
            </w:pPr>
            <w:r>
              <w:t>A climate model used to generate higher-resolution results from a GCM. Like a GCM, an RCM runs a numerical representation of the climate system that is based on the physical, chemical and biological properties of its components, their interactions and feedback processes to produce results at a regional or local scale.</w:t>
            </w:r>
          </w:p>
        </w:tc>
      </w:tr>
      <w:tr w:rsidR="007B29DD" w14:paraId="58864EA5" w14:textId="77777777" w:rsidTr="00306AF1">
        <w:tc>
          <w:tcPr>
            <w:tcW w:w="2376" w:type="dxa"/>
          </w:tcPr>
          <w:p w14:paraId="7E0C24E7" w14:textId="77777777" w:rsidR="007B29DD" w:rsidRDefault="007B29DD" w:rsidP="00306AF1">
            <w:pPr>
              <w:pStyle w:val="BodyText"/>
              <w:rPr>
                <w:b/>
              </w:rPr>
            </w:pPr>
            <w:r>
              <w:rPr>
                <w:b/>
              </w:rPr>
              <w:t>Representative Concentration Pathway (RCP)</w:t>
            </w:r>
          </w:p>
        </w:tc>
        <w:tc>
          <w:tcPr>
            <w:tcW w:w="7195" w:type="dxa"/>
          </w:tcPr>
          <w:p w14:paraId="32F0BCC3" w14:textId="77777777" w:rsidR="007B29DD" w:rsidRDefault="007B29DD" w:rsidP="00306AF1">
            <w:pPr>
              <w:pStyle w:val="BodyText"/>
            </w:pPr>
            <w:r>
              <w:t>Scenarios of emissions and concentrations of the full suite of greenhouse gases and aerosols, and land use/land cover, over time. These are used as inputs to climate models.</w:t>
            </w:r>
          </w:p>
        </w:tc>
      </w:tr>
      <w:tr w:rsidR="007B29DD" w14:paraId="7A63F99A" w14:textId="77777777" w:rsidTr="00306AF1">
        <w:tc>
          <w:tcPr>
            <w:tcW w:w="2376" w:type="dxa"/>
          </w:tcPr>
          <w:p w14:paraId="3383E68F" w14:textId="77777777" w:rsidR="007B29DD" w:rsidRDefault="007B29DD" w:rsidP="00306AF1">
            <w:pPr>
              <w:pStyle w:val="BodyText"/>
              <w:rPr>
                <w:b/>
              </w:rPr>
            </w:pPr>
            <w:r>
              <w:rPr>
                <w:b/>
              </w:rPr>
              <w:t>Shared Socio-Economic Pathway (SSP)</w:t>
            </w:r>
          </w:p>
        </w:tc>
        <w:tc>
          <w:tcPr>
            <w:tcW w:w="7195" w:type="dxa"/>
          </w:tcPr>
          <w:p w14:paraId="6630D4E3" w14:textId="77777777" w:rsidR="007B29DD" w:rsidRDefault="007B29DD" w:rsidP="00306AF1">
            <w:pPr>
              <w:pStyle w:val="BodyText"/>
            </w:pPr>
            <w:r>
              <w:t xml:space="preserve">In the IPCC’s Sixth Assessment Report, due for release </w:t>
            </w:r>
            <w:r>
              <w:rPr>
                <w:lang w:eastAsia="en-AU"/>
              </w:rPr>
              <w:t xml:space="preserve">from mid-2021 to mid-2022, Shared Socio-Economic Pathways are </w:t>
            </w:r>
            <w:r w:rsidRPr="00C7056F">
              <w:rPr>
                <w:lang w:eastAsia="en-AU"/>
              </w:rPr>
              <w:t xml:space="preserve">a framework under which emissions pathways can be developed. Multiple concentration pathways </w:t>
            </w:r>
            <w:r>
              <w:rPr>
                <w:lang w:eastAsia="en-AU"/>
              </w:rPr>
              <w:t xml:space="preserve">(RCPs) </w:t>
            </w:r>
            <w:r w:rsidRPr="00C7056F">
              <w:rPr>
                <w:lang w:eastAsia="en-AU"/>
              </w:rPr>
              <w:t xml:space="preserve">have been developed under each of the </w:t>
            </w:r>
            <w:r>
              <w:rPr>
                <w:lang w:eastAsia="en-AU"/>
              </w:rPr>
              <w:t>five</w:t>
            </w:r>
            <w:r w:rsidRPr="00C7056F">
              <w:rPr>
                <w:lang w:eastAsia="en-AU"/>
              </w:rPr>
              <w:t xml:space="preserve"> SSPs.</w:t>
            </w:r>
          </w:p>
        </w:tc>
      </w:tr>
      <w:tr w:rsidR="007B29DD" w14:paraId="72EFE60D" w14:textId="77777777" w:rsidTr="00306AF1">
        <w:tc>
          <w:tcPr>
            <w:tcW w:w="2376" w:type="dxa"/>
          </w:tcPr>
          <w:p w14:paraId="686B93C9" w14:textId="77777777" w:rsidR="007B29DD" w:rsidRDefault="007B29DD" w:rsidP="00306AF1">
            <w:pPr>
              <w:pStyle w:val="BodyText"/>
              <w:rPr>
                <w:b/>
              </w:rPr>
            </w:pPr>
            <w:r>
              <w:rPr>
                <w:b/>
              </w:rPr>
              <w:t>Southern Annular Mode (SAM)</w:t>
            </w:r>
          </w:p>
        </w:tc>
        <w:tc>
          <w:tcPr>
            <w:tcW w:w="7195" w:type="dxa"/>
          </w:tcPr>
          <w:p w14:paraId="02117631" w14:textId="77777777" w:rsidR="007B29DD" w:rsidRDefault="007B29DD" w:rsidP="00306AF1">
            <w:pPr>
              <w:pStyle w:val="BodyText"/>
            </w:pPr>
            <w:r>
              <w:t>T</w:t>
            </w:r>
            <w:r w:rsidRPr="008B21BA">
              <w:t>he north/south movement of the strong westerly winds that dominate the middle to higher latitudes of the Southern Hemisphere. The belt of strong westerly winds in the Southern Hemisphere is also associated with the storm systems and cold fronts that move from west to east.</w:t>
            </w:r>
          </w:p>
        </w:tc>
      </w:tr>
      <w:tr w:rsidR="007B29DD" w14:paraId="124241A5" w14:textId="77777777" w:rsidTr="00306AF1">
        <w:tc>
          <w:tcPr>
            <w:tcW w:w="2376" w:type="dxa"/>
          </w:tcPr>
          <w:p w14:paraId="78598006" w14:textId="77777777" w:rsidR="007B29DD" w:rsidRDefault="007B29DD" w:rsidP="00306AF1">
            <w:pPr>
              <w:pStyle w:val="BodyText"/>
              <w:rPr>
                <w:b/>
              </w:rPr>
            </w:pPr>
            <w:r>
              <w:rPr>
                <w:b/>
              </w:rPr>
              <w:t>Stationarity</w:t>
            </w:r>
          </w:p>
        </w:tc>
        <w:tc>
          <w:tcPr>
            <w:tcW w:w="7195" w:type="dxa"/>
          </w:tcPr>
          <w:p w14:paraId="1C916E54" w14:textId="77777777" w:rsidR="007B29DD" w:rsidRDefault="007B29DD" w:rsidP="00306AF1">
            <w:pPr>
              <w:pStyle w:val="BodyText"/>
            </w:pPr>
            <w:r w:rsidRPr="008B21BA">
              <w:t>The absence of trend</w:t>
            </w:r>
            <w:r>
              <w:t>s</w:t>
            </w:r>
            <w:r w:rsidRPr="008B21BA">
              <w:t xml:space="preserve"> in a dataset. In the context of hydro-climate data, stationarity refers to the absence of trends in those datasets. In the context of rainfall-runoff mode</w:t>
            </w:r>
            <w:r>
              <w:t>l</w:t>
            </w:r>
            <w:r w:rsidRPr="008B21BA">
              <w:t>ling, hydrologic stationarity refers to the absence of trends in the relationship between rainfall and runoff</w:t>
            </w:r>
            <w:r>
              <w:t>.</w:t>
            </w:r>
          </w:p>
        </w:tc>
      </w:tr>
      <w:tr w:rsidR="007B29DD" w14:paraId="625FD005" w14:textId="77777777" w:rsidTr="00306AF1">
        <w:tc>
          <w:tcPr>
            <w:tcW w:w="2376" w:type="dxa"/>
          </w:tcPr>
          <w:p w14:paraId="12DD021A" w14:textId="77777777" w:rsidR="007B29DD" w:rsidRDefault="007B29DD" w:rsidP="00306AF1">
            <w:pPr>
              <w:pStyle w:val="BodyText"/>
              <w:rPr>
                <w:b/>
              </w:rPr>
            </w:pPr>
            <w:r>
              <w:rPr>
                <w:b/>
              </w:rPr>
              <w:t>Sub-tropical ridge</w:t>
            </w:r>
          </w:p>
        </w:tc>
        <w:tc>
          <w:tcPr>
            <w:tcW w:w="7195" w:type="dxa"/>
          </w:tcPr>
          <w:p w14:paraId="43A66AE6" w14:textId="77777777" w:rsidR="007B29DD" w:rsidRDefault="007B29DD" w:rsidP="00306AF1">
            <w:pPr>
              <w:pStyle w:val="BodyText"/>
            </w:pPr>
            <w:r>
              <w:t>A belt of high pressure that encircles the globe in the middle latitudes. It is part of the global circulation of the atmosphere. The position of the sub-tropical ridge plays an important part in the way the weather across Australia varies from season to season.</w:t>
            </w:r>
          </w:p>
        </w:tc>
      </w:tr>
      <w:tr w:rsidR="007B29DD" w14:paraId="03082B74" w14:textId="77777777" w:rsidTr="00306AF1">
        <w:tc>
          <w:tcPr>
            <w:tcW w:w="2376" w:type="dxa"/>
          </w:tcPr>
          <w:p w14:paraId="10BC4130" w14:textId="77777777" w:rsidR="007B29DD" w:rsidRDefault="007B29DD" w:rsidP="00306AF1">
            <w:pPr>
              <w:pStyle w:val="BodyText"/>
              <w:rPr>
                <w:b/>
              </w:rPr>
            </w:pPr>
            <w:r>
              <w:rPr>
                <w:b/>
              </w:rPr>
              <w:t>Uncertainty</w:t>
            </w:r>
          </w:p>
        </w:tc>
        <w:tc>
          <w:tcPr>
            <w:tcW w:w="7195" w:type="dxa"/>
          </w:tcPr>
          <w:p w14:paraId="211D7B19" w14:textId="77777777" w:rsidR="007B29DD" w:rsidRDefault="007B29DD" w:rsidP="00306AF1">
            <w:pPr>
              <w:pStyle w:val="BodyText"/>
            </w:pPr>
            <w:r>
              <w:t>A state of incomplete knowledge that can result from a lack of information or from disagreement about what is known or even knowable. It may have many types of sources, from imprecision in the data to ambiguously defined concepts or terminology, or uncertain projections of human behaviour. Uncertainty can be represented by qualitative statements (e.g. reflecting the judgment of a team of experts).</w:t>
            </w:r>
          </w:p>
        </w:tc>
      </w:tr>
      <w:tr w:rsidR="007B29DD" w14:paraId="4FC40D29" w14:textId="77777777" w:rsidTr="00306AF1">
        <w:tc>
          <w:tcPr>
            <w:tcW w:w="2376" w:type="dxa"/>
          </w:tcPr>
          <w:p w14:paraId="6B77AB8C" w14:textId="77777777" w:rsidR="007B29DD" w:rsidRDefault="007B29DD" w:rsidP="00306AF1">
            <w:pPr>
              <w:pStyle w:val="BodyText"/>
              <w:rPr>
                <w:b/>
              </w:rPr>
            </w:pPr>
            <w:r w:rsidRPr="00605BAA">
              <w:rPr>
                <w:b/>
              </w:rPr>
              <w:t>Victorian Aquifer Framework</w:t>
            </w:r>
            <w:r>
              <w:rPr>
                <w:b/>
              </w:rPr>
              <w:t xml:space="preserve"> (VAF)</w:t>
            </w:r>
          </w:p>
        </w:tc>
        <w:tc>
          <w:tcPr>
            <w:tcW w:w="7195" w:type="dxa"/>
          </w:tcPr>
          <w:p w14:paraId="68FD12B8" w14:textId="77777777" w:rsidR="007B29DD" w:rsidRPr="00A749CC" w:rsidRDefault="007B29DD" w:rsidP="00306AF1">
            <w:pPr>
              <w:pStyle w:val="BodyText"/>
              <w:rPr>
                <w:lang w:val="en-US"/>
              </w:rPr>
            </w:pPr>
            <w:r w:rsidRPr="00605BAA">
              <w:rPr>
                <w:lang w:val="en-US"/>
              </w:rPr>
              <w:t>Victoria’s aquifers are defined within the Victorian Aquifer Framework. The framework provides a consistent approach to defining aquifers across the state.</w:t>
            </w:r>
            <w:r>
              <w:rPr>
                <w:lang w:val="en-US"/>
              </w:rPr>
              <w:t xml:space="preserve"> </w:t>
            </w:r>
            <w:r w:rsidRPr="00605BAA">
              <w:rPr>
                <w:lang w:val="en-US"/>
              </w:rPr>
              <w:t>There are 15 aquifers represented in the aquifer framework, which occur at various depths and locations.</w:t>
            </w:r>
          </w:p>
        </w:tc>
      </w:tr>
      <w:tr w:rsidR="007B29DD" w14:paraId="6164C1D9" w14:textId="77777777" w:rsidTr="00306AF1">
        <w:tc>
          <w:tcPr>
            <w:tcW w:w="2376" w:type="dxa"/>
          </w:tcPr>
          <w:p w14:paraId="2F39C273" w14:textId="77777777" w:rsidR="007B29DD" w:rsidRDefault="007B29DD" w:rsidP="00306AF1">
            <w:pPr>
              <w:pStyle w:val="BodyText"/>
              <w:rPr>
                <w:b/>
              </w:rPr>
            </w:pPr>
            <w:r>
              <w:rPr>
                <w:b/>
              </w:rPr>
              <w:t>Victorian Climate Initiative (VicCI)</w:t>
            </w:r>
          </w:p>
        </w:tc>
        <w:tc>
          <w:tcPr>
            <w:tcW w:w="7195" w:type="dxa"/>
          </w:tcPr>
          <w:p w14:paraId="55E58679" w14:textId="77777777" w:rsidR="007B29DD" w:rsidRDefault="007B29DD" w:rsidP="00306AF1">
            <w:pPr>
              <w:pStyle w:val="BodyText"/>
            </w:pPr>
            <w:r w:rsidRPr="00A749CC">
              <w:rPr>
                <w:lang w:val="en-US"/>
              </w:rPr>
              <w:t xml:space="preserve">A three-year research program </w:t>
            </w:r>
            <w:r>
              <w:rPr>
                <w:lang w:val="en-US"/>
              </w:rPr>
              <w:t xml:space="preserve">(ending in 2017) </w:t>
            </w:r>
            <w:r w:rsidRPr="00A749CC">
              <w:rPr>
                <w:lang w:val="en-US"/>
              </w:rPr>
              <w:t>funded by the Victorian State Government to improve our understanding of past, current and future climate influences on Victoria</w:t>
            </w:r>
            <w:r>
              <w:rPr>
                <w:lang w:val="en-US"/>
              </w:rPr>
              <w:t>.</w:t>
            </w:r>
          </w:p>
        </w:tc>
      </w:tr>
      <w:tr w:rsidR="007B29DD" w14:paraId="07A07DD3" w14:textId="77777777" w:rsidTr="00306AF1">
        <w:tc>
          <w:tcPr>
            <w:tcW w:w="2376" w:type="dxa"/>
          </w:tcPr>
          <w:p w14:paraId="716D7F44" w14:textId="77777777" w:rsidR="007B29DD" w:rsidRDefault="007B29DD" w:rsidP="00306AF1">
            <w:pPr>
              <w:pStyle w:val="BodyText"/>
              <w:rPr>
                <w:b/>
              </w:rPr>
            </w:pPr>
            <w:r>
              <w:rPr>
                <w:b/>
              </w:rPr>
              <w:t>Victorian Water and Climate Initiative (VicWaCI)</w:t>
            </w:r>
          </w:p>
        </w:tc>
        <w:tc>
          <w:tcPr>
            <w:tcW w:w="7195" w:type="dxa"/>
          </w:tcPr>
          <w:p w14:paraId="10B840F4" w14:textId="77777777" w:rsidR="007B29DD" w:rsidRDefault="007B29DD" w:rsidP="00306AF1">
            <w:pPr>
              <w:pStyle w:val="BodyText"/>
            </w:pPr>
            <w:r w:rsidRPr="00A749CC">
              <w:rPr>
                <w:lang w:val="en-US"/>
              </w:rPr>
              <w:t xml:space="preserve">A </w:t>
            </w:r>
            <w:r>
              <w:rPr>
                <w:lang w:val="en-US"/>
              </w:rPr>
              <w:t xml:space="preserve">four-year program of </w:t>
            </w:r>
            <w:r w:rsidRPr="00A749CC">
              <w:rPr>
                <w:lang w:val="en-US"/>
              </w:rPr>
              <w:t>research</w:t>
            </w:r>
            <w:r>
              <w:rPr>
                <w:lang w:val="en-US"/>
              </w:rPr>
              <w:t xml:space="preserve"> that began in 2017</w:t>
            </w:r>
            <w:r w:rsidRPr="00A749CC">
              <w:rPr>
                <w:lang w:val="en-US"/>
              </w:rPr>
              <w:t xml:space="preserve"> funded by the Victorian State Government to improve our understanding of past, current and future climate influences on </w:t>
            </w:r>
            <w:r>
              <w:rPr>
                <w:lang w:val="en-US"/>
              </w:rPr>
              <w:t xml:space="preserve">water resources in </w:t>
            </w:r>
            <w:r w:rsidRPr="00A749CC">
              <w:rPr>
                <w:lang w:val="en-US"/>
              </w:rPr>
              <w:t>Victoria</w:t>
            </w:r>
            <w:r>
              <w:rPr>
                <w:lang w:val="en-US"/>
              </w:rPr>
              <w:t>.</w:t>
            </w:r>
          </w:p>
        </w:tc>
      </w:tr>
      <w:tr w:rsidR="007B29DD" w14:paraId="1B36EF28" w14:textId="77777777" w:rsidTr="00306AF1">
        <w:tc>
          <w:tcPr>
            <w:tcW w:w="2376" w:type="dxa"/>
          </w:tcPr>
          <w:p w14:paraId="3307CF6F" w14:textId="77777777" w:rsidR="007B29DD" w:rsidRDefault="007B29DD" w:rsidP="00306AF1">
            <w:pPr>
              <w:pStyle w:val="BodyText"/>
              <w:rPr>
                <w:b/>
              </w:rPr>
            </w:pPr>
            <w:r>
              <w:rPr>
                <w:b/>
              </w:rPr>
              <w:lastRenderedPageBreak/>
              <w:t>Warm season</w:t>
            </w:r>
          </w:p>
        </w:tc>
        <w:tc>
          <w:tcPr>
            <w:tcW w:w="7195" w:type="dxa"/>
          </w:tcPr>
          <w:p w14:paraId="4DADAF9D" w14:textId="77777777" w:rsidR="007B29DD" w:rsidRDefault="007B29DD" w:rsidP="00306AF1">
            <w:pPr>
              <w:pStyle w:val="BodyText"/>
            </w:pPr>
            <w:r>
              <w:t>For Victoria, the warm season is assumed to run from November to March.</w:t>
            </w:r>
          </w:p>
        </w:tc>
      </w:tr>
    </w:tbl>
    <w:p w14:paraId="25819232" w14:textId="77777777" w:rsidR="007B29DD" w:rsidRDefault="007B29DD" w:rsidP="007B29DD">
      <w:pPr>
        <w:pStyle w:val="References"/>
      </w:pPr>
    </w:p>
    <w:p w14:paraId="76D258A2" w14:textId="77777777" w:rsidR="007B29DD" w:rsidRPr="00954D05" w:rsidRDefault="007B29DD" w:rsidP="007B29DD">
      <w:pPr>
        <w:pStyle w:val="BodyText"/>
        <w:sectPr w:rsidR="007B29DD" w:rsidRPr="00954D05" w:rsidSect="00306AF1">
          <w:headerReference w:type="even" r:id="rId76"/>
          <w:headerReference w:type="default" r:id="rId77"/>
          <w:footerReference w:type="even" r:id="rId78"/>
          <w:footerReference w:type="default" r:id="rId79"/>
          <w:headerReference w:type="first" r:id="rId80"/>
          <w:footerReference w:type="first" r:id="rId81"/>
          <w:type w:val="oddPage"/>
          <w:pgSz w:w="11907" w:h="16840" w:code="9"/>
          <w:pgMar w:top="1134" w:right="1134" w:bottom="1134" w:left="1134" w:header="283" w:footer="283" w:gutter="0"/>
          <w:cols w:space="720"/>
          <w:docGrid w:linePitch="360"/>
        </w:sectPr>
      </w:pPr>
      <w:r>
        <w:t xml:space="preserve"> </w:t>
      </w:r>
    </w:p>
    <w:p w14:paraId="7E9F4233" w14:textId="77777777" w:rsidR="007B29DD" w:rsidRPr="00E44CBB" w:rsidRDefault="007B29DD" w:rsidP="007B29DD">
      <w:pPr>
        <w:pStyle w:val="Heading8"/>
        <w:framePr w:wrap="around"/>
        <w:tabs>
          <w:tab w:val="left" w:pos="3685"/>
        </w:tabs>
        <w:rPr>
          <w:color w:val="000000" w:themeColor="text1"/>
        </w:rPr>
      </w:pPr>
      <w:bookmarkStart w:id="824" w:name="_Ref40451369"/>
      <w:bookmarkStart w:id="825" w:name="_Toc43476526"/>
      <w:bookmarkStart w:id="826" w:name="_Toc44928771"/>
      <w:bookmarkStart w:id="827" w:name="_Toc51658043"/>
      <w:bookmarkStart w:id="828" w:name="_Toc53585948"/>
      <w:bookmarkStart w:id="829" w:name="_Toc57377199"/>
      <w:r w:rsidRPr="00E44CBB">
        <w:rPr>
          <w:color w:val="000000" w:themeColor="text1"/>
        </w:rPr>
        <w:lastRenderedPageBreak/>
        <w:t>Case Studies and Explanatory Notes</w:t>
      </w:r>
      <w:bookmarkEnd w:id="824"/>
      <w:bookmarkEnd w:id="825"/>
      <w:bookmarkEnd w:id="826"/>
      <w:bookmarkEnd w:id="827"/>
      <w:bookmarkEnd w:id="828"/>
      <w:bookmarkEnd w:id="829"/>
    </w:p>
    <w:p w14:paraId="3EBB8867" w14:textId="77777777" w:rsidR="007B29DD" w:rsidRPr="00E44CBB" w:rsidRDefault="007B29DD" w:rsidP="007B29DD">
      <w:pPr>
        <w:pStyle w:val="Heading2"/>
        <w:rPr>
          <w:b/>
          <w:bCs/>
          <w:color w:val="000000" w:themeColor="text1"/>
        </w:rPr>
      </w:pPr>
      <w:bookmarkStart w:id="830" w:name="_Toc38957463"/>
      <w:bookmarkStart w:id="831" w:name="_Toc43476527"/>
      <w:bookmarkStart w:id="832" w:name="_Toc44928772"/>
      <w:bookmarkStart w:id="833" w:name="_Toc51658044"/>
      <w:bookmarkStart w:id="834" w:name="_Toc53585949"/>
      <w:bookmarkStart w:id="835" w:name="_Toc57377200"/>
      <w:r w:rsidRPr="00E44CBB">
        <w:rPr>
          <w:b/>
          <w:bCs/>
          <w:color w:val="000000" w:themeColor="text1"/>
        </w:rPr>
        <w:t>A.1 Introduction</w:t>
      </w:r>
      <w:bookmarkEnd w:id="830"/>
      <w:bookmarkEnd w:id="831"/>
      <w:bookmarkEnd w:id="832"/>
      <w:bookmarkEnd w:id="833"/>
      <w:bookmarkEnd w:id="834"/>
      <w:bookmarkEnd w:id="835"/>
    </w:p>
    <w:p w14:paraId="3B6CA438" w14:textId="77777777" w:rsidR="007B29DD" w:rsidRPr="00CA2DC4" w:rsidRDefault="007B29DD" w:rsidP="007B29DD">
      <w:pPr>
        <w:pStyle w:val="BodyText"/>
        <w:rPr>
          <w:lang w:eastAsia="en-AU"/>
        </w:rPr>
      </w:pPr>
      <w:r w:rsidRPr="00CA2DC4">
        <w:rPr>
          <w:lang w:eastAsia="en-AU"/>
        </w:rPr>
        <w:t>T</w:t>
      </w:r>
      <w:r>
        <w:rPr>
          <w:lang w:eastAsia="en-AU"/>
        </w:rPr>
        <w:t>his appendix to the guidelines lists some complementary references for additional information on climate change science, climate change projections, and broader climate change impact assessment guidance. It also includes some illustrative examples of historical data scaling.</w:t>
      </w:r>
    </w:p>
    <w:p w14:paraId="51E4D926" w14:textId="77777777" w:rsidR="007B29DD" w:rsidRPr="00E44CBB" w:rsidRDefault="007B29DD" w:rsidP="007B29DD">
      <w:pPr>
        <w:pStyle w:val="Heading2"/>
        <w:rPr>
          <w:b/>
          <w:bCs/>
          <w:color w:val="000000" w:themeColor="text1"/>
        </w:rPr>
      </w:pPr>
      <w:bookmarkStart w:id="836" w:name="_Toc38957464"/>
      <w:bookmarkStart w:id="837" w:name="_Toc43476528"/>
      <w:bookmarkStart w:id="838" w:name="_Toc44928773"/>
      <w:bookmarkStart w:id="839" w:name="_Toc51658045"/>
      <w:bookmarkStart w:id="840" w:name="_Toc53585950"/>
      <w:bookmarkStart w:id="841" w:name="_Toc57377201"/>
      <w:r w:rsidRPr="00E44CBB">
        <w:rPr>
          <w:b/>
          <w:bCs/>
          <w:color w:val="000000" w:themeColor="text1"/>
        </w:rPr>
        <w:t>A.2 Complementary references</w:t>
      </w:r>
      <w:bookmarkEnd w:id="836"/>
      <w:bookmarkEnd w:id="837"/>
      <w:bookmarkEnd w:id="838"/>
      <w:bookmarkEnd w:id="839"/>
      <w:bookmarkEnd w:id="840"/>
      <w:bookmarkEnd w:id="841"/>
    </w:p>
    <w:p w14:paraId="536B7AB8" w14:textId="77777777" w:rsidR="007B29DD" w:rsidRDefault="007B29DD" w:rsidP="007B29DD">
      <w:pPr>
        <w:pStyle w:val="BodyText"/>
        <w:rPr>
          <w:lang w:eastAsia="en-AU"/>
        </w:rPr>
      </w:pPr>
      <w:r w:rsidRPr="00C36351">
        <w:rPr>
          <w:lang w:eastAsia="en-AU"/>
        </w:rPr>
        <w:t xml:space="preserve">A full list of </w:t>
      </w:r>
      <w:r>
        <w:rPr>
          <w:lang w:eastAsia="en-AU"/>
        </w:rPr>
        <w:t xml:space="preserve">references for the guidelines is provided in Section </w:t>
      </w:r>
      <w:r>
        <w:rPr>
          <w:lang w:eastAsia="en-AU"/>
        </w:rPr>
        <w:fldChar w:fldCharType="begin"/>
      </w:r>
      <w:r>
        <w:rPr>
          <w:lang w:eastAsia="en-AU"/>
        </w:rPr>
        <w:instrText xml:space="preserve"> REF _Ref40369322 \r \h </w:instrText>
      </w:r>
      <w:r>
        <w:rPr>
          <w:lang w:eastAsia="en-AU"/>
        </w:rPr>
      </w:r>
      <w:r>
        <w:rPr>
          <w:lang w:eastAsia="en-AU"/>
        </w:rPr>
        <w:fldChar w:fldCharType="separate"/>
      </w:r>
      <w:r>
        <w:rPr>
          <w:lang w:eastAsia="en-AU"/>
        </w:rPr>
        <w:t>8</w:t>
      </w:r>
      <w:r>
        <w:rPr>
          <w:lang w:eastAsia="en-AU"/>
        </w:rPr>
        <w:fldChar w:fldCharType="end"/>
      </w:r>
      <w:r>
        <w:rPr>
          <w:lang w:eastAsia="en-AU"/>
        </w:rPr>
        <w:t xml:space="preserve">. Some of the most relevant complementary references are provided in </w:t>
      </w:r>
      <w:r>
        <w:rPr>
          <w:lang w:eastAsia="en-AU"/>
        </w:rPr>
        <w:fldChar w:fldCharType="begin"/>
      </w:r>
      <w:r>
        <w:rPr>
          <w:lang w:eastAsia="en-AU"/>
        </w:rPr>
        <w:instrText xml:space="preserve"> REF _Ref40369374 \h </w:instrText>
      </w:r>
      <w:r>
        <w:rPr>
          <w:lang w:eastAsia="en-AU"/>
        </w:rPr>
      </w:r>
      <w:r>
        <w:rPr>
          <w:lang w:eastAsia="en-AU"/>
        </w:rPr>
        <w:fldChar w:fldCharType="separate"/>
      </w:r>
      <w:r>
        <w:t xml:space="preserve">Table </w:t>
      </w:r>
      <w:r>
        <w:rPr>
          <w:noProof/>
        </w:rPr>
        <w:t>9</w:t>
      </w:r>
      <w:r>
        <w:rPr>
          <w:lang w:eastAsia="en-AU"/>
        </w:rPr>
        <w:fldChar w:fldCharType="end"/>
      </w:r>
      <w:r>
        <w:rPr>
          <w:lang w:eastAsia="en-AU"/>
        </w:rPr>
        <w:t>. This list is by no means exhaustive, and may be updated by DELWP at regular intervals.</w:t>
      </w:r>
    </w:p>
    <w:p w14:paraId="5D4FBE9B" w14:textId="77777777" w:rsidR="007B29DD" w:rsidRDefault="007B29DD" w:rsidP="007B29DD">
      <w:pPr>
        <w:pStyle w:val="Caption"/>
      </w:pPr>
      <w:bookmarkStart w:id="842" w:name="_Ref40369374"/>
      <w:bookmarkStart w:id="843" w:name="_Toc43476563"/>
      <w:bookmarkStart w:id="844" w:name="_Toc44928808"/>
      <w:bookmarkStart w:id="845" w:name="_Toc51237471"/>
      <w:bookmarkStart w:id="846" w:name="_Toc53585986"/>
      <w:bookmarkStart w:id="847" w:name="_Toc57377237"/>
      <w:r>
        <w:t xml:space="preserve">Table </w:t>
      </w:r>
      <w:r>
        <w:fldChar w:fldCharType="begin"/>
      </w:r>
      <w:r>
        <w:instrText>SEQ Table \* ARABIC</w:instrText>
      </w:r>
      <w:r>
        <w:fldChar w:fldCharType="separate"/>
      </w:r>
      <w:r>
        <w:rPr>
          <w:noProof/>
        </w:rPr>
        <w:t>9</w:t>
      </w:r>
      <w:r>
        <w:fldChar w:fldCharType="end"/>
      </w:r>
      <w:bookmarkEnd w:id="842"/>
      <w:r>
        <w:t xml:space="preserve"> Complementary references</w:t>
      </w:r>
      <w:bookmarkEnd w:id="843"/>
      <w:bookmarkEnd w:id="844"/>
      <w:bookmarkEnd w:id="845"/>
      <w:bookmarkEnd w:id="846"/>
      <w:bookmarkEnd w:id="847"/>
    </w:p>
    <w:tbl>
      <w:tblPr>
        <w:tblStyle w:val="TableGrid"/>
        <w:tblW w:w="0" w:type="auto"/>
        <w:tblLook w:val="04A0" w:firstRow="1" w:lastRow="0" w:firstColumn="1" w:lastColumn="0" w:noHBand="0" w:noVBand="1"/>
      </w:tblPr>
      <w:tblGrid>
        <w:gridCol w:w="4476"/>
        <w:gridCol w:w="4550"/>
      </w:tblGrid>
      <w:tr w:rsidR="007B29DD" w14:paraId="50A55CD1" w14:textId="77777777" w:rsidTr="003F54F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678" w:type="dxa"/>
            <w:shd w:val="clear" w:color="auto" w:fill="D0CECE" w:themeFill="background2" w:themeFillShade="E6"/>
          </w:tcPr>
          <w:p w14:paraId="57503160" w14:textId="77777777" w:rsidR="007B29DD" w:rsidRPr="00605BAA" w:rsidRDefault="007B29DD" w:rsidP="00306AF1">
            <w:pPr>
              <w:pStyle w:val="BodyText"/>
              <w:jc w:val="center"/>
              <w:rPr>
                <w:b/>
              </w:rPr>
            </w:pPr>
            <w:r w:rsidRPr="00605BAA">
              <w:rPr>
                <w:b/>
              </w:rPr>
              <w:t>Reference</w:t>
            </w:r>
          </w:p>
        </w:tc>
        <w:tc>
          <w:tcPr>
            <w:tcW w:w="4961" w:type="dxa"/>
            <w:shd w:val="clear" w:color="auto" w:fill="D0CECE" w:themeFill="background2" w:themeFillShade="E6"/>
          </w:tcPr>
          <w:p w14:paraId="3A830D63" w14:textId="77777777" w:rsidR="007B29DD" w:rsidRPr="00605BAA" w:rsidRDefault="007B29DD" w:rsidP="00306AF1">
            <w:pPr>
              <w:pStyle w:val="BodyText"/>
              <w:jc w:val="center"/>
              <w:cnfStyle w:val="100000000000" w:firstRow="1" w:lastRow="0" w:firstColumn="0" w:lastColumn="0" w:oddVBand="0" w:evenVBand="0" w:oddHBand="0" w:evenHBand="0" w:firstRowFirstColumn="0" w:firstRowLastColumn="0" w:lastRowFirstColumn="0" w:lastRowLastColumn="0"/>
              <w:rPr>
                <w:b/>
              </w:rPr>
            </w:pPr>
            <w:r w:rsidRPr="00605BAA">
              <w:rPr>
                <w:b/>
              </w:rPr>
              <w:t>Potential complementary uses</w:t>
            </w:r>
          </w:p>
        </w:tc>
      </w:tr>
      <w:tr w:rsidR="007B29DD" w:rsidRPr="00772933" w14:paraId="11C3BE1D" w14:textId="77777777" w:rsidTr="00306AF1">
        <w:tc>
          <w:tcPr>
            <w:tcW w:w="9639" w:type="dxa"/>
            <w:gridSpan w:val="2"/>
          </w:tcPr>
          <w:p w14:paraId="72E68D32" w14:textId="77777777" w:rsidR="007B29DD" w:rsidRPr="00772933" w:rsidRDefault="007B29DD" w:rsidP="00306AF1">
            <w:pPr>
              <w:pStyle w:val="BodyText"/>
              <w:rPr>
                <w:b/>
                <w:bCs/>
              </w:rPr>
            </w:pPr>
            <w:r w:rsidRPr="00772933">
              <w:rPr>
                <w:b/>
                <w:bCs/>
              </w:rPr>
              <w:t>Water planning guidance</w:t>
            </w:r>
            <w:r>
              <w:rPr>
                <w:b/>
                <w:bCs/>
              </w:rPr>
              <w:t xml:space="preserve"> and other climate change guidance</w:t>
            </w:r>
          </w:p>
        </w:tc>
      </w:tr>
      <w:tr w:rsidR="007B29DD" w14:paraId="37D5DC94" w14:textId="77777777" w:rsidTr="00306AF1">
        <w:tc>
          <w:tcPr>
            <w:tcW w:w="4678" w:type="dxa"/>
          </w:tcPr>
          <w:p w14:paraId="1D611742" w14:textId="77777777" w:rsidR="007B29DD" w:rsidRDefault="007B29DD" w:rsidP="00306AF1">
            <w:pPr>
              <w:pStyle w:val="BodyText"/>
            </w:pPr>
            <w:r>
              <w:t xml:space="preserve">DELWP (in development) </w:t>
            </w:r>
            <w:bookmarkStart w:id="848" w:name="_Hlk43298332"/>
            <w:r w:rsidRPr="00307116">
              <w:rPr>
                <w:i/>
                <w:iCs/>
              </w:rPr>
              <w:t>Guidelines for Assessing the Impact of Climate Change on Sewerage Systems</w:t>
            </w:r>
            <w:r>
              <w:rPr>
                <w:i/>
                <w:iCs/>
              </w:rPr>
              <w:t>.</w:t>
            </w:r>
            <w:bookmarkEnd w:id="848"/>
          </w:p>
        </w:tc>
        <w:tc>
          <w:tcPr>
            <w:tcW w:w="4961" w:type="dxa"/>
          </w:tcPr>
          <w:p w14:paraId="30C605B6" w14:textId="77777777" w:rsidR="007B29DD" w:rsidRDefault="007B29DD" w:rsidP="00306AF1">
            <w:pPr>
              <w:pStyle w:val="BodyText"/>
            </w:pPr>
            <w:r>
              <w:t>Complementary climate change impact assessment guidance specific to sewerage planning</w:t>
            </w:r>
          </w:p>
        </w:tc>
      </w:tr>
      <w:tr w:rsidR="007B29DD" w14:paraId="2674213C" w14:textId="77777777" w:rsidTr="00306AF1">
        <w:tc>
          <w:tcPr>
            <w:tcW w:w="4678" w:type="dxa"/>
          </w:tcPr>
          <w:p w14:paraId="227BDBDB" w14:textId="77777777" w:rsidR="007B29DD" w:rsidRDefault="007B29DD" w:rsidP="00306AF1">
            <w:pPr>
              <w:pStyle w:val="BodyText"/>
            </w:pPr>
            <w:r>
              <w:t xml:space="preserve">DELWP (2020a) </w:t>
            </w:r>
            <w:r w:rsidRPr="009C5FD3">
              <w:rPr>
                <w:i/>
                <w:iCs/>
              </w:rPr>
              <w:t>Guidelines for the Development of Urban Water Strategies and the Melbourne Water System Strategy</w:t>
            </w:r>
          </w:p>
        </w:tc>
        <w:tc>
          <w:tcPr>
            <w:tcW w:w="4961" w:type="dxa"/>
          </w:tcPr>
          <w:p w14:paraId="04AE1BFB" w14:textId="77777777" w:rsidR="007B29DD" w:rsidRDefault="007B29DD" w:rsidP="00306AF1">
            <w:pPr>
              <w:pStyle w:val="BodyText"/>
            </w:pPr>
            <w:r>
              <w:t>Guidelines for how to incorporate climate change impact assessment into long-term and short-term water supply planning</w:t>
            </w:r>
          </w:p>
        </w:tc>
      </w:tr>
      <w:tr w:rsidR="007B29DD" w14:paraId="18BB7629" w14:textId="77777777" w:rsidTr="00306AF1">
        <w:tc>
          <w:tcPr>
            <w:tcW w:w="4678" w:type="dxa"/>
          </w:tcPr>
          <w:p w14:paraId="502BC55A" w14:textId="77777777" w:rsidR="007B29DD" w:rsidRDefault="007B29DD" w:rsidP="00306AF1">
            <w:pPr>
              <w:pStyle w:val="BodyText"/>
            </w:pPr>
            <w:r>
              <w:t xml:space="preserve">DELWP (2018a) </w:t>
            </w:r>
            <w:r w:rsidRPr="00F17D88">
              <w:rPr>
                <w:i/>
              </w:rPr>
              <w:t>Pilot Water Sector Climate Change Adaptation Action Plan</w:t>
            </w:r>
            <w:r>
              <w:t xml:space="preserve">. </w:t>
            </w:r>
            <w:r w:rsidRPr="00F2655B">
              <w:t>ISBN 978-1-76077-274-1 (pdf/online/MS word)</w:t>
            </w:r>
          </w:p>
        </w:tc>
        <w:tc>
          <w:tcPr>
            <w:tcW w:w="4961" w:type="dxa"/>
          </w:tcPr>
          <w:p w14:paraId="3A3EDD45" w14:textId="77777777" w:rsidR="007B29DD" w:rsidRDefault="007B29DD" w:rsidP="00306AF1">
            <w:pPr>
              <w:pStyle w:val="BodyText"/>
            </w:pPr>
            <w:r>
              <w:t>The climate change adaptation strategy for the water sector, which included a commitment to update these guidelines on water supply impact assessment</w:t>
            </w:r>
          </w:p>
        </w:tc>
      </w:tr>
      <w:tr w:rsidR="007B29DD" w14:paraId="7E6432FD" w14:textId="77777777" w:rsidTr="00306AF1">
        <w:tc>
          <w:tcPr>
            <w:tcW w:w="4678" w:type="dxa"/>
          </w:tcPr>
          <w:p w14:paraId="6AB0D16B" w14:textId="77777777" w:rsidR="007B29DD" w:rsidRDefault="007B29DD" w:rsidP="00306AF1">
            <w:pPr>
              <w:pStyle w:val="BodyText"/>
            </w:pPr>
            <w:r>
              <w:t xml:space="preserve">DELWP (2019a) </w:t>
            </w:r>
            <w:r w:rsidRPr="00184C33">
              <w:rPr>
                <w:i/>
              </w:rPr>
              <w:t>Managing Climate Change Risk. Guidance for Board Members and Executives of Water Corporations and Catchment Management Authorities</w:t>
            </w:r>
            <w:r>
              <w:t>. June 2019.</w:t>
            </w:r>
            <w:r w:rsidRPr="00184C33">
              <w:t xml:space="preserve"> ISBN 978-1-76077-694-7 (pdf/online/MS word)</w:t>
            </w:r>
          </w:p>
        </w:tc>
        <w:tc>
          <w:tcPr>
            <w:tcW w:w="4961" w:type="dxa"/>
          </w:tcPr>
          <w:p w14:paraId="1C5EDD80" w14:textId="77777777" w:rsidR="007B29DD" w:rsidRDefault="007B29DD" w:rsidP="00306AF1">
            <w:pPr>
              <w:pStyle w:val="BodyText"/>
            </w:pPr>
            <w:r>
              <w:t>Guidance on how to integrate climate change impact assessments on water supplies into decision making</w:t>
            </w:r>
          </w:p>
        </w:tc>
      </w:tr>
      <w:tr w:rsidR="007B29DD" w14:paraId="14ABC80D" w14:textId="77777777" w:rsidTr="00306AF1">
        <w:tc>
          <w:tcPr>
            <w:tcW w:w="4678" w:type="dxa"/>
          </w:tcPr>
          <w:p w14:paraId="65051CA7" w14:textId="77777777" w:rsidR="007B29DD" w:rsidRDefault="007B29DD" w:rsidP="00306AF1">
            <w:pPr>
              <w:pStyle w:val="BodyText"/>
            </w:pPr>
            <w:r>
              <w:t xml:space="preserve">Water Services Association of Australia (WSAA) (2016) </w:t>
            </w:r>
            <w:r w:rsidRPr="00853274">
              <w:rPr>
                <w:i/>
              </w:rPr>
              <w:t>Climate Change Adaptation Guidelines</w:t>
            </w:r>
            <w:r>
              <w:t>. February 2016. WSA 303 – 2016-v1.2</w:t>
            </w:r>
          </w:p>
        </w:tc>
        <w:tc>
          <w:tcPr>
            <w:tcW w:w="4961" w:type="dxa"/>
          </w:tcPr>
          <w:p w14:paraId="10291F8B" w14:textId="77777777" w:rsidR="007B29DD" w:rsidRDefault="007B29DD" w:rsidP="00306AF1">
            <w:pPr>
              <w:pStyle w:val="BodyText"/>
            </w:pPr>
            <w:r>
              <w:t>Illustrates how climate change impact assessment on water supplies fits in with broader climate change adaptation and mitigation measures by Water Corporations</w:t>
            </w:r>
          </w:p>
        </w:tc>
      </w:tr>
      <w:tr w:rsidR="007B29DD" w:rsidRPr="00772933" w14:paraId="6AB5828E" w14:textId="77777777" w:rsidTr="00306AF1">
        <w:tc>
          <w:tcPr>
            <w:tcW w:w="4678" w:type="dxa"/>
          </w:tcPr>
          <w:p w14:paraId="1D26692D" w14:textId="77777777" w:rsidR="007B29DD" w:rsidRPr="00772933" w:rsidRDefault="007B29DD" w:rsidP="00306AF1">
            <w:pPr>
              <w:pStyle w:val="BodyText"/>
              <w:rPr>
                <w:b/>
                <w:bCs/>
              </w:rPr>
            </w:pPr>
            <w:r w:rsidRPr="00772933">
              <w:rPr>
                <w:b/>
                <w:bCs/>
              </w:rPr>
              <w:t>Climate science</w:t>
            </w:r>
          </w:p>
        </w:tc>
        <w:tc>
          <w:tcPr>
            <w:tcW w:w="4961" w:type="dxa"/>
          </w:tcPr>
          <w:p w14:paraId="659D9DA4" w14:textId="77777777" w:rsidR="007B29DD" w:rsidRPr="00772933" w:rsidRDefault="007B29DD" w:rsidP="00306AF1">
            <w:pPr>
              <w:pStyle w:val="BodyText"/>
              <w:rPr>
                <w:b/>
                <w:bCs/>
              </w:rPr>
            </w:pPr>
          </w:p>
        </w:tc>
      </w:tr>
      <w:tr w:rsidR="007B29DD" w14:paraId="64B7E489" w14:textId="77777777" w:rsidTr="00306AF1">
        <w:tc>
          <w:tcPr>
            <w:tcW w:w="4678" w:type="dxa"/>
          </w:tcPr>
          <w:p w14:paraId="505E6397" w14:textId="77777777" w:rsidR="007B29DD" w:rsidRDefault="007B29DD" w:rsidP="00306AF1">
            <w:pPr>
              <w:pStyle w:val="BodyText"/>
            </w:pPr>
            <w:r>
              <w:t xml:space="preserve">DELWP (2019d) </w:t>
            </w:r>
            <w:r w:rsidRPr="00772933">
              <w:rPr>
                <w:i/>
                <w:iCs/>
              </w:rPr>
              <w:t>Victoria’s Climate Science Report 2019</w:t>
            </w:r>
            <w:r>
              <w:t xml:space="preserve">. </w:t>
            </w:r>
            <w:r w:rsidRPr="00E46142">
              <w:t>ISBN 978-1-76077-853-8 (pdf)</w:t>
            </w:r>
          </w:p>
        </w:tc>
        <w:tc>
          <w:tcPr>
            <w:tcW w:w="4961" w:type="dxa"/>
          </w:tcPr>
          <w:p w14:paraId="501F882C" w14:textId="77777777" w:rsidR="007B29DD" w:rsidRDefault="007B29DD" w:rsidP="00306AF1">
            <w:pPr>
              <w:pStyle w:val="BodyText"/>
            </w:pPr>
            <w:r>
              <w:t>An overview of the latest findings from scientific research into climate change in Victoria</w:t>
            </w:r>
          </w:p>
        </w:tc>
      </w:tr>
      <w:tr w:rsidR="007B29DD" w14:paraId="347B21B8" w14:textId="77777777" w:rsidTr="00306AF1">
        <w:tc>
          <w:tcPr>
            <w:tcW w:w="4678" w:type="dxa"/>
          </w:tcPr>
          <w:p w14:paraId="7DC752D4" w14:textId="4A310971" w:rsidR="007B29DD" w:rsidRDefault="007B29DD" w:rsidP="00306AF1">
            <w:pPr>
              <w:pStyle w:val="BodyText"/>
            </w:pPr>
            <w:r>
              <w:t>DELWP</w:t>
            </w:r>
            <w:r w:rsidR="00A87FB5">
              <w:t xml:space="preserve"> et al.</w:t>
            </w:r>
            <w:r>
              <w:t xml:space="preserve"> (2020) </w:t>
            </w:r>
            <w:r>
              <w:rPr>
                <w:i/>
                <w:iCs/>
              </w:rPr>
              <w:t>Victoria’s Water in a Changing Climate</w:t>
            </w:r>
            <w:r>
              <w:t>.</w:t>
            </w:r>
          </w:p>
        </w:tc>
        <w:tc>
          <w:tcPr>
            <w:tcW w:w="4961" w:type="dxa"/>
          </w:tcPr>
          <w:p w14:paraId="62C180E8" w14:textId="77777777" w:rsidR="007B29DD" w:rsidRDefault="007B29DD" w:rsidP="00306AF1">
            <w:pPr>
              <w:pStyle w:val="BodyText"/>
            </w:pPr>
            <w:r>
              <w:t>An overview of the scientific findings from the VicWaCI research program from 2017–2020</w:t>
            </w:r>
          </w:p>
        </w:tc>
      </w:tr>
      <w:tr w:rsidR="007B29DD" w14:paraId="71F91403" w14:textId="77777777" w:rsidTr="00306AF1">
        <w:tc>
          <w:tcPr>
            <w:tcW w:w="4678" w:type="dxa"/>
          </w:tcPr>
          <w:p w14:paraId="72C956B9" w14:textId="77777777" w:rsidR="007B29DD" w:rsidRDefault="007B29DD" w:rsidP="00306AF1">
            <w:pPr>
              <w:pStyle w:val="BodyText"/>
            </w:pPr>
            <w:r>
              <w:t xml:space="preserve">Clarke JM, Grose M, Thatcher M, Hernaman V, Heady C, Round V, Rafter T, Trenham C &amp; Wilson L (2019a) </w:t>
            </w:r>
            <w:r w:rsidRPr="004743EF">
              <w:rPr>
                <w:i/>
                <w:iCs/>
              </w:rPr>
              <w:t>Victorian Climate Projections 2019 Technical Report</w:t>
            </w:r>
            <w:r>
              <w:t>. CSIRO, Melbourne Australia</w:t>
            </w:r>
          </w:p>
        </w:tc>
        <w:tc>
          <w:tcPr>
            <w:tcW w:w="4961" w:type="dxa"/>
          </w:tcPr>
          <w:p w14:paraId="3110F0F7" w14:textId="77777777" w:rsidR="007B29DD" w:rsidRDefault="007B29DD" w:rsidP="00306AF1">
            <w:pPr>
              <w:pStyle w:val="BodyText"/>
            </w:pPr>
            <w:r>
              <w:t xml:space="preserve">VCP19 projections using six GCMs in combination with a regional climate model. Available from </w:t>
            </w:r>
            <w:hyperlink r:id="rId82" w:history="1">
              <w:r>
                <w:rPr>
                  <w:rStyle w:val="Hyperlink"/>
                </w:rPr>
                <w:t>https://www.climatechange.vic.gov.au/adapting-to-climate-change-impacts/victorian-climate-projections-2019</w:t>
              </w:r>
            </w:hyperlink>
          </w:p>
        </w:tc>
      </w:tr>
      <w:tr w:rsidR="007B29DD" w14:paraId="459D80F7" w14:textId="77777777" w:rsidTr="00306AF1">
        <w:tc>
          <w:tcPr>
            <w:tcW w:w="4678" w:type="dxa"/>
          </w:tcPr>
          <w:p w14:paraId="7B81A096" w14:textId="77777777" w:rsidR="007B29DD" w:rsidRDefault="007B29DD" w:rsidP="00306AF1">
            <w:pPr>
              <w:pStyle w:val="BodyText"/>
            </w:pPr>
            <w:r>
              <w:lastRenderedPageBreak/>
              <w:t xml:space="preserve">Climate Change in Australia website </w:t>
            </w:r>
            <w:hyperlink r:id="rId83" w:history="1">
              <w:r>
                <w:rPr>
                  <w:rStyle w:val="Hyperlink"/>
                </w:rPr>
                <w:t>https://www.climatechangeinaustralia.gov.au/en/</w:t>
              </w:r>
            </w:hyperlink>
          </w:p>
        </w:tc>
        <w:tc>
          <w:tcPr>
            <w:tcW w:w="4961" w:type="dxa"/>
          </w:tcPr>
          <w:p w14:paraId="36FA911B" w14:textId="77777777" w:rsidR="007B29DD" w:rsidRDefault="007B29DD" w:rsidP="00306AF1">
            <w:pPr>
              <w:pStyle w:val="BodyText"/>
            </w:pPr>
            <w:r>
              <w:t>A repository of national climate change information and tools, including the datasets for VCP19.</w:t>
            </w:r>
          </w:p>
        </w:tc>
      </w:tr>
      <w:tr w:rsidR="007B29DD" w14:paraId="694AD8FD" w14:textId="77777777" w:rsidTr="00306AF1">
        <w:tc>
          <w:tcPr>
            <w:tcW w:w="4678" w:type="dxa"/>
          </w:tcPr>
          <w:p w14:paraId="46695A7F" w14:textId="77777777" w:rsidR="007B29DD" w:rsidRPr="00F7502E" w:rsidRDefault="007B29DD" w:rsidP="00306AF1">
            <w:pPr>
              <w:pStyle w:val="BodyText"/>
              <w:keepNext/>
              <w:rPr>
                <w:b/>
                <w:bCs/>
              </w:rPr>
            </w:pPr>
            <w:r>
              <w:rPr>
                <w:b/>
                <w:bCs/>
              </w:rPr>
              <w:t>Design Flood Estimation</w:t>
            </w:r>
          </w:p>
        </w:tc>
        <w:tc>
          <w:tcPr>
            <w:tcW w:w="4961" w:type="dxa"/>
          </w:tcPr>
          <w:p w14:paraId="52C1A103" w14:textId="77777777" w:rsidR="007B29DD" w:rsidRDefault="007B29DD" w:rsidP="00306AF1">
            <w:pPr>
              <w:pStyle w:val="BodyText"/>
              <w:keepNext/>
            </w:pPr>
          </w:p>
        </w:tc>
      </w:tr>
      <w:tr w:rsidR="007B29DD" w14:paraId="007A1629" w14:textId="77777777" w:rsidTr="00306AF1">
        <w:tc>
          <w:tcPr>
            <w:tcW w:w="4678" w:type="dxa"/>
          </w:tcPr>
          <w:p w14:paraId="77734723" w14:textId="77777777" w:rsidR="007B29DD" w:rsidRDefault="007B29DD" w:rsidP="00306AF1">
            <w:pPr>
              <w:pStyle w:val="BodyText"/>
              <w:keepNext/>
            </w:pPr>
            <w:r w:rsidRPr="00F7502E">
              <w:t xml:space="preserve">Ball J, Babister M, Nathan R, Weeks W, Weinmann E, Retallick M, Testoni I, (Editors), 2019, </w:t>
            </w:r>
            <w:r w:rsidRPr="00F7502E">
              <w:rPr>
                <w:i/>
                <w:iCs/>
              </w:rPr>
              <w:t>Australian Rainfall and Runoff: A Guide to Flood Estimation</w:t>
            </w:r>
            <w:r w:rsidRPr="00F7502E">
              <w:t>, Commonwealth of Australia</w:t>
            </w:r>
          </w:p>
        </w:tc>
        <w:tc>
          <w:tcPr>
            <w:tcW w:w="4961" w:type="dxa"/>
          </w:tcPr>
          <w:p w14:paraId="1C7CF2C4" w14:textId="77777777" w:rsidR="007B29DD" w:rsidRDefault="007B29DD" w:rsidP="00306AF1">
            <w:pPr>
              <w:pStyle w:val="BodyText"/>
              <w:keepNext/>
            </w:pPr>
            <w:r>
              <w:t>This is the national guideline for design flood estimation</w:t>
            </w:r>
          </w:p>
        </w:tc>
      </w:tr>
    </w:tbl>
    <w:p w14:paraId="66B0C4E9" w14:textId="77777777" w:rsidR="007B29DD" w:rsidRPr="00C36351" w:rsidRDefault="007B29DD" w:rsidP="007B29DD">
      <w:pPr>
        <w:pStyle w:val="BodyText"/>
        <w:rPr>
          <w:lang w:eastAsia="en-AU"/>
        </w:rPr>
      </w:pPr>
    </w:p>
    <w:p w14:paraId="267F0A52" w14:textId="77777777" w:rsidR="007B29DD" w:rsidRPr="00E44CBB" w:rsidRDefault="007B29DD" w:rsidP="007B29DD">
      <w:pPr>
        <w:pStyle w:val="Heading2"/>
        <w:rPr>
          <w:b/>
          <w:bCs/>
        </w:rPr>
      </w:pPr>
      <w:bookmarkStart w:id="849" w:name="_Toc38957465"/>
      <w:bookmarkStart w:id="850" w:name="_Toc43476529"/>
      <w:bookmarkStart w:id="851" w:name="_Toc44928774"/>
      <w:bookmarkStart w:id="852" w:name="_Toc51658046"/>
      <w:bookmarkStart w:id="853" w:name="_Toc53585951"/>
      <w:bookmarkStart w:id="854" w:name="_Toc57377202"/>
      <w:r w:rsidRPr="00E44CBB">
        <w:rPr>
          <w:b/>
          <w:bCs/>
          <w:color w:val="000000" w:themeColor="text1"/>
        </w:rPr>
        <w:t xml:space="preserve">A.3 Historical data scaling </w:t>
      </w:r>
      <w:bookmarkEnd w:id="849"/>
      <w:r w:rsidRPr="00E44CBB">
        <w:rPr>
          <w:b/>
          <w:bCs/>
          <w:color w:val="000000" w:themeColor="text1"/>
        </w:rPr>
        <w:t>examples</w:t>
      </w:r>
      <w:bookmarkEnd w:id="850"/>
      <w:bookmarkEnd w:id="851"/>
      <w:bookmarkEnd w:id="852"/>
      <w:bookmarkEnd w:id="853"/>
      <w:bookmarkEnd w:id="854"/>
    </w:p>
    <w:p w14:paraId="72BBAB67" w14:textId="77777777" w:rsidR="007B29DD" w:rsidRDefault="007B29DD" w:rsidP="007B29DD">
      <w:pPr>
        <w:pStyle w:val="BodyText"/>
        <w:rPr>
          <w:lang w:eastAsia="en-AU"/>
        </w:rPr>
      </w:pPr>
      <w:r>
        <w:rPr>
          <w:lang w:eastAsia="en-AU"/>
        </w:rPr>
        <w:t xml:space="preserve">As outlined in Section </w:t>
      </w:r>
      <w:r>
        <w:rPr>
          <w:lang w:eastAsia="en-AU"/>
        </w:rPr>
        <w:fldChar w:fldCharType="begin"/>
      </w:r>
      <w:r>
        <w:rPr>
          <w:lang w:eastAsia="en-AU"/>
        </w:rPr>
        <w:instrText xml:space="preserve"> REF _Ref53145727 \r \h </w:instrText>
      </w:r>
      <w:r>
        <w:rPr>
          <w:lang w:eastAsia="en-AU"/>
        </w:rPr>
      </w:r>
      <w:r>
        <w:rPr>
          <w:lang w:eastAsia="en-AU"/>
        </w:rPr>
        <w:fldChar w:fldCharType="separate"/>
      </w:r>
      <w:r>
        <w:rPr>
          <w:lang w:eastAsia="en-AU"/>
        </w:rPr>
        <w:t>5.4.2</w:t>
      </w:r>
      <w:r>
        <w:rPr>
          <w:lang w:eastAsia="en-AU"/>
        </w:rPr>
        <w:fldChar w:fldCharType="end"/>
      </w:r>
      <w:r>
        <w:rPr>
          <w:lang w:eastAsia="en-AU"/>
        </w:rPr>
        <w:t xml:space="preserve"> of these guidelines, historical data scaling is a method used to adjust historical data so that it has similar exceedance properties to a shorter reference period, for example the post-1975 and post-1997 reference periods used in these guidelines.</w:t>
      </w:r>
    </w:p>
    <w:p w14:paraId="24AB706D" w14:textId="77777777" w:rsidR="007B29DD" w:rsidRDefault="007B29DD" w:rsidP="007B29DD">
      <w:pPr>
        <w:pStyle w:val="BodyText"/>
        <w:rPr>
          <w:lang w:eastAsia="en-AU"/>
        </w:rPr>
      </w:pPr>
      <w:r>
        <w:rPr>
          <w:lang w:eastAsia="en-AU"/>
        </w:rPr>
        <w:t>HARC (2020) undertook an analysis of the potential for the scaling of historical data to introduce data anomalies in 150 datasets across Victoria. From this analysis it was concluded that:</w:t>
      </w:r>
    </w:p>
    <w:p w14:paraId="6004CF8D" w14:textId="77777777" w:rsidR="007B29DD" w:rsidRDefault="007B29DD" w:rsidP="007B29DD">
      <w:pPr>
        <w:pStyle w:val="BodyText"/>
        <w:numPr>
          <w:ilvl w:val="0"/>
          <w:numId w:val="48"/>
        </w:numPr>
        <w:rPr>
          <w:lang w:eastAsia="en-AU"/>
        </w:rPr>
      </w:pPr>
      <w:r>
        <w:rPr>
          <w:lang w:eastAsia="en-AU"/>
        </w:rPr>
        <w:t>Inconsistent scaling factors across adjacent deciles occurred in less than 5% of datasets.</w:t>
      </w:r>
    </w:p>
    <w:p w14:paraId="339B38C7" w14:textId="5657FC73" w:rsidR="007B29DD" w:rsidRDefault="007B29DD" w:rsidP="007B29DD">
      <w:pPr>
        <w:pStyle w:val="BodyText"/>
        <w:numPr>
          <w:ilvl w:val="0"/>
          <w:numId w:val="48"/>
        </w:numPr>
        <w:rPr>
          <w:lang w:eastAsia="en-AU"/>
        </w:rPr>
      </w:pPr>
      <w:r>
        <w:rPr>
          <w:lang w:eastAsia="en-AU"/>
        </w:rPr>
        <w:t xml:space="preserve">It was not uncommon for high, low or the majority of historical streamflows to increase after scaling (e.g. low flows increased in 26% of datasets). The frequency with which this occurred was much lower when using a </w:t>
      </w:r>
      <w:r w:rsidR="000B0C4A">
        <w:rPr>
          <w:lang w:eastAsia="en-AU"/>
        </w:rPr>
        <w:t>post</w:t>
      </w:r>
      <w:r>
        <w:rPr>
          <w:lang w:eastAsia="en-AU"/>
        </w:rPr>
        <w:t xml:space="preserve">-1997 </w:t>
      </w:r>
      <w:r w:rsidR="000B0C4A">
        <w:rPr>
          <w:lang w:eastAsia="en-AU"/>
        </w:rPr>
        <w:t>historic climate reference period</w:t>
      </w:r>
      <w:r>
        <w:rPr>
          <w:lang w:eastAsia="en-AU"/>
        </w:rPr>
        <w:t xml:space="preserve">, relative to a </w:t>
      </w:r>
      <w:r w:rsidR="000B0C4A">
        <w:rPr>
          <w:lang w:eastAsia="en-AU"/>
        </w:rPr>
        <w:t>post</w:t>
      </w:r>
      <w:r>
        <w:rPr>
          <w:lang w:eastAsia="en-AU"/>
        </w:rPr>
        <w:t xml:space="preserve">-1975 </w:t>
      </w:r>
      <w:r w:rsidR="00276E24">
        <w:rPr>
          <w:lang w:eastAsia="en-AU"/>
        </w:rPr>
        <w:t>historic climate reference period</w:t>
      </w:r>
      <w:r>
        <w:rPr>
          <w:lang w:eastAsia="en-AU"/>
        </w:rPr>
        <w:t>.</w:t>
      </w:r>
    </w:p>
    <w:p w14:paraId="64DDFAFD" w14:textId="087CA7EA" w:rsidR="007B29DD" w:rsidRDefault="007B29DD" w:rsidP="007B29DD">
      <w:pPr>
        <w:pStyle w:val="BodyText"/>
        <w:numPr>
          <w:ilvl w:val="0"/>
          <w:numId w:val="48"/>
        </w:numPr>
        <w:rPr>
          <w:lang w:eastAsia="en-AU"/>
        </w:rPr>
      </w:pPr>
      <w:r>
        <w:rPr>
          <w:lang w:eastAsia="en-AU"/>
        </w:rPr>
        <w:t xml:space="preserve">Understanding the quality of </w:t>
      </w:r>
      <w:r w:rsidR="0049193E">
        <w:rPr>
          <w:lang w:eastAsia="en-AU"/>
        </w:rPr>
        <w:t xml:space="preserve">reference period </w:t>
      </w:r>
      <w:r>
        <w:rPr>
          <w:lang w:eastAsia="en-AU"/>
        </w:rPr>
        <w:t>data is important for interpreting the validity of the historical data scaling.</w:t>
      </w:r>
    </w:p>
    <w:p w14:paraId="32F2ADCD" w14:textId="77777777" w:rsidR="007B29DD" w:rsidRDefault="007B29DD" w:rsidP="007B29DD">
      <w:pPr>
        <w:pStyle w:val="BodyText"/>
        <w:rPr>
          <w:lang w:eastAsia="en-AU"/>
        </w:rPr>
      </w:pPr>
      <w:r>
        <w:rPr>
          <w:lang w:eastAsia="en-AU"/>
        </w:rPr>
        <w:t>HARC (2020) also investigated some of the potential causes of anomalies introduced by historical data scaling. These included examining differences in a sample of wet and dry catchments, differences when analysing the dataset on different time steps, differences when utilising a shorter period of record in the historical (pre-reference) period, differences when applying annual or seasonal scaling, differences due to changes in the method of streamflow derivation and differences in the observed flows over time (e.g. due to changes in gauging practices). This analysis did not identify any conclusive patterns for the drivers of potential data anomalies introduced by historical data scaling, with anomalies likely to be unique to individual datasets associated with local quality control or water management issues. Where potential anomalies were identified, an examination of the stationary of gauged water levels was shown to help identify whether the poor quality of raw data was a cause of the anomaly.</w:t>
      </w:r>
    </w:p>
    <w:p w14:paraId="23026EE9" w14:textId="77777777" w:rsidR="007B29DD" w:rsidRDefault="007B29DD" w:rsidP="007B29DD">
      <w:pPr>
        <w:pStyle w:val="BodyText"/>
        <w:rPr>
          <w:lang w:eastAsia="en-AU"/>
        </w:rPr>
      </w:pPr>
      <w:r>
        <w:rPr>
          <w:lang w:eastAsia="en-AU"/>
        </w:rPr>
        <w:t>When comparing seasonal versus annual scaling factors, HARC (2020) noted with an example dataset that scaling factors over the cool season typically resulted in flow reductions in the historical period, while in the warm season, flow increases were applied.</w:t>
      </w:r>
    </w:p>
    <w:p w14:paraId="2F65A787" w14:textId="112424B9" w:rsidR="007B29DD" w:rsidRDefault="007B29DD" w:rsidP="007B29DD">
      <w:pPr>
        <w:pStyle w:val="BodyText"/>
        <w:rPr>
          <w:lang w:eastAsia="en-AU"/>
        </w:rPr>
      </w:pPr>
      <w:r>
        <w:rPr>
          <w:lang w:eastAsia="en-AU"/>
        </w:rPr>
        <w:t xml:space="preserve">Some examples of historical data scaling are shown in </w:t>
      </w:r>
      <w:r>
        <w:rPr>
          <w:lang w:eastAsia="en-AU"/>
        </w:rPr>
        <w:fldChar w:fldCharType="begin"/>
      </w:r>
      <w:r>
        <w:rPr>
          <w:lang w:eastAsia="en-AU"/>
        </w:rPr>
        <w:instrText xml:space="preserve"> REF _Ref40345246 \h </w:instrText>
      </w:r>
      <w:r>
        <w:rPr>
          <w:lang w:eastAsia="en-AU"/>
        </w:rPr>
      </w:r>
      <w:r>
        <w:rPr>
          <w:lang w:eastAsia="en-AU"/>
        </w:rPr>
        <w:fldChar w:fldCharType="separate"/>
      </w:r>
      <w:r>
        <w:t xml:space="preserve">Figure </w:t>
      </w:r>
      <w:r>
        <w:rPr>
          <w:noProof/>
        </w:rPr>
        <w:t>29</w:t>
      </w:r>
      <w:r>
        <w:rPr>
          <w:lang w:eastAsia="en-AU"/>
        </w:rPr>
        <w:fldChar w:fldCharType="end"/>
      </w:r>
      <w:r>
        <w:rPr>
          <w:lang w:eastAsia="en-AU"/>
        </w:rPr>
        <w:t xml:space="preserve"> to </w:t>
      </w:r>
      <w:r>
        <w:rPr>
          <w:lang w:eastAsia="en-AU"/>
        </w:rPr>
        <w:fldChar w:fldCharType="begin"/>
      </w:r>
      <w:r>
        <w:rPr>
          <w:lang w:eastAsia="en-AU"/>
        </w:rPr>
        <w:instrText xml:space="preserve"> REF _Ref40345257 \h </w:instrText>
      </w:r>
      <w:r>
        <w:rPr>
          <w:lang w:eastAsia="en-AU"/>
        </w:rPr>
      </w:r>
      <w:r>
        <w:rPr>
          <w:lang w:eastAsia="en-AU"/>
        </w:rPr>
        <w:fldChar w:fldCharType="separate"/>
      </w:r>
      <w:r>
        <w:t xml:space="preserve">Figure </w:t>
      </w:r>
      <w:r>
        <w:rPr>
          <w:noProof/>
        </w:rPr>
        <w:t>31</w:t>
      </w:r>
      <w:r>
        <w:rPr>
          <w:lang w:eastAsia="en-AU"/>
        </w:rPr>
        <w:fldChar w:fldCharType="end"/>
      </w:r>
      <w:r>
        <w:rPr>
          <w:lang w:eastAsia="en-AU"/>
        </w:rPr>
        <w:t xml:space="preserve">. In these figures, the flow exceedance curve is plotted as ten points, with one point for the average flow within each decile. The scaling conversion factor is the factor that would be applied to the historical data for that particular decile. </w:t>
      </w:r>
      <w:r>
        <w:rPr>
          <w:lang w:eastAsia="en-AU"/>
        </w:rPr>
        <w:fldChar w:fldCharType="begin"/>
      </w:r>
      <w:r>
        <w:rPr>
          <w:lang w:eastAsia="en-AU"/>
        </w:rPr>
        <w:instrText xml:space="preserve"> REF _Ref40345246 \h </w:instrText>
      </w:r>
      <w:r>
        <w:rPr>
          <w:lang w:eastAsia="en-AU"/>
        </w:rPr>
      </w:r>
      <w:r>
        <w:rPr>
          <w:lang w:eastAsia="en-AU"/>
        </w:rPr>
        <w:fldChar w:fldCharType="separate"/>
      </w:r>
      <w:r>
        <w:t xml:space="preserve">Figure </w:t>
      </w:r>
      <w:r>
        <w:rPr>
          <w:noProof/>
        </w:rPr>
        <w:t>29</w:t>
      </w:r>
      <w:r>
        <w:rPr>
          <w:lang w:eastAsia="en-AU"/>
        </w:rPr>
        <w:fldChar w:fldCharType="end"/>
      </w:r>
      <w:r>
        <w:rPr>
          <w:lang w:eastAsia="en-AU"/>
        </w:rPr>
        <w:t xml:space="preserve"> illustrates the historical data scaling that would typically be expected in a drying climate, namely that the </w:t>
      </w:r>
      <w:r w:rsidR="0049193E">
        <w:rPr>
          <w:lang w:eastAsia="en-AU"/>
        </w:rPr>
        <w:t xml:space="preserve">reference period </w:t>
      </w:r>
      <w:r>
        <w:rPr>
          <w:lang w:eastAsia="en-AU"/>
        </w:rPr>
        <w:t xml:space="preserve">flows are below the historical flows for all deciles, and the scaling factors are therefore all less than 100%. </w:t>
      </w:r>
      <w:r>
        <w:rPr>
          <w:lang w:eastAsia="en-AU"/>
        </w:rPr>
        <w:fldChar w:fldCharType="begin"/>
      </w:r>
      <w:r>
        <w:rPr>
          <w:lang w:eastAsia="en-AU"/>
        </w:rPr>
        <w:instrText xml:space="preserve"> REF _Ref40345693 \h </w:instrText>
      </w:r>
      <w:r>
        <w:rPr>
          <w:lang w:eastAsia="en-AU"/>
        </w:rPr>
      </w:r>
      <w:r>
        <w:rPr>
          <w:lang w:eastAsia="en-AU"/>
        </w:rPr>
        <w:fldChar w:fldCharType="separate"/>
      </w:r>
      <w:r>
        <w:t xml:space="preserve">Figure </w:t>
      </w:r>
      <w:r>
        <w:rPr>
          <w:noProof/>
        </w:rPr>
        <w:t>30</w:t>
      </w:r>
      <w:r>
        <w:rPr>
          <w:lang w:eastAsia="en-AU"/>
        </w:rPr>
        <w:fldChar w:fldCharType="end"/>
      </w:r>
      <w:r>
        <w:rPr>
          <w:lang w:eastAsia="en-AU"/>
        </w:rPr>
        <w:t xml:space="preserve"> shows an example of potentially anomalous scaling factors, with an unusually high scaling factor of 220% in the third decile. In this example, after investigating the data, it might be more appropriate to adopt say the scaling factor for the fourth decile for application in the third decile. It is likely that the third decile is unduly influenced by a small number of data points within the decile, due to the presence of zero flows within this decile.</w:t>
      </w:r>
      <w:r w:rsidRPr="00532DE0">
        <w:rPr>
          <w:lang w:eastAsia="en-AU"/>
        </w:rPr>
        <w:t xml:space="preserve"> </w:t>
      </w:r>
      <w:r>
        <w:rPr>
          <w:lang w:eastAsia="en-AU"/>
        </w:rPr>
        <w:fldChar w:fldCharType="begin"/>
      </w:r>
      <w:r>
        <w:rPr>
          <w:lang w:eastAsia="en-AU"/>
        </w:rPr>
        <w:instrText xml:space="preserve"> REF _Ref40345257 \h </w:instrText>
      </w:r>
      <w:r>
        <w:rPr>
          <w:lang w:eastAsia="en-AU"/>
        </w:rPr>
      </w:r>
      <w:r>
        <w:rPr>
          <w:lang w:eastAsia="en-AU"/>
        </w:rPr>
        <w:fldChar w:fldCharType="separate"/>
      </w:r>
      <w:r>
        <w:t xml:space="preserve">Figure </w:t>
      </w:r>
      <w:r>
        <w:rPr>
          <w:noProof/>
        </w:rPr>
        <w:t>31</w:t>
      </w:r>
      <w:r>
        <w:rPr>
          <w:lang w:eastAsia="en-AU"/>
        </w:rPr>
        <w:fldChar w:fldCharType="end"/>
      </w:r>
      <w:r>
        <w:rPr>
          <w:lang w:eastAsia="en-AU"/>
        </w:rPr>
        <w:t xml:space="preserve"> shows an example of flow increases in the </w:t>
      </w:r>
      <w:r w:rsidR="0049193E">
        <w:rPr>
          <w:lang w:eastAsia="en-AU"/>
        </w:rPr>
        <w:t xml:space="preserve">reference </w:t>
      </w:r>
      <w:r>
        <w:rPr>
          <w:lang w:eastAsia="en-AU"/>
        </w:rPr>
        <w:t xml:space="preserve">period in both the low flow (first to third deciles) and high flow (top decile) range. It is not unusual for the top decile flows to be higher in the </w:t>
      </w:r>
      <w:r w:rsidR="0049193E">
        <w:rPr>
          <w:lang w:eastAsia="en-AU"/>
        </w:rPr>
        <w:t xml:space="preserve">reference </w:t>
      </w:r>
      <w:r>
        <w:rPr>
          <w:lang w:eastAsia="en-AU"/>
        </w:rPr>
        <w:t xml:space="preserve">period than in the historical (pre-reference) period, because flows in this decile will be influenced by relatively rare high flow events. This observation is also consistent (in principle) </w:t>
      </w:r>
      <w:r>
        <w:rPr>
          <w:lang w:eastAsia="en-AU"/>
        </w:rPr>
        <w:lastRenderedPageBreak/>
        <w:t>with the increases in rainfall intensity that are expected under global warming. However, increases in streamflow in the lowest three deciles is unexpected, and would be a trigger to investigate this dataset further, to understand whether it is influenced by flow regulation, drainage, or wastewater treatment plant discharges, all of which could account for this behaviour.</w:t>
      </w:r>
    </w:p>
    <w:p w14:paraId="69D8B970" w14:textId="77777777" w:rsidR="007B29DD" w:rsidRDefault="007B29DD" w:rsidP="007B29DD">
      <w:pPr>
        <w:pStyle w:val="BodyText"/>
        <w:spacing w:after="0"/>
        <w:rPr>
          <w:highlight w:val="yellow"/>
          <w:lang w:eastAsia="en-AU"/>
        </w:rPr>
      </w:pPr>
      <w:r>
        <w:rPr>
          <w:noProof/>
        </w:rPr>
        <w:drawing>
          <wp:inline distT="0" distB="0" distL="0" distR="0" wp14:anchorId="7D0CAE4D" wp14:editId="7B442FDA">
            <wp:extent cx="6080289" cy="3581421"/>
            <wp:effectExtent l="19050" t="19050" r="15875" b="19050"/>
            <wp:docPr id="2079578587" name="Picture 111" descr="Example chart to demonstrate the application of the historical data scaling method. In this example the outcome is as expected. A blue line represents flow deciles for the pre-1975 period. This line sits above the orange line, representing the post-1975 period. Hence flows in the pre-1975 period are greater than the post-197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84">
                      <a:extLst>
                        <a:ext uri="{28A0092B-C50C-407E-A947-70E740481C1C}">
                          <a14:useLocalDpi xmlns:a14="http://schemas.microsoft.com/office/drawing/2010/main" val="0"/>
                        </a:ext>
                      </a:extLst>
                    </a:blip>
                    <a:stretch>
                      <a:fillRect/>
                    </a:stretch>
                  </pic:blipFill>
                  <pic:spPr>
                    <a:xfrm>
                      <a:off x="0" y="0"/>
                      <a:ext cx="6091549" cy="3588054"/>
                    </a:xfrm>
                    <a:prstGeom prst="rect">
                      <a:avLst/>
                    </a:prstGeom>
                    <a:ln>
                      <a:solidFill>
                        <a:schemeClr val="bg1">
                          <a:lumMod val="65000"/>
                        </a:schemeClr>
                      </a:solidFill>
                    </a:ln>
                  </pic:spPr>
                </pic:pic>
              </a:graphicData>
            </a:graphic>
          </wp:inline>
        </w:drawing>
      </w:r>
    </w:p>
    <w:p w14:paraId="3A4EDDE5" w14:textId="77777777" w:rsidR="007B29DD" w:rsidRDefault="007B29DD" w:rsidP="007B29DD">
      <w:pPr>
        <w:pStyle w:val="Caption"/>
        <w:spacing w:before="0"/>
      </w:pPr>
      <w:bookmarkStart w:id="855" w:name="_Ref40345246"/>
      <w:bookmarkStart w:id="856" w:name="_Toc43476599"/>
      <w:bookmarkStart w:id="857" w:name="_Toc44928842"/>
      <w:bookmarkStart w:id="858" w:name="_Toc51237505"/>
      <w:bookmarkStart w:id="859" w:name="_Toc53586020"/>
      <w:bookmarkStart w:id="860" w:name="_Toc57377271"/>
      <w:r>
        <w:t xml:space="preserve">Figure </w:t>
      </w:r>
      <w:r>
        <w:fldChar w:fldCharType="begin"/>
      </w:r>
      <w:r>
        <w:instrText>SEQ Figure \* ARABIC</w:instrText>
      </w:r>
      <w:r>
        <w:fldChar w:fldCharType="separate"/>
      </w:r>
      <w:r>
        <w:rPr>
          <w:noProof/>
        </w:rPr>
        <w:t>29</w:t>
      </w:r>
      <w:r>
        <w:fldChar w:fldCharType="end"/>
      </w:r>
      <w:bookmarkEnd w:id="855"/>
      <w:r>
        <w:t xml:space="preserve"> Example of expected historical data scaling, with post-1975 flows lower than pre-1975 flows in all deciles (HARC, 2020a)</w:t>
      </w:r>
      <w:bookmarkEnd w:id="856"/>
      <w:bookmarkEnd w:id="857"/>
      <w:bookmarkEnd w:id="858"/>
      <w:bookmarkEnd w:id="859"/>
      <w:bookmarkEnd w:id="860"/>
    </w:p>
    <w:p w14:paraId="7EA37CB8" w14:textId="77777777" w:rsidR="007B29DD" w:rsidRPr="00D50BE4" w:rsidRDefault="007B29DD" w:rsidP="007B29DD">
      <w:pPr>
        <w:pStyle w:val="BodyText"/>
      </w:pPr>
    </w:p>
    <w:p w14:paraId="60F49993" w14:textId="77777777" w:rsidR="007B29DD" w:rsidRPr="00BC1E0D" w:rsidRDefault="007B29DD" w:rsidP="007B29DD">
      <w:pPr>
        <w:pStyle w:val="BodyText"/>
        <w:spacing w:after="0"/>
        <w:rPr>
          <w:lang w:eastAsia="en-AU"/>
        </w:rPr>
      </w:pPr>
      <w:r w:rsidRPr="00BC1E0D">
        <w:rPr>
          <w:noProof/>
        </w:rPr>
        <w:drawing>
          <wp:inline distT="0" distB="0" distL="0" distR="0" wp14:anchorId="7673DE31" wp14:editId="49F18F63">
            <wp:extent cx="6059788" cy="3233394"/>
            <wp:effectExtent l="19050" t="19050" r="17780" b="24765"/>
            <wp:docPr id="113" name="Picture 113" descr="Example chart to demonstrate the application of the historical data scaling method. In this example the outcome is not as expected. Some low flow deciles are greater in the post-1975 period, relative to the pre-197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67269" cy="3237386"/>
                    </a:xfrm>
                    <a:prstGeom prst="rect">
                      <a:avLst/>
                    </a:prstGeom>
                    <a:noFill/>
                    <a:ln>
                      <a:solidFill>
                        <a:schemeClr val="bg1">
                          <a:lumMod val="65000"/>
                        </a:schemeClr>
                      </a:solidFill>
                    </a:ln>
                  </pic:spPr>
                </pic:pic>
              </a:graphicData>
            </a:graphic>
          </wp:inline>
        </w:drawing>
      </w:r>
    </w:p>
    <w:p w14:paraId="22B48AA0" w14:textId="77777777" w:rsidR="007B29DD" w:rsidRDefault="007B29DD" w:rsidP="007B29DD">
      <w:pPr>
        <w:pStyle w:val="Caption"/>
        <w:keepNext w:val="0"/>
        <w:spacing w:before="0"/>
      </w:pPr>
      <w:bookmarkStart w:id="861" w:name="_Ref40345693"/>
      <w:bookmarkStart w:id="862" w:name="_Toc43476600"/>
      <w:bookmarkStart w:id="863" w:name="_Toc44928843"/>
      <w:bookmarkStart w:id="864" w:name="_Toc51237506"/>
      <w:bookmarkStart w:id="865" w:name="_Toc53586021"/>
      <w:bookmarkStart w:id="866" w:name="_Toc57377272"/>
      <w:r>
        <w:t xml:space="preserve">Figure </w:t>
      </w:r>
      <w:r>
        <w:fldChar w:fldCharType="begin"/>
      </w:r>
      <w:r>
        <w:instrText>SEQ Figure \* ARABIC</w:instrText>
      </w:r>
      <w:r>
        <w:fldChar w:fldCharType="separate"/>
      </w:r>
      <w:r>
        <w:rPr>
          <w:noProof/>
        </w:rPr>
        <w:t>30</w:t>
      </w:r>
      <w:r>
        <w:fldChar w:fldCharType="end"/>
      </w:r>
      <w:bookmarkEnd w:id="861"/>
      <w:r>
        <w:t xml:space="preserve"> Example of anomalies historical data scaling (HARC, 2020a)</w:t>
      </w:r>
      <w:bookmarkEnd w:id="862"/>
      <w:bookmarkEnd w:id="863"/>
      <w:bookmarkEnd w:id="864"/>
      <w:bookmarkEnd w:id="865"/>
      <w:bookmarkEnd w:id="866"/>
    </w:p>
    <w:p w14:paraId="0336D706" w14:textId="77777777" w:rsidR="007B29DD" w:rsidRPr="00BC1E0D" w:rsidRDefault="007B29DD" w:rsidP="007B29DD">
      <w:pPr>
        <w:pStyle w:val="BodyText"/>
        <w:spacing w:after="0"/>
        <w:rPr>
          <w:lang w:eastAsia="en-AU"/>
        </w:rPr>
      </w:pPr>
      <w:r w:rsidRPr="00BC1E0D">
        <w:rPr>
          <w:noProof/>
        </w:rPr>
        <w:lastRenderedPageBreak/>
        <w:drawing>
          <wp:inline distT="0" distB="0" distL="0" distR="0" wp14:anchorId="210A8499" wp14:editId="246645F2">
            <wp:extent cx="6108569" cy="3605990"/>
            <wp:effectExtent l="19050" t="19050" r="26035" b="13970"/>
            <wp:docPr id="120" name="Picture 120" descr="Example chart to demonstrate the application of the historical data scaling method. In this example, high flow deciles are greater in the post-1975 period, relative to the pre-197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3156" cy="3614601"/>
                    </a:xfrm>
                    <a:prstGeom prst="rect">
                      <a:avLst/>
                    </a:prstGeom>
                    <a:noFill/>
                    <a:ln>
                      <a:solidFill>
                        <a:schemeClr val="bg1">
                          <a:lumMod val="65000"/>
                        </a:schemeClr>
                      </a:solidFill>
                    </a:ln>
                  </pic:spPr>
                </pic:pic>
              </a:graphicData>
            </a:graphic>
          </wp:inline>
        </w:drawing>
      </w:r>
    </w:p>
    <w:p w14:paraId="69E3ABD0" w14:textId="77777777" w:rsidR="007B29DD" w:rsidRDefault="007B29DD" w:rsidP="007B29DD">
      <w:pPr>
        <w:pStyle w:val="Caption"/>
        <w:spacing w:before="0"/>
      </w:pPr>
      <w:bookmarkStart w:id="867" w:name="_Ref40345257"/>
      <w:bookmarkStart w:id="868" w:name="_Toc43476601"/>
      <w:bookmarkStart w:id="869" w:name="_Toc44928844"/>
      <w:bookmarkStart w:id="870" w:name="_Toc51237507"/>
      <w:bookmarkStart w:id="871" w:name="_Toc53586022"/>
      <w:bookmarkStart w:id="872" w:name="_Toc57377273"/>
      <w:r>
        <w:t xml:space="preserve">Figure </w:t>
      </w:r>
      <w:r>
        <w:fldChar w:fldCharType="begin"/>
      </w:r>
      <w:r>
        <w:instrText>SEQ Figure \* ARABIC</w:instrText>
      </w:r>
      <w:r>
        <w:fldChar w:fldCharType="separate"/>
      </w:r>
      <w:r>
        <w:rPr>
          <w:noProof/>
        </w:rPr>
        <w:t>31</w:t>
      </w:r>
      <w:r>
        <w:fldChar w:fldCharType="end"/>
      </w:r>
      <w:bookmarkEnd w:id="867"/>
      <w:r>
        <w:t xml:space="preserve"> Example of low flow and high flow increases under historical data scaling (HARC, 2020a)</w:t>
      </w:r>
      <w:bookmarkEnd w:id="868"/>
      <w:bookmarkEnd w:id="869"/>
      <w:bookmarkEnd w:id="870"/>
      <w:bookmarkEnd w:id="871"/>
      <w:bookmarkEnd w:id="872"/>
    </w:p>
    <w:p w14:paraId="5E4331F7" w14:textId="77777777" w:rsidR="007B29DD" w:rsidRPr="00013094" w:rsidRDefault="007B29DD" w:rsidP="007B29DD">
      <w:pPr>
        <w:pStyle w:val="BodyText"/>
        <w:rPr>
          <w:lang w:eastAsia="en-AU"/>
        </w:rPr>
      </w:pPr>
    </w:p>
    <w:p w14:paraId="52E0B4AF" w14:textId="77777777" w:rsidR="007B29DD" w:rsidRPr="00E44CBB" w:rsidRDefault="007B29DD" w:rsidP="007B29DD">
      <w:pPr>
        <w:pStyle w:val="Heading8"/>
        <w:framePr w:wrap="around"/>
        <w:rPr>
          <w:color w:val="000000" w:themeColor="text1"/>
        </w:rPr>
      </w:pPr>
      <w:bookmarkStart w:id="873" w:name="_Ref39853552"/>
      <w:bookmarkStart w:id="874" w:name="_Toc43476531"/>
      <w:bookmarkStart w:id="875" w:name="_Toc44928776"/>
      <w:bookmarkStart w:id="876" w:name="_Toc51658047"/>
      <w:bookmarkStart w:id="877" w:name="_Toc53585952"/>
      <w:bookmarkStart w:id="878" w:name="_Toc57377203"/>
      <w:r w:rsidRPr="00E44CBB">
        <w:rPr>
          <w:color w:val="000000" w:themeColor="text1"/>
        </w:rPr>
        <w:lastRenderedPageBreak/>
        <w:t>Supplementary Information</w:t>
      </w:r>
      <w:bookmarkEnd w:id="873"/>
      <w:bookmarkEnd w:id="874"/>
      <w:bookmarkEnd w:id="875"/>
      <w:bookmarkEnd w:id="876"/>
      <w:bookmarkEnd w:id="877"/>
      <w:bookmarkEnd w:id="878"/>
    </w:p>
    <w:p w14:paraId="11808341" w14:textId="77777777" w:rsidR="007B29DD" w:rsidRPr="00E44CBB" w:rsidRDefault="007B29DD" w:rsidP="007B29DD">
      <w:pPr>
        <w:pStyle w:val="Heading2"/>
        <w:rPr>
          <w:b/>
          <w:bCs/>
          <w:color w:val="000000" w:themeColor="text1"/>
        </w:rPr>
      </w:pPr>
      <w:bookmarkStart w:id="879" w:name="_Toc38957469"/>
      <w:bookmarkStart w:id="880" w:name="_Toc43476532"/>
      <w:bookmarkStart w:id="881" w:name="_Toc44928777"/>
      <w:bookmarkStart w:id="882" w:name="_Toc51658048"/>
      <w:bookmarkStart w:id="883" w:name="_Toc53585953"/>
      <w:bookmarkStart w:id="884" w:name="_Toc57377204"/>
      <w:r w:rsidRPr="00E44CBB">
        <w:rPr>
          <w:b/>
          <w:bCs/>
          <w:color w:val="000000" w:themeColor="text1"/>
        </w:rPr>
        <w:t>B.1 Introduction</w:t>
      </w:r>
      <w:bookmarkEnd w:id="879"/>
      <w:bookmarkEnd w:id="880"/>
      <w:bookmarkEnd w:id="881"/>
      <w:bookmarkEnd w:id="882"/>
      <w:bookmarkEnd w:id="883"/>
      <w:bookmarkEnd w:id="884"/>
    </w:p>
    <w:p w14:paraId="0A381AC0" w14:textId="77777777" w:rsidR="007B29DD" w:rsidRPr="00C400D3" w:rsidRDefault="007B29DD" w:rsidP="007B29DD">
      <w:pPr>
        <w:pStyle w:val="BodyText"/>
        <w:rPr>
          <w:lang w:eastAsia="en-AU"/>
        </w:rPr>
      </w:pPr>
      <w:r>
        <w:rPr>
          <w:lang w:eastAsia="en-AU"/>
        </w:rPr>
        <w:t>This appendix to the guidelines includes supplementary information to support potential additional analyses, particularly for water supply planning decisions with near-term risks. This information includes other downscaled climate change projections including a comparison between VCP19 and the VicCI projections (Appendix B.2), advice on obtaining finer spatial scale projections (Appendix B.3), climate analogues (Appendix B.4), paleoclimate proxy records (Appendix B.5), and other climate change impact assessment techniques that can be used in addition to the approaches recommended in the guidelines (Appendix B.6). Furthermore, this appendix provides supplementary information on sub-hourly rainfall (</w:t>
      </w:r>
      <w:r>
        <w:rPr>
          <w:lang w:eastAsia="en-AU"/>
        </w:rPr>
        <w:fldChar w:fldCharType="begin"/>
      </w:r>
      <w:r>
        <w:rPr>
          <w:lang w:eastAsia="en-AU"/>
        </w:rPr>
        <w:instrText xml:space="preserve"> REF _Ref39853552 \r \h </w:instrText>
      </w:r>
      <w:r>
        <w:rPr>
          <w:lang w:eastAsia="en-AU"/>
        </w:rPr>
      </w:r>
      <w:r>
        <w:rPr>
          <w:lang w:eastAsia="en-AU"/>
        </w:rPr>
        <w:fldChar w:fldCharType="separate"/>
      </w:r>
      <w:r>
        <w:rPr>
          <w:lang w:eastAsia="en-AU"/>
        </w:rPr>
        <w:t>Appendix B</w:t>
      </w:r>
      <w:r>
        <w:rPr>
          <w:lang w:eastAsia="en-AU"/>
        </w:rPr>
        <w:fldChar w:fldCharType="end"/>
      </w:r>
      <w:r>
        <w:rPr>
          <w:lang w:eastAsia="en-AU"/>
        </w:rPr>
        <w:t>.7), streamflow hydrograph adjustments for climate change impacts on snow cover (Appendix B.8), observed shifts in rainfall (Appendix B.9) and groundwater recharge processes (Appendix B.10). Tables for sensitivity testing for seasonal rainfall changes under climate change are presented by river basin in Appendix B.6.2.</w:t>
      </w:r>
    </w:p>
    <w:p w14:paraId="2566EBD4" w14:textId="77777777" w:rsidR="007B29DD" w:rsidRPr="00E44CBB" w:rsidRDefault="007B29DD" w:rsidP="007B29DD">
      <w:pPr>
        <w:pStyle w:val="Heading2"/>
        <w:rPr>
          <w:b/>
          <w:bCs/>
          <w:color w:val="000000" w:themeColor="text1"/>
        </w:rPr>
      </w:pPr>
      <w:bookmarkStart w:id="885" w:name="_Toc38957470"/>
      <w:bookmarkStart w:id="886" w:name="_Ref39650806"/>
      <w:bookmarkStart w:id="887" w:name="_Toc43476533"/>
      <w:bookmarkStart w:id="888" w:name="_Toc44928778"/>
      <w:bookmarkStart w:id="889" w:name="_Toc51658049"/>
      <w:bookmarkStart w:id="890" w:name="_Toc53585954"/>
      <w:bookmarkStart w:id="891" w:name="_Toc57377205"/>
      <w:r w:rsidRPr="00E44CBB">
        <w:rPr>
          <w:b/>
          <w:bCs/>
          <w:color w:val="000000" w:themeColor="text1"/>
        </w:rPr>
        <w:t>B.2 Other downscaled climate change projections</w:t>
      </w:r>
      <w:bookmarkEnd w:id="885"/>
      <w:bookmarkEnd w:id="886"/>
      <w:bookmarkEnd w:id="887"/>
      <w:bookmarkEnd w:id="888"/>
      <w:bookmarkEnd w:id="889"/>
      <w:bookmarkEnd w:id="890"/>
      <w:bookmarkEnd w:id="891"/>
    </w:p>
    <w:p w14:paraId="7871E0B4" w14:textId="77777777" w:rsidR="007B29DD" w:rsidRPr="00E44CBB" w:rsidRDefault="007B29DD" w:rsidP="007B29DD">
      <w:pPr>
        <w:pStyle w:val="Heading3"/>
        <w:rPr>
          <w:b/>
          <w:bCs/>
          <w:color w:val="000000" w:themeColor="text1"/>
        </w:rPr>
      </w:pPr>
      <w:bookmarkStart w:id="892" w:name="_Toc38957471"/>
      <w:bookmarkStart w:id="893" w:name="_Toc43476534"/>
      <w:bookmarkStart w:id="894" w:name="_Toc44928779"/>
      <w:bookmarkStart w:id="895" w:name="_Toc51658050"/>
      <w:bookmarkStart w:id="896" w:name="_Toc53585955"/>
      <w:bookmarkStart w:id="897" w:name="_Toc57377206"/>
      <w:r w:rsidRPr="00E44CBB">
        <w:rPr>
          <w:b/>
          <w:bCs/>
          <w:color w:val="000000" w:themeColor="text1"/>
        </w:rPr>
        <w:t xml:space="preserve">B.2.1 </w:t>
      </w:r>
      <w:bookmarkEnd w:id="892"/>
      <w:r w:rsidRPr="00E44CBB">
        <w:rPr>
          <w:b/>
          <w:bCs/>
          <w:color w:val="000000" w:themeColor="text1"/>
        </w:rPr>
        <w:t>VCP19</w:t>
      </w:r>
      <w:bookmarkEnd w:id="893"/>
      <w:bookmarkEnd w:id="894"/>
      <w:bookmarkEnd w:id="895"/>
      <w:bookmarkEnd w:id="896"/>
      <w:bookmarkEnd w:id="897"/>
    </w:p>
    <w:p w14:paraId="43C65E8A" w14:textId="77777777" w:rsidR="007B29DD" w:rsidRDefault="007B29DD" w:rsidP="007B29DD">
      <w:pPr>
        <w:pStyle w:val="BodyText"/>
        <w:rPr>
          <w:lang w:eastAsia="en-AU"/>
        </w:rPr>
      </w:pPr>
      <w:r>
        <w:rPr>
          <w:lang w:eastAsia="en-AU"/>
        </w:rPr>
        <w:t xml:space="preserve">The VCP19 climate change projections draw from six host GCMs to run a regional climate model with finer detail over Victoria. This process generates six climate change projections (from the 42 available GCMs) that potentially offer greater </w:t>
      </w:r>
      <w:r w:rsidRPr="004F28B8">
        <w:rPr>
          <w:lang w:eastAsia="en-AU"/>
        </w:rPr>
        <w:t>insights at a local scale than their host GCMs. At the time of writing the guidelines, these projections were not available for runoff</w:t>
      </w:r>
      <w:r>
        <w:rPr>
          <w:lang w:eastAsia="en-AU"/>
        </w:rPr>
        <w:t>;</w:t>
      </w:r>
      <w:r w:rsidRPr="004F28B8">
        <w:rPr>
          <w:lang w:eastAsia="en-AU"/>
        </w:rPr>
        <w:t xml:space="preserve"> however</w:t>
      </w:r>
      <w:r>
        <w:rPr>
          <w:lang w:eastAsia="en-AU"/>
        </w:rPr>
        <w:t>,</w:t>
      </w:r>
      <w:r w:rsidRPr="004F28B8">
        <w:rPr>
          <w:lang w:eastAsia="en-AU"/>
        </w:rPr>
        <w:t xml:space="preserve"> these are expected to be prepared by late 2020, to allow different runoff projections derived using different modelling approaches to be compared. The information below focusses on comparisons of the</w:t>
      </w:r>
      <w:r>
        <w:rPr>
          <w:lang w:eastAsia="en-AU"/>
        </w:rPr>
        <w:t xml:space="preserve"> rainfall projections only.</w:t>
      </w:r>
    </w:p>
    <w:p w14:paraId="2C25A56E" w14:textId="77777777" w:rsidR="007B29DD" w:rsidRDefault="007B29DD" w:rsidP="007B29DD">
      <w:pPr>
        <w:pStyle w:val="BodyText"/>
        <w:rPr>
          <w:lang w:eastAsia="en-AU"/>
        </w:rPr>
      </w:pPr>
      <w:r>
        <w:rPr>
          <w:lang w:eastAsia="en-AU"/>
        </w:rPr>
        <w:t xml:space="preserve">CSIRO (S.Charles and F.Chiew, pers.comm. 2/9/20) compared the VicCI and VCP19 projections for Victoria </w:t>
      </w:r>
      <w:r w:rsidRPr="00961AA6">
        <w:rPr>
          <w:lang w:eastAsia="en-AU"/>
        </w:rPr>
        <w:t>by river basin</w:t>
      </w:r>
      <w:r w:rsidRPr="00426DA0">
        <w:rPr>
          <w:u w:val="single"/>
          <w:lang w:eastAsia="en-AU"/>
        </w:rPr>
        <w:t xml:space="preserve"> </w:t>
      </w:r>
      <w:r>
        <w:rPr>
          <w:u w:val="single"/>
          <w:lang w:eastAsia="en-AU"/>
        </w:rPr>
        <w:t>for rainfall only, for the RCP8.5 scenario at 2065</w:t>
      </w:r>
      <w:r>
        <w:rPr>
          <w:lang w:eastAsia="en-AU"/>
        </w:rPr>
        <w:t xml:space="preserve">. This involved the identification of the GCMs used in both sets of projections, and a comparison of the projected change in rainfall in the GCMs, the raw regional climate models (RCMs) and the bias-corrected RCMs. The bias-corrected results presented in this appendix were derived by CSIRO as part of VicWaCI research, and may differ slightly from the bias-corrected results presented in the application-ready datasets derived as part of Clarke et al. (2019a). </w:t>
      </w:r>
      <w:r w:rsidRPr="00FA1480">
        <w:rPr>
          <w:lang w:eastAsia="en-AU"/>
        </w:rPr>
        <w:t>The VicWaCI bias corrected rainfall changes were calculated for each 5 km x 5 km grid cell within each basin, using VCP19 rainfall that has been bias corrected on a seasonal basis using the method outlined in Potter et al. (2020). They were than averaged to produce basin average rainfall changes as shown</w:t>
      </w:r>
      <w:r>
        <w:rPr>
          <w:lang w:eastAsia="en-AU"/>
        </w:rPr>
        <w:t xml:space="preserve"> on the following pages</w:t>
      </w:r>
      <w:r w:rsidRPr="00FA1480">
        <w:rPr>
          <w:lang w:eastAsia="en-AU"/>
        </w:rPr>
        <w:t>.</w:t>
      </w:r>
    </w:p>
    <w:p w14:paraId="3B4849DF" w14:textId="77777777" w:rsidR="007B29DD" w:rsidRDefault="007B29DD" w:rsidP="007B29DD">
      <w:pPr>
        <w:pStyle w:val="BodyText"/>
        <w:rPr>
          <w:lang w:eastAsia="en-AU"/>
        </w:rPr>
      </w:pPr>
      <w:r>
        <w:rPr>
          <w:lang w:eastAsia="en-AU"/>
        </w:rPr>
        <w:t>These results, when averaged across Victoria, indicated that at 2065:</w:t>
      </w:r>
    </w:p>
    <w:p w14:paraId="5F46D2D7" w14:textId="77777777" w:rsidR="007B29DD" w:rsidRDefault="007B29DD" w:rsidP="007B29DD">
      <w:pPr>
        <w:pStyle w:val="BodyText"/>
        <w:numPr>
          <w:ilvl w:val="0"/>
          <w:numId w:val="29"/>
        </w:numPr>
        <w:rPr>
          <w:lang w:eastAsia="en-AU"/>
        </w:rPr>
      </w:pPr>
      <w:r>
        <w:rPr>
          <w:lang w:eastAsia="en-AU"/>
        </w:rPr>
        <w:t xml:space="preserve">The six host GCMs in VCP19 provide a range of rainfall projections that can either lie within the </w:t>
      </w:r>
      <w:r w:rsidRPr="003178A9">
        <w:rPr>
          <w:lang w:eastAsia="en-AU"/>
        </w:rPr>
        <w:t>10th</w:t>
      </w:r>
      <w:r>
        <w:rPr>
          <w:lang w:eastAsia="en-AU"/>
        </w:rPr>
        <w:t xml:space="preserve"> to </w:t>
      </w:r>
      <w:r w:rsidRPr="005E0E0D">
        <w:rPr>
          <w:lang w:eastAsia="en-AU"/>
        </w:rPr>
        <w:t>90th</w:t>
      </w:r>
      <w:r>
        <w:rPr>
          <w:lang w:eastAsia="en-AU"/>
        </w:rPr>
        <w:t xml:space="preserve"> percentile VicCI projections or outside of those projections, depending on the individual river basin being considered.</w:t>
      </w:r>
    </w:p>
    <w:p w14:paraId="3B137259" w14:textId="77777777" w:rsidR="007B29DD" w:rsidRDefault="007B29DD" w:rsidP="007B29DD">
      <w:pPr>
        <w:pStyle w:val="BodyText"/>
        <w:numPr>
          <w:ilvl w:val="0"/>
          <w:numId w:val="29"/>
        </w:numPr>
        <w:rPr>
          <w:lang w:eastAsia="en-AU"/>
        </w:rPr>
      </w:pPr>
      <w:r>
        <w:rPr>
          <w:lang w:eastAsia="en-AU"/>
        </w:rPr>
        <w:t>The RCM typically produces drier projections than the VicCI downscaled projections for the host GCM.</w:t>
      </w:r>
    </w:p>
    <w:p w14:paraId="74169DEA" w14:textId="77777777" w:rsidR="007B29DD" w:rsidRDefault="007B29DD" w:rsidP="007B29DD">
      <w:pPr>
        <w:pStyle w:val="BodyText"/>
        <w:rPr>
          <w:lang w:eastAsia="en-AU"/>
        </w:rPr>
      </w:pPr>
      <w:r>
        <w:rPr>
          <w:lang w:eastAsia="en-AU"/>
        </w:rPr>
        <w:t xml:space="preserve">These differences are illustrated for three example river basins (Werribee, Goulburn and Mitchell) in different parts of Victoria, in </w:t>
      </w:r>
      <w:r>
        <w:rPr>
          <w:lang w:eastAsia="en-AU"/>
        </w:rPr>
        <w:fldChar w:fldCharType="begin"/>
      </w:r>
      <w:r>
        <w:rPr>
          <w:lang w:eastAsia="en-AU"/>
        </w:rPr>
        <w:instrText xml:space="preserve"> REF _Ref35933138 \h </w:instrText>
      </w:r>
      <w:r>
        <w:rPr>
          <w:lang w:eastAsia="en-AU"/>
        </w:rPr>
      </w:r>
      <w:r>
        <w:rPr>
          <w:lang w:eastAsia="en-AU"/>
        </w:rPr>
        <w:fldChar w:fldCharType="separate"/>
      </w:r>
      <w:r>
        <w:t xml:space="preserve">Figure </w:t>
      </w:r>
      <w:r>
        <w:rPr>
          <w:noProof/>
        </w:rPr>
        <w:t>32</w:t>
      </w:r>
      <w:r>
        <w:rPr>
          <w:lang w:eastAsia="en-AU"/>
        </w:rPr>
        <w:fldChar w:fldCharType="end"/>
      </w:r>
      <w:r>
        <w:rPr>
          <w:lang w:eastAsia="en-AU"/>
        </w:rPr>
        <w:t xml:space="preserve">, </w:t>
      </w:r>
      <w:r>
        <w:rPr>
          <w:lang w:eastAsia="en-AU"/>
        </w:rPr>
        <w:fldChar w:fldCharType="begin"/>
      </w:r>
      <w:r>
        <w:rPr>
          <w:lang w:eastAsia="en-AU"/>
        </w:rPr>
        <w:instrText xml:space="preserve"> REF _Ref35933217 \h </w:instrText>
      </w:r>
      <w:r>
        <w:rPr>
          <w:lang w:eastAsia="en-AU"/>
        </w:rPr>
      </w:r>
      <w:r>
        <w:rPr>
          <w:lang w:eastAsia="en-AU"/>
        </w:rPr>
        <w:fldChar w:fldCharType="separate"/>
      </w:r>
      <w:r>
        <w:t xml:space="preserve">Figure </w:t>
      </w:r>
      <w:r>
        <w:rPr>
          <w:noProof/>
        </w:rPr>
        <w:t>33</w:t>
      </w:r>
      <w:r>
        <w:rPr>
          <w:lang w:eastAsia="en-AU"/>
        </w:rPr>
        <w:fldChar w:fldCharType="end"/>
      </w:r>
      <w:r>
        <w:rPr>
          <w:lang w:eastAsia="en-AU"/>
        </w:rPr>
        <w:t xml:space="preserve"> and </w:t>
      </w:r>
      <w:r>
        <w:rPr>
          <w:lang w:eastAsia="en-AU"/>
        </w:rPr>
        <w:fldChar w:fldCharType="begin"/>
      </w:r>
      <w:r>
        <w:rPr>
          <w:lang w:eastAsia="en-AU"/>
        </w:rPr>
        <w:instrText xml:space="preserve"> REF _Ref35933223 \h </w:instrText>
      </w:r>
      <w:r>
        <w:rPr>
          <w:lang w:eastAsia="en-AU"/>
        </w:rPr>
      </w:r>
      <w:r>
        <w:rPr>
          <w:lang w:eastAsia="en-AU"/>
        </w:rPr>
        <w:fldChar w:fldCharType="separate"/>
      </w:r>
      <w:r>
        <w:t xml:space="preserve">Figure </w:t>
      </w:r>
      <w:r>
        <w:rPr>
          <w:noProof/>
        </w:rPr>
        <w:t>34</w:t>
      </w:r>
      <w:r>
        <w:rPr>
          <w:lang w:eastAsia="en-AU"/>
        </w:rPr>
        <w:fldChar w:fldCharType="end"/>
      </w:r>
      <w:r>
        <w:rPr>
          <w:lang w:eastAsia="en-AU"/>
        </w:rPr>
        <w:t>. In these figures, the VCP19 projections are denoted by the CCAM regional climate model, before (raw) and after (BC) bias correction. In these figures, the six GCMs selected for use in VCP19 are shown by the dark blue dots. After running these GCM inputs through the CCAM regional climate model, the resulting raw projected changes in rainfall are shown by the orange dots. After bias correction of the CCAM results, the final projected changes in rainfall are shown by the grey dots. The change in the direction and magnitude of the projected rainfall change at each step of the process is unique to each river basin.</w:t>
      </w:r>
    </w:p>
    <w:p w14:paraId="22B51531" w14:textId="77777777" w:rsidR="007B29DD" w:rsidRDefault="007B29DD" w:rsidP="007B29DD">
      <w:pPr>
        <w:pStyle w:val="BodyText"/>
        <w:rPr>
          <w:lang w:eastAsia="en-AU"/>
        </w:rPr>
      </w:pPr>
      <w:r>
        <w:rPr>
          <w:lang w:eastAsia="en-AU"/>
        </w:rPr>
        <w:t>These results suggest VCP19 cannot be used to stress test supply systems to wetter future conditions at 2065 in the Werribee, Goulburn and Mitchell basins, as the VCP19 projections are all drier than the VicCI low climate change projections. However, VCP19 could be used to stress test supply systems to drier futures. The potential to use VCP19 for supply system stress testing should be assessed on a case by case basis,  as other trends could be apparent if extracting VCP19 results at a finer (supply catchment) scale or for other time slices (as individual models will exhibit inter-decal variability so outcomes could vary).</w:t>
      </w:r>
    </w:p>
    <w:p w14:paraId="17FAC3F5" w14:textId="77777777" w:rsidR="007B29DD" w:rsidRDefault="007B29DD" w:rsidP="007B29DD">
      <w:pPr>
        <w:pStyle w:val="BodyText"/>
        <w:rPr>
          <w:lang w:eastAsia="en-AU"/>
        </w:rPr>
      </w:pPr>
    </w:p>
    <w:p w14:paraId="0A3C489A" w14:textId="77777777" w:rsidR="007B29DD" w:rsidRDefault="007B29DD" w:rsidP="007B29DD">
      <w:pPr>
        <w:pStyle w:val="BodyText"/>
        <w:spacing w:after="0"/>
        <w:rPr>
          <w:lang w:eastAsia="en-AU"/>
        </w:rPr>
      </w:pPr>
      <w:r>
        <w:rPr>
          <w:noProof/>
        </w:rPr>
        <w:lastRenderedPageBreak/>
        <w:drawing>
          <wp:inline distT="0" distB="0" distL="0" distR="0" wp14:anchorId="7314C12D" wp14:editId="47C0F69C">
            <wp:extent cx="6176008" cy="3072765"/>
            <wp:effectExtent l="19050" t="19050" r="15875" b="13335"/>
            <wp:docPr id="945704163" name="Picture 945704163" descr="Dot plot to compare projection products for the Werribee basin in terms of projected change in annual rainfall in 2065. The products which are compared include raw outputs from Global Climate Models; the low, medium and high projections from these guidelines; and both raw and biased corrected outputs from the CCAM Regional Climate Model used for the VC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3"/>
                    <pic:cNvPicPr/>
                  </pic:nvPicPr>
                  <pic:blipFill>
                    <a:blip r:embed="rId87">
                      <a:extLst>
                        <a:ext uri="{28A0092B-C50C-407E-A947-70E740481C1C}">
                          <a14:useLocalDpi xmlns:a14="http://schemas.microsoft.com/office/drawing/2010/main" val="0"/>
                        </a:ext>
                      </a:extLst>
                    </a:blip>
                    <a:stretch>
                      <a:fillRect/>
                    </a:stretch>
                  </pic:blipFill>
                  <pic:spPr>
                    <a:xfrm>
                      <a:off x="0" y="0"/>
                      <a:ext cx="6176008" cy="3072765"/>
                    </a:xfrm>
                    <a:prstGeom prst="rect">
                      <a:avLst/>
                    </a:prstGeom>
                    <a:ln>
                      <a:solidFill>
                        <a:schemeClr val="bg1">
                          <a:lumMod val="65000"/>
                        </a:schemeClr>
                      </a:solidFill>
                    </a:ln>
                  </pic:spPr>
                </pic:pic>
              </a:graphicData>
            </a:graphic>
          </wp:inline>
        </w:drawing>
      </w:r>
    </w:p>
    <w:p w14:paraId="45B9F112" w14:textId="77777777" w:rsidR="007B29DD" w:rsidRDefault="007B29DD" w:rsidP="007B29DD">
      <w:pPr>
        <w:pStyle w:val="Caption"/>
        <w:keepNext w:val="0"/>
        <w:spacing w:before="0"/>
      </w:pPr>
      <w:bookmarkStart w:id="898" w:name="_Ref35933138"/>
      <w:bookmarkStart w:id="899" w:name="_Toc37770297"/>
      <w:bookmarkStart w:id="900" w:name="_Toc43476604"/>
      <w:bookmarkStart w:id="901" w:name="_Toc44928847"/>
      <w:bookmarkStart w:id="902" w:name="_Toc51237508"/>
      <w:bookmarkStart w:id="903" w:name="_Toc53586023"/>
      <w:bookmarkStart w:id="904" w:name="_Toc57377274"/>
      <w:r>
        <w:t xml:space="preserve">Figure </w:t>
      </w:r>
      <w:r>
        <w:fldChar w:fldCharType="begin"/>
      </w:r>
      <w:r>
        <w:instrText>SEQ Figure \* ARABIC</w:instrText>
      </w:r>
      <w:r>
        <w:fldChar w:fldCharType="separate"/>
      </w:r>
      <w:r>
        <w:rPr>
          <w:noProof/>
        </w:rPr>
        <w:t>32</w:t>
      </w:r>
      <w:r>
        <w:fldChar w:fldCharType="end"/>
      </w:r>
      <w:bookmarkEnd w:id="898"/>
      <w:r>
        <w:t xml:space="preserve"> Werribee Basin comparison of VicCI and VCP19 (CCAM) rainfall projections 2065</w:t>
      </w:r>
      <w:bookmarkEnd w:id="899"/>
      <w:bookmarkEnd w:id="900"/>
      <w:bookmarkEnd w:id="901"/>
      <w:bookmarkEnd w:id="902"/>
      <w:bookmarkEnd w:id="903"/>
      <w:bookmarkEnd w:id="904"/>
    </w:p>
    <w:p w14:paraId="09621111" w14:textId="77777777" w:rsidR="007B29DD" w:rsidRPr="008125CE" w:rsidRDefault="007B29DD" w:rsidP="007B29DD">
      <w:pPr>
        <w:pStyle w:val="BodyText"/>
        <w:rPr>
          <w:lang w:eastAsia="en-AU"/>
        </w:rPr>
      </w:pPr>
    </w:p>
    <w:p w14:paraId="12355E45" w14:textId="77777777" w:rsidR="007B29DD" w:rsidRPr="00DA2301" w:rsidRDefault="007B29DD" w:rsidP="007B29DD">
      <w:pPr>
        <w:pStyle w:val="BodyText"/>
        <w:spacing w:after="0"/>
        <w:rPr>
          <w:lang w:eastAsia="en-AU"/>
        </w:rPr>
      </w:pPr>
      <w:r>
        <w:rPr>
          <w:noProof/>
        </w:rPr>
        <w:drawing>
          <wp:inline distT="0" distB="0" distL="0" distR="0" wp14:anchorId="0BCEE776" wp14:editId="302112F3">
            <wp:extent cx="6175375" cy="3072449"/>
            <wp:effectExtent l="19050" t="19050" r="15875" b="13970"/>
            <wp:docPr id="945704168" name="Picture 945704168" descr="Dot plot to compare projection products for the Goulburn basin in terms of projected change in annual rainfall in 2065. The products which are compared include raw outputs from Global Climate Models; the low, medium and high projections from these guidelines; and both raw and biased corrected outputs from the CCAM Regional Climate Model used for the VC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68"/>
                    <pic:cNvPicPr/>
                  </pic:nvPicPr>
                  <pic:blipFill>
                    <a:blip r:embed="rId88">
                      <a:extLst>
                        <a:ext uri="{28A0092B-C50C-407E-A947-70E740481C1C}">
                          <a14:useLocalDpi xmlns:a14="http://schemas.microsoft.com/office/drawing/2010/main" val="0"/>
                        </a:ext>
                      </a:extLst>
                    </a:blip>
                    <a:stretch>
                      <a:fillRect/>
                    </a:stretch>
                  </pic:blipFill>
                  <pic:spPr>
                    <a:xfrm>
                      <a:off x="0" y="0"/>
                      <a:ext cx="6188612" cy="3079035"/>
                    </a:xfrm>
                    <a:prstGeom prst="rect">
                      <a:avLst/>
                    </a:prstGeom>
                    <a:ln>
                      <a:solidFill>
                        <a:schemeClr val="bg1">
                          <a:lumMod val="65000"/>
                        </a:schemeClr>
                      </a:solidFill>
                    </a:ln>
                  </pic:spPr>
                </pic:pic>
              </a:graphicData>
            </a:graphic>
          </wp:inline>
        </w:drawing>
      </w:r>
    </w:p>
    <w:p w14:paraId="246E2D2C" w14:textId="77777777" w:rsidR="007B29DD" w:rsidRDefault="007B29DD" w:rsidP="007B29DD">
      <w:pPr>
        <w:pStyle w:val="Caption"/>
        <w:keepNext w:val="0"/>
        <w:spacing w:before="0"/>
      </w:pPr>
      <w:bookmarkStart w:id="905" w:name="_Ref35933217"/>
      <w:bookmarkStart w:id="906" w:name="_Toc37770298"/>
      <w:bookmarkStart w:id="907" w:name="_Toc43476605"/>
      <w:bookmarkStart w:id="908" w:name="_Toc44928848"/>
      <w:bookmarkStart w:id="909" w:name="_Toc51237509"/>
      <w:bookmarkStart w:id="910" w:name="_Toc53586024"/>
      <w:bookmarkStart w:id="911" w:name="_Toc57377275"/>
      <w:r>
        <w:t xml:space="preserve">Figure </w:t>
      </w:r>
      <w:r>
        <w:fldChar w:fldCharType="begin"/>
      </w:r>
      <w:r>
        <w:instrText>SEQ Figure \* ARABIC</w:instrText>
      </w:r>
      <w:r>
        <w:fldChar w:fldCharType="separate"/>
      </w:r>
      <w:r>
        <w:rPr>
          <w:noProof/>
        </w:rPr>
        <w:t>33</w:t>
      </w:r>
      <w:r>
        <w:fldChar w:fldCharType="end"/>
      </w:r>
      <w:bookmarkEnd w:id="905"/>
      <w:r>
        <w:t xml:space="preserve"> Goulburn Basin comparison of VicCI and VCP19 (CCAM) rainfall projections in 2065</w:t>
      </w:r>
      <w:bookmarkEnd w:id="906"/>
      <w:bookmarkEnd w:id="907"/>
      <w:bookmarkEnd w:id="908"/>
      <w:bookmarkEnd w:id="909"/>
      <w:bookmarkEnd w:id="910"/>
      <w:bookmarkEnd w:id="911"/>
    </w:p>
    <w:p w14:paraId="31C7BBFD" w14:textId="77777777" w:rsidR="007B29DD" w:rsidRDefault="007B29DD" w:rsidP="007B29DD"/>
    <w:p w14:paraId="5683ABEE" w14:textId="77777777" w:rsidR="007B29DD" w:rsidRDefault="007B29DD" w:rsidP="007B29DD">
      <w:r>
        <w:rPr>
          <w:noProof/>
        </w:rPr>
        <w:lastRenderedPageBreak/>
        <w:drawing>
          <wp:inline distT="0" distB="0" distL="0" distR="0" wp14:anchorId="546F1481" wp14:editId="6D1F7447">
            <wp:extent cx="6176008" cy="3072765"/>
            <wp:effectExtent l="19050" t="19050" r="15875" b="13335"/>
            <wp:docPr id="945704175" name="Picture 945704175" descr="Dot plot to compare projection products for the Goulburn basin in terms of projected change in annual rainfall in 2065. The products which are compared include raw outputs from Global Climate Models; the low, medium and high projections from these guidelines; and both raw and biased corrected outputs from the CCAM Regional Climate Model used for the VC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75"/>
                    <pic:cNvPicPr/>
                  </pic:nvPicPr>
                  <pic:blipFill>
                    <a:blip r:embed="rId89">
                      <a:extLst>
                        <a:ext uri="{28A0092B-C50C-407E-A947-70E740481C1C}">
                          <a14:useLocalDpi xmlns:a14="http://schemas.microsoft.com/office/drawing/2010/main" val="0"/>
                        </a:ext>
                      </a:extLst>
                    </a:blip>
                    <a:stretch>
                      <a:fillRect/>
                    </a:stretch>
                  </pic:blipFill>
                  <pic:spPr>
                    <a:xfrm>
                      <a:off x="0" y="0"/>
                      <a:ext cx="6176008" cy="3072765"/>
                    </a:xfrm>
                    <a:prstGeom prst="rect">
                      <a:avLst/>
                    </a:prstGeom>
                    <a:ln>
                      <a:solidFill>
                        <a:schemeClr val="bg1">
                          <a:lumMod val="65000"/>
                        </a:schemeClr>
                      </a:solidFill>
                    </a:ln>
                  </pic:spPr>
                </pic:pic>
              </a:graphicData>
            </a:graphic>
          </wp:inline>
        </w:drawing>
      </w:r>
    </w:p>
    <w:p w14:paraId="1467AD32" w14:textId="77777777" w:rsidR="007B29DD" w:rsidRDefault="007B29DD" w:rsidP="007B29DD">
      <w:pPr>
        <w:pStyle w:val="Caption"/>
        <w:keepNext w:val="0"/>
        <w:spacing w:before="0"/>
      </w:pPr>
      <w:bookmarkStart w:id="912" w:name="_Ref35933223"/>
      <w:bookmarkStart w:id="913" w:name="_Toc37770299"/>
      <w:bookmarkStart w:id="914" w:name="_Toc43476606"/>
      <w:bookmarkStart w:id="915" w:name="_Toc44928849"/>
      <w:bookmarkStart w:id="916" w:name="_Toc51237510"/>
      <w:bookmarkStart w:id="917" w:name="_Toc53586025"/>
      <w:bookmarkStart w:id="918" w:name="_Toc57377276"/>
      <w:r>
        <w:t xml:space="preserve">Figure </w:t>
      </w:r>
      <w:r>
        <w:fldChar w:fldCharType="begin"/>
      </w:r>
      <w:r>
        <w:instrText>SEQ Figure \* ARABIC</w:instrText>
      </w:r>
      <w:r>
        <w:fldChar w:fldCharType="separate"/>
      </w:r>
      <w:r>
        <w:rPr>
          <w:noProof/>
        </w:rPr>
        <w:t>34</w:t>
      </w:r>
      <w:r>
        <w:fldChar w:fldCharType="end"/>
      </w:r>
      <w:bookmarkEnd w:id="912"/>
      <w:r>
        <w:t xml:space="preserve"> Mitchell Basin comparison of VicCI and VCP19 (CCAM) rainfall projections 2065</w:t>
      </w:r>
      <w:bookmarkEnd w:id="913"/>
      <w:bookmarkEnd w:id="914"/>
      <w:bookmarkEnd w:id="915"/>
      <w:bookmarkEnd w:id="916"/>
      <w:bookmarkEnd w:id="917"/>
      <w:bookmarkEnd w:id="918"/>
    </w:p>
    <w:p w14:paraId="686C0192" w14:textId="77777777" w:rsidR="007B29DD" w:rsidRDefault="007B29DD" w:rsidP="007B29DD">
      <w:pPr>
        <w:pStyle w:val="BodyText"/>
      </w:pPr>
      <w:r>
        <w:t xml:space="preserve">The above information is summarised for all river basins in Victoria in </w:t>
      </w:r>
      <w:r>
        <w:fldChar w:fldCharType="begin"/>
      </w:r>
      <w:r>
        <w:instrText xml:space="preserve"> REF _Ref40261770 \h </w:instrText>
      </w:r>
      <w:r>
        <w:fldChar w:fldCharType="separate"/>
      </w:r>
      <w:r w:rsidRPr="00152EAA">
        <w:t xml:space="preserve">Table </w:t>
      </w:r>
      <w:r>
        <w:rPr>
          <w:noProof/>
        </w:rPr>
        <w:t>10</w:t>
      </w:r>
      <w:r>
        <w:fldChar w:fldCharType="end"/>
      </w:r>
      <w:r>
        <w:t>. This information can be used to identify whether the VCP19 projections are likely to be useful for stress testing supply systems with projections that are outside of the range of the VicCI projections.</w:t>
      </w:r>
    </w:p>
    <w:p w14:paraId="128536E7" w14:textId="77777777" w:rsidR="007B29DD" w:rsidRDefault="007B29DD" w:rsidP="007B29DD">
      <w:pPr>
        <w:pStyle w:val="BodyText"/>
      </w:pPr>
      <w:r>
        <w:t xml:space="preserve">By way of example, for the East Gippsland Basin, </w:t>
      </w:r>
      <w:r w:rsidDel="0002092F">
        <w:t xml:space="preserve">for </w:t>
      </w:r>
      <w:r>
        <w:t>the RCP8.5 emissions scenario in the year 2065:</w:t>
      </w:r>
    </w:p>
    <w:p w14:paraId="1B97EEDF" w14:textId="77777777" w:rsidR="007B29DD" w:rsidRDefault="007B29DD" w:rsidP="007B29DD">
      <w:pPr>
        <w:pStyle w:val="BodyText"/>
        <w:numPr>
          <w:ilvl w:val="0"/>
          <w:numId w:val="42"/>
        </w:numPr>
      </w:pPr>
      <w:r>
        <w:t>Two of the VCP19 projections lie outside of the range of the VicCI projections, and four lie within that range.</w:t>
      </w:r>
    </w:p>
    <w:p w14:paraId="2EB3A845" w14:textId="77777777" w:rsidR="007B29DD" w:rsidRDefault="007B29DD" w:rsidP="007B29DD">
      <w:pPr>
        <w:pStyle w:val="BodyText"/>
        <w:numPr>
          <w:ilvl w:val="0"/>
          <w:numId w:val="42"/>
        </w:numPr>
      </w:pPr>
      <w:r>
        <w:t xml:space="preserve">The VCP19 projections using the </w:t>
      </w:r>
      <w:r w:rsidRPr="00682C44">
        <w:t>GFDL_ESM2M</w:t>
      </w:r>
      <w:r>
        <w:t xml:space="preserve"> and HadGEM2CC models are drier than the VicCI high climate change projection and could therefore be used for stress testing a river or supply system in this basin to a drier climate change projection than is available from the VicCI projections. One or both of these VCP19 projections could be used for this purpose. These VCP19 projections produce a 15.9% and 30.6% reduction in rainfall for the year 2065, respectively, compared to the VicCI high climate change projection of a 15% decline in rainfall in the body of the guidelines.</w:t>
      </w:r>
    </w:p>
    <w:p w14:paraId="3D4B2EF1" w14:textId="77777777" w:rsidR="007B29DD" w:rsidRDefault="007B29DD" w:rsidP="007B29DD">
      <w:pPr>
        <w:pStyle w:val="BodyText"/>
        <w:numPr>
          <w:ilvl w:val="0"/>
          <w:numId w:val="42"/>
        </w:numPr>
      </w:pPr>
      <w:r>
        <w:t xml:space="preserve">None of the VCP19 projections are wetter than the VicCI low climate change projection, so VCP19 could not be used to assess </w:t>
      </w:r>
      <w:r w:rsidRPr="00155DAF">
        <w:t xml:space="preserve">streamflow characteristics or supply system performance </w:t>
      </w:r>
      <w:r>
        <w:t>under a wetter climate change projection than what is available in the body of the guidelines.</w:t>
      </w:r>
    </w:p>
    <w:p w14:paraId="08549F28" w14:textId="77777777" w:rsidR="007B29DD" w:rsidRDefault="007B29DD" w:rsidP="007B29DD">
      <w:pPr>
        <w:pStyle w:val="Caption"/>
      </w:pPr>
      <w:bookmarkStart w:id="919" w:name="_Ref40261770"/>
      <w:bookmarkStart w:id="920" w:name="_Toc43476564"/>
      <w:bookmarkStart w:id="921" w:name="_Toc44928809"/>
      <w:bookmarkStart w:id="922" w:name="_Toc51237472"/>
      <w:bookmarkStart w:id="923" w:name="_Toc53585987"/>
      <w:bookmarkStart w:id="924" w:name="_Toc57377238"/>
      <w:r w:rsidRPr="00152EAA">
        <w:t xml:space="preserve">Table </w:t>
      </w:r>
      <w:r>
        <w:fldChar w:fldCharType="begin"/>
      </w:r>
      <w:r>
        <w:instrText>SEQ Table \* ARABIC</w:instrText>
      </w:r>
      <w:r>
        <w:fldChar w:fldCharType="separate"/>
      </w:r>
      <w:r>
        <w:rPr>
          <w:noProof/>
        </w:rPr>
        <w:t>10</w:t>
      </w:r>
      <w:r>
        <w:fldChar w:fldCharType="end"/>
      </w:r>
      <w:bookmarkEnd w:id="919"/>
      <w:r w:rsidRPr="00152EAA">
        <w:t xml:space="preserve"> Comparison of VCP19 </w:t>
      </w:r>
      <w:r>
        <w:t xml:space="preserve">(VicWaCI bias corrected) </w:t>
      </w:r>
      <w:r w:rsidRPr="00152EAA">
        <w:t>versus VicCI climate change projections by river basin</w:t>
      </w:r>
      <w:r>
        <w:t xml:space="preserve"> for RCP8.5</w:t>
      </w:r>
      <w:bookmarkEnd w:id="920"/>
      <w:bookmarkEnd w:id="921"/>
      <w:r>
        <w:t xml:space="preserve"> in 2065</w:t>
      </w:r>
      <w:bookmarkEnd w:id="922"/>
      <w:r>
        <w:t>.</w:t>
      </w:r>
      <w:bookmarkEnd w:id="923"/>
      <w:bookmarkEnd w:id="924"/>
    </w:p>
    <w:tbl>
      <w:tblPr>
        <w:tblW w:w="5568" w:type="pct"/>
        <w:tblLook w:val="04A0" w:firstRow="1" w:lastRow="0" w:firstColumn="1" w:lastColumn="0" w:noHBand="0" w:noVBand="1"/>
      </w:tblPr>
      <w:tblGrid>
        <w:gridCol w:w="1168"/>
        <w:gridCol w:w="581"/>
        <w:gridCol w:w="1365"/>
        <w:gridCol w:w="992"/>
        <w:gridCol w:w="1122"/>
        <w:gridCol w:w="1272"/>
        <w:gridCol w:w="1157"/>
        <w:gridCol w:w="1038"/>
        <w:gridCol w:w="1398"/>
      </w:tblGrid>
      <w:tr w:rsidR="007B29DD" w:rsidRPr="00203CF0" w14:paraId="4528425C" w14:textId="77777777" w:rsidTr="001F0D5B">
        <w:trPr>
          <w:trHeight w:val="300"/>
        </w:trPr>
        <w:tc>
          <w:tcPr>
            <w:tcW w:w="116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6A7F93"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Basin</w:t>
            </w:r>
          </w:p>
        </w:tc>
        <w:tc>
          <w:tcPr>
            <w:tcW w:w="58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ACED29"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Year</w:t>
            </w:r>
          </w:p>
        </w:tc>
        <w:tc>
          <w:tcPr>
            <w:tcW w:w="136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133807"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Projection</w:t>
            </w:r>
          </w:p>
        </w:tc>
        <w:tc>
          <w:tcPr>
            <w:tcW w:w="6926"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5259413A"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Projected change in annual rainfall (%)</w:t>
            </w:r>
          </w:p>
        </w:tc>
      </w:tr>
      <w:tr w:rsidR="001F0D5B" w:rsidRPr="00203CF0" w14:paraId="2DBC300E" w14:textId="77777777" w:rsidTr="001F0D5B">
        <w:trPr>
          <w:trHeight w:val="300"/>
        </w:trPr>
        <w:tc>
          <w:tcPr>
            <w:tcW w:w="1168" w:type="dxa"/>
            <w:vMerge/>
            <w:tcBorders>
              <w:top w:val="single" w:sz="4" w:space="0" w:color="auto"/>
              <w:left w:val="single" w:sz="4" w:space="0" w:color="auto"/>
              <w:bottom w:val="single" w:sz="4" w:space="0" w:color="auto"/>
              <w:right w:val="single" w:sz="4" w:space="0" w:color="auto"/>
            </w:tcBorders>
            <w:vAlign w:val="center"/>
            <w:hideMark/>
          </w:tcPr>
          <w:p w14:paraId="348699AA" w14:textId="77777777" w:rsidR="007B29DD" w:rsidRPr="00203CF0" w:rsidRDefault="007B29DD" w:rsidP="00306AF1">
            <w:pPr>
              <w:spacing w:line="240" w:lineRule="auto"/>
              <w:jc w:val="center"/>
              <w:rPr>
                <w:rFonts w:ascii="Calibri" w:hAnsi="Calibri" w:cs="Calibri"/>
                <w:b/>
                <w:bCs/>
                <w:color w:val="000000"/>
                <w:sz w:val="18"/>
                <w:szCs w:val="18"/>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14:paraId="2AC1EB39" w14:textId="77777777" w:rsidR="007B29DD" w:rsidRPr="00203CF0" w:rsidRDefault="007B29DD" w:rsidP="00306AF1">
            <w:pPr>
              <w:spacing w:line="240" w:lineRule="auto"/>
              <w:jc w:val="center"/>
              <w:rPr>
                <w:rFonts w:ascii="Calibri" w:hAnsi="Calibri" w:cs="Calibri"/>
                <w:b/>
                <w:bCs/>
                <w:color w:val="000000"/>
                <w:sz w:val="18"/>
                <w:szCs w:val="18"/>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C69A2BA" w14:textId="77777777" w:rsidR="007B29DD" w:rsidRPr="00203CF0" w:rsidRDefault="007B29DD" w:rsidP="00306AF1">
            <w:pPr>
              <w:spacing w:line="240" w:lineRule="auto"/>
              <w:rPr>
                <w:rFonts w:ascii="Calibri" w:hAnsi="Calibri" w:cs="Calibri"/>
                <w:b/>
                <w:bCs/>
                <w:color w:val="000000"/>
                <w:sz w:val="18"/>
                <w:szCs w:val="18"/>
              </w:rPr>
            </w:pPr>
          </w:p>
        </w:tc>
        <w:tc>
          <w:tcPr>
            <w:tcW w:w="992" w:type="dxa"/>
            <w:tcBorders>
              <w:top w:val="nil"/>
              <w:left w:val="nil"/>
              <w:bottom w:val="single" w:sz="4" w:space="0" w:color="auto"/>
              <w:right w:val="single" w:sz="4" w:space="0" w:color="auto"/>
            </w:tcBorders>
            <w:shd w:val="clear" w:color="000000" w:fill="F2F2F2"/>
            <w:noWrap/>
            <w:vAlign w:val="center"/>
            <w:hideMark/>
          </w:tcPr>
          <w:p w14:paraId="2B949C2D"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Access10</w:t>
            </w:r>
          </w:p>
        </w:tc>
        <w:tc>
          <w:tcPr>
            <w:tcW w:w="1069" w:type="dxa"/>
            <w:tcBorders>
              <w:top w:val="nil"/>
              <w:left w:val="nil"/>
              <w:bottom w:val="single" w:sz="4" w:space="0" w:color="auto"/>
              <w:right w:val="single" w:sz="4" w:space="0" w:color="auto"/>
            </w:tcBorders>
            <w:shd w:val="clear" w:color="000000" w:fill="F2F2F2"/>
            <w:noWrap/>
            <w:vAlign w:val="center"/>
            <w:hideMark/>
          </w:tcPr>
          <w:p w14:paraId="7F3845AF"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CNRM_CM5</w:t>
            </w:r>
          </w:p>
        </w:tc>
        <w:tc>
          <w:tcPr>
            <w:tcW w:w="1272" w:type="dxa"/>
            <w:tcBorders>
              <w:top w:val="nil"/>
              <w:left w:val="nil"/>
              <w:bottom w:val="single" w:sz="4" w:space="0" w:color="auto"/>
              <w:right w:val="single" w:sz="4" w:space="0" w:color="auto"/>
            </w:tcBorders>
            <w:shd w:val="clear" w:color="000000" w:fill="F2F2F2"/>
            <w:noWrap/>
            <w:vAlign w:val="center"/>
            <w:hideMark/>
          </w:tcPr>
          <w:p w14:paraId="2CD63486"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GFDL_ESM2M</w:t>
            </w:r>
          </w:p>
        </w:tc>
        <w:tc>
          <w:tcPr>
            <w:tcW w:w="1157" w:type="dxa"/>
            <w:tcBorders>
              <w:top w:val="nil"/>
              <w:left w:val="nil"/>
              <w:bottom w:val="single" w:sz="4" w:space="0" w:color="auto"/>
              <w:right w:val="single" w:sz="4" w:space="0" w:color="auto"/>
            </w:tcBorders>
            <w:shd w:val="clear" w:color="000000" w:fill="F2F2F2"/>
            <w:noWrap/>
            <w:vAlign w:val="center"/>
            <w:hideMark/>
          </w:tcPr>
          <w:p w14:paraId="30A9CC87"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HadGEM2CC</w:t>
            </w:r>
          </w:p>
        </w:tc>
        <w:tc>
          <w:tcPr>
            <w:tcW w:w="1038" w:type="dxa"/>
            <w:tcBorders>
              <w:top w:val="nil"/>
              <w:left w:val="nil"/>
              <w:bottom w:val="single" w:sz="4" w:space="0" w:color="auto"/>
              <w:right w:val="single" w:sz="4" w:space="0" w:color="auto"/>
            </w:tcBorders>
            <w:shd w:val="clear" w:color="000000" w:fill="F2F2F2"/>
            <w:noWrap/>
            <w:vAlign w:val="center"/>
            <w:hideMark/>
          </w:tcPr>
          <w:p w14:paraId="7D181455"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MIROC5</w:t>
            </w:r>
          </w:p>
        </w:tc>
        <w:tc>
          <w:tcPr>
            <w:tcW w:w="1398" w:type="dxa"/>
            <w:tcBorders>
              <w:top w:val="nil"/>
              <w:left w:val="nil"/>
              <w:bottom w:val="single" w:sz="4" w:space="0" w:color="auto"/>
              <w:right w:val="single" w:sz="4" w:space="0" w:color="auto"/>
            </w:tcBorders>
            <w:shd w:val="clear" w:color="000000" w:fill="F2F2F2"/>
            <w:noWrap/>
            <w:vAlign w:val="center"/>
            <w:hideMark/>
          </w:tcPr>
          <w:p w14:paraId="1FD0F10D" w14:textId="77777777" w:rsidR="007B29DD" w:rsidRPr="00203CF0" w:rsidRDefault="007B29DD" w:rsidP="00306AF1">
            <w:pPr>
              <w:spacing w:line="240" w:lineRule="auto"/>
              <w:jc w:val="center"/>
              <w:rPr>
                <w:rFonts w:ascii="Calibri" w:hAnsi="Calibri" w:cs="Calibri"/>
                <w:b/>
                <w:bCs/>
                <w:color w:val="000000"/>
                <w:sz w:val="18"/>
                <w:szCs w:val="18"/>
              </w:rPr>
            </w:pPr>
            <w:r w:rsidRPr="00203CF0">
              <w:rPr>
                <w:rFonts w:ascii="Calibri" w:hAnsi="Calibri" w:cs="Calibri"/>
                <w:b/>
                <w:bCs/>
                <w:color w:val="000000"/>
                <w:sz w:val="18"/>
                <w:szCs w:val="18"/>
              </w:rPr>
              <w:t>NorESM1_M</w:t>
            </w:r>
          </w:p>
        </w:tc>
      </w:tr>
      <w:tr w:rsidR="001F0D5B" w:rsidRPr="00203CF0" w14:paraId="3049197F" w14:textId="77777777" w:rsidTr="001F0D5B">
        <w:trPr>
          <w:trHeight w:val="113"/>
        </w:trPr>
        <w:tc>
          <w:tcPr>
            <w:tcW w:w="1168" w:type="dxa"/>
            <w:tcBorders>
              <w:top w:val="nil"/>
              <w:left w:val="nil"/>
              <w:bottom w:val="single" w:sz="4" w:space="0" w:color="auto"/>
              <w:right w:val="single" w:sz="4" w:space="0" w:color="auto"/>
            </w:tcBorders>
            <w:shd w:val="clear" w:color="000000" w:fill="808080"/>
            <w:noWrap/>
            <w:vAlign w:val="bottom"/>
            <w:hideMark/>
          </w:tcPr>
          <w:p w14:paraId="278C42A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bottom"/>
            <w:hideMark/>
          </w:tcPr>
          <w:p w14:paraId="4AE50782"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F5DEB1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61104AD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4913D52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18E4F1B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21ABED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77174BF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53CB109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54290116"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63FB6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221</w:t>
            </w:r>
            <w:r>
              <w:rPr>
                <w:rFonts w:ascii="Calibri" w:hAnsi="Calibri" w:cs="Calibri"/>
                <w:color w:val="000000"/>
                <w:sz w:val="18"/>
                <w:szCs w:val="18"/>
              </w:rPr>
              <w:t xml:space="preserve"> </w:t>
            </w:r>
            <w:r w:rsidRPr="00203CF0">
              <w:rPr>
                <w:rFonts w:ascii="Calibri" w:hAnsi="Calibri" w:cs="Calibri"/>
                <w:color w:val="000000"/>
                <w:sz w:val="18"/>
                <w:szCs w:val="18"/>
              </w:rPr>
              <w:t>East Gippsland</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9B03ED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396870C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76BBBA5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-6.8</w:t>
            </w:r>
          </w:p>
        </w:tc>
        <w:tc>
          <w:tcPr>
            <w:tcW w:w="1069" w:type="dxa"/>
            <w:tcBorders>
              <w:top w:val="nil"/>
              <w:left w:val="nil"/>
              <w:bottom w:val="single" w:sz="4" w:space="0" w:color="auto"/>
              <w:right w:val="single" w:sz="4" w:space="0" w:color="auto"/>
            </w:tcBorders>
            <w:shd w:val="clear" w:color="auto" w:fill="auto"/>
            <w:noWrap/>
            <w:vAlign w:val="center"/>
            <w:hideMark/>
          </w:tcPr>
          <w:p w14:paraId="1AE7937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1.8</w:t>
            </w:r>
          </w:p>
        </w:tc>
        <w:tc>
          <w:tcPr>
            <w:tcW w:w="1272" w:type="dxa"/>
            <w:tcBorders>
              <w:top w:val="nil"/>
              <w:left w:val="nil"/>
              <w:bottom w:val="single" w:sz="4" w:space="0" w:color="auto"/>
              <w:right w:val="single" w:sz="4" w:space="0" w:color="auto"/>
            </w:tcBorders>
            <w:shd w:val="clear" w:color="auto" w:fill="auto"/>
            <w:noWrap/>
            <w:vAlign w:val="center"/>
            <w:hideMark/>
          </w:tcPr>
          <w:p w14:paraId="4110EE3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-15.9</w:t>
            </w:r>
          </w:p>
        </w:tc>
        <w:tc>
          <w:tcPr>
            <w:tcW w:w="1157" w:type="dxa"/>
            <w:tcBorders>
              <w:top w:val="nil"/>
              <w:left w:val="nil"/>
              <w:bottom w:val="single" w:sz="4" w:space="0" w:color="auto"/>
              <w:right w:val="single" w:sz="4" w:space="0" w:color="auto"/>
            </w:tcBorders>
            <w:shd w:val="clear" w:color="auto" w:fill="auto"/>
            <w:noWrap/>
            <w:vAlign w:val="center"/>
            <w:hideMark/>
          </w:tcPr>
          <w:p w14:paraId="418F470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-30.6</w:t>
            </w:r>
          </w:p>
        </w:tc>
        <w:tc>
          <w:tcPr>
            <w:tcW w:w="1038" w:type="dxa"/>
            <w:tcBorders>
              <w:top w:val="nil"/>
              <w:left w:val="nil"/>
              <w:bottom w:val="single" w:sz="4" w:space="0" w:color="auto"/>
              <w:right w:val="single" w:sz="4" w:space="0" w:color="auto"/>
            </w:tcBorders>
            <w:shd w:val="clear" w:color="auto" w:fill="auto"/>
            <w:noWrap/>
            <w:vAlign w:val="center"/>
            <w:hideMark/>
          </w:tcPr>
          <w:p w14:paraId="30A41D2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-11.3</w:t>
            </w:r>
          </w:p>
        </w:tc>
        <w:tc>
          <w:tcPr>
            <w:tcW w:w="1398" w:type="dxa"/>
            <w:tcBorders>
              <w:top w:val="nil"/>
              <w:left w:val="nil"/>
              <w:bottom w:val="single" w:sz="4" w:space="0" w:color="auto"/>
              <w:right w:val="single" w:sz="4" w:space="0" w:color="auto"/>
            </w:tcBorders>
            <w:shd w:val="clear" w:color="auto" w:fill="auto"/>
            <w:noWrap/>
            <w:vAlign w:val="center"/>
            <w:hideMark/>
          </w:tcPr>
          <w:p w14:paraId="23000E1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3.9</w:t>
            </w:r>
          </w:p>
        </w:tc>
      </w:tr>
      <w:tr w:rsidR="001F0D5B" w:rsidRPr="00203CF0" w14:paraId="4ED11E1F"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441B9171"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70A77DD4"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64932FC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7D9D494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1611DE8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272" w:type="dxa"/>
            <w:tcBorders>
              <w:top w:val="nil"/>
              <w:left w:val="nil"/>
              <w:bottom w:val="single" w:sz="4" w:space="0" w:color="auto"/>
              <w:right w:val="single" w:sz="4" w:space="0" w:color="auto"/>
            </w:tcBorders>
            <w:shd w:val="clear" w:color="000000" w:fill="FFCCCC"/>
            <w:vAlign w:val="center"/>
            <w:hideMark/>
          </w:tcPr>
          <w:p w14:paraId="4693771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157" w:type="dxa"/>
            <w:tcBorders>
              <w:top w:val="nil"/>
              <w:left w:val="nil"/>
              <w:bottom w:val="single" w:sz="4" w:space="0" w:color="auto"/>
              <w:right w:val="single" w:sz="4" w:space="0" w:color="auto"/>
            </w:tcBorders>
            <w:shd w:val="clear" w:color="000000" w:fill="FFCCCC"/>
            <w:vAlign w:val="center"/>
            <w:hideMark/>
          </w:tcPr>
          <w:p w14:paraId="224CFCE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7E8F2FA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56246F5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1D96DC96"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477D7536"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3066C50"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18760EC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0421E0B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22B62F4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423FD6F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62668F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A96B90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7344484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4AC26C66"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9930E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lastRenderedPageBreak/>
              <w:t>222</w:t>
            </w:r>
            <w:r>
              <w:rPr>
                <w:rFonts w:ascii="Calibri" w:hAnsi="Calibri" w:cs="Calibri"/>
                <w:color w:val="000000"/>
                <w:sz w:val="18"/>
                <w:szCs w:val="18"/>
              </w:rPr>
              <w:t xml:space="preserve"> </w:t>
            </w:r>
            <w:r w:rsidRPr="00203CF0">
              <w:rPr>
                <w:rFonts w:ascii="Calibri" w:hAnsi="Calibri" w:cs="Calibri"/>
                <w:color w:val="000000"/>
                <w:sz w:val="18"/>
                <w:szCs w:val="18"/>
              </w:rPr>
              <w:t>Snowy</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2F5A93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55689B2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29145B9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-6.8</w:t>
            </w:r>
          </w:p>
        </w:tc>
        <w:tc>
          <w:tcPr>
            <w:tcW w:w="1069" w:type="dxa"/>
            <w:tcBorders>
              <w:top w:val="nil"/>
              <w:left w:val="nil"/>
              <w:bottom w:val="single" w:sz="4" w:space="0" w:color="auto"/>
              <w:right w:val="single" w:sz="4" w:space="0" w:color="auto"/>
            </w:tcBorders>
            <w:shd w:val="clear" w:color="auto" w:fill="auto"/>
            <w:noWrap/>
            <w:vAlign w:val="center"/>
            <w:hideMark/>
          </w:tcPr>
          <w:p w14:paraId="0D0998F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w:t>
            </w:r>
          </w:p>
        </w:tc>
        <w:tc>
          <w:tcPr>
            <w:tcW w:w="1272" w:type="dxa"/>
            <w:tcBorders>
              <w:top w:val="nil"/>
              <w:left w:val="nil"/>
              <w:bottom w:val="single" w:sz="4" w:space="0" w:color="auto"/>
              <w:right w:val="single" w:sz="4" w:space="0" w:color="auto"/>
            </w:tcBorders>
            <w:shd w:val="clear" w:color="auto" w:fill="auto"/>
            <w:noWrap/>
            <w:vAlign w:val="center"/>
            <w:hideMark/>
          </w:tcPr>
          <w:p w14:paraId="443D82D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-15.4</w:t>
            </w:r>
          </w:p>
        </w:tc>
        <w:tc>
          <w:tcPr>
            <w:tcW w:w="1157" w:type="dxa"/>
            <w:tcBorders>
              <w:top w:val="nil"/>
              <w:left w:val="nil"/>
              <w:bottom w:val="single" w:sz="4" w:space="0" w:color="auto"/>
              <w:right w:val="single" w:sz="4" w:space="0" w:color="auto"/>
            </w:tcBorders>
            <w:shd w:val="clear" w:color="auto" w:fill="auto"/>
            <w:noWrap/>
            <w:vAlign w:val="center"/>
            <w:hideMark/>
          </w:tcPr>
          <w:p w14:paraId="06D210E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-28.3</w:t>
            </w:r>
          </w:p>
        </w:tc>
        <w:tc>
          <w:tcPr>
            <w:tcW w:w="1038" w:type="dxa"/>
            <w:tcBorders>
              <w:top w:val="nil"/>
              <w:left w:val="nil"/>
              <w:bottom w:val="single" w:sz="4" w:space="0" w:color="auto"/>
              <w:right w:val="single" w:sz="4" w:space="0" w:color="auto"/>
            </w:tcBorders>
            <w:shd w:val="clear" w:color="auto" w:fill="auto"/>
            <w:noWrap/>
            <w:vAlign w:val="center"/>
            <w:hideMark/>
          </w:tcPr>
          <w:p w14:paraId="43E0609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-15.0</w:t>
            </w:r>
          </w:p>
        </w:tc>
        <w:tc>
          <w:tcPr>
            <w:tcW w:w="1398" w:type="dxa"/>
            <w:tcBorders>
              <w:top w:val="nil"/>
              <w:left w:val="nil"/>
              <w:bottom w:val="single" w:sz="4" w:space="0" w:color="auto"/>
              <w:right w:val="single" w:sz="4" w:space="0" w:color="auto"/>
            </w:tcBorders>
            <w:shd w:val="clear" w:color="auto" w:fill="auto"/>
            <w:noWrap/>
            <w:vAlign w:val="center"/>
            <w:hideMark/>
          </w:tcPr>
          <w:p w14:paraId="11E64A7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1.9</w:t>
            </w:r>
          </w:p>
        </w:tc>
      </w:tr>
      <w:tr w:rsidR="001F0D5B" w:rsidRPr="00203CF0" w14:paraId="02F36E8C"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1FC56A5C"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738E1513"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2CCB68F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1285ED4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36EB61D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272" w:type="dxa"/>
            <w:tcBorders>
              <w:top w:val="nil"/>
              <w:left w:val="nil"/>
              <w:bottom w:val="single" w:sz="4" w:space="0" w:color="auto"/>
              <w:right w:val="single" w:sz="4" w:space="0" w:color="auto"/>
            </w:tcBorders>
            <w:shd w:val="clear" w:color="000000" w:fill="FFCCCC"/>
            <w:vAlign w:val="center"/>
            <w:hideMark/>
          </w:tcPr>
          <w:p w14:paraId="7F15CB7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157" w:type="dxa"/>
            <w:tcBorders>
              <w:top w:val="nil"/>
              <w:left w:val="nil"/>
              <w:bottom w:val="single" w:sz="4" w:space="0" w:color="auto"/>
              <w:right w:val="single" w:sz="4" w:space="0" w:color="auto"/>
            </w:tcBorders>
            <w:shd w:val="clear" w:color="000000" w:fill="FFCCCC"/>
            <w:vAlign w:val="center"/>
            <w:hideMark/>
          </w:tcPr>
          <w:p w14:paraId="022BD4A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6689A92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4A2B875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50202F81"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4FE499D8"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0FEEDB0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595540B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6A03D3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3C5847A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21C2D7F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4AE4254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D77DD8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6A79723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0D8E3949"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CB3B2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223</w:t>
            </w:r>
            <w:r>
              <w:rPr>
                <w:rFonts w:ascii="Calibri" w:hAnsi="Calibri" w:cs="Calibri"/>
                <w:color w:val="000000"/>
                <w:sz w:val="18"/>
                <w:szCs w:val="18"/>
              </w:rPr>
              <w:t xml:space="preserve"> </w:t>
            </w:r>
            <w:r w:rsidRPr="00203CF0">
              <w:rPr>
                <w:rFonts w:ascii="Calibri" w:hAnsi="Calibri" w:cs="Calibri"/>
                <w:color w:val="000000"/>
                <w:sz w:val="18"/>
                <w:szCs w:val="18"/>
              </w:rPr>
              <w:t>Tambo</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8AA535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394B0AC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0EE9C26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-5.2</w:t>
            </w:r>
          </w:p>
        </w:tc>
        <w:tc>
          <w:tcPr>
            <w:tcW w:w="1069" w:type="dxa"/>
            <w:tcBorders>
              <w:top w:val="nil"/>
              <w:left w:val="nil"/>
              <w:bottom w:val="single" w:sz="4" w:space="0" w:color="auto"/>
              <w:right w:val="single" w:sz="4" w:space="0" w:color="auto"/>
            </w:tcBorders>
            <w:shd w:val="clear" w:color="auto" w:fill="auto"/>
            <w:noWrap/>
            <w:vAlign w:val="center"/>
            <w:hideMark/>
          </w:tcPr>
          <w:p w14:paraId="38D4774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w:t>
            </w:r>
          </w:p>
        </w:tc>
        <w:tc>
          <w:tcPr>
            <w:tcW w:w="1272" w:type="dxa"/>
            <w:tcBorders>
              <w:top w:val="nil"/>
              <w:left w:val="nil"/>
              <w:bottom w:val="single" w:sz="4" w:space="0" w:color="auto"/>
              <w:right w:val="single" w:sz="4" w:space="0" w:color="auto"/>
            </w:tcBorders>
            <w:shd w:val="clear" w:color="auto" w:fill="auto"/>
            <w:noWrap/>
            <w:vAlign w:val="center"/>
            <w:hideMark/>
          </w:tcPr>
          <w:p w14:paraId="49F1F5E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-14.7</w:t>
            </w:r>
          </w:p>
        </w:tc>
        <w:tc>
          <w:tcPr>
            <w:tcW w:w="1157" w:type="dxa"/>
            <w:tcBorders>
              <w:top w:val="nil"/>
              <w:left w:val="nil"/>
              <w:bottom w:val="single" w:sz="4" w:space="0" w:color="auto"/>
              <w:right w:val="single" w:sz="4" w:space="0" w:color="auto"/>
            </w:tcBorders>
            <w:shd w:val="clear" w:color="auto" w:fill="auto"/>
            <w:noWrap/>
            <w:vAlign w:val="center"/>
            <w:hideMark/>
          </w:tcPr>
          <w:p w14:paraId="62728CF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-27.8</w:t>
            </w:r>
          </w:p>
        </w:tc>
        <w:tc>
          <w:tcPr>
            <w:tcW w:w="1038" w:type="dxa"/>
            <w:tcBorders>
              <w:top w:val="nil"/>
              <w:left w:val="nil"/>
              <w:bottom w:val="single" w:sz="4" w:space="0" w:color="auto"/>
              <w:right w:val="single" w:sz="4" w:space="0" w:color="auto"/>
            </w:tcBorders>
            <w:shd w:val="clear" w:color="auto" w:fill="auto"/>
            <w:noWrap/>
            <w:vAlign w:val="center"/>
            <w:hideMark/>
          </w:tcPr>
          <w:p w14:paraId="5F96732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-14.2</w:t>
            </w:r>
          </w:p>
        </w:tc>
        <w:tc>
          <w:tcPr>
            <w:tcW w:w="1398" w:type="dxa"/>
            <w:tcBorders>
              <w:top w:val="nil"/>
              <w:left w:val="nil"/>
              <w:bottom w:val="single" w:sz="4" w:space="0" w:color="auto"/>
              <w:right w:val="single" w:sz="4" w:space="0" w:color="auto"/>
            </w:tcBorders>
            <w:shd w:val="clear" w:color="auto" w:fill="auto"/>
            <w:noWrap/>
            <w:vAlign w:val="center"/>
            <w:hideMark/>
          </w:tcPr>
          <w:p w14:paraId="29CBE14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2.4</w:t>
            </w:r>
          </w:p>
        </w:tc>
      </w:tr>
      <w:tr w:rsidR="001F0D5B" w:rsidRPr="00203CF0" w14:paraId="26C1AEF4"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4386CDA"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23B4BE0A"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67EB4D1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48FA365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420280A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272" w:type="dxa"/>
            <w:tcBorders>
              <w:top w:val="nil"/>
              <w:left w:val="nil"/>
              <w:bottom w:val="single" w:sz="4" w:space="0" w:color="auto"/>
              <w:right w:val="single" w:sz="4" w:space="0" w:color="auto"/>
            </w:tcBorders>
            <w:shd w:val="clear" w:color="auto" w:fill="auto"/>
            <w:vAlign w:val="center"/>
            <w:hideMark/>
          </w:tcPr>
          <w:p w14:paraId="750EDF4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5698D21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3FC02C1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4A6884F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1BC5B92D"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6F619B75"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0E95C90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234DA5D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74E0584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5DA7DC4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0BBAA86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12DC112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1F8AB77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27AC65A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4398252C"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5DBB95" w14:textId="77777777" w:rsidR="007B29DD" w:rsidRPr="00203CF0" w:rsidRDefault="007B29DD" w:rsidP="00306AF1">
            <w:pPr>
              <w:spacing w:line="240" w:lineRule="auto"/>
              <w:jc w:val="center"/>
              <w:rPr>
                <w:rFonts w:ascii="Calibri" w:hAnsi="Calibri" w:cs="Calibri"/>
                <w:color w:val="000000"/>
                <w:sz w:val="18"/>
                <w:szCs w:val="18"/>
              </w:rPr>
            </w:pPr>
            <w:r>
              <w:rPr>
                <w:rFonts w:ascii="Calibri" w:hAnsi="Calibri" w:cs="Calibri"/>
                <w:color w:val="000000"/>
                <w:sz w:val="18"/>
                <w:szCs w:val="18"/>
              </w:rPr>
              <w:t xml:space="preserve">224 </w:t>
            </w:r>
            <w:r w:rsidRPr="00203CF0">
              <w:rPr>
                <w:rFonts w:ascii="Calibri" w:hAnsi="Calibri" w:cs="Calibri"/>
                <w:color w:val="000000"/>
                <w:sz w:val="18"/>
                <w:szCs w:val="18"/>
              </w:rPr>
              <w:t>Mitchell</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5F1FA8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4F23E34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2ED21DE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-7.5</w:t>
            </w:r>
          </w:p>
        </w:tc>
        <w:tc>
          <w:tcPr>
            <w:tcW w:w="1069" w:type="dxa"/>
            <w:tcBorders>
              <w:top w:val="nil"/>
              <w:left w:val="nil"/>
              <w:bottom w:val="single" w:sz="4" w:space="0" w:color="auto"/>
              <w:right w:val="single" w:sz="4" w:space="0" w:color="auto"/>
            </w:tcBorders>
            <w:shd w:val="clear" w:color="auto" w:fill="auto"/>
            <w:noWrap/>
            <w:vAlign w:val="center"/>
            <w:hideMark/>
          </w:tcPr>
          <w:p w14:paraId="4DD16F2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-3.4</w:t>
            </w:r>
          </w:p>
        </w:tc>
        <w:tc>
          <w:tcPr>
            <w:tcW w:w="1272" w:type="dxa"/>
            <w:tcBorders>
              <w:top w:val="nil"/>
              <w:left w:val="nil"/>
              <w:bottom w:val="single" w:sz="4" w:space="0" w:color="auto"/>
              <w:right w:val="single" w:sz="4" w:space="0" w:color="auto"/>
            </w:tcBorders>
            <w:shd w:val="clear" w:color="auto" w:fill="auto"/>
            <w:noWrap/>
            <w:vAlign w:val="center"/>
            <w:hideMark/>
          </w:tcPr>
          <w:p w14:paraId="76A2BF6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-11.1</w:t>
            </w:r>
          </w:p>
        </w:tc>
        <w:tc>
          <w:tcPr>
            <w:tcW w:w="1157" w:type="dxa"/>
            <w:tcBorders>
              <w:top w:val="nil"/>
              <w:left w:val="nil"/>
              <w:bottom w:val="single" w:sz="4" w:space="0" w:color="auto"/>
              <w:right w:val="single" w:sz="4" w:space="0" w:color="auto"/>
            </w:tcBorders>
            <w:shd w:val="clear" w:color="auto" w:fill="auto"/>
            <w:noWrap/>
            <w:vAlign w:val="center"/>
            <w:hideMark/>
          </w:tcPr>
          <w:p w14:paraId="5C96ADA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-28.5</w:t>
            </w:r>
          </w:p>
        </w:tc>
        <w:tc>
          <w:tcPr>
            <w:tcW w:w="1038" w:type="dxa"/>
            <w:tcBorders>
              <w:top w:val="nil"/>
              <w:left w:val="nil"/>
              <w:bottom w:val="single" w:sz="4" w:space="0" w:color="auto"/>
              <w:right w:val="single" w:sz="4" w:space="0" w:color="auto"/>
            </w:tcBorders>
            <w:shd w:val="clear" w:color="auto" w:fill="auto"/>
            <w:noWrap/>
            <w:vAlign w:val="center"/>
            <w:hideMark/>
          </w:tcPr>
          <w:p w14:paraId="1B90159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-15.3</w:t>
            </w:r>
          </w:p>
        </w:tc>
        <w:tc>
          <w:tcPr>
            <w:tcW w:w="1398" w:type="dxa"/>
            <w:tcBorders>
              <w:top w:val="nil"/>
              <w:left w:val="nil"/>
              <w:bottom w:val="single" w:sz="4" w:space="0" w:color="auto"/>
              <w:right w:val="single" w:sz="4" w:space="0" w:color="auto"/>
            </w:tcBorders>
            <w:shd w:val="clear" w:color="auto" w:fill="auto"/>
            <w:noWrap/>
            <w:vAlign w:val="center"/>
            <w:hideMark/>
          </w:tcPr>
          <w:p w14:paraId="01981CD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w:t>
            </w:r>
          </w:p>
        </w:tc>
      </w:tr>
      <w:tr w:rsidR="001F0D5B" w:rsidRPr="00203CF0" w14:paraId="187536EE"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3ED6EF7D"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56AE5FEE"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7AA31F4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5EF3BD4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47B07E7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272" w:type="dxa"/>
            <w:tcBorders>
              <w:top w:val="nil"/>
              <w:left w:val="nil"/>
              <w:bottom w:val="single" w:sz="4" w:space="0" w:color="auto"/>
              <w:right w:val="single" w:sz="4" w:space="0" w:color="auto"/>
            </w:tcBorders>
            <w:shd w:val="clear" w:color="auto" w:fill="auto"/>
            <w:vAlign w:val="center"/>
            <w:hideMark/>
          </w:tcPr>
          <w:p w14:paraId="58F188B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4517496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296885C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29E02EE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008D2BF6"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63C91376"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3FC8F41"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7B106DF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405806F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0C0FB7A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5205428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ED726F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0EFEA25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59A7419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512C4343"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DC1C83" w14:textId="77777777" w:rsidR="007B29DD" w:rsidRPr="00203CF0" w:rsidRDefault="007B29DD" w:rsidP="00306AF1">
            <w:pPr>
              <w:spacing w:line="240" w:lineRule="auto"/>
              <w:jc w:val="center"/>
              <w:rPr>
                <w:rFonts w:ascii="Calibri" w:hAnsi="Calibri" w:cs="Calibri"/>
                <w:color w:val="000000"/>
                <w:sz w:val="18"/>
                <w:szCs w:val="18"/>
              </w:rPr>
            </w:pPr>
            <w:r>
              <w:rPr>
                <w:rFonts w:ascii="Calibri" w:hAnsi="Calibri" w:cs="Calibri"/>
                <w:color w:val="000000"/>
                <w:sz w:val="18"/>
                <w:szCs w:val="18"/>
              </w:rPr>
              <w:t xml:space="preserve">225 </w:t>
            </w:r>
            <w:r w:rsidRPr="00203CF0">
              <w:rPr>
                <w:rFonts w:ascii="Calibri" w:hAnsi="Calibri" w:cs="Calibri"/>
                <w:color w:val="000000"/>
                <w:sz w:val="18"/>
                <w:szCs w:val="18"/>
              </w:rPr>
              <w:t>Thomson</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13EA48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2B39E92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67B1E2B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-5.3</w:t>
            </w:r>
          </w:p>
        </w:tc>
        <w:tc>
          <w:tcPr>
            <w:tcW w:w="1069" w:type="dxa"/>
            <w:tcBorders>
              <w:top w:val="nil"/>
              <w:left w:val="nil"/>
              <w:bottom w:val="single" w:sz="4" w:space="0" w:color="auto"/>
              <w:right w:val="single" w:sz="4" w:space="0" w:color="auto"/>
            </w:tcBorders>
            <w:shd w:val="clear" w:color="auto" w:fill="auto"/>
            <w:noWrap/>
            <w:vAlign w:val="center"/>
            <w:hideMark/>
          </w:tcPr>
          <w:p w14:paraId="2E53821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w:t>
            </w:r>
          </w:p>
        </w:tc>
        <w:tc>
          <w:tcPr>
            <w:tcW w:w="1272" w:type="dxa"/>
            <w:tcBorders>
              <w:top w:val="nil"/>
              <w:left w:val="nil"/>
              <w:bottom w:val="single" w:sz="4" w:space="0" w:color="auto"/>
              <w:right w:val="single" w:sz="4" w:space="0" w:color="auto"/>
            </w:tcBorders>
            <w:shd w:val="clear" w:color="auto" w:fill="auto"/>
            <w:noWrap/>
            <w:vAlign w:val="center"/>
            <w:hideMark/>
          </w:tcPr>
          <w:p w14:paraId="54B3612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-8.3</w:t>
            </w:r>
          </w:p>
        </w:tc>
        <w:tc>
          <w:tcPr>
            <w:tcW w:w="1157" w:type="dxa"/>
            <w:tcBorders>
              <w:top w:val="nil"/>
              <w:left w:val="nil"/>
              <w:bottom w:val="single" w:sz="4" w:space="0" w:color="auto"/>
              <w:right w:val="single" w:sz="4" w:space="0" w:color="auto"/>
            </w:tcBorders>
            <w:shd w:val="clear" w:color="auto" w:fill="auto"/>
            <w:noWrap/>
            <w:vAlign w:val="center"/>
            <w:hideMark/>
          </w:tcPr>
          <w:p w14:paraId="00A243F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-29.1</w:t>
            </w:r>
          </w:p>
        </w:tc>
        <w:tc>
          <w:tcPr>
            <w:tcW w:w="1038" w:type="dxa"/>
            <w:tcBorders>
              <w:top w:val="nil"/>
              <w:left w:val="nil"/>
              <w:bottom w:val="single" w:sz="4" w:space="0" w:color="auto"/>
              <w:right w:val="single" w:sz="4" w:space="0" w:color="auto"/>
            </w:tcBorders>
            <w:shd w:val="clear" w:color="auto" w:fill="auto"/>
            <w:noWrap/>
            <w:vAlign w:val="center"/>
            <w:hideMark/>
          </w:tcPr>
          <w:p w14:paraId="6C1578A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-13.0</w:t>
            </w:r>
          </w:p>
        </w:tc>
        <w:tc>
          <w:tcPr>
            <w:tcW w:w="1398" w:type="dxa"/>
            <w:tcBorders>
              <w:top w:val="nil"/>
              <w:left w:val="nil"/>
              <w:bottom w:val="single" w:sz="4" w:space="0" w:color="auto"/>
              <w:right w:val="single" w:sz="4" w:space="0" w:color="auto"/>
            </w:tcBorders>
            <w:shd w:val="clear" w:color="auto" w:fill="auto"/>
            <w:noWrap/>
            <w:vAlign w:val="center"/>
            <w:hideMark/>
          </w:tcPr>
          <w:p w14:paraId="0EC25B1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0.5</w:t>
            </w:r>
          </w:p>
        </w:tc>
      </w:tr>
      <w:tr w:rsidR="001F0D5B" w:rsidRPr="00203CF0" w14:paraId="75B5F37D"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A1D4200"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3F79B99D"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3BD29E0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1A05D5F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6CEDAFD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272" w:type="dxa"/>
            <w:tcBorders>
              <w:top w:val="nil"/>
              <w:left w:val="nil"/>
              <w:bottom w:val="single" w:sz="4" w:space="0" w:color="auto"/>
              <w:right w:val="single" w:sz="4" w:space="0" w:color="auto"/>
            </w:tcBorders>
            <w:shd w:val="clear" w:color="auto" w:fill="auto"/>
            <w:vAlign w:val="center"/>
            <w:hideMark/>
          </w:tcPr>
          <w:p w14:paraId="757F4F1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30097DD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772E922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50A8C5B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56FCCB4E"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604B05D5"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92BAD4C"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5BA40C2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F743D2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695B692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72DD981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3A1FA60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6B31636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60C0940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A33DAB7"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10509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226</w:t>
            </w:r>
            <w:r>
              <w:rPr>
                <w:rFonts w:ascii="Calibri" w:hAnsi="Calibri" w:cs="Calibri"/>
                <w:color w:val="000000"/>
                <w:sz w:val="18"/>
                <w:szCs w:val="18"/>
              </w:rPr>
              <w:t xml:space="preserve"> </w:t>
            </w:r>
            <w:r w:rsidRPr="00203CF0">
              <w:rPr>
                <w:rFonts w:ascii="Calibri" w:hAnsi="Calibri" w:cs="Calibri"/>
                <w:color w:val="000000"/>
                <w:sz w:val="18"/>
                <w:szCs w:val="18"/>
              </w:rPr>
              <w:t>Latrobe</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BF0A83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5A722D6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6943D58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-9.7</w:t>
            </w:r>
          </w:p>
        </w:tc>
        <w:tc>
          <w:tcPr>
            <w:tcW w:w="1069" w:type="dxa"/>
            <w:tcBorders>
              <w:top w:val="nil"/>
              <w:left w:val="nil"/>
              <w:bottom w:val="single" w:sz="4" w:space="0" w:color="auto"/>
              <w:right w:val="single" w:sz="4" w:space="0" w:color="auto"/>
            </w:tcBorders>
            <w:shd w:val="clear" w:color="auto" w:fill="auto"/>
            <w:noWrap/>
            <w:vAlign w:val="center"/>
            <w:hideMark/>
          </w:tcPr>
          <w:p w14:paraId="6A6470F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-7.7</w:t>
            </w:r>
          </w:p>
        </w:tc>
        <w:tc>
          <w:tcPr>
            <w:tcW w:w="1272" w:type="dxa"/>
            <w:tcBorders>
              <w:top w:val="nil"/>
              <w:left w:val="nil"/>
              <w:bottom w:val="single" w:sz="4" w:space="0" w:color="auto"/>
              <w:right w:val="single" w:sz="4" w:space="0" w:color="auto"/>
            </w:tcBorders>
            <w:shd w:val="clear" w:color="auto" w:fill="auto"/>
            <w:noWrap/>
            <w:vAlign w:val="center"/>
            <w:hideMark/>
          </w:tcPr>
          <w:p w14:paraId="2A4E9F6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-10.2</w:t>
            </w:r>
          </w:p>
        </w:tc>
        <w:tc>
          <w:tcPr>
            <w:tcW w:w="1157" w:type="dxa"/>
            <w:tcBorders>
              <w:top w:val="nil"/>
              <w:left w:val="nil"/>
              <w:bottom w:val="single" w:sz="4" w:space="0" w:color="auto"/>
              <w:right w:val="single" w:sz="4" w:space="0" w:color="auto"/>
            </w:tcBorders>
            <w:shd w:val="clear" w:color="auto" w:fill="auto"/>
            <w:noWrap/>
            <w:vAlign w:val="center"/>
            <w:hideMark/>
          </w:tcPr>
          <w:p w14:paraId="25460CE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-28.5</w:t>
            </w:r>
          </w:p>
        </w:tc>
        <w:tc>
          <w:tcPr>
            <w:tcW w:w="1038" w:type="dxa"/>
            <w:tcBorders>
              <w:top w:val="nil"/>
              <w:left w:val="nil"/>
              <w:bottom w:val="single" w:sz="4" w:space="0" w:color="auto"/>
              <w:right w:val="single" w:sz="4" w:space="0" w:color="auto"/>
            </w:tcBorders>
            <w:shd w:val="clear" w:color="auto" w:fill="auto"/>
            <w:noWrap/>
            <w:vAlign w:val="center"/>
            <w:hideMark/>
          </w:tcPr>
          <w:p w14:paraId="0B6AF07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-17.0</w:t>
            </w:r>
          </w:p>
        </w:tc>
        <w:tc>
          <w:tcPr>
            <w:tcW w:w="1398" w:type="dxa"/>
            <w:tcBorders>
              <w:top w:val="nil"/>
              <w:left w:val="nil"/>
              <w:bottom w:val="single" w:sz="4" w:space="0" w:color="auto"/>
              <w:right w:val="single" w:sz="4" w:space="0" w:color="auto"/>
            </w:tcBorders>
            <w:shd w:val="clear" w:color="auto" w:fill="auto"/>
            <w:noWrap/>
            <w:vAlign w:val="center"/>
            <w:hideMark/>
          </w:tcPr>
          <w:p w14:paraId="20989FB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-3.5</w:t>
            </w:r>
          </w:p>
        </w:tc>
      </w:tr>
      <w:tr w:rsidR="001F0D5B" w:rsidRPr="00203CF0" w14:paraId="625D70C9"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525A70E7"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72AA2043"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03A49C1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5D04A14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15ABFDD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023684F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0097B95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57AF297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75D75ED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6DAEE386"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35BCA869"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2195925F"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021D124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05286A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6905A21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18285E3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5FB43D1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098DA5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22FD624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549964EF"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5B874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227</w:t>
            </w:r>
            <w:r>
              <w:rPr>
                <w:rFonts w:ascii="Calibri" w:hAnsi="Calibri" w:cs="Calibri"/>
                <w:color w:val="000000"/>
                <w:sz w:val="18"/>
                <w:szCs w:val="18"/>
              </w:rPr>
              <w:t xml:space="preserve"> </w:t>
            </w:r>
            <w:r w:rsidRPr="00203CF0">
              <w:rPr>
                <w:rFonts w:ascii="Calibri" w:hAnsi="Calibri" w:cs="Calibri"/>
                <w:color w:val="000000"/>
                <w:sz w:val="18"/>
                <w:szCs w:val="18"/>
              </w:rPr>
              <w:t>South Gippsland</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762D6C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25D7BFB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60E33E9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-11.1</w:t>
            </w:r>
          </w:p>
        </w:tc>
        <w:tc>
          <w:tcPr>
            <w:tcW w:w="1069" w:type="dxa"/>
            <w:tcBorders>
              <w:top w:val="nil"/>
              <w:left w:val="nil"/>
              <w:bottom w:val="single" w:sz="4" w:space="0" w:color="auto"/>
              <w:right w:val="single" w:sz="4" w:space="0" w:color="auto"/>
            </w:tcBorders>
            <w:shd w:val="clear" w:color="auto" w:fill="auto"/>
            <w:noWrap/>
            <w:vAlign w:val="center"/>
            <w:hideMark/>
          </w:tcPr>
          <w:p w14:paraId="08E47ED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-9.4</w:t>
            </w:r>
          </w:p>
        </w:tc>
        <w:tc>
          <w:tcPr>
            <w:tcW w:w="1272" w:type="dxa"/>
            <w:tcBorders>
              <w:top w:val="nil"/>
              <w:left w:val="nil"/>
              <w:bottom w:val="single" w:sz="4" w:space="0" w:color="auto"/>
              <w:right w:val="single" w:sz="4" w:space="0" w:color="auto"/>
            </w:tcBorders>
            <w:shd w:val="clear" w:color="auto" w:fill="auto"/>
            <w:noWrap/>
            <w:vAlign w:val="center"/>
            <w:hideMark/>
          </w:tcPr>
          <w:p w14:paraId="40E2FE7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-11.4</w:t>
            </w:r>
          </w:p>
        </w:tc>
        <w:tc>
          <w:tcPr>
            <w:tcW w:w="1157" w:type="dxa"/>
            <w:tcBorders>
              <w:top w:val="nil"/>
              <w:left w:val="nil"/>
              <w:bottom w:val="single" w:sz="4" w:space="0" w:color="auto"/>
              <w:right w:val="single" w:sz="4" w:space="0" w:color="auto"/>
            </w:tcBorders>
            <w:shd w:val="clear" w:color="auto" w:fill="auto"/>
            <w:noWrap/>
            <w:vAlign w:val="center"/>
            <w:hideMark/>
          </w:tcPr>
          <w:p w14:paraId="5F48AE1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-27.4</w:t>
            </w:r>
          </w:p>
        </w:tc>
        <w:tc>
          <w:tcPr>
            <w:tcW w:w="1038" w:type="dxa"/>
            <w:tcBorders>
              <w:top w:val="nil"/>
              <w:left w:val="nil"/>
              <w:bottom w:val="single" w:sz="4" w:space="0" w:color="auto"/>
              <w:right w:val="single" w:sz="4" w:space="0" w:color="auto"/>
            </w:tcBorders>
            <w:shd w:val="clear" w:color="auto" w:fill="auto"/>
            <w:noWrap/>
            <w:vAlign w:val="center"/>
            <w:hideMark/>
          </w:tcPr>
          <w:p w14:paraId="024C5FB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-18.4</w:t>
            </w:r>
          </w:p>
        </w:tc>
        <w:tc>
          <w:tcPr>
            <w:tcW w:w="1398" w:type="dxa"/>
            <w:tcBorders>
              <w:top w:val="nil"/>
              <w:left w:val="nil"/>
              <w:bottom w:val="single" w:sz="4" w:space="0" w:color="auto"/>
              <w:right w:val="single" w:sz="4" w:space="0" w:color="auto"/>
            </w:tcBorders>
            <w:shd w:val="clear" w:color="auto" w:fill="auto"/>
            <w:noWrap/>
            <w:vAlign w:val="center"/>
            <w:hideMark/>
          </w:tcPr>
          <w:p w14:paraId="46FF8B8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w:t>
            </w:r>
          </w:p>
        </w:tc>
      </w:tr>
      <w:tr w:rsidR="001F0D5B" w:rsidRPr="00203CF0" w14:paraId="519B498E"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1BC204F6"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7D450690"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5C19C12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6314560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1E35285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7859EE6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2D1C640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35361C6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77ECC70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560F6552"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4D619E7B"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509C2FB"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5289D90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0D586E3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1489DB9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07B95FD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6D9E488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6C50DD7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754E408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ECFA8B3"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AEDD9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228</w:t>
            </w:r>
            <w:r>
              <w:rPr>
                <w:rFonts w:ascii="Calibri" w:hAnsi="Calibri" w:cs="Calibri"/>
                <w:color w:val="000000"/>
                <w:sz w:val="18"/>
                <w:szCs w:val="18"/>
              </w:rPr>
              <w:t xml:space="preserve"> </w:t>
            </w:r>
            <w:r w:rsidRPr="00203CF0">
              <w:rPr>
                <w:rFonts w:ascii="Calibri" w:hAnsi="Calibri" w:cs="Calibri"/>
                <w:color w:val="000000"/>
                <w:sz w:val="18"/>
                <w:szCs w:val="18"/>
              </w:rPr>
              <w:t>Bunyip</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A78E6A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0B34FF2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0B2DC32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-9.7</w:t>
            </w:r>
          </w:p>
        </w:tc>
        <w:tc>
          <w:tcPr>
            <w:tcW w:w="1069" w:type="dxa"/>
            <w:tcBorders>
              <w:top w:val="nil"/>
              <w:left w:val="nil"/>
              <w:bottom w:val="single" w:sz="4" w:space="0" w:color="auto"/>
              <w:right w:val="single" w:sz="4" w:space="0" w:color="auto"/>
            </w:tcBorders>
            <w:shd w:val="clear" w:color="auto" w:fill="auto"/>
            <w:noWrap/>
            <w:vAlign w:val="center"/>
            <w:hideMark/>
          </w:tcPr>
          <w:p w14:paraId="75A4814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-8.6</w:t>
            </w:r>
          </w:p>
        </w:tc>
        <w:tc>
          <w:tcPr>
            <w:tcW w:w="1272" w:type="dxa"/>
            <w:tcBorders>
              <w:top w:val="nil"/>
              <w:left w:val="nil"/>
              <w:bottom w:val="single" w:sz="4" w:space="0" w:color="auto"/>
              <w:right w:val="single" w:sz="4" w:space="0" w:color="auto"/>
            </w:tcBorders>
            <w:shd w:val="clear" w:color="auto" w:fill="auto"/>
            <w:noWrap/>
            <w:vAlign w:val="center"/>
            <w:hideMark/>
          </w:tcPr>
          <w:p w14:paraId="4300D0B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-13.2</w:t>
            </w:r>
          </w:p>
        </w:tc>
        <w:tc>
          <w:tcPr>
            <w:tcW w:w="1157" w:type="dxa"/>
            <w:tcBorders>
              <w:top w:val="nil"/>
              <w:left w:val="nil"/>
              <w:bottom w:val="single" w:sz="4" w:space="0" w:color="auto"/>
              <w:right w:val="single" w:sz="4" w:space="0" w:color="auto"/>
            </w:tcBorders>
            <w:shd w:val="clear" w:color="auto" w:fill="auto"/>
            <w:noWrap/>
            <w:vAlign w:val="center"/>
            <w:hideMark/>
          </w:tcPr>
          <w:p w14:paraId="1153FEC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-29.4</w:t>
            </w:r>
          </w:p>
        </w:tc>
        <w:tc>
          <w:tcPr>
            <w:tcW w:w="1038" w:type="dxa"/>
            <w:tcBorders>
              <w:top w:val="nil"/>
              <w:left w:val="nil"/>
              <w:bottom w:val="single" w:sz="4" w:space="0" w:color="auto"/>
              <w:right w:val="single" w:sz="4" w:space="0" w:color="auto"/>
            </w:tcBorders>
            <w:shd w:val="clear" w:color="auto" w:fill="auto"/>
            <w:noWrap/>
            <w:vAlign w:val="center"/>
            <w:hideMark/>
          </w:tcPr>
          <w:p w14:paraId="5E6213A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-19.1</w:t>
            </w:r>
          </w:p>
        </w:tc>
        <w:tc>
          <w:tcPr>
            <w:tcW w:w="1398" w:type="dxa"/>
            <w:tcBorders>
              <w:top w:val="nil"/>
              <w:left w:val="nil"/>
              <w:bottom w:val="single" w:sz="4" w:space="0" w:color="auto"/>
              <w:right w:val="single" w:sz="4" w:space="0" w:color="auto"/>
            </w:tcBorders>
            <w:shd w:val="clear" w:color="auto" w:fill="auto"/>
            <w:noWrap/>
            <w:vAlign w:val="center"/>
            <w:hideMark/>
          </w:tcPr>
          <w:p w14:paraId="7397BA3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-5.2</w:t>
            </w:r>
          </w:p>
        </w:tc>
      </w:tr>
      <w:tr w:rsidR="001F0D5B" w:rsidRPr="00203CF0" w14:paraId="44B010E1"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1F8790E7"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2ECEB86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4B84E9A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4504D29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651078D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43F7FB7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1B75C7C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107E4A8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57FDF51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27A6DEA1"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318450F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C22192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032B9A5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ACD367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6DAFC09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0A7D0CC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7A60A5C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68C4C1E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5F5053A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316C240A"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7849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229</w:t>
            </w:r>
            <w:r>
              <w:rPr>
                <w:rFonts w:ascii="Calibri" w:hAnsi="Calibri" w:cs="Calibri"/>
                <w:color w:val="000000"/>
                <w:sz w:val="18"/>
                <w:szCs w:val="18"/>
              </w:rPr>
              <w:t xml:space="preserve"> </w:t>
            </w:r>
            <w:r w:rsidRPr="00203CF0">
              <w:rPr>
                <w:rFonts w:ascii="Calibri" w:hAnsi="Calibri" w:cs="Calibri"/>
                <w:color w:val="000000"/>
                <w:sz w:val="18"/>
                <w:szCs w:val="18"/>
              </w:rPr>
              <w:t>Yarra</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666F80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1746674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02F5123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-9.5</w:t>
            </w:r>
          </w:p>
        </w:tc>
        <w:tc>
          <w:tcPr>
            <w:tcW w:w="1069" w:type="dxa"/>
            <w:tcBorders>
              <w:top w:val="nil"/>
              <w:left w:val="nil"/>
              <w:bottom w:val="single" w:sz="4" w:space="0" w:color="auto"/>
              <w:right w:val="single" w:sz="4" w:space="0" w:color="auto"/>
            </w:tcBorders>
            <w:shd w:val="clear" w:color="auto" w:fill="auto"/>
            <w:noWrap/>
            <w:vAlign w:val="center"/>
            <w:hideMark/>
          </w:tcPr>
          <w:p w14:paraId="0EC8B8C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-7.1</w:t>
            </w:r>
          </w:p>
        </w:tc>
        <w:tc>
          <w:tcPr>
            <w:tcW w:w="1272" w:type="dxa"/>
            <w:tcBorders>
              <w:top w:val="nil"/>
              <w:left w:val="nil"/>
              <w:bottom w:val="single" w:sz="4" w:space="0" w:color="auto"/>
              <w:right w:val="single" w:sz="4" w:space="0" w:color="auto"/>
            </w:tcBorders>
            <w:shd w:val="clear" w:color="auto" w:fill="auto"/>
            <w:noWrap/>
            <w:vAlign w:val="center"/>
            <w:hideMark/>
          </w:tcPr>
          <w:p w14:paraId="45645F6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-12.5</w:t>
            </w:r>
          </w:p>
        </w:tc>
        <w:tc>
          <w:tcPr>
            <w:tcW w:w="1157" w:type="dxa"/>
            <w:tcBorders>
              <w:top w:val="nil"/>
              <w:left w:val="nil"/>
              <w:bottom w:val="single" w:sz="4" w:space="0" w:color="auto"/>
              <w:right w:val="single" w:sz="4" w:space="0" w:color="auto"/>
            </w:tcBorders>
            <w:shd w:val="clear" w:color="auto" w:fill="auto"/>
            <w:noWrap/>
            <w:vAlign w:val="center"/>
            <w:hideMark/>
          </w:tcPr>
          <w:p w14:paraId="36AC4E4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-29.3</w:t>
            </w:r>
          </w:p>
        </w:tc>
        <w:tc>
          <w:tcPr>
            <w:tcW w:w="1038" w:type="dxa"/>
            <w:tcBorders>
              <w:top w:val="nil"/>
              <w:left w:val="nil"/>
              <w:bottom w:val="single" w:sz="4" w:space="0" w:color="auto"/>
              <w:right w:val="single" w:sz="4" w:space="0" w:color="auto"/>
            </w:tcBorders>
            <w:shd w:val="clear" w:color="auto" w:fill="auto"/>
            <w:noWrap/>
            <w:vAlign w:val="center"/>
            <w:hideMark/>
          </w:tcPr>
          <w:p w14:paraId="0B44CB0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-15.2</w:t>
            </w:r>
          </w:p>
        </w:tc>
        <w:tc>
          <w:tcPr>
            <w:tcW w:w="1398" w:type="dxa"/>
            <w:tcBorders>
              <w:top w:val="nil"/>
              <w:left w:val="nil"/>
              <w:bottom w:val="single" w:sz="4" w:space="0" w:color="auto"/>
              <w:right w:val="single" w:sz="4" w:space="0" w:color="auto"/>
            </w:tcBorders>
            <w:shd w:val="clear" w:color="auto" w:fill="auto"/>
            <w:noWrap/>
            <w:vAlign w:val="center"/>
            <w:hideMark/>
          </w:tcPr>
          <w:p w14:paraId="692E547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-6.0</w:t>
            </w:r>
          </w:p>
        </w:tc>
      </w:tr>
      <w:tr w:rsidR="001F0D5B" w:rsidRPr="00203CF0" w14:paraId="57DA913F"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1CAF6B4D"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10B43062"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6BB0D70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7A36D11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23FFF7D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2DD475A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4AB38E5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6568A2A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7A34D4F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19FA5B46"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7702FA6C"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484DE79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6FBA442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57D4694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0AD780C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0873ACF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58BFE17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543A5D1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5E13002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14F9C89"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8C444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230</w:t>
            </w:r>
            <w:r>
              <w:rPr>
                <w:rFonts w:ascii="Calibri" w:hAnsi="Calibri" w:cs="Calibri"/>
                <w:color w:val="000000"/>
                <w:sz w:val="18"/>
                <w:szCs w:val="18"/>
              </w:rPr>
              <w:t xml:space="preserve"> </w:t>
            </w:r>
            <w:r w:rsidRPr="00203CF0">
              <w:rPr>
                <w:rFonts w:ascii="Calibri" w:hAnsi="Calibri" w:cs="Calibri"/>
                <w:color w:val="000000"/>
                <w:sz w:val="18"/>
                <w:szCs w:val="18"/>
              </w:rPr>
              <w:t>Maribyrnong</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423317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552CFFB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A59E6E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-11.9</w:t>
            </w:r>
          </w:p>
        </w:tc>
        <w:tc>
          <w:tcPr>
            <w:tcW w:w="1069" w:type="dxa"/>
            <w:tcBorders>
              <w:top w:val="nil"/>
              <w:left w:val="nil"/>
              <w:bottom w:val="single" w:sz="4" w:space="0" w:color="auto"/>
              <w:right w:val="single" w:sz="4" w:space="0" w:color="auto"/>
            </w:tcBorders>
            <w:shd w:val="clear" w:color="auto" w:fill="auto"/>
            <w:noWrap/>
            <w:vAlign w:val="center"/>
            <w:hideMark/>
          </w:tcPr>
          <w:p w14:paraId="25FB9E8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-6.2</w:t>
            </w:r>
          </w:p>
        </w:tc>
        <w:tc>
          <w:tcPr>
            <w:tcW w:w="1272" w:type="dxa"/>
            <w:tcBorders>
              <w:top w:val="nil"/>
              <w:left w:val="nil"/>
              <w:bottom w:val="single" w:sz="4" w:space="0" w:color="auto"/>
              <w:right w:val="single" w:sz="4" w:space="0" w:color="auto"/>
            </w:tcBorders>
            <w:shd w:val="clear" w:color="auto" w:fill="auto"/>
            <w:noWrap/>
            <w:vAlign w:val="center"/>
            <w:hideMark/>
          </w:tcPr>
          <w:p w14:paraId="40FCA75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-16.1</w:t>
            </w:r>
          </w:p>
        </w:tc>
        <w:tc>
          <w:tcPr>
            <w:tcW w:w="1157" w:type="dxa"/>
            <w:tcBorders>
              <w:top w:val="nil"/>
              <w:left w:val="nil"/>
              <w:bottom w:val="single" w:sz="4" w:space="0" w:color="auto"/>
              <w:right w:val="single" w:sz="4" w:space="0" w:color="auto"/>
            </w:tcBorders>
            <w:shd w:val="clear" w:color="auto" w:fill="auto"/>
            <w:noWrap/>
            <w:vAlign w:val="center"/>
            <w:hideMark/>
          </w:tcPr>
          <w:p w14:paraId="37AD4ED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-32.6</w:t>
            </w:r>
          </w:p>
        </w:tc>
        <w:tc>
          <w:tcPr>
            <w:tcW w:w="1038" w:type="dxa"/>
            <w:tcBorders>
              <w:top w:val="nil"/>
              <w:left w:val="nil"/>
              <w:bottom w:val="single" w:sz="4" w:space="0" w:color="auto"/>
              <w:right w:val="single" w:sz="4" w:space="0" w:color="auto"/>
            </w:tcBorders>
            <w:shd w:val="clear" w:color="auto" w:fill="auto"/>
            <w:noWrap/>
            <w:vAlign w:val="center"/>
            <w:hideMark/>
          </w:tcPr>
          <w:p w14:paraId="0EB730F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-16.1</w:t>
            </w:r>
          </w:p>
        </w:tc>
        <w:tc>
          <w:tcPr>
            <w:tcW w:w="1398" w:type="dxa"/>
            <w:tcBorders>
              <w:top w:val="nil"/>
              <w:left w:val="nil"/>
              <w:bottom w:val="single" w:sz="4" w:space="0" w:color="auto"/>
              <w:right w:val="single" w:sz="4" w:space="0" w:color="auto"/>
            </w:tcBorders>
            <w:shd w:val="clear" w:color="auto" w:fill="auto"/>
            <w:noWrap/>
            <w:vAlign w:val="center"/>
            <w:hideMark/>
          </w:tcPr>
          <w:p w14:paraId="24DEC59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-10.7</w:t>
            </w:r>
          </w:p>
        </w:tc>
      </w:tr>
      <w:tr w:rsidR="001F0D5B" w:rsidRPr="00203CF0" w14:paraId="2C901DB8"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3634E35A"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2602B449"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50CB1E0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1B4BAD4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4143B2F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5D34B73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4A64C55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16F4769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3B75AD8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07F84ACC"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2FD0DC5C"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7AA277F4"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5E0D73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5DADDB8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71CCD0B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596FFF8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38AAD26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0C56BCF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769D349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EAEA50A"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5A2CF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231</w:t>
            </w:r>
            <w:r>
              <w:rPr>
                <w:rFonts w:ascii="Calibri" w:hAnsi="Calibri" w:cs="Calibri"/>
                <w:color w:val="000000"/>
                <w:sz w:val="18"/>
                <w:szCs w:val="18"/>
              </w:rPr>
              <w:t xml:space="preserve"> </w:t>
            </w:r>
            <w:r w:rsidRPr="00203CF0">
              <w:rPr>
                <w:rFonts w:ascii="Calibri" w:hAnsi="Calibri" w:cs="Calibri"/>
                <w:color w:val="000000"/>
                <w:sz w:val="18"/>
                <w:szCs w:val="18"/>
              </w:rPr>
              <w:t>Werribee</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D7C6DD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198F27C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23F5C02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-9.1</w:t>
            </w:r>
          </w:p>
        </w:tc>
        <w:tc>
          <w:tcPr>
            <w:tcW w:w="1069" w:type="dxa"/>
            <w:tcBorders>
              <w:top w:val="nil"/>
              <w:left w:val="nil"/>
              <w:bottom w:val="single" w:sz="4" w:space="0" w:color="auto"/>
              <w:right w:val="single" w:sz="4" w:space="0" w:color="auto"/>
            </w:tcBorders>
            <w:shd w:val="clear" w:color="auto" w:fill="auto"/>
            <w:noWrap/>
            <w:vAlign w:val="center"/>
            <w:hideMark/>
          </w:tcPr>
          <w:p w14:paraId="25D88CB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-7.7</w:t>
            </w:r>
          </w:p>
        </w:tc>
        <w:tc>
          <w:tcPr>
            <w:tcW w:w="1272" w:type="dxa"/>
            <w:tcBorders>
              <w:top w:val="nil"/>
              <w:left w:val="nil"/>
              <w:bottom w:val="single" w:sz="4" w:space="0" w:color="auto"/>
              <w:right w:val="single" w:sz="4" w:space="0" w:color="auto"/>
            </w:tcBorders>
            <w:shd w:val="clear" w:color="auto" w:fill="auto"/>
            <w:noWrap/>
            <w:vAlign w:val="center"/>
            <w:hideMark/>
          </w:tcPr>
          <w:p w14:paraId="7F9B942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-16.1</w:t>
            </w:r>
          </w:p>
        </w:tc>
        <w:tc>
          <w:tcPr>
            <w:tcW w:w="1157" w:type="dxa"/>
            <w:tcBorders>
              <w:top w:val="nil"/>
              <w:left w:val="nil"/>
              <w:bottom w:val="single" w:sz="4" w:space="0" w:color="auto"/>
              <w:right w:val="single" w:sz="4" w:space="0" w:color="auto"/>
            </w:tcBorders>
            <w:shd w:val="clear" w:color="auto" w:fill="auto"/>
            <w:noWrap/>
            <w:vAlign w:val="center"/>
            <w:hideMark/>
          </w:tcPr>
          <w:p w14:paraId="0E8ED10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-33.2</w:t>
            </w:r>
          </w:p>
        </w:tc>
        <w:tc>
          <w:tcPr>
            <w:tcW w:w="1038" w:type="dxa"/>
            <w:tcBorders>
              <w:top w:val="nil"/>
              <w:left w:val="nil"/>
              <w:bottom w:val="single" w:sz="4" w:space="0" w:color="auto"/>
              <w:right w:val="single" w:sz="4" w:space="0" w:color="auto"/>
            </w:tcBorders>
            <w:shd w:val="clear" w:color="auto" w:fill="auto"/>
            <w:noWrap/>
            <w:vAlign w:val="center"/>
            <w:hideMark/>
          </w:tcPr>
          <w:p w14:paraId="17F5594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-15.6</w:t>
            </w:r>
          </w:p>
        </w:tc>
        <w:tc>
          <w:tcPr>
            <w:tcW w:w="1398" w:type="dxa"/>
            <w:tcBorders>
              <w:top w:val="nil"/>
              <w:left w:val="nil"/>
              <w:bottom w:val="single" w:sz="4" w:space="0" w:color="auto"/>
              <w:right w:val="single" w:sz="4" w:space="0" w:color="auto"/>
            </w:tcBorders>
            <w:shd w:val="clear" w:color="auto" w:fill="auto"/>
            <w:noWrap/>
            <w:vAlign w:val="center"/>
            <w:hideMark/>
          </w:tcPr>
          <w:p w14:paraId="3A6DBB1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-8.7</w:t>
            </w:r>
          </w:p>
        </w:tc>
      </w:tr>
      <w:tr w:rsidR="001F0D5B" w:rsidRPr="00203CF0" w14:paraId="5AB2D6A5"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CFE420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3137043E"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26AA9D3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7A5ED10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2286B9C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25923AC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75E48C5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5BE91FC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1975E3D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1B9F779F"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19E1577A"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74E5AD7F"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2A3DDA9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21F7E3F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3DF25AE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1595D1F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FA3E0B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3CF0C85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7C426EB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525EB4DD"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CC75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232</w:t>
            </w:r>
            <w:r>
              <w:rPr>
                <w:rFonts w:ascii="Calibri" w:hAnsi="Calibri" w:cs="Calibri"/>
                <w:color w:val="000000"/>
                <w:sz w:val="18"/>
                <w:szCs w:val="18"/>
              </w:rPr>
              <w:t xml:space="preserve"> </w:t>
            </w:r>
            <w:r w:rsidRPr="00203CF0">
              <w:rPr>
                <w:rFonts w:ascii="Calibri" w:hAnsi="Calibri" w:cs="Calibri"/>
                <w:color w:val="000000"/>
                <w:sz w:val="18"/>
                <w:szCs w:val="18"/>
              </w:rPr>
              <w:t>Moorabool</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837E70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33A7385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128FC9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-6.9</w:t>
            </w:r>
          </w:p>
        </w:tc>
        <w:tc>
          <w:tcPr>
            <w:tcW w:w="1069" w:type="dxa"/>
            <w:tcBorders>
              <w:top w:val="nil"/>
              <w:left w:val="nil"/>
              <w:bottom w:val="single" w:sz="4" w:space="0" w:color="auto"/>
              <w:right w:val="single" w:sz="4" w:space="0" w:color="auto"/>
            </w:tcBorders>
            <w:shd w:val="clear" w:color="auto" w:fill="auto"/>
            <w:noWrap/>
            <w:vAlign w:val="center"/>
            <w:hideMark/>
          </w:tcPr>
          <w:p w14:paraId="0C6EA29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-7.3</w:t>
            </w:r>
          </w:p>
        </w:tc>
        <w:tc>
          <w:tcPr>
            <w:tcW w:w="1272" w:type="dxa"/>
            <w:tcBorders>
              <w:top w:val="nil"/>
              <w:left w:val="nil"/>
              <w:bottom w:val="single" w:sz="4" w:space="0" w:color="auto"/>
              <w:right w:val="single" w:sz="4" w:space="0" w:color="auto"/>
            </w:tcBorders>
            <w:shd w:val="clear" w:color="auto" w:fill="auto"/>
            <w:noWrap/>
            <w:vAlign w:val="center"/>
            <w:hideMark/>
          </w:tcPr>
          <w:p w14:paraId="0B60591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-15.2</w:t>
            </w:r>
          </w:p>
        </w:tc>
        <w:tc>
          <w:tcPr>
            <w:tcW w:w="1157" w:type="dxa"/>
            <w:tcBorders>
              <w:top w:val="nil"/>
              <w:left w:val="nil"/>
              <w:bottom w:val="single" w:sz="4" w:space="0" w:color="auto"/>
              <w:right w:val="single" w:sz="4" w:space="0" w:color="auto"/>
            </w:tcBorders>
            <w:shd w:val="clear" w:color="auto" w:fill="auto"/>
            <w:noWrap/>
            <w:vAlign w:val="center"/>
            <w:hideMark/>
          </w:tcPr>
          <w:p w14:paraId="0A479AB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-34.7</w:t>
            </w:r>
          </w:p>
        </w:tc>
        <w:tc>
          <w:tcPr>
            <w:tcW w:w="1038" w:type="dxa"/>
            <w:tcBorders>
              <w:top w:val="nil"/>
              <w:left w:val="nil"/>
              <w:bottom w:val="single" w:sz="4" w:space="0" w:color="auto"/>
              <w:right w:val="single" w:sz="4" w:space="0" w:color="auto"/>
            </w:tcBorders>
            <w:shd w:val="clear" w:color="auto" w:fill="auto"/>
            <w:noWrap/>
            <w:vAlign w:val="center"/>
            <w:hideMark/>
          </w:tcPr>
          <w:p w14:paraId="7806DE2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-17.8</w:t>
            </w:r>
          </w:p>
        </w:tc>
        <w:tc>
          <w:tcPr>
            <w:tcW w:w="1398" w:type="dxa"/>
            <w:tcBorders>
              <w:top w:val="nil"/>
              <w:left w:val="nil"/>
              <w:bottom w:val="single" w:sz="4" w:space="0" w:color="auto"/>
              <w:right w:val="single" w:sz="4" w:space="0" w:color="auto"/>
            </w:tcBorders>
            <w:shd w:val="clear" w:color="auto" w:fill="auto"/>
            <w:noWrap/>
            <w:vAlign w:val="center"/>
            <w:hideMark/>
          </w:tcPr>
          <w:p w14:paraId="3A866F0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-10.1</w:t>
            </w:r>
          </w:p>
        </w:tc>
      </w:tr>
      <w:tr w:rsidR="001F0D5B" w:rsidRPr="00203CF0" w14:paraId="0C8C3B7A"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164D6126"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3194A0A2"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2DE338A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010205D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45A5C28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0325415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47495D2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6488AA1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69F2394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14998BFE"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7AD2734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769CB72A"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752BC0C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2A8EF87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49DDEDC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61F7C64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797D991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6266A2E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1685584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0B28F21A"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9C591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233</w:t>
            </w:r>
            <w:r>
              <w:rPr>
                <w:rFonts w:ascii="Calibri" w:hAnsi="Calibri" w:cs="Calibri"/>
                <w:color w:val="000000"/>
                <w:sz w:val="18"/>
                <w:szCs w:val="18"/>
              </w:rPr>
              <w:t xml:space="preserve"> </w:t>
            </w:r>
            <w:r w:rsidRPr="00203CF0">
              <w:rPr>
                <w:rFonts w:ascii="Calibri" w:hAnsi="Calibri" w:cs="Calibri"/>
                <w:color w:val="000000"/>
                <w:sz w:val="18"/>
                <w:szCs w:val="18"/>
              </w:rPr>
              <w:t>Barwon</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6122AE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4203F90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2D75E5C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-8.1</w:t>
            </w:r>
          </w:p>
        </w:tc>
        <w:tc>
          <w:tcPr>
            <w:tcW w:w="1069" w:type="dxa"/>
            <w:tcBorders>
              <w:top w:val="nil"/>
              <w:left w:val="nil"/>
              <w:bottom w:val="single" w:sz="4" w:space="0" w:color="auto"/>
              <w:right w:val="single" w:sz="4" w:space="0" w:color="auto"/>
            </w:tcBorders>
            <w:shd w:val="clear" w:color="auto" w:fill="auto"/>
            <w:noWrap/>
            <w:vAlign w:val="center"/>
            <w:hideMark/>
          </w:tcPr>
          <w:p w14:paraId="1EFCC16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-5.6</w:t>
            </w:r>
          </w:p>
        </w:tc>
        <w:tc>
          <w:tcPr>
            <w:tcW w:w="1272" w:type="dxa"/>
            <w:tcBorders>
              <w:top w:val="nil"/>
              <w:left w:val="nil"/>
              <w:bottom w:val="single" w:sz="4" w:space="0" w:color="auto"/>
              <w:right w:val="single" w:sz="4" w:space="0" w:color="auto"/>
            </w:tcBorders>
            <w:shd w:val="clear" w:color="auto" w:fill="auto"/>
            <w:noWrap/>
            <w:vAlign w:val="center"/>
            <w:hideMark/>
          </w:tcPr>
          <w:p w14:paraId="6194A2D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-16.2</w:t>
            </w:r>
          </w:p>
        </w:tc>
        <w:tc>
          <w:tcPr>
            <w:tcW w:w="1157" w:type="dxa"/>
            <w:tcBorders>
              <w:top w:val="nil"/>
              <w:left w:val="nil"/>
              <w:bottom w:val="single" w:sz="4" w:space="0" w:color="auto"/>
              <w:right w:val="single" w:sz="4" w:space="0" w:color="auto"/>
            </w:tcBorders>
            <w:shd w:val="clear" w:color="auto" w:fill="auto"/>
            <w:noWrap/>
            <w:vAlign w:val="center"/>
            <w:hideMark/>
          </w:tcPr>
          <w:p w14:paraId="1E393B0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-34.7</w:t>
            </w:r>
          </w:p>
        </w:tc>
        <w:tc>
          <w:tcPr>
            <w:tcW w:w="1038" w:type="dxa"/>
            <w:tcBorders>
              <w:top w:val="nil"/>
              <w:left w:val="nil"/>
              <w:bottom w:val="single" w:sz="4" w:space="0" w:color="auto"/>
              <w:right w:val="single" w:sz="4" w:space="0" w:color="auto"/>
            </w:tcBorders>
            <w:shd w:val="clear" w:color="auto" w:fill="auto"/>
            <w:noWrap/>
            <w:vAlign w:val="center"/>
            <w:hideMark/>
          </w:tcPr>
          <w:p w14:paraId="149A323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w:t>
            </w:r>
          </w:p>
        </w:tc>
        <w:tc>
          <w:tcPr>
            <w:tcW w:w="1398" w:type="dxa"/>
            <w:tcBorders>
              <w:top w:val="nil"/>
              <w:left w:val="nil"/>
              <w:bottom w:val="single" w:sz="4" w:space="0" w:color="auto"/>
              <w:right w:val="single" w:sz="4" w:space="0" w:color="auto"/>
            </w:tcBorders>
            <w:shd w:val="clear" w:color="auto" w:fill="auto"/>
            <w:noWrap/>
            <w:vAlign w:val="center"/>
            <w:hideMark/>
          </w:tcPr>
          <w:p w14:paraId="7A863EE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-9.5</w:t>
            </w:r>
          </w:p>
        </w:tc>
      </w:tr>
      <w:tr w:rsidR="001F0D5B" w:rsidRPr="00203CF0" w14:paraId="6FCFE25E"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3CDC876B"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7343E1A5"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0E34659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0B2AF67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0A3D7F6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744C91C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3880EAC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44BB1DA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596E195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403EDCC5"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152C2B55"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5A872708"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0DF13ED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7B057FC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1D03A07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2F2F4D9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44C096B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B61A8F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5C9AF89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BA54116"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A8425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234</w:t>
            </w:r>
            <w:r>
              <w:rPr>
                <w:rFonts w:ascii="Calibri" w:hAnsi="Calibri" w:cs="Calibri"/>
                <w:color w:val="000000"/>
                <w:sz w:val="18"/>
                <w:szCs w:val="18"/>
              </w:rPr>
              <w:t xml:space="preserve"> </w:t>
            </w:r>
            <w:r w:rsidRPr="00203CF0">
              <w:rPr>
                <w:rFonts w:ascii="Calibri" w:hAnsi="Calibri" w:cs="Calibri"/>
                <w:color w:val="000000"/>
                <w:sz w:val="18"/>
                <w:szCs w:val="18"/>
              </w:rPr>
              <w:t>Lake Corangamite</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005D61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3AF37CC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2A060C1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-9.1</w:t>
            </w:r>
          </w:p>
        </w:tc>
        <w:tc>
          <w:tcPr>
            <w:tcW w:w="1069" w:type="dxa"/>
            <w:tcBorders>
              <w:top w:val="nil"/>
              <w:left w:val="nil"/>
              <w:bottom w:val="single" w:sz="4" w:space="0" w:color="auto"/>
              <w:right w:val="single" w:sz="4" w:space="0" w:color="auto"/>
            </w:tcBorders>
            <w:shd w:val="clear" w:color="auto" w:fill="auto"/>
            <w:noWrap/>
            <w:vAlign w:val="center"/>
            <w:hideMark/>
          </w:tcPr>
          <w:p w14:paraId="450AEAF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-6.4</w:t>
            </w:r>
          </w:p>
        </w:tc>
        <w:tc>
          <w:tcPr>
            <w:tcW w:w="1272" w:type="dxa"/>
            <w:tcBorders>
              <w:top w:val="nil"/>
              <w:left w:val="nil"/>
              <w:bottom w:val="single" w:sz="4" w:space="0" w:color="auto"/>
              <w:right w:val="single" w:sz="4" w:space="0" w:color="auto"/>
            </w:tcBorders>
            <w:shd w:val="clear" w:color="auto" w:fill="auto"/>
            <w:noWrap/>
            <w:vAlign w:val="center"/>
            <w:hideMark/>
          </w:tcPr>
          <w:p w14:paraId="4EE4849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-15.5</w:t>
            </w:r>
          </w:p>
        </w:tc>
        <w:tc>
          <w:tcPr>
            <w:tcW w:w="1157" w:type="dxa"/>
            <w:tcBorders>
              <w:top w:val="nil"/>
              <w:left w:val="nil"/>
              <w:bottom w:val="single" w:sz="4" w:space="0" w:color="auto"/>
              <w:right w:val="single" w:sz="4" w:space="0" w:color="auto"/>
            </w:tcBorders>
            <w:shd w:val="clear" w:color="auto" w:fill="auto"/>
            <w:noWrap/>
            <w:vAlign w:val="center"/>
            <w:hideMark/>
          </w:tcPr>
          <w:p w14:paraId="2FC012B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-34.0</w:t>
            </w:r>
          </w:p>
        </w:tc>
        <w:tc>
          <w:tcPr>
            <w:tcW w:w="1038" w:type="dxa"/>
            <w:tcBorders>
              <w:top w:val="nil"/>
              <w:left w:val="nil"/>
              <w:bottom w:val="single" w:sz="4" w:space="0" w:color="auto"/>
              <w:right w:val="single" w:sz="4" w:space="0" w:color="auto"/>
            </w:tcBorders>
            <w:shd w:val="clear" w:color="auto" w:fill="auto"/>
            <w:noWrap/>
            <w:vAlign w:val="center"/>
            <w:hideMark/>
          </w:tcPr>
          <w:p w14:paraId="769AB93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-21.4</w:t>
            </w:r>
          </w:p>
        </w:tc>
        <w:tc>
          <w:tcPr>
            <w:tcW w:w="1398" w:type="dxa"/>
            <w:tcBorders>
              <w:top w:val="nil"/>
              <w:left w:val="nil"/>
              <w:bottom w:val="single" w:sz="4" w:space="0" w:color="auto"/>
              <w:right w:val="single" w:sz="4" w:space="0" w:color="auto"/>
            </w:tcBorders>
            <w:shd w:val="clear" w:color="auto" w:fill="auto"/>
            <w:noWrap/>
            <w:vAlign w:val="center"/>
            <w:hideMark/>
          </w:tcPr>
          <w:p w14:paraId="28C1534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-6.3</w:t>
            </w:r>
          </w:p>
        </w:tc>
      </w:tr>
      <w:tr w:rsidR="001F0D5B" w:rsidRPr="00203CF0" w14:paraId="446E8C1B"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DBE9E7E"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04D315C7"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30F72A2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15187F6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67DD0BA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2613FE9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681A142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4B83482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0674A87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0FA11897"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6001C338"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EAB2C43"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7CDD5E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E94481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599EDBF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3E69A0B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754794B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5620796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36DE77A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7D3169EA"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900F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235</w:t>
            </w:r>
            <w:r>
              <w:rPr>
                <w:rFonts w:ascii="Calibri" w:hAnsi="Calibri" w:cs="Calibri"/>
                <w:color w:val="000000"/>
                <w:sz w:val="18"/>
                <w:szCs w:val="18"/>
              </w:rPr>
              <w:t xml:space="preserve"> </w:t>
            </w:r>
            <w:r w:rsidRPr="00203CF0">
              <w:rPr>
                <w:rFonts w:ascii="Calibri" w:hAnsi="Calibri" w:cs="Calibri"/>
                <w:color w:val="000000"/>
                <w:sz w:val="18"/>
                <w:szCs w:val="18"/>
              </w:rPr>
              <w:t>Otway Coast</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FE5FE3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45561D3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13AC427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-12.0</w:t>
            </w:r>
          </w:p>
        </w:tc>
        <w:tc>
          <w:tcPr>
            <w:tcW w:w="1069" w:type="dxa"/>
            <w:tcBorders>
              <w:top w:val="nil"/>
              <w:left w:val="nil"/>
              <w:bottom w:val="single" w:sz="4" w:space="0" w:color="auto"/>
              <w:right w:val="single" w:sz="4" w:space="0" w:color="auto"/>
            </w:tcBorders>
            <w:shd w:val="clear" w:color="auto" w:fill="auto"/>
            <w:noWrap/>
            <w:vAlign w:val="center"/>
            <w:hideMark/>
          </w:tcPr>
          <w:p w14:paraId="527DB30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-5.9</w:t>
            </w:r>
          </w:p>
        </w:tc>
        <w:tc>
          <w:tcPr>
            <w:tcW w:w="1272" w:type="dxa"/>
            <w:tcBorders>
              <w:top w:val="nil"/>
              <w:left w:val="nil"/>
              <w:bottom w:val="single" w:sz="4" w:space="0" w:color="auto"/>
              <w:right w:val="single" w:sz="4" w:space="0" w:color="auto"/>
            </w:tcBorders>
            <w:shd w:val="clear" w:color="auto" w:fill="auto"/>
            <w:noWrap/>
            <w:vAlign w:val="center"/>
            <w:hideMark/>
          </w:tcPr>
          <w:p w14:paraId="3B4911E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-16.7</w:t>
            </w:r>
          </w:p>
        </w:tc>
        <w:tc>
          <w:tcPr>
            <w:tcW w:w="1157" w:type="dxa"/>
            <w:tcBorders>
              <w:top w:val="nil"/>
              <w:left w:val="nil"/>
              <w:bottom w:val="single" w:sz="4" w:space="0" w:color="auto"/>
              <w:right w:val="single" w:sz="4" w:space="0" w:color="auto"/>
            </w:tcBorders>
            <w:shd w:val="clear" w:color="auto" w:fill="auto"/>
            <w:noWrap/>
            <w:vAlign w:val="center"/>
            <w:hideMark/>
          </w:tcPr>
          <w:p w14:paraId="7D41351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-31.0</w:t>
            </w:r>
          </w:p>
        </w:tc>
        <w:tc>
          <w:tcPr>
            <w:tcW w:w="1038" w:type="dxa"/>
            <w:tcBorders>
              <w:top w:val="nil"/>
              <w:left w:val="nil"/>
              <w:bottom w:val="single" w:sz="4" w:space="0" w:color="auto"/>
              <w:right w:val="single" w:sz="4" w:space="0" w:color="auto"/>
            </w:tcBorders>
            <w:shd w:val="clear" w:color="auto" w:fill="auto"/>
            <w:noWrap/>
            <w:vAlign w:val="center"/>
            <w:hideMark/>
          </w:tcPr>
          <w:p w14:paraId="499DBF1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-25.3</w:t>
            </w:r>
          </w:p>
        </w:tc>
        <w:tc>
          <w:tcPr>
            <w:tcW w:w="1398" w:type="dxa"/>
            <w:tcBorders>
              <w:top w:val="nil"/>
              <w:left w:val="nil"/>
              <w:bottom w:val="single" w:sz="4" w:space="0" w:color="auto"/>
              <w:right w:val="single" w:sz="4" w:space="0" w:color="auto"/>
            </w:tcBorders>
            <w:shd w:val="clear" w:color="auto" w:fill="auto"/>
            <w:noWrap/>
            <w:vAlign w:val="center"/>
            <w:hideMark/>
          </w:tcPr>
          <w:p w14:paraId="43B7CC9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-6.8</w:t>
            </w:r>
          </w:p>
        </w:tc>
      </w:tr>
      <w:tr w:rsidR="001F0D5B" w:rsidRPr="00203CF0" w14:paraId="1A25BEE2"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6BB92FC4"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3A6A527D"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1BEB48A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2C4DD2F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40A3AB2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61E97A9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5511C08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2513358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6CF8A6D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58EC1A68"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351894E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0B145F19"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2790F00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7E548A3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0C46513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00A7907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375DF00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9CD613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4717037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54132EBC"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BDFA7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236</w:t>
            </w:r>
            <w:r>
              <w:rPr>
                <w:rFonts w:ascii="Calibri" w:hAnsi="Calibri" w:cs="Calibri"/>
                <w:color w:val="000000"/>
                <w:sz w:val="18"/>
                <w:szCs w:val="18"/>
              </w:rPr>
              <w:t xml:space="preserve"> </w:t>
            </w:r>
            <w:r w:rsidRPr="00203CF0">
              <w:rPr>
                <w:rFonts w:ascii="Calibri" w:hAnsi="Calibri" w:cs="Calibri"/>
                <w:color w:val="000000"/>
                <w:sz w:val="18"/>
                <w:szCs w:val="18"/>
              </w:rPr>
              <w:t>Hopkins</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73FB78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226F699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27319EC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-10.6</w:t>
            </w:r>
          </w:p>
        </w:tc>
        <w:tc>
          <w:tcPr>
            <w:tcW w:w="1069" w:type="dxa"/>
            <w:tcBorders>
              <w:top w:val="nil"/>
              <w:left w:val="nil"/>
              <w:bottom w:val="single" w:sz="4" w:space="0" w:color="auto"/>
              <w:right w:val="single" w:sz="4" w:space="0" w:color="auto"/>
            </w:tcBorders>
            <w:shd w:val="clear" w:color="auto" w:fill="auto"/>
            <w:noWrap/>
            <w:vAlign w:val="center"/>
            <w:hideMark/>
          </w:tcPr>
          <w:p w14:paraId="35A49CC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-8.9</w:t>
            </w:r>
          </w:p>
        </w:tc>
        <w:tc>
          <w:tcPr>
            <w:tcW w:w="1272" w:type="dxa"/>
            <w:tcBorders>
              <w:top w:val="nil"/>
              <w:left w:val="nil"/>
              <w:bottom w:val="single" w:sz="4" w:space="0" w:color="auto"/>
              <w:right w:val="single" w:sz="4" w:space="0" w:color="auto"/>
            </w:tcBorders>
            <w:shd w:val="clear" w:color="auto" w:fill="auto"/>
            <w:noWrap/>
            <w:vAlign w:val="center"/>
            <w:hideMark/>
          </w:tcPr>
          <w:p w14:paraId="071FFE8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-15.7</w:t>
            </w:r>
          </w:p>
        </w:tc>
        <w:tc>
          <w:tcPr>
            <w:tcW w:w="1157" w:type="dxa"/>
            <w:tcBorders>
              <w:top w:val="nil"/>
              <w:left w:val="nil"/>
              <w:bottom w:val="single" w:sz="4" w:space="0" w:color="auto"/>
              <w:right w:val="single" w:sz="4" w:space="0" w:color="auto"/>
            </w:tcBorders>
            <w:shd w:val="clear" w:color="auto" w:fill="auto"/>
            <w:noWrap/>
            <w:vAlign w:val="center"/>
            <w:hideMark/>
          </w:tcPr>
          <w:p w14:paraId="717522C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-34.0</w:t>
            </w:r>
          </w:p>
        </w:tc>
        <w:tc>
          <w:tcPr>
            <w:tcW w:w="1038" w:type="dxa"/>
            <w:tcBorders>
              <w:top w:val="nil"/>
              <w:left w:val="nil"/>
              <w:bottom w:val="single" w:sz="4" w:space="0" w:color="auto"/>
              <w:right w:val="single" w:sz="4" w:space="0" w:color="auto"/>
            </w:tcBorders>
            <w:shd w:val="clear" w:color="auto" w:fill="auto"/>
            <w:noWrap/>
            <w:vAlign w:val="center"/>
            <w:hideMark/>
          </w:tcPr>
          <w:p w14:paraId="35C488B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-22.6</w:t>
            </w:r>
          </w:p>
        </w:tc>
        <w:tc>
          <w:tcPr>
            <w:tcW w:w="1398" w:type="dxa"/>
            <w:tcBorders>
              <w:top w:val="nil"/>
              <w:left w:val="nil"/>
              <w:bottom w:val="single" w:sz="4" w:space="0" w:color="auto"/>
              <w:right w:val="single" w:sz="4" w:space="0" w:color="auto"/>
            </w:tcBorders>
            <w:shd w:val="clear" w:color="auto" w:fill="auto"/>
            <w:noWrap/>
            <w:vAlign w:val="center"/>
            <w:hideMark/>
          </w:tcPr>
          <w:p w14:paraId="4FBE56C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-4.8</w:t>
            </w:r>
          </w:p>
        </w:tc>
      </w:tr>
      <w:tr w:rsidR="001F0D5B" w:rsidRPr="00203CF0" w14:paraId="19980C6D"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7EF4CF77"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10C7FB0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62F5D32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0BB2149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49CD097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59F1434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17AE7F8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1C5EAF7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777D364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0C468911"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792161C6"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10B0E145"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6CBEBCC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6C5C03C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210A47E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22755BE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0B54B2B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4B582C7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10AE5D8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F771F74"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50B2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237</w:t>
            </w:r>
            <w:r>
              <w:rPr>
                <w:rFonts w:ascii="Calibri" w:hAnsi="Calibri" w:cs="Calibri"/>
                <w:color w:val="000000"/>
                <w:sz w:val="18"/>
                <w:szCs w:val="18"/>
              </w:rPr>
              <w:t xml:space="preserve"> </w:t>
            </w:r>
            <w:r w:rsidRPr="00203CF0">
              <w:rPr>
                <w:rFonts w:ascii="Calibri" w:hAnsi="Calibri" w:cs="Calibri"/>
                <w:color w:val="000000"/>
                <w:sz w:val="18"/>
                <w:szCs w:val="18"/>
              </w:rPr>
              <w:t>Portland Coast</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18A611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54BB7B7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77D0C8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-10.6</w:t>
            </w:r>
          </w:p>
        </w:tc>
        <w:tc>
          <w:tcPr>
            <w:tcW w:w="1069" w:type="dxa"/>
            <w:tcBorders>
              <w:top w:val="nil"/>
              <w:left w:val="nil"/>
              <w:bottom w:val="single" w:sz="4" w:space="0" w:color="auto"/>
              <w:right w:val="single" w:sz="4" w:space="0" w:color="auto"/>
            </w:tcBorders>
            <w:shd w:val="clear" w:color="auto" w:fill="auto"/>
            <w:noWrap/>
            <w:vAlign w:val="center"/>
            <w:hideMark/>
          </w:tcPr>
          <w:p w14:paraId="53557D2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-6.9</w:t>
            </w:r>
          </w:p>
        </w:tc>
        <w:tc>
          <w:tcPr>
            <w:tcW w:w="1272" w:type="dxa"/>
            <w:tcBorders>
              <w:top w:val="nil"/>
              <w:left w:val="nil"/>
              <w:bottom w:val="single" w:sz="4" w:space="0" w:color="auto"/>
              <w:right w:val="single" w:sz="4" w:space="0" w:color="auto"/>
            </w:tcBorders>
            <w:shd w:val="clear" w:color="auto" w:fill="auto"/>
            <w:noWrap/>
            <w:vAlign w:val="center"/>
            <w:hideMark/>
          </w:tcPr>
          <w:p w14:paraId="11AEA47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-12.2</w:t>
            </w:r>
          </w:p>
        </w:tc>
        <w:tc>
          <w:tcPr>
            <w:tcW w:w="1157" w:type="dxa"/>
            <w:tcBorders>
              <w:top w:val="nil"/>
              <w:left w:val="nil"/>
              <w:bottom w:val="single" w:sz="4" w:space="0" w:color="auto"/>
              <w:right w:val="single" w:sz="4" w:space="0" w:color="auto"/>
            </w:tcBorders>
            <w:shd w:val="clear" w:color="auto" w:fill="auto"/>
            <w:noWrap/>
            <w:vAlign w:val="center"/>
            <w:hideMark/>
          </w:tcPr>
          <w:p w14:paraId="73E879F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-29.4</w:t>
            </w:r>
          </w:p>
        </w:tc>
        <w:tc>
          <w:tcPr>
            <w:tcW w:w="1038" w:type="dxa"/>
            <w:tcBorders>
              <w:top w:val="nil"/>
              <w:left w:val="nil"/>
              <w:bottom w:val="single" w:sz="4" w:space="0" w:color="auto"/>
              <w:right w:val="single" w:sz="4" w:space="0" w:color="auto"/>
            </w:tcBorders>
            <w:shd w:val="clear" w:color="auto" w:fill="auto"/>
            <w:noWrap/>
            <w:vAlign w:val="center"/>
            <w:hideMark/>
          </w:tcPr>
          <w:p w14:paraId="389CDC6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-22.9</w:t>
            </w:r>
          </w:p>
        </w:tc>
        <w:tc>
          <w:tcPr>
            <w:tcW w:w="1398" w:type="dxa"/>
            <w:tcBorders>
              <w:top w:val="nil"/>
              <w:left w:val="nil"/>
              <w:bottom w:val="single" w:sz="4" w:space="0" w:color="auto"/>
              <w:right w:val="single" w:sz="4" w:space="0" w:color="auto"/>
            </w:tcBorders>
            <w:shd w:val="clear" w:color="auto" w:fill="auto"/>
            <w:noWrap/>
            <w:vAlign w:val="center"/>
            <w:hideMark/>
          </w:tcPr>
          <w:p w14:paraId="74C0B1E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-2.5</w:t>
            </w:r>
          </w:p>
        </w:tc>
      </w:tr>
      <w:tr w:rsidR="001F0D5B" w:rsidRPr="00203CF0" w14:paraId="5BAE74C6"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37FE61E9"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34FEE709"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31F2115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2E913FD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154A8B7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272" w:type="dxa"/>
            <w:tcBorders>
              <w:top w:val="nil"/>
              <w:left w:val="nil"/>
              <w:bottom w:val="single" w:sz="4" w:space="0" w:color="auto"/>
              <w:right w:val="single" w:sz="4" w:space="0" w:color="auto"/>
            </w:tcBorders>
            <w:shd w:val="clear" w:color="auto" w:fill="auto"/>
            <w:vAlign w:val="center"/>
            <w:hideMark/>
          </w:tcPr>
          <w:p w14:paraId="67D46FA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5BCD22D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67BDF6D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7DB31EB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742DD251"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4EC2BA8D"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1F7B9F4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6499F10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00C1A1D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1F6B9E3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7EA0576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6846DA9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013C709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06B8A20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24813677"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EA73F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238</w:t>
            </w:r>
            <w:r>
              <w:rPr>
                <w:rFonts w:ascii="Calibri" w:hAnsi="Calibri" w:cs="Calibri"/>
                <w:color w:val="000000"/>
                <w:sz w:val="18"/>
                <w:szCs w:val="18"/>
              </w:rPr>
              <w:t xml:space="preserve"> </w:t>
            </w:r>
            <w:r w:rsidRPr="00203CF0">
              <w:rPr>
                <w:rFonts w:ascii="Calibri" w:hAnsi="Calibri" w:cs="Calibri"/>
                <w:color w:val="000000"/>
                <w:sz w:val="18"/>
                <w:szCs w:val="18"/>
              </w:rPr>
              <w:t>Glenelg</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96F704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7332E0F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01EDD5D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-8.1</w:t>
            </w:r>
          </w:p>
        </w:tc>
        <w:tc>
          <w:tcPr>
            <w:tcW w:w="1069" w:type="dxa"/>
            <w:tcBorders>
              <w:top w:val="nil"/>
              <w:left w:val="nil"/>
              <w:bottom w:val="single" w:sz="4" w:space="0" w:color="auto"/>
              <w:right w:val="single" w:sz="4" w:space="0" w:color="auto"/>
            </w:tcBorders>
            <w:shd w:val="clear" w:color="auto" w:fill="auto"/>
            <w:noWrap/>
            <w:vAlign w:val="center"/>
            <w:hideMark/>
          </w:tcPr>
          <w:p w14:paraId="1C30D50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-11.4</w:t>
            </w:r>
          </w:p>
        </w:tc>
        <w:tc>
          <w:tcPr>
            <w:tcW w:w="1272" w:type="dxa"/>
            <w:tcBorders>
              <w:top w:val="nil"/>
              <w:left w:val="nil"/>
              <w:bottom w:val="single" w:sz="4" w:space="0" w:color="auto"/>
              <w:right w:val="single" w:sz="4" w:space="0" w:color="auto"/>
            </w:tcBorders>
            <w:shd w:val="clear" w:color="auto" w:fill="auto"/>
            <w:noWrap/>
            <w:vAlign w:val="center"/>
            <w:hideMark/>
          </w:tcPr>
          <w:p w14:paraId="1868103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-16.3</w:t>
            </w:r>
          </w:p>
        </w:tc>
        <w:tc>
          <w:tcPr>
            <w:tcW w:w="1157" w:type="dxa"/>
            <w:tcBorders>
              <w:top w:val="nil"/>
              <w:left w:val="nil"/>
              <w:bottom w:val="single" w:sz="4" w:space="0" w:color="auto"/>
              <w:right w:val="single" w:sz="4" w:space="0" w:color="auto"/>
            </w:tcBorders>
            <w:shd w:val="clear" w:color="auto" w:fill="auto"/>
            <w:noWrap/>
            <w:vAlign w:val="center"/>
            <w:hideMark/>
          </w:tcPr>
          <w:p w14:paraId="6B429C5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-32.7</w:t>
            </w:r>
          </w:p>
        </w:tc>
        <w:tc>
          <w:tcPr>
            <w:tcW w:w="1038" w:type="dxa"/>
            <w:tcBorders>
              <w:top w:val="nil"/>
              <w:left w:val="nil"/>
              <w:bottom w:val="single" w:sz="4" w:space="0" w:color="auto"/>
              <w:right w:val="single" w:sz="4" w:space="0" w:color="auto"/>
            </w:tcBorders>
            <w:shd w:val="clear" w:color="auto" w:fill="auto"/>
            <w:noWrap/>
            <w:vAlign w:val="center"/>
            <w:hideMark/>
          </w:tcPr>
          <w:p w14:paraId="7575973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-26.6</w:t>
            </w:r>
          </w:p>
        </w:tc>
        <w:tc>
          <w:tcPr>
            <w:tcW w:w="1398" w:type="dxa"/>
            <w:tcBorders>
              <w:top w:val="nil"/>
              <w:left w:val="nil"/>
              <w:bottom w:val="single" w:sz="4" w:space="0" w:color="auto"/>
              <w:right w:val="single" w:sz="4" w:space="0" w:color="auto"/>
            </w:tcBorders>
            <w:shd w:val="clear" w:color="auto" w:fill="auto"/>
            <w:noWrap/>
            <w:vAlign w:val="center"/>
            <w:hideMark/>
          </w:tcPr>
          <w:p w14:paraId="3B3612E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-6.2</w:t>
            </w:r>
          </w:p>
        </w:tc>
      </w:tr>
      <w:tr w:rsidR="001F0D5B" w:rsidRPr="00203CF0" w14:paraId="725F9AB5"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0C132C54"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569855BA"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2D1D97C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6354E45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c>
          <w:tcPr>
            <w:tcW w:w="1069" w:type="dxa"/>
            <w:tcBorders>
              <w:top w:val="nil"/>
              <w:left w:val="nil"/>
              <w:bottom w:val="single" w:sz="4" w:space="0" w:color="auto"/>
              <w:right w:val="single" w:sz="4" w:space="0" w:color="auto"/>
            </w:tcBorders>
            <w:shd w:val="clear" w:color="auto" w:fill="auto"/>
            <w:vAlign w:val="center"/>
            <w:hideMark/>
          </w:tcPr>
          <w:p w14:paraId="4AC8D42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157F508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50422B8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158BDE7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31E3271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Low-Med</w:t>
            </w:r>
          </w:p>
        </w:tc>
      </w:tr>
      <w:tr w:rsidR="001F0D5B" w:rsidRPr="00203CF0" w14:paraId="7CB27141"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58BF0D89"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4771D4F"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58AC1FB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5E48816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1E99E7F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1164155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4793900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030A670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411FD16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44349687"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FCAF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lastRenderedPageBreak/>
              <w:t>239</w:t>
            </w:r>
            <w:r>
              <w:rPr>
                <w:rFonts w:ascii="Calibri" w:hAnsi="Calibri" w:cs="Calibri"/>
                <w:color w:val="000000"/>
                <w:sz w:val="18"/>
                <w:szCs w:val="18"/>
              </w:rPr>
              <w:t xml:space="preserve"> </w:t>
            </w:r>
            <w:r w:rsidRPr="00203CF0">
              <w:rPr>
                <w:rFonts w:ascii="Calibri" w:hAnsi="Calibri" w:cs="Calibri"/>
                <w:color w:val="000000"/>
                <w:sz w:val="18"/>
                <w:szCs w:val="18"/>
              </w:rPr>
              <w:t>Millicent</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70A456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7015CB9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0F3183F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-9.7</w:t>
            </w:r>
          </w:p>
        </w:tc>
        <w:tc>
          <w:tcPr>
            <w:tcW w:w="1069" w:type="dxa"/>
            <w:tcBorders>
              <w:top w:val="nil"/>
              <w:left w:val="nil"/>
              <w:bottom w:val="single" w:sz="4" w:space="0" w:color="auto"/>
              <w:right w:val="single" w:sz="4" w:space="0" w:color="auto"/>
            </w:tcBorders>
            <w:shd w:val="clear" w:color="auto" w:fill="auto"/>
            <w:noWrap/>
            <w:vAlign w:val="center"/>
            <w:hideMark/>
          </w:tcPr>
          <w:p w14:paraId="79A0F95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-11.8</w:t>
            </w:r>
          </w:p>
        </w:tc>
        <w:tc>
          <w:tcPr>
            <w:tcW w:w="1272" w:type="dxa"/>
            <w:tcBorders>
              <w:top w:val="nil"/>
              <w:left w:val="nil"/>
              <w:bottom w:val="single" w:sz="4" w:space="0" w:color="auto"/>
              <w:right w:val="single" w:sz="4" w:space="0" w:color="auto"/>
            </w:tcBorders>
            <w:shd w:val="clear" w:color="auto" w:fill="auto"/>
            <w:noWrap/>
            <w:vAlign w:val="center"/>
            <w:hideMark/>
          </w:tcPr>
          <w:p w14:paraId="2F8A718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-20.1</w:t>
            </w:r>
          </w:p>
        </w:tc>
        <w:tc>
          <w:tcPr>
            <w:tcW w:w="1157" w:type="dxa"/>
            <w:tcBorders>
              <w:top w:val="nil"/>
              <w:left w:val="nil"/>
              <w:bottom w:val="single" w:sz="4" w:space="0" w:color="auto"/>
              <w:right w:val="single" w:sz="4" w:space="0" w:color="auto"/>
            </w:tcBorders>
            <w:shd w:val="clear" w:color="auto" w:fill="auto"/>
            <w:noWrap/>
            <w:vAlign w:val="center"/>
            <w:hideMark/>
          </w:tcPr>
          <w:p w14:paraId="6D32D3E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-33.7</w:t>
            </w:r>
          </w:p>
        </w:tc>
        <w:tc>
          <w:tcPr>
            <w:tcW w:w="1038" w:type="dxa"/>
            <w:tcBorders>
              <w:top w:val="nil"/>
              <w:left w:val="nil"/>
              <w:bottom w:val="single" w:sz="4" w:space="0" w:color="auto"/>
              <w:right w:val="single" w:sz="4" w:space="0" w:color="auto"/>
            </w:tcBorders>
            <w:shd w:val="clear" w:color="auto" w:fill="auto"/>
            <w:noWrap/>
            <w:vAlign w:val="center"/>
            <w:hideMark/>
          </w:tcPr>
          <w:p w14:paraId="51F8797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-29.7</w:t>
            </w:r>
          </w:p>
        </w:tc>
        <w:tc>
          <w:tcPr>
            <w:tcW w:w="1398" w:type="dxa"/>
            <w:tcBorders>
              <w:top w:val="nil"/>
              <w:left w:val="nil"/>
              <w:bottom w:val="single" w:sz="4" w:space="0" w:color="auto"/>
              <w:right w:val="single" w:sz="4" w:space="0" w:color="auto"/>
            </w:tcBorders>
            <w:shd w:val="clear" w:color="auto" w:fill="auto"/>
            <w:noWrap/>
            <w:vAlign w:val="center"/>
            <w:hideMark/>
          </w:tcPr>
          <w:p w14:paraId="4459CDA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-10.2</w:t>
            </w:r>
          </w:p>
        </w:tc>
      </w:tr>
      <w:tr w:rsidR="001F0D5B" w:rsidRPr="00203CF0" w14:paraId="08832FE3"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307F9EB9"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2AF8E557"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2983150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24CB2A0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2119138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5A0E337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6DD898B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2967B1C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0A1CA8C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5BCFCAF1"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2BD0D249"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0520048D"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385B5A6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23A72E2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5FA3669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1AA46EF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314138E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E3164A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37EEB62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10EB8354"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A95D4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401</w:t>
            </w:r>
            <w:r>
              <w:rPr>
                <w:rFonts w:ascii="Calibri" w:hAnsi="Calibri" w:cs="Calibri"/>
                <w:color w:val="000000"/>
                <w:sz w:val="18"/>
                <w:szCs w:val="18"/>
              </w:rPr>
              <w:t xml:space="preserve"> </w:t>
            </w:r>
            <w:r w:rsidRPr="00203CF0">
              <w:rPr>
                <w:rFonts w:ascii="Calibri" w:hAnsi="Calibri" w:cs="Calibri"/>
                <w:color w:val="000000"/>
                <w:sz w:val="18"/>
                <w:szCs w:val="18"/>
              </w:rPr>
              <w:t>Upper Murray</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56C9C4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62B412B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13E652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-13.3</w:t>
            </w:r>
          </w:p>
        </w:tc>
        <w:tc>
          <w:tcPr>
            <w:tcW w:w="1069" w:type="dxa"/>
            <w:tcBorders>
              <w:top w:val="nil"/>
              <w:left w:val="nil"/>
              <w:bottom w:val="single" w:sz="4" w:space="0" w:color="auto"/>
              <w:right w:val="single" w:sz="4" w:space="0" w:color="auto"/>
            </w:tcBorders>
            <w:shd w:val="clear" w:color="auto" w:fill="auto"/>
            <w:noWrap/>
            <w:vAlign w:val="center"/>
            <w:hideMark/>
          </w:tcPr>
          <w:p w14:paraId="41BC246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-8.5</w:t>
            </w:r>
          </w:p>
        </w:tc>
        <w:tc>
          <w:tcPr>
            <w:tcW w:w="1272" w:type="dxa"/>
            <w:tcBorders>
              <w:top w:val="nil"/>
              <w:left w:val="nil"/>
              <w:bottom w:val="single" w:sz="4" w:space="0" w:color="auto"/>
              <w:right w:val="single" w:sz="4" w:space="0" w:color="auto"/>
            </w:tcBorders>
            <w:shd w:val="clear" w:color="auto" w:fill="auto"/>
            <w:noWrap/>
            <w:vAlign w:val="center"/>
            <w:hideMark/>
          </w:tcPr>
          <w:p w14:paraId="69CD279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-20.2</w:t>
            </w:r>
          </w:p>
        </w:tc>
        <w:tc>
          <w:tcPr>
            <w:tcW w:w="1157" w:type="dxa"/>
            <w:tcBorders>
              <w:top w:val="nil"/>
              <w:left w:val="nil"/>
              <w:bottom w:val="single" w:sz="4" w:space="0" w:color="auto"/>
              <w:right w:val="single" w:sz="4" w:space="0" w:color="auto"/>
            </w:tcBorders>
            <w:shd w:val="clear" w:color="auto" w:fill="auto"/>
            <w:noWrap/>
            <w:vAlign w:val="center"/>
            <w:hideMark/>
          </w:tcPr>
          <w:p w14:paraId="7E755B3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-30.0</w:t>
            </w:r>
          </w:p>
        </w:tc>
        <w:tc>
          <w:tcPr>
            <w:tcW w:w="1038" w:type="dxa"/>
            <w:tcBorders>
              <w:top w:val="nil"/>
              <w:left w:val="nil"/>
              <w:bottom w:val="single" w:sz="4" w:space="0" w:color="auto"/>
              <w:right w:val="single" w:sz="4" w:space="0" w:color="auto"/>
            </w:tcBorders>
            <w:shd w:val="clear" w:color="auto" w:fill="auto"/>
            <w:noWrap/>
            <w:vAlign w:val="center"/>
            <w:hideMark/>
          </w:tcPr>
          <w:p w14:paraId="773A55F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-24.2</w:t>
            </w:r>
          </w:p>
        </w:tc>
        <w:tc>
          <w:tcPr>
            <w:tcW w:w="1398" w:type="dxa"/>
            <w:tcBorders>
              <w:top w:val="nil"/>
              <w:left w:val="nil"/>
              <w:bottom w:val="single" w:sz="4" w:space="0" w:color="auto"/>
              <w:right w:val="single" w:sz="4" w:space="0" w:color="auto"/>
            </w:tcBorders>
            <w:shd w:val="clear" w:color="auto" w:fill="auto"/>
            <w:noWrap/>
            <w:vAlign w:val="center"/>
            <w:hideMark/>
          </w:tcPr>
          <w:p w14:paraId="14014CC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-6.2</w:t>
            </w:r>
          </w:p>
        </w:tc>
      </w:tr>
      <w:tr w:rsidR="001F0D5B" w:rsidRPr="00203CF0" w14:paraId="3D43B194"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3619EBDB"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1B7A0F32"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34A5B47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54087DF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64D52C9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000000" w:fill="FFCCCC"/>
            <w:vAlign w:val="center"/>
            <w:hideMark/>
          </w:tcPr>
          <w:p w14:paraId="611BAD9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157" w:type="dxa"/>
            <w:tcBorders>
              <w:top w:val="nil"/>
              <w:left w:val="nil"/>
              <w:bottom w:val="single" w:sz="4" w:space="0" w:color="auto"/>
              <w:right w:val="single" w:sz="4" w:space="0" w:color="auto"/>
            </w:tcBorders>
            <w:shd w:val="clear" w:color="000000" w:fill="FFCCCC"/>
            <w:vAlign w:val="center"/>
            <w:hideMark/>
          </w:tcPr>
          <w:p w14:paraId="7DDF377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775EF61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1113BCE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4CA844E6"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690060AA"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4E895B29"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067B01F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8076B4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0FAB30A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3576307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122D144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666EB3B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3FF2475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4F81DEED"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8196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402</w:t>
            </w:r>
            <w:r>
              <w:rPr>
                <w:rFonts w:ascii="Calibri" w:hAnsi="Calibri" w:cs="Calibri"/>
                <w:color w:val="000000"/>
                <w:sz w:val="18"/>
                <w:szCs w:val="18"/>
              </w:rPr>
              <w:t xml:space="preserve"> </w:t>
            </w:r>
            <w:r w:rsidRPr="00203CF0">
              <w:rPr>
                <w:rFonts w:ascii="Calibri" w:hAnsi="Calibri" w:cs="Calibri"/>
                <w:color w:val="000000"/>
                <w:sz w:val="18"/>
                <w:szCs w:val="18"/>
              </w:rPr>
              <w:t>Kiewa</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AA342D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5447CB0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6145C49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-17.3</w:t>
            </w:r>
          </w:p>
        </w:tc>
        <w:tc>
          <w:tcPr>
            <w:tcW w:w="1069" w:type="dxa"/>
            <w:tcBorders>
              <w:top w:val="nil"/>
              <w:left w:val="nil"/>
              <w:bottom w:val="single" w:sz="4" w:space="0" w:color="auto"/>
              <w:right w:val="single" w:sz="4" w:space="0" w:color="auto"/>
            </w:tcBorders>
            <w:shd w:val="clear" w:color="auto" w:fill="auto"/>
            <w:noWrap/>
            <w:vAlign w:val="center"/>
            <w:hideMark/>
          </w:tcPr>
          <w:p w14:paraId="4C93629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-9.3</w:t>
            </w:r>
          </w:p>
        </w:tc>
        <w:tc>
          <w:tcPr>
            <w:tcW w:w="1272" w:type="dxa"/>
            <w:tcBorders>
              <w:top w:val="nil"/>
              <w:left w:val="nil"/>
              <w:bottom w:val="single" w:sz="4" w:space="0" w:color="auto"/>
              <w:right w:val="single" w:sz="4" w:space="0" w:color="auto"/>
            </w:tcBorders>
            <w:shd w:val="clear" w:color="auto" w:fill="auto"/>
            <w:noWrap/>
            <w:vAlign w:val="center"/>
            <w:hideMark/>
          </w:tcPr>
          <w:p w14:paraId="4D3937B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-22.2</w:t>
            </w:r>
          </w:p>
        </w:tc>
        <w:tc>
          <w:tcPr>
            <w:tcW w:w="1157" w:type="dxa"/>
            <w:tcBorders>
              <w:top w:val="nil"/>
              <w:left w:val="nil"/>
              <w:bottom w:val="single" w:sz="4" w:space="0" w:color="auto"/>
              <w:right w:val="single" w:sz="4" w:space="0" w:color="auto"/>
            </w:tcBorders>
            <w:shd w:val="clear" w:color="auto" w:fill="auto"/>
            <w:noWrap/>
            <w:vAlign w:val="center"/>
            <w:hideMark/>
          </w:tcPr>
          <w:p w14:paraId="271BDFB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-32.8</w:t>
            </w:r>
          </w:p>
        </w:tc>
        <w:tc>
          <w:tcPr>
            <w:tcW w:w="1038" w:type="dxa"/>
            <w:tcBorders>
              <w:top w:val="nil"/>
              <w:left w:val="nil"/>
              <w:bottom w:val="single" w:sz="4" w:space="0" w:color="auto"/>
              <w:right w:val="single" w:sz="4" w:space="0" w:color="auto"/>
            </w:tcBorders>
            <w:shd w:val="clear" w:color="auto" w:fill="auto"/>
            <w:noWrap/>
            <w:vAlign w:val="center"/>
            <w:hideMark/>
          </w:tcPr>
          <w:p w14:paraId="7362671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-27.0</w:t>
            </w:r>
          </w:p>
        </w:tc>
        <w:tc>
          <w:tcPr>
            <w:tcW w:w="1398" w:type="dxa"/>
            <w:tcBorders>
              <w:top w:val="nil"/>
              <w:left w:val="nil"/>
              <w:bottom w:val="single" w:sz="4" w:space="0" w:color="auto"/>
              <w:right w:val="single" w:sz="4" w:space="0" w:color="auto"/>
            </w:tcBorders>
            <w:shd w:val="clear" w:color="auto" w:fill="auto"/>
            <w:noWrap/>
            <w:vAlign w:val="center"/>
            <w:hideMark/>
          </w:tcPr>
          <w:p w14:paraId="2118CD1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-8.1</w:t>
            </w:r>
          </w:p>
        </w:tc>
      </w:tr>
      <w:tr w:rsidR="001F0D5B" w:rsidRPr="00203CF0" w14:paraId="497DE970"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4451FA9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18069007"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4ED01FF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000000" w:fill="FFCCCC"/>
            <w:vAlign w:val="center"/>
            <w:hideMark/>
          </w:tcPr>
          <w:p w14:paraId="2167A5F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69" w:type="dxa"/>
            <w:tcBorders>
              <w:top w:val="nil"/>
              <w:left w:val="nil"/>
              <w:bottom w:val="single" w:sz="4" w:space="0" w:color="auto"/>
              <w:right w:val="single" w:sz="4" w:space="0" w:color="auto"/>
            </w:tcBorders>
            <w:shd w:val="clear" w:color="auto" w:fill="auto"/>
            <w:vAlign w:val="center"/>
            <w:hideMark/>
          </w:tcPr>
          <w:p w14:paraId="2055EC8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000000" w:fill="FFCCCC"/>
            <w:vAlign w:val="center"/>
            <w:hideMark/>
          </w:tcPr>
          <w:p w14:paraId="1B5F2EE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157" w:type="dxa"/>
            <w:tcBorders>
              <w:top w:val="nil"/>
              <w:left w:val="nil"/>
              <w:bottom w:val="single" w:sz="4" w:space="0" w:color="auto"/>
              <w:right w:val="single" w:sz="4" w:space="0" w:color="auto"/>
            </w:tcBorders>
            <w:shd w:val="clear" w:color="000000" w:fill="FFCCCC"/>
            <w:vAlign w:val="center"/>
            <w:hideMark/>
          </w:tcPr>
          <w:p w14:paraId="2D96976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053A20B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220589A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5D7C92AA"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7E714281"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5A114061"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62DFAA4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3993FB8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7D25111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120D1E7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1C56417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3419B58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59564406"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68E5938D"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3609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403</w:t>
            </w:r>
            <w:r>
              <w:rPr>
                <w:rFonts w:ascii="Calibri" w:hAnsi="Calibri" w:cs="Calibri"/>
                <w:color w:val="000000"/>
                <w:sz w:val="18"/>
                <w:szCs w:val="18"/>
              </w:rPr>
              <w:t xml:space="preserve"> </w:t>
            </w:r>
            <w:r w:rsidRPr="00203CF0">
              <w:rPr>
                <w:rFonts w:ascii="Calibri" w:hAnsi="Calibri" w:cs="Calibri"/>
                <w:color w:val="000000"/>
                <w:sz w:val="18"/>
                <w:szCs w:val="18"/>
              </w:rPr>
              <w:t>Ovens</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56D831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054A8AA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17B51FC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-17.4</w:t>
            </w:r>
          </w:p>
        </w:tc>
        <w:tc>
          <w:tcPr>
            <w:tcW w:w="1069" w:type="dxa"/>
            <w:tcBorders>
              <w:top w:val="nil"/>
              <w:left w:val="nil"/>
              <w:bottom w:val="single" w:sz="4" w:space="0" w:color="auto"/>
              <w:right w:val="single" w:sz="4" w:space="0" w:color="auto"/>
            </w:tcBorders>
            <w:shd w:val="clear" w:color="auto" w:fill="auto"/>
            <w:noWrap/>
            <w:vAlign w:val="center"/>
            <w:hideMark/>
          </w:tcPr>
          <w:p w14:paraId="1A90CE3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-11.2</w:t>
            </w:r>
          </w:p>
        </w:tc>
        <w:tc>
          <w:tcPr>
            <w:tcW w:w="1272" w:type="dxa"/>
            <w:tcBorders>
              <w:top w:val="nil"/>
              <w:left w:val="nil"/>
              <w:bottom w:val="single" w:sz="4" w:space="0" w:color="auto"/>
              <w:right w:val="single" w:sz="4" w:space="0" w:color="auto"/>
            </w:tcBorders>
            <w:shd w:val="clear" w:color="auto" w:fill="auto"/>
            <w:noWrap/>
            <w:vAlign w:val="center"/>
            <w:hideMark/>
          </w:tcPr>
          <w:p w14:paraId="4044D5C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-21.2</w:t>
            </w:r>
          </w:p>
        </w:tc>
        <w:tc>
          <w:tcPr>
            <w:tcW w:w="1157" w:type="dxa"/>
            <w:tcBorders>
              <w:top w:val="nil"/>
              <w:left w:val="nil"/>
              <w:bottom w:val="single" w:sz="4" w:space="0" w:color="auto"/>
              <w:right w:val="single" w:sz="4" w:space="0" w:color="auto"/>
            </w:tcBorders>
            <w:shd w:val="clear" w:color="auto" w:fill="auto"/>
            <w:noWrap/>
            <w:vAlign w:val="center"/>
            <w:hideMark/>
          </w:tcPr>
          <w:p w14:paraId="2BCAD29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-32.4</w:t>
            </w:r>
          </w:p>
        </w:tc>
        <w:tc>
          <w:tcPr>
            <w:tcW w:w="1038" w:type="dxa"/>
            <w:tcBorders>
              <w:top w:val="nil"/>
              <w:left w:val="nil"/>
              <w:bottom w:val="single" w:sz="4" w:space="0" w:color="auto"/>
              <w:right w:val="single" w:sz="4" w:space="0" w:color="auto"/>
            </w:tcBorders>
            <w:shd w:val="clear" w:color="auto" w:fill="auto"/>
            <w:noWrap/>
            <w:vAlign w:val="center"/>
            <w:hideMark/>
          </w:tcPr>
          <w:p w14:paraId="1EFCEE4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-26.0</w:t>
            </w:r>
          </w:p>
        </w:tc>
        <w:tc>
          <w:tcPr>
            <w:tcW w:w="1398" w:type="dxa"/>
            <w:tcBorders>
              <w:top w:val="nil"/>
              <w:left w:val="nil"/>
              <w:bottom w:val="single" w:sz="4" w:space="0" w:color="auto"/>
              <w:right w:val="single" w:sz="4" w:space="0" w:color="auto"/>
            </w:tcBorders>
            <w:shd w:val="clear" w:color="auto" w:fill="auto"/>
            <w:noWrap/>
            <w:vAlign w:val="center"/>
            <w:hideMark/>
          </w:tcPr>
          <w:p w14:paraId="684CE47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-8.5</w:t>
            </w:r>
          </w:p>
        </w:tc>
      </w:tr>
      <w:tr w:rsidR="001F0D5B" w:rsidRPr="00203CF0" w14:paraId="1F00A093"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4A5A7EC2"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0CBDBFF5"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6679C78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68E9A39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6635041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000000" w:fill="FFCCCC"/>
            <w:vAlign w:val="center"/>
            <w:hideMark/>
          </w:tcPr>
          <w:p w14:paraId="1AEA96F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157" w:type="dxa"/>
            <w:tcBorders>
              <w:top w:val="nil"/>
              <w:left w:val="nil"/>
              <w:bottom w:val="single" w:sz="4" w:space="0" w:color="auto"/>
              <w:right w:val="single" w:sz="4" w:space="0" w:color="auto"/>
            </w:tcBorders>
            <w:shd w:val="clear" w:color="000000" w:fill="FFCCCC"/>
            <w:vAlign w:val="center"/>
            <w:hideMark/>
          </w:tcPr>
          <w:p w14:paraId="34AF16F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3C10DE4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6E2BBD0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5089686B"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761CDCD3"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4C50780C"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61A45B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78F06F4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3AE966F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27209EF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97E9C1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79378AC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62D2EAD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335273FC"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77B0E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404</w:t>
            </w:r>
            <w:r>
              <w:rPr>
                <w:rFonts w:ascii="Calibri" w:hAnsi="Calibri" w:cs="Calibri"/>
                <w:color w:val="000000"/>
                <w:sz w:val="18"/>
                <w:szCs w:val="18"/>
              </w:rPr>
              <w:t xml:space="preserve"> </w:t>
            </w:r>
            <w:r w:rsidRPr="00203CF0">
              <w:rPr>
                <w:rFonts w:ascii="Calibri" w:hAnsi="Calibri" w:cs="Calibri"/>
                <w:color w:val="000000"/>
                <w:sz w:val="18"/>
                <w:szCs w:val="18"/>
              </w:rPr>
              <w:t>Broken</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4CB6F0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0B7048B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6DA1C1F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-15.9</w:t>
            </w:r>
          </w:p>
        </w:tc>
        <w:tc>
          <w:tcPr>
            <w:tcW w:w="1069" w:type="dxa"/>
            <w:tcBorders>
              <w:top w:val="nil"/>
              <w:left w:val="nil"/>
              <w:bottom w:val="single" w:sz="4" w:space="0" w:color="auto"/>
              <w:right w:val="single" w:sz="4" w:space="0" w:color="auto"/>
            </w:tcBorders>
            <w:shd w:val="clear" w:color="auto" w:fill="auto"/>
            <w:noWrap/>
            <w:vAlign w:val="center"/>
            <w:hideMark/>
          </w:tcPr>
          <w:p w14:paraId="719BBAE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-12.1</w:t>
            </w:r>
          </w:p>
        </w:tc>
        <w:tc>
          <w:tcPr>
            <w:tcW w:w="1272" w:type="dxa"/>
            <w:tcBorders>
              <w:top w:val="nil"/>
              <w:left w:val="nil"/>
              <w:bottom w:val="single" w:sz="4" w:space="0" w:color="auto"/>
              <w:right w:val="single" w:sz="4" w:space="0" w:color="auto"/>
            </w:tcBorders>
            <w:shd w:val="clear" w:color="auto" w:fill="auto"/>
            <w:noWrap/>
            <w:vAlign w:val="center"/>
            <w:hideMark/>
          </w:tcPr>
          <w:p w14:paraId="7E5E58E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-21.5</w:t>
            </w:r>
          </w:p>
        </w:tc>
        <w:tc>
          <w:tcPr>
            <w:tcW w:w="1157" w:type="dxa"/>
            <w:tcBorders>
              <w:top w:val="nil"/>
              <w:left w:val="nil"/>
              <w:bottom w:val="single" w:sz="4" w:space="0" w:color="auto"/>
              <w:right w:val="single" w:sz="4" w:space="0" w:color="auto"/>
            </w:tcBorders>
            <w:shd w:val="clear" w:color="auto" w:fill="auto"/>
            <w:noWrap/>
            <w:vAlign w:val="center"/>
            <w:hideMark/>
          </w:tcPr>
          <w:p w14:paraId="0484A0A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-32.6</w:t>
            </w:r>
          </w:p>
        </w:tc>
        <w:tc>
          <w:tcPr>
            <w:tcW w:w="1038" w:type="dxa"/>
            <w:tcBorders>
              <w:top w:val="nil"/>
              <w:left w:val="nil"/>
              <w:bottom w:val="single" w:sz="4" w:space="0" w:color="auto"/>
              <w:right w:val="single" w:sz="4" w:space="0" w:color="auto"/>
            </w:tcBorders>
            <w:shd w:val="clear" w:color="auto" w:fill="auto"/>
            <w:noWrap/>
            <w:vAlign w:val="center"/>
            <w:hideMark/>
          </w:tcPr>
          <w:p w14:paraId="6F141CA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-22.2</w:t>
            </w:r>
          </w:p>
        </w:tc>
        <w:tc>
          <w:tcPr>
            <w:tcW w:w="1398" w:type="dxa"/>
            <w:tcBorders>
              <w:top w:val="nil"/>
              <w:left w:val="nil"/>
              <w:bottom w:val="single" w:sz="4" w:space="0" w:color="auto"/>
              <w:right w:val="single" w:sz="4" w:space="0" w:color="auto"/>
            </w:tcBorders>
            <w:shd w:val="clear" w:color="auto" w:fill="auto"/>
            <w:noWrap/>
            <w:vAlign w:val="center"/>
            <w:hideMark/>
          </w:tcPr>
          <w:p w14:paraId="719D1C4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-7.0</w:t>
            </w:r>
          </w:p>
        </w:tc>
      </w:tr>
      <w:tr w:rsidR="001F0D5B" w:rsidRPr="00203CF0" w14:paraId="057728F9"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7D385A31"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75E90D39"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08AD34A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77C8ADC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68BF61F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000000" w:fill="FFCCCC"/>
            <w:vAlign w:val="center"/>
            <w:hideMark/>
          </w:tcPr>
          <w:p w14:paraId="111F17D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157" w:type="dxa"/>
            <w:tcBorders>
              <w:top w:val="nil"/>
              <w:left w:val="nil"/>
              <w:bottom w:val="single" w:sz="4" w:space="0" w:color="auto"/>
              <w:right w:val="single" w:sz="4" w:space="0" w:color="auto"/>
            </w:tcBorders>
            <w:shd w:val="clear" w:color="000000" w:fill="FFCCCC"/>
            <w:vAlign w:val="center"/>
            <w:hideMark/>
          </w:tcPr>
          <w:p w14:paraId="70E1EF9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26B149F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7A6EBDE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420FC43F"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476B8FD4"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04799AC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83360D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7616F9C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6A7A750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76E79C7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E6ACA7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51E6F30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24072B2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203F1811"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E8847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405</w:t>
            </w:r>
            <w:r>
              <w:rPr>
                <w:rFonts w:ascii="Calibri" w:hAnsi="Calibri" w:cs="Calibri"/>
                <w:color w:val="000000"/>
                <w:sz w:val="18"/>
                <w:szCs w:val="18"/>
              </w:rPr>
              <w:t xml:space="preserve"> </w:t>
            </w:r>
            <w:r w:rsidRPr="00203CF0">
              <w:rPr>
                <w:rFonts w:ascii="Calibri" w:hAnsi="Calibri" w:cs="Calibri"/>
                <w:color w:val="000000"/>
                <w:sz w:val="18"/>
                <w:szCs w:val="18"/>
              </w:rPr>
              <w:t>Goulburn</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02FCD4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44E3389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5BFE04B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-14.3</w:t>
            </w:r>
          </w:p>
        </w:tc>
        <w:tc>
          <w:tcPr>
            <w:tcW w:w="1069" w:type="dxa"/>
            <w:tcBorders>
              <w:top w:val="nil"/>
              <w:left w:val="nil"/>
              <w:bottom w:val="single" w:sz="4" w:space="0" w:color="auto"/>
              <w:right w:val="single" w:sz="4" w:space="0" w:color="auto"/>
            </w:tcBorders>
            <w:shd w:val="clear" w:color="auto" w:fill="auto"/>
            <w:noWrap/>
            <w:vAlign w:val="center"/>
            <w:hideMark/>
          </w:tcPr>
          <w:p w14:paraId="3B07DA3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-12.7</w:t>
            </w:r>
          </w:p>
        </w:tc>
        <w:tc>
          <w:tcPr>
            <w:tcW w:w="1272" w:type="dxa"/>
            <w:tcBorders>
              <w:top w:val="nil"/>
              <w:left w:val="nil"/>
              <w:bottom w:val="single" w:sz="4" w:space="0" w:color="auto"/>
              <w:right w:val="single" w:sz="4" w:space="0" w:color="auto"/>
            </w:tcBorders>
            <w:shd w:val="clear" w:color="auto" w:fill="auto"/>
            <w:noWrap/>
            <w:vAlign w:val="center"/>
            <w:hideMark/>
          </w:tcPr>
          <w:p w14:paraId="374C365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-18.8</w:t>
            </w:r>
          </w:p>
        </w:tc>
        <w:tc>
          <w:tcPr>
            <w:tcW w:w="1157" w:type="dxa"/>
            <w:tcBorders>
              <w:top w:val="nil"/>
              <w:left w:val="nil"/>
              <w:bottom w:val="single" w:sz="4" w:space="0" w:color="auto"/>
              <w:right w:val="single" w:sz="4" w:space="0" w:color="auto"/>
            </w:tcBorders>
            <w:shd w:val="clear" w:color="auto" w:fill="auto"/>
            <w:noWrap/>
            <w:vAlign w:val="center"/>
            <w:hideMark/>
          </w:tcPr>
          <w:p w14:paraId="01CE96A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-31.6</w:t>
            </w:r>
          </w:p>
        </w:tc>
        <w:tc>
          <w:tcPr>
            <w:tcW w:w="1038" w:type="dxa"/>
            <w:tcBorders>
              <w:top w:val="nil"/>
              <w:left w:val="nil"/>
              <w:bottom w:val="single" w:sz="4" w:space="0" w:color="auto"/>
              <w:right w:val="single" w:sz="4" w:space="0" w:color="auto"/>
            </w:tcBorders>
            <w:shd w:val="clear" w:color="auto" w:fill="auto"/>
            <w:noWrap/>
            <w:vAlign w:val="center"/>
            <w:hideMark/>
          </w:tcPr>
          <w:p w14:paraId="6D77659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-24.4</w:t>
            </w:r>
          </w:p>
        </w:tc>
        <w:tc>
          <w:tcPr>
            <w:tcW w:w="1398" w:type="dxa"/>
            <w:tcBorders>
              <w:top w:val="nil"/>
              <w:left w:val="nil"/>
              <w:bottom w:val="single" w:sz="4" w:space="0" w:color="auto"/>
              <w:right w:val="single" w:sz="4" w:space="0" w:color="auto"/>
            </w:tcBorders>
            <w:shd w:val="clear" w:color="auto" w:fill="auto"/>
            <w:noWrap/>
            <w:vAlign w:val="center"/>
            <w:hideMark/>
          </w:tcPr>
          <w:p w14:paraId="1880CCD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-8.9</w:t>
            </w:r>
          </w:p>
        </w:tc>
      </w:tr>
      <w:tr w:rsidR="001F0D5B" w:rsidRPr="00203CF0" w14:paraId="1E48534E"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F8B145A"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059881D0"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46B8B61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372F878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356EE55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7A61F7C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1B6B62B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01B6BCA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5A70390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35BACA13"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57B0A3B0"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2E84744D"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2A6E6DE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697A74F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19E6A10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3FBBFC8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29D2C9D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169602F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13FB961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7A6D0EC7"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7183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406</w:t>
            </w:r>
            <w:r>
              <w:rPr>
                <w:rFonts w:ascii="Calibri" w:hAnsi="Calibri" w:cs="Calibri"/>
                <w:color w:val="000000"/>
                <w:sz w:val="18"/>
                <w:szCs w:val="18"/>
              </w:rPr>
              <w:t xml:space="preserve"> </w:t>
            </w:r>
            <w:r w:rsidRPr="00203CF0">
              <w:rPr>
                <w:rFonts w:ascii="Calibri" w:hAnsi="Calibri" w:cs="Calibri"/>
                <w:color w:val="000000"/>
                <w:sz w:val="18"/>
                <w:szCs w:val="18"/>
              </w:rPr>
              <w:t>Campaspe</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197C8C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06FD230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8357CA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-13.5</w:t>
            </w:r>
          </w:p>
        </w:tc>
        <w:tc>
          <w:tcPr>
            <w:tcW w:w="1069" w:type="dxa"/>
            <w:tcBorders>
              <w:top w:val="nil"/>
              <w:left w:val="nil"/>
              <w:bottom w:val="single" w:sz="4" w:space="0" w:color="auto"/>
              <w:right w:val="single" w:sz="4" w:space="0" w:color="auto"/>
            </w:tcBorders>
            <w:shd w:val="clear" w:color="auto" w:fill="auto"/>
            <w:noWrap/>
            <w:vAlign w:val="center"/>
            <w:hideMark/>
          </w:tcPr>
          <w:p w14:paraId="76FB62C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-10.7</w:t>
            </w:r>
          </w:p>
        </w:tc>
        <w:tc>
          <w:tcPr>
            <w:tcW w:w="1272" w:type="dxa"/>
            <w:tcBorders>
              <w:top w:val="nil"/>
              <w:left w:val="nil"/>
              <w:bottom w:val="single" w:sz="4" w:space="0" w:color="auto"/>
              <w:right w:val="single" w:sz="4" w:space="0" w:color="auto"/>
            </w:tcBorders>
            <w:shd w:val="clear" w:color="auto" w:fill="auto"/>
            <w:noWrap/>
            <w:vAlign w:val="center"/>
            <w:hideMark/>
          </w:tcPr>
          <w:p w14:paraId="2509B69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-19.0</w:t>
            </w:r>
          </w:p>
        </w:tc>
        <w:tc>
          <w:tcPr>
            <w:tcW w:w="1157" w:type="dxa"/>
            <w:tcBorders>
              <w:top w:val="nil"/>
              <w:left w:val="nil"/>
              <w:bottom w:val="single" w:sz="4" w:space="0" w:color="auto"/>
              <w:right w:val="single" w:sz="4" w:space="0" w:color="auto"/>
            </w:tcBorders>
            <w:shd w:val="clear" w:color="auto" w:fill="auto"/>
            <w:noWrap/>
            <w:vAlign w:val="center"/>
            <w:hideMark/>
          </w:tcPr>
          <w:p w14:paraId="00AEF5E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-32.8</w:t>
            </w:r>
          </w:p>
        </w:tc>
        <w:tc>
          <w:tcPr>
            <w:tcW w:w="1038" w:type="dxa"/>
            <w:tcBorders>
              <w:top w:val="nil"/>
              <w:left w:val="nil"/>
              <w:bottom w:val="single" w:sz="4" w:space="0" w:color="auto"/>
              <w:right w:val="single" w:sz="4" w:space="0" w:color="auto"/>
            </w:tcBorders>
            <w:shd w:val="clear" w:color="auto" w:fill="auto"/>
            <w:noWrap/>
            <w:vAlign w:val="center"/>
            <w:hideMark/>
          </w:tcPr>
          <w:p w14:paraId="531C957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-22.5</w:t>
            </w:r>
          </w:p>
        </w:tc>
        <w:tc>
          <w:tcPr>
            <w:tcW w:w="1398" w:type="dxa"/>
            <w:tcBorders>
              <w:top w:val="nil"/>
              <w:left w:val="nil"/>
              <w:bottom w:val="single" w:sz="4" w:space="0" w:color="auto"/>
              <w:right w:val="single" w:sz="4" w:space="0" w:color="auto"/>
            </w:tcBorders>
            <w:shd w:val="clear" w:color="auto" w:fill="auto"/>
            <w:noWrap/>
            <w:vAlign w:val="center"/>
            <w:hideMark/>
          </w:tcPr>
          <w:p w14:paraId="0A9E6A9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-10.6</w:t>
            </w:r>
          </w:p>
        </w:tc>
      </w:tr>
      <w:tr w:rsidR="001F0D5B" w:rsidRPr="00203CF0" w14:paraId="78A686D2"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44DCF143"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6B2072AD"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56DC40C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5AAEA5F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7921654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1137DE6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275C5F3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1DBD0770"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77D31A5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3EEA2A64"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278F1303"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36D92325"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326201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28AA613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2B6101D5"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4390035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06DD454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71B857E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48109327"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685F3334"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9156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407</w:t>
            </w:r>
            <w:r>
              <w:rPr>
                <w:rFonts w:ascii="Calibri" w:hAnsi="Calibri" w:cs="Calibri"/>
                <w:color w:val="000000"/>
                <w:sz w:val="18"/>
                <w:szCs w:val="18"/>
              </w:rPr>
              <w:t xml:space="preserve"> </w:t>
            </w:r>
            <w:r w:rsidRPr="00203CF0">
              <w:rPr>
                <w:rFonts w:ascii="Calibri" w:hAnsi="Calibri" w:cs="Calibri"/>
                <w:color w:val="000000"/>
                <w:sz w:val="18"/>
                <w:szCs w:val="18"/>
              </w:rPr>
              <w:t>Loddon</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266A01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2617F7A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0085B4F1"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-13.2</w:t>
            </w:r>
          </w:p>
        </w:tc>
        <w:tc>
          <w:tcPr>
            <w:tcW w:w="1069" w:type="dxa"/>
            <w:tcBorders>
              <w:top w:val="nil"/>
              <w:left w:val="nil"/>
              <w:bottom w:val="single" w:sz="4" w:space="0" w:color="auto"/>
              <w:right w:val="single" w:sz="4" w:space="0" w:color="auto"/>
            </w:tcBorders>
            <w:shd w:val="clear" w:color="auto" w:fill="auto"/>
            <w:noWrap/>
            <w:vAlign w:val="center"/>
            <w:hideMark/>
          </w:tcPr>
          <w:p w14:paraId="247B362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-10.5</w:t>
            </w:r>
          </w:p>
        </w:tc>
        <w:tc>
          <w:tcPr>
            <w:tcW w:w="1272" w:type="dxa"/>
            <w:tcBorders>
              <w:top w:val="nil"/>
              <w:left w:val="nil"/>
              <w:bottom w:val="single" w:sz="4" w:space="0" w:color="auto"/>
              <w:right w:val="single" w:sz="4" w:space="0" w:color="auto"/>
            </w:tcBorders>
            <w:shd w:val="clear" w:color="auto" w:fill="auto"/>
            <w:noWrap/>
            <w:vAlign w:val="center"/>
            <w:hideMark/>
          </w:tcPr>
          <w:p w14:paraId="25D93D4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-18.1</w:t>
            </w:r>
          </w:p>
        </w:tc>
        <w:tc>
          <w:tcPr>
            <w:tcW w:w="1157" w:type="dxa"/>
            <w:tcBorders>
              <w:top w:val="nil"/>
              <w:left w:val="nil"/>
              <w:bottom w:val="single" w:sz="4" w:space="0" w:color="auto"/>
              <w:right w:val="single" w:sz="4" w:space="0" w:color="auto"/>
            </w:tcBorders>
            <w:shd w:val="clear" w:color="auto" w:fill="auto"/>
            <w:noWrap/>
            <w:vAlign w:val="center"/>
            <w:hideMark/>
          </w:tcPr>
          <w:p w14:paraId="1A109A3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-33.4</w:t>
            </w:r>
          </w:p>
        </w:tc>
        <w:tc>
          <w:tcPr>
            <w:tcW w:w="1038" w:type="dxa"/>
            <w:tcBorders>
              <w:top w:val="nil"/>
              <w:left w:val="nil"/>
              <w:bottom w:val="single" w:sz="4" w:space="0" w:color="auto"/>
              <w:right w:val="single" w:sz="4" w:space="0" w:color="auto"/>
            </w:tcBorders>
            <w:shd w:val="clear" w:color="auto" w:fill="auto"/>
            <w:noWrap/>
            <w:vAlign w:val="center"/>
            <w:hideMark/>
          </w:tcPr>
          <w:p w14:paraId="09F9ABE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-21.9</w:t>
            </w:r>
          </w:p>
        </w:tc>
        <w:tc>
          <w:tcPr>
            <w:tcW w:w="1398" w:type="dxa"/>
            <w:tcBorders>
              <w:top w:val="nil"/>
              <w:left w:val="nil"/>
              <w:bottom w:val="single" w:sz="4" w:space="0" w:color="auto"/>
              <w:right w:val="single" w:sz="4" w:space="0" w:color="auto"/>
            </w:tcBorders>
            <w:shd w:val="clear" w:color="auto" w:fill="auto"/>
            <w:noWrap/>
            <w:vAlign w:val="center"/>
            <w:hideMark/>
          </w:tcPr>
          <w:p w14:paraId="4A45872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-11.3</w:t>
            </w:r>
          </w:p>
        </w:tc>
      </w:tr>
      <w:tr w:rsidR="001F0D5B" w:rsidRPr="00203CF0" w14:paraId="20F17408"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73C4B6D"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4F265FE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0E39E97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5EBDB40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2EB01C7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3540528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7FABBED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7AC5333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7A4AC19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496366CD"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69FD16F8"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2D670D8C"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657F8B7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6915A19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7DE48CB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43F6720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6080C5E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47358044"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6A869DD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467EEE4C"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BAAC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408</w:t>
            </w:r>
            <w:r>
              <w:rPr>
                <w:rFonts w:ascii="Calibri" w:hAnsi="Calibri" w:cs="Calibri"/>
                <w:color w:val="000000"/>
                <w:sz w:val="18"/>
                <w:szCs w:val="18"/>
              </w:rPr>
              <w:t xml:space="preserve"> </w:t>
            </w:r>
            <w:r w:rsidRPr="00203CF0">
              <w:rPr>
                <w:rFonts w:ascii="Calibri" w:hAnsi="Calibri" w:cs="Calibri"/>
                <w:color w:val="000000"/>
                <w:sz w:val="18"/>
                <w:szCs w:val="18"/>
              </w:rPr>
              <w:t>Avoca</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E845CA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06E2646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631B98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-11.1</w:t>
            </w:r>
          </w:p>
        </w:tc>
        <w:tc>
          <w:tcPr>
            <w:tcW w:w="1069" w:type="dxa"/>
            <w:tcBorders>
              <w:top w:val="nil"/>
              <w:left w:val="nil"/>
              <w:bottom w:val="single" w:sz="4" w:space="0" w:color="auto"/>
              <w:right w:val="single" w:sz="4" w:space="0" w:color="auto"/>
            </w:tcBorders>
            <w:shd w:val="clear" w:color="auto" w:fill="auto"/>
            <w:noWrap/>
            <w:vAlign w:val="center"/>
            <w:hideMark/>
          </w:tcPr>
          <w:p w14:paraId="2CA827A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-9.9</w:t>
            </w:r>
          </w:p>
        </w:tc>
        <w:tc>
          <w:tcPr>
            <w:tcW w:w="1272" w:type="dxa"/>
            <w:tcBorders>
              <w:top w:val="nil"/>
              <w:left w:val="nil"/>
              <w:bottom w:val="single" w:sz="4" w:space="0" w:color="auto"/>
              <w:right w:val="single" w:sz="4" w:space="0" w:color="auto"/>
            </w:tcBorders>
            <w:shd w:val="clear" w:color="auto" w:fill="auto"/>
            <w:noWrap/>
            <w:vAlign w:val="center"/>
            <w:hideMark/>
          </w:tcPr>
          <w:p w14:paraId="4A06B5F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-17.5</w:t>
            </w:r>
          </w:p>
        </w:tc>
        <w:tc>
          <w:tcPr>
            <w:tcW w:w="1157" w:type="dxa"/>
            <w:tcBorders>
              <w:top w:val="nil"/>
              <w:left w:val="nil"/>
              <w:bottom w:val="single" w:sz="4" w:space="0" w:color="auto"/>
              <w:right w:val="single" w:sz="4" w:space="0" w:color="auto"/>
            </w:tcBorders>
            <w:shd w:val="clear" w:color="auto" w:fill="auto"/>
            <w:noWrap/>
            <w:vAlign w:val="center"/>
            <w:hideMark/>
          </w:tcPr>
          <w:p w14:paraId="7E7FC5A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-33.2</w:t>
            </w:r>
          </w:p>
        </w:tc>
        <w:tc>
          <w:tcPr>
            <w:tcW w:w="1038" w:type="dxa"/>
            <w:tcBorders>
              <w:top w:val="nil"/>
              <w:left w:val="nil"/>
              <w:bottom w:val="single" w:sz="4" w:space="0" w:color="auto"/>
              <w:right w:val="single" w:sz="4" w:space="0" w:color="auto"/>
            </w:tcBorders>
            <w:shd w:val="clear" w:color="auto" w:fill="auto"/>
            <w:noWrap/>
            <w:vAlign w:val="center"/>
            <w:hideMark/>
          </w:tcPr>
          <w:p w14:paraId="06CF953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-20.2</w:t>
            </w:r>
          </w:p>
        </w:tc>
        <w:tc>
          <w:tcPr>
            <w:tcW w:w="1398" w:type="dxa"/>
            <w:tcBorders>
              <w:top w:val="nil"/>
              <w:left w:val="nil"/>
              <w:bottom w:val="single" w:sz="4" w:space="0" w:color="auto"/>
              <w:right w:val="single" w:sz="4" w:space="0" w:color="auto"/>
            </w:tcBorders>
            <w:shd w:val="clear" w:color="auto" w:fill="auto"/>
            <w:noWrap/>
            <w:vAlign w:val="center"/>
            <w:hideMark/>
          </w:tcPr>
          <w:p w14:paraId="649BC26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-10.5</w:t>
            </w:r>
          </w:p>
        </w:tc>
      </w:tr>
      <w:tr w:rsidR="001F0D5B" w:rsidRPr="00203CF0" w14:paraId="65409E6B"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0E88A883"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2BB56755"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6949F52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554DD73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264740B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168A622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55E367ED"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1016C41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546C994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1D3ACE9B"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7B0A4B1B"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54F03BA6"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1F2D3E6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25C09D6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6962A4D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085BEAEA"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494FB5B3"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11FA71B1"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4FE848B9"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3825E919"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4CB4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414</w:t>
            </w:r>
            <w:r>
              <w:rPr>
                <w:rFonts w:ascii="Calibri" w:hAnsi="Calibri" w:cs="Calibri"/>
                <w:color w:val="000000"/>
                <w:sz w:val="18"/>
                <w:szCs w:val="18"/>
              </w:rPr>
              <w:t xml:space="preserve"> </w:t>
            </w:r>
            <w:r w:rsidRPr="00203CF0">
              <w:rPr>
                <w:rFonts w:ascii="Calibri" w:hAnsi="Calibri" w:cs="Calibri"/>
                <w:color w:val="000000"/>
                <w:sz w:val="18"/>
                <w:szCs w:val="18"/>
              </w:rPr>
              <w:t>Mallee</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CC73AC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622607E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680A2A8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-6.5</w:t>
            </w:r>
          </w:p>
        </w:tc>
        <w:tc>
          <w:tcPr>
            <w:tcW w:w="1069" w:type="dxa"/>
            <w:tcBorders>
              <w:top w:val="nil"/>
              <w:left w:val="nil"/>
              <w:bottom w:val="single" w:sz="4" w:space="0" w:color="auto"/>
              <w:right w:val="single" w:sz="4" w:space="0" w:color="auto"/>
            </w:tcBorders>
            <w:shd w:val="clear" w:color="auto" w:fill="auto"/>
            <w:noWrap/>
            <w:vAlign w:val="center"/>
            <w:hideMark/>
          </w:tcPr>
          <w:p w14:paraId="690EF97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-8.9</w:t>
            </w:r>
          </w:p>
        </w:tc>
        <w:tc>
          <w:tcPr>
            <w:tcW w:w="1272" w:type="dxa"/>
            <w:tcBorders>
              <w:top w:val="nil"/>
              <w:left w:val="nil"/>
              <w:bottom w:val="single" w:sz="4" w:space="0" w:color="auto"/>
              <w:right w:val="single" w:sz="4" w:space="0" w:color="auto"/>
            </w:tcBorders>
            <w:shd w:val="clear" w:color="auto" w:fill="auto"/>
            <w:noWrap/>
            <w:vAlign w:val="center"/>
            <w:hideMark/>
          </w:tcPr>
          <w:p w14:paraId="7E859522"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-19.2</w:t>
            </w:r>
          </w:p>
        </w:tc>
        <w:tc>
          <w:tcPr>
            <w:tcW w:w="1157" w:type="dxa"/>
            <w:tcBorders>
              <w:top w:val="nil"/>
              <w:left w:val="nil"/>
              <w:bottom w:val="single" w:sz="4" w:space="0" w:color="auto"/>
              <w:right w:val="single" w:sz="4" w:space="0" w:color="auto"/>
            </w:tcBorders>
            <w:shd w:val="clear" w:color="auto" w:fill="auto"/>
            <w:noWrap/>
            <w:vAlign w:val="center"/>
            <w:hideMark/>
          </w:tcPr>
          <w:p w14:paraId="65B7350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-31.4</w:t>
            </w:r>
          </w:p>
        </w:tc>
        <w:tc>
          <w:tcPr>
            <w:tcW w:w="1038" w:type="dxa"/>
            <w:tcBorders>
              <w:top w:val="nil"/>
              <w:left w:val="nil"/>
              <w:bottom w:val="single" w:sz="4" w:space="0" w:color="auto"/>
              <w:right w:val="single" w:sz="4" w:space="0" w:color="auto"/>
            </w:tcBorders>
            <w:shd w:val="clear" w:color="auto" w:fill="auto"/>
            <w:noWrap/>
            <w:vAlign w:val="center"/>
            <w:hideMark/>
          </w:tcPr>
          <w:p w14:paraId="407B5618"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-19.2</w:t>
            </w:r>
          </w:p>
        </w:tc>
        <w:tc>
          <w:tcPr>
            <w:tcW w:w="1398" w:type="dxa"/>
            <w:tcBorders>
              <w:top w:val="nil"/>
              <w:left w:val="nil"/>
              <w:bottom w:val="single" w:sz="4" w:space="0" w:color="auto"/>
              <w:right w:val="single" w:sz="4" w:space="0" w:color="auto"/>
            </w:tcBorders>
            <w:shd w:val="clear" w:color="auto" w:fill="auto"/>
            <w:noWrap/>
            <w:vAlign w:val="center"/>
            <w:hideMark/>
          </w:tcPr>
          <w:p w14:paraId="56A2A1C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-8.5</w:t>
            </w:r>
          </w:p>
        </w:tc>
      </w:tr>
      <w:tr w:rsidR="001F0D5B" w:rsidRPr="00203CF0" w14:paraId="7C63746B"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16C43B1"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516DAE73"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77CA40C0"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2522F0D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Median</w:t>
            </w:r>
          </w:p>
        </w:tc>
        <w:tc>
          <w:tcPr>
            <w:tcW w:w="1069" w:type="dxa"/>
            <w:tcBorders>
              <w:top w:val="nil"/>
              <w:left w:val="nil"/>
              <w:bottom w:val="single" w:sz="4" w:space="0" w:color="auto"/>
              <w:right w:val="single" w:sz="4" w:space="0" w:color="auto"/>
            </w:tcBorders>
            <w:shd w:val="clear" w:color="auto" w:fill="auto"/>
            <w:vAlign w:val="center"/>
            <w:hideMark/>
          </w:tcPr>
          <w:p w14:paraId="487D97D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1537982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10D50A1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auto" w:fill="auto"/>
            <w:vAlign w:val="center"/>
            <w:hideMark/>
          </w:tcPr>
          <w:p w14:paraId="57F0690C"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398" w:type="dxa"/>
            <w:tcBorders>
              <w:top w:val="nil"/>
              <w:left w:val="nil"/>
              <w:bottom w:val="single" w:sz="4" w:space="0" w:color="auto"/>
              <w:right w:val="single" w:sz="4" w:space="0" w:color="auto"/>
            </w:tcBorders>
            <w:shd w:val="clear" w:color="auto" w:fill="auto"/>
            <w:vAlign w:val="center"/>
            <w:hideMark/>
          </w:tcPr>
          <w:p w14:paraId="3CFACBA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r w:rsidR="001F0D5B" w:rsidRPr="00203CF0" w14:paraId="093561B3" w14:textId="77777777" w:rsidTr="001F0D5B">
        <w:trPr>
          <w:trHeight w:val="210"/>
        </w:trPr>
        <w:tc>
          <w:tcPr>
            <w:tcW w:w="1168" w:type="dxa"/>
            <w:tcBorders>
              <w:top w:val="nil"/>
              <w:left w:val="nil"/>
              <w:bottom w:val="single" w:sz="4" w:space="0" w:color="auto"/>
              <w:right w:val="single" w:sz="4" w:space="0" w:color="auto"/>
            </w:tcBorders>
            <w:shd w:val="clear" w:color="000000" w:fill="808080"/>
            <w:noWrap/>
            <w:vAlign w:val="bottom"/>
            <w:hideMark/>
          </w:tcPr>
          <w:p w14:paraId="0E763A44" w14:textId="77777777" w:rsidR="007B29DD" w:rsidRPr="00203CF0" w:rsidRDefault="007B29DD" w:rsidP="00306AF1">
            <w:pPr>
              <w:spacing w:line="240" w:lineRule="auto"/>
              <w:jc w:val="cente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000000" w:fill="808080"/>
            <w:noWrap/>
            <w:vAlign w:val="center"/>
            <w:hideMark/>
          </w:tcPr>
          <w:p w14:paraId="68A5ECE3" w14:textId="77777777" w:rsidR="007B29DD" w:rsidRPr="00203CF0" w:rsidRDefault="007B29DD" w:rsidP="00306AF1">
            <w:pPr>
              <w:spacing w:line="240" w:lineRule="auto"/>
              <w:jc w:val="center"/>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808080"/>
            <w:noWrap/>
            <w:vAlign w:val="bottom"/>
            <w:hideMark/>
          </w:tcPr>
          <w:p w14:paraId="407DA46B"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000000" w:fill="808080"/>
            <w:noWrap/>
            <w:vAlign w:val="bottom"/>
            <w:hideMark/>
          </w:tcPr>
          <w:p w14:paraId="2F19828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69" w:type="dxa"/>
            <w:tcBorders>
              <w:top w:val="nil"/>
              <w:left w:val="nil"/>
              <w:bottom w:val="single" w:sz="4" w:space="0" w:color="auto"/>
              <w:right w:val="single" w:sz="4" w:space="0" w:color="auto"/>
            </w:tcBorders>
            <w:shd w:val="clear" w:color="000000" w:fill="808080"/>
            <w:noWrap/>
            <w:vAlign w:val="bottom"/>
            <w:hideMark/>
          </w:tcPr>
          <w:p w14:paraId="00B2215C"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272" w:type="dxa"/>
            <w:tcBorders>
              <w:top w:val="nil"/>
              <w:left w:val="nil"/>
              <w:bottom w:val="single" w:sz="4" w:space="0" w:color="auto"/>
              <w:right w:val="single" w:sz="4" w:space="0" w:color="auto"/>
            </w:tcBorders>
            <w:shd w:val="clear" w:color="000000" w:fill="808080"/>
            <w:noWrap/>
            <w:vAlign w:val="bottom"/>
            <w:hideMark/>
          </w:tcPr>
          <w:p w14:paraId="4CB67A7F"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157" w:type="dxa"/>
            <w:tcBorders>
              <w:top w:val="nil"/>
              <w:left w:val="nil"/>
              <w:bottom w:val="single" w:sz="4" w:space="0" w:color="auto"/>
              <w:right w:val="single" w:sz="4" w:space="0" w:color="auto"/>
            </w:tcBorders>
            <w:shd w:val="clear" w:color="000000" w:fill="808080"/>
            <w:noWrap/>
            <w:vAlign w:val="bottom"/>
            <w:hideMark/>
          </w:tcPr>
          <w:p w14:paraId="0F863D32"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038" w:type="dxa"/>
            <w:tcBorders>
              <w:top w:val="nil"/>
              <w:left w:val="nil"/>
              <w:bottom w:val="single" w:sz="4" w:space="0" w:color="auto"/>
              <w:right w:val="single" w:sz="4" w:space="0" w:color="auto"/>
            </w:tcBorders>
            <w:shd w:val="clear" w:color="000000" w:fill="808080"/>
            <w:noWrap/>
            <w:vAlign w:val="bottom"/>
            <w:hideMark/>
          </w:tcPr>
          <w:p w14:paraId="2BE66B0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c>
          <w:tcPr>
            <w:tcW w:w="1398" w:type="dxa"/>
            <w:tcBorders>
              <w:top w:val="nil"/>
              <w:left w:val="nil"/>
              <w:bottom w:val="single" w:sz="4" w:space="0" w:color="auto"/>
              <w:right w:val="single" w:sz="4" w:space="0" w:color="auto"/>
            </w:tcBorders>
            <w:shd w:val="clear" w:color="000000" w:fill="808080"/>
            <w:noWrap/>
            <w:vAlign w:val="bottom"/>
            <w:hideMark/>
          </w:tcPr>
          <w:p w14:paraId="41A59AEE"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 </w:t>
            </w:r>
          </w:p>
        </w:tc>
      </w:tr>
      <w:tr w:rsidR="001F0D5B" w:rsidRPr="00203CF0" w14:paraId="0F6B4ABC" w14:textId="77777777" w:rsidTr="001F0D5B">
        <w:trPr>
          <w:trHeight w:val="300"/>
        </w:trPr>
        <w:tc>
          <w:tcPr>
            <w:tcW w:w="11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F1BD35"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415</w:t>
            </w:r>
            <w:r>
              <w:rPr>
                <w:rFonts w:ascii="Calibri" w:hAnsi="Calibri" w:cs="Calibri"/>
                <w:color w:val="000000"/>
                <w:sz w:val="18"/>
                <w:szCs w:val="18"/>
              </w:rPr>
              <w:t xml:space="preserve"> </w:t>
            </w:r>
            <w:r w:rsidRPr="00203CF0">
              <w:rPr>
                <w:rFonts w:ascii="Calibri" w:hAnsi="Calibri" w:cs="Calibri"/>
                <w:color w:val="000000"/>
                <w:sz w:val="18"/>
                <w:szCs w:val="18"/>
              </w:rPr>
              <w:t>Wimmera</w:t>
            </w:r>
          </w:p>
        </w:tc>
        <w:tc>
          <w:tcPr>
            <w:tcW w:w="581"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7F48866"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2065</w:t>
            </w:r>
          </w:p>
        </w:tc>
        <w:tc>
          <w:tcPr>
            <w:tcW w:w="1365" w:type="dxa"/>
            <w:tcBorders>
              <w:top w:val="nil"/>
              <w:left w:val="nil"/>
              <w:bottom w:val="single" w:sz="4" w:space="0" w:color="auto"/>
              <w:right w:val="single" w:sz="4" w:space="0" w:color="auto"/>
            </w:tcBorders>
            <w:shd w:val="clear" w:color="000000" w:fill="F2F2F2"/>
            <w:noWrap/>
            <w:vAlign w:val="bottom"/>
            <w:hideMark/>
          </w:tcPr>
          <w:p w14:paraId="5B218B58"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VCP19 (Bias Corrected)</w:t>
            </w:r>
          </w:p>
        </w:tc>
        <w:tc>
          <w:tcPr>
            <w:tcW w:w="992" w:type="dxa"/>
            <w:tcBorders>
              <w:top w:val="nil"/>
              <w:left w:val="nil"/>
              <w:bottom w:val="single" w:sz="4" w:space="0" w:color="auto"/>
              <w:right w:val="single" w:sz="4" w:space="0" w:color="auto"/>
            </w:tcBorders>
            <w:shd w:val="clear" w:color="auto" w:fill="auto"/>
            <w:noWrap/>
            <w:vAlign w:val="center"/>
            <w:hideMark/>
          </w:tcPr>
          <w:p w14:paraId="30EB8417"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-10.9</w:t>
            </w:r>
          </w:p>
        </w:tc>
        <w:tc>
          <w:tcPr>
            <w:tcW w:w="1069" w:type="dxa"/>
            <w:tcBorders>
              <w:top w:val="nil"/>
              <w:left w:val="nil"/>
              <w:bottom w:val="single" w:sz="4" w:space="0" w:color="auto"/>
              <w:right w:val="single" w:sz="4" w:space="0" w:color="auto"/>
            </w:tcBorders>
            <w:shd w:val="clear" w:color="auto" w:fill="auto"/>
            <w:noWrap/>
            <w:vAlign w:val="center"/>
            <w:hideMark/>
          </w:tcPr>
          <w:p w14:paraId="56372704"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-11.6</w:t>
            </w:r>
          </w:p>
        </w:tc>
        <w:tc>
          <w:tcPr>
            <w:tcW w:w="1272" w:type="dxa"/>
            <w:tcBorders>
              <w:top w:val="nil"/>
              <w:left w:val="nil"/>
              <w:bottom w:val="single" w:sz="4" w:space="0" w:color="auto"/>
              <w:right w:val="single" w:sz="4" w:space="0" w:color="auto"/>
            </w:tcBorders>
            <w:shd w:val="clear" w:color="auto" w:fill="auto"/>
            <w:noWrap/>
            <w:vAlign w:val="center"/>
            <w:hideMark/>
          </w:tcPr>
          <w:p w14:paraId="1CE0BB4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-20.6</w:t>
            </w:r>
          </w:p>
        </w:tc>
        <w:tc>
          <w:tcPr>
            <w:tcW w:w="1157" w:type="dxa"/>
            <w:tcBorders>
              <w:top w:val="nil"/>
              <w:left w:val="nil"/>
              <w:bottom w:val="single" w:sz="4" w:space="0" w:color="auto"/>
              <w:right w:val="single" w:sz="4" w:space="0" w:color="auto"/>
            </w:tcBorders>
            <w:shd w:val="clear" w:color="auto" w:fill="auto"/>
            <w:noWrap/>
            <w:vAlign w:val="center"/>
            <w:hideMark/>
          </w:tcPr>
          <w:p w14:paraId="747DE2DE"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-33.0</w:t>
            </w:r>
          </w:p>
        </w:tc>
        <w:tc>
          <w:tcPr>
            <w:tcW w:w="1038" w:type="dxa"/>
            <w:tcBorders>
              <w:top w:val="nil"/>
              <w:left w:val="nil"/>
              <w:bottom w:val="single" w:sz="4" w:space="0" w:color="auto"/>
              <w:right w:val="single" w:sz="4" w:space="0" w:color="auto"/>
            </w:tcBorders>
            <w:shd w:val="clear" w:color="auto" w:fill="auto"/>
            <w:noWrap/>
            <w:vAlign w:val="center"/>
            <w:hideMark/>
          </w:tcPr>
          <w:p w14:paraId="1C754873"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-23.1</w:t>
            </w:r>
          </w:p>
        </w:tc>
        <w:tc>
          <w:tcPr>
            <w:tcW w:w="1398" w:type="dxa"/>
            <w:tcBorders>
              <w:top w:val="nil"/>
              <w:left w:val="nil"/>
              <w:bottom w:val="single" w:sz="4" w:space="0" w:color="auto"/>
              <w:right w:val="single" w:sz="4" w:space="0" w:color="auto"/>
            </w:tcBorders>
            <w:shd w:val="clear" w:color="auto" w:fill="auto"/>
            <w:noWrap/>
            <w:vAlign w:val="center"/>
            <w:hideMark/>
          </w:tcPr>
          <w:p w14:paraId="5A69298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-10.5</w:t>
            </w:r>
          </w:p>
        </w:tc>
      </w:tr>
      <w:tr w:rsidR="001F0D5B" w:rsidRPr="00203CF0" w14:paraId="60517428" w14:textId="77777777" w:rsidTr="001F0D5B">
        <w:trPr>
          <w:trHeight w:val="300"/>
        </w:trPr>
        <w:tc>
          <w:tcPr>
            <w:tcW w:w="1168" w:type="dxa"/>
            <w:vMerge/>
            <w:tcBorders>
              <w:top w:val="nil"/>
              <w:left w:val="single" w:sz="4" w:space="0" w:color="auto"/>
              <w:bottom w:val="single" w:sz="4" w:space="0" w:color="auto"/>
              <w:right w:val="single" w:sz="4" w:space="0" w:color="auto"/>
            </w:tcBorders>
            <w:vAlign w:val="center"/>
            <w:hideMark/>
          </w:tcPr>
          <w:p w14:paraId="221EB93C" w14:textId="77777777" w:rsidR="007B29DD" w:rsidRPr="00203CF0" w:rsidRDefault="007B29DD" w:rsidP="00306AF1">
            <w:pPr>
              <w:spacing w:line="240" w:lineRule="auto"/>
              <w:rPr>
                <w:rFonts w:ascii="Calibri" w:hAnsi="Calibri" w:cs="Calibri"/>
                <w:color w:val="000000"/>
                <w:sz w:val="18"/>
                <w:szCs w:val="18"/>
              </w:rPr>
            </w:pPr>
          </w:p>
        </w:tc>
        <w:tc>
          <w:tcPr>
            <w:tcW w:w="581" w:type="dxa"/>
            <w:vMerge/>
            <w:tcBorders>
              <w:top w:val="nil"/>
              <w:left w:val="single" w:sz="4" w:space="0" w:color="auto"/>
              <w:bottom w:val="single" w:sz="4" w:space="0" w:color="auto"/>
              <w:right w:val="single" w:sz="4" w:space="0" w:color="auto"/>
            </w:tcBorders>
            <w:vAlign w:val="center"/>
            <w:hideMark/>
          </w:tcPr>
          <w:p w14:paraId="0FB4E959" w14:textId="77777777" w:rsidR="007B29DD" w:rsidRPr="00203CF0" w:rsidRDefault="007B29DD" w:rsidP="00306AF1">
            <w:pPr>
              <w:spacing w:line="240" w:lineRule="auto"/>
              <w:rPr>
                <w:rFonts w:ascii="Calibri" w:hAnsi="Calibri" w:cs="Calibri"/>
                <w:color w:val="000000"/>
                <w:sz w:val="18"/>
                <w:szCs w:val="18"/>
              </w:rPr>
            </w:pPr>
          </w:p>
        </w:tc>
        <w:tc>
          <w:tcPr>
            <w:tcW w:w="1365" w:type="dxa"/>
            <w:tcBorders>
              <w:top w:val="nil"/>
              <w:left w:val="nil"/>
              <w:bottom w:val="single" w:sz="4" w:space="0" w:color="auto"/>
              <w:right w:val="single" w:sz="4" w:space="0" w:color="auto"/>
            </w:tcBorders>
            <w:shd w:val="clear" w:color="000000" w:fill="F2F2F2"/>
            <w:noWrap/>
            <w:vAlign w:val="bottom"/>
            <w:hideMark/>
          </w:tcPr>
          <w:p w14:paraId="2A68B7CD" w14:textId="77777777" w:rsidR="007B29DD" w:rsidRPr="00203CF0" w:rsidRDefault="007B29DD" w:rsidP="00306AF1">
            <w:pPr>
              <w:spacing w:line="240" w:lineRule="auto"/>
              <w:rPr>
                <w:rFonts w:ascii="Calibri" w:hAnsi="Calibri" w:cs="Calibri"/>
                <w:color w:val="000000"/>
                <w:sz w:val="18"/>
                <w:szCs w:val="18"/>
              </w:rPr>
            </w:pPr>
            <w:r w:rsidRPr="00203CF0">
              <w:rPr>
                <w:rFonts w:ascii="Calibri" w:hAnsi="Calibri" w:cs="Calibri"/>
                <w:color w:val="000000"/>
                <w:sz w:val="18"/>
                <w:szCs w:val="18"/>
              </w:rPr>
              <w:t>VicCI equivalent</w:t>
            </w:r>
          </w:p>
        </w:tc>
        <w:tc>
          <w:tcPr>
            <w:tcW w:w="992" w:type="dxa"/>
            <w:tcBorders>
              <w:top w:val="nil"/>
              <w:left w:val="nil"/>
              <w:bottom w:val="single" w:sz="4" w:space="0" w:color="auto"/>
              <w:right w:val="single" w:sz="4" w:space="0" w:color="auto"/>
            </w:tcBorders>
            <w:shd w:val="clear" w:color="auto" w:fill="auto"/>
            <w:vAlign w:val="center"/>
            <w:hideMark/>
          </w:tcPr>
          <w:p w14:paraId="0E5FFD5B"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069" w:type="dxa"/>
            <w:tcBorders>
              <w:top w:val="nil"/>
              <w:left w:val="nil"/>
              <w:bottom w:val="single" w:sz="4" w:space="0" w:color="auto"/>
              <w:right w:val="single" w:sz="4" w:space="0" w:color="auto"/>
            </w:tcBorders>
            <w:shd w:val="clear" w:color="auto" w:fill="auto"/>
            <w:vAlign w:val="center"/>
            <w:hideMark/>
          </w:tcPr>
          <w:p w14:paraId="13874349"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272" w:type="dxa"/>
            <w:tcBorders>
              <w:top w:val="nil"/>
              <w:left w:val="nil"/>
              <w:bottom w:val="single" w:sz="4" w:space="0" w:color="auto"/>
              <w:right w:val="single" w:sz="4" w:space="0" w:color="auto"/>
            </w:tcBorders>
            <w:shd w:val="clear" w:color="auto" w:fill="auto"/>
            <w:vAlign w:val="center"/>
            <w:hideMark/>
          </w:tcPr>
          <w:p w14:paraId="472CF5F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c>
          <w:tcPr>
            <w:tcW w:w="1157" w:type="dxa"/>
            <w:tcBorders>
              <w:top w:val="nil"/>
              <w:left w:val="nil"/>
              <w:bottom w:val="single" w:sz="4" w:space="0" w:color="auto"/>
              <w:right w:val="single" w:sz="4" w:space="0" w:color="auto"/>
            </w:tcBorders>
            <w:shd w:val="clear" w:color="000000" w:fill="FFCCCC"/>
            <w:vAlign w:val="center"/>
            <w:hideMark/>
          </w:tcPr>
          <w:p w14:paraId="22E542F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038" w:type="dxa"/>
            <w:tcBorders>
              <w:top w:val="nil"/>
              <w:left w:val="nil"/>
              <w:bottom w:val="single" w:sz="4" w:space="0" w:color="auto"/>
              <w:right w:val="single" w:sz="4" w:space="0" w:color="auto"/>
            </w:tcBorders>
            <w:shd w:val="clear" w:color="000000" w:fill="FFCCCC"/>
            <w:vAlign w:val="center"/>
            <w:hideMark/>
          </w:tcPr>
          <w:p w14:paraId="50472B6A"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Drier than High</w:t>
            </w:r>
          </w:p>
        </w:tc>
        <w:tc>
          <w:tcPr>
            <w:tcW w:w="1398" w:type="dxa"/>
            <w:tcBorders>
              <w:top w:val="nil"/>
              <w:left w:val="nil"/>
              <w:bottom w:val="single" w:sz="4" w:space="0" w:color="auto"/>
              <w:right w:val="single" w:sz="4" w:space="0" w:color="auto"/>
            </w:tcBorders>
            <w:shd w:val="clear" w:color="auto" w:fill="auto"/>
            <w:vAlign w:val="center"/>
            <w:hideMark/>
          </w:tcPr>
          <w:p w14:paraId="55595CFF" w14:textId="77777777" w:rsidR="007B29DD" w:rsidRPr="00203CF0" w:rsidRDefault="007B29DD" w:rsidP="00306AF1">
            <w:pPr>
              <w:spacing w:line="240" w:lineRule="auto"/>
              <w:jc w:val="center"/>
              <w:rPr>
                <w:rFonts w:ascii="Calibri" w:hAnsi="Calibri" w:cs="Calibri"/>
                <w:color w:val="000000"/>
                <w:sz w:val="18"/>
                <w:szCs w:val="18"/>
              </w:rPr>
            </w:pPr>
            <w:r w:rsidRPr="00203CF0">
              <w:rPr>
                <w:rFonts w:ascii="Calibri" w:hAnsi="Calibri" w:cs="Calibri"/>
                <w:color w:val="000000"/>
                <w:sz w:val="18"/>
                <w:szCs w:val="18"/>
              </w:rPr>
              <w:t>Med-High</w:t>
            </w:r>
          </w:p>
        </w:tc>
      </w:tr>
    </w:tbl>
    <w:p w14:paraId="2FE21459" w14:textId="77777777" w:rsidR="007B29DD" w:rsidRDefault="007B29DD" w:rsidP="007B29DD">
      <w:pPr>
        <w:pStyle w:val="BodyText"/>
        <w:rPr>
          <w:lang w:eastAsia="en-AU"/>
        </w:rPr>
      </w:pPr>
    </w:p>
    <w:p w14:paraId="0F3370CD" w14:textId="77777777" w:rsidR="007B29DD" w:rsidRPr="006576D4" w:rsidRDefault="007B29DD" w:rsidP="007B29DD">
      <w:pPr>
        <w:pStyle w:val="BodyText"/>
        <w:rPr>
          <w:lang w:eastAsia="en-AU"/>
        </w:rPr>
      </w:pPr>
    </w:p>
    <w:p w14:paraId="437B337A" w14:textId="77777777" w:rsidR="007B29DD" w:rsidRPr="00E44CBB" w:rsidRDefault="007B29DD" w:rsidP="007B29DD">
      <w:pPr>
        <w:pStyle w:val="Heading3"/>
        <w:rPr>
          <w:b/>
          <w:bCs/>
          <w:color w:val="000000" w:themeColor="text1"/>
        </w:rPr>
      </w:pPr>
      <w:bookmarkStart w:id="925" w:name="_Toc38957472"/>
      <w:bookmarkStart w:id="926" w:name="_Toc43476535"/>
      <w:bookmarkStart w:id="927" w:name="_Toc44928780"/>
      <w:bookmarkStart w:id="928" w:name="_Toc51658051"/>
      <w:bookmarkStart w:id="929" w:name="_Toc53585956"/>
      <w:bookmarkStart w:id="930" w:name="_Toc57377207"/>
      <w:r w:rsidRPr="00E44CBB">
        <w:rPr>
          <w:b/>
          <w:bCs/>
          <w:color w:val="000000" w:themeColor="text1"/>
        </w:rPr>
        <w:t>B.2.2 NARCliM</w:t>
      </w:r>
      <w:bookmarkEnd w:id="925"/>
      <w:bookmarkEnd w:id="926"/>
      <w:bookmarkEnd w:id="927"/>
      <w:bookmarkEnd w:id="928"/>
      <w:bookmarkEnd w:id="929"/>
      <w:bookmarkEnd w:id="930"/>
    </w:p>
    <w:p w14:paraId="6872A257" w14:textId="77777777" w:rsidR="007B29DD" w:rsidRDefault="007B29DD" w:rsidP="007B29DD">
      <w:pPr>
        <w:pStyle w:val="BodyText"/>
        <w:rPr>
          <w:lang w:eastAsia="en-AU"/>
        </w:rPr>
      </w:pPr>
      <w:r>
        <w:rPr>
          <w:lang w:eastAsia="en-AU"/>
        </w:rPr>
        <w:t xml:space="preserve">NARCliM is the NSW and ACT Regional Climate Modelling Project (NSW DPIE, 2019). However, the high resolution modelling undertaken for this project extends to cover all of Victoria. The project ran the results from four GCMs through three representations of a regional climate model (the Weather and Regional Forecasting model), to generate 12 alternative downscaled climate projections. The three representations included different assumptions around the climate physics in the model. The NARCliM model outputs were used in both the VCP19 (Clarke et al., 2019a) and </w:t>
      </w:r>
      <w:r>
        <w:rPr>
          <w:i/>
          <w:iCs/>
          <w:lang w:eastAsia="en-AU"/>
        </w:rPr>
        <w:t>A Synthesis of Findings from the Victorian Climate Initiative</w:t>
      </w:r>
      <w:r>
        <w:rPr>
          <w:lang w:eastAsia="en-AU"/>
        </w:rPr>
        <w:t xml:space="preserve"> (Hope et al., 2017) for comparison purposes. The VicCI synthesis report comparison indicated that NARCliM generated wetter rainfall changes in northern Victoria, particularly in autumn, and wetter projections in southern Victoria in winter, relative to the VicCI projections. However, the regional climate model adopted for NARCliM targeted better performance in storm events (e.g. to perform better when estimating changes in rainfall intensity), with performance against long-term average rainfall behaviour a secondary consideration.</w:t>
      </w:r>
    </w:p>
    <w:p w14:paraId="10CAC757" w14:textId="77777777" w:rsidR="007B29DD" w:rsidRPr="00904479" w:rsidRDefault="007B29DD" w:rsidP="007B29DD">
      <w:pPr>
        <w:pStyle w:val="BodyText"/>
        <w:rPr>
          <w:highlight w:val="yellow"/>
          <w:lang w:eastAsia="en-AU"/>
        </w:rPr>
      </w:pPr>
      <w:r>
        <w:rPr>
          <w:lang w:eastAsia="en-AU"/>
        </w:rPr>
        <w:t>At the time of writing the guidelines, the NARCliM modelling is in the process of being updated, with new results not due to be released until late 2020. DELWP will consider the suitability and value of the updated NARCliM modelling results for Victoria when they are made available.</w:t>
      </w:r>
    </w:p>
    <w:p w14:paraId="4E4DFF04" w14:textId="77777777" w:rsidR="007B29DD" w:rsidRPr="00E44CBB" w:rsidRDefault="007B29DD" w:rsidP="007B29DD">
      <w:pPr>
        <w:pStyle w:val="Heading3"/>
        <w:rPr>
          <w:b/>
          <w:bCs/>
          <w:color w:val="000000" w:themeColor="text1"/>
        </w:rPr>
      </w:pPr>
      <w:bookmarkStart w:id="931" w:name="_Toc43476536"/>
      <w:bookmarkStart w:id="932" w:name="_Toc44928781"/>
      <w:bookmarkStart w:id="933" w:name="_Toc51658052"/>
      <w:bookmarkStart w:id="934" w:name="_Toc53585957"/>
      <w:bookmarkStart w:id="935" w:name="_Toc57377208"/>
      <w:r w:rsidRPr="00E44CBB">
        <w:rPr>
          <w:b/>
          <w:bCs/>
          <w:color w:val="000000" w:themeColor="text1"/>
        </w:rPr>
        <w:t>B.2.3 Climate Change in Australia NRM Region Projections</w:t>
      </w:r>
      <w:bookmarkEnd w:id="931"/>
      <w:bookmarkEnd w:id="932"/>
      <w:bookmarkEnd w:id="933"/>
      <w:bookmarkEnd w:id="934"/>
      <w:bookmarkEnd w:id="935"/>
    </w:p>
    <w:p w14:paraId="213D0EF4" w14:textId="77777777" w:rsidR="007B29DD" w:rsidRDefault="007B29DD" w:rsidP="007B29DD">
      <w:pPr>
        <w:pStyle w:val="BodyText"/>
        <w:rPr>
          <w:lang w:eastAsia="en-AU"/>
        </w:rPr>
      </w:pPr>
      <w:r>
        <w:rPr>
          <w:lang w:eastAsia="en-AU"/>
        </w:rPr>
        <w:t>The Climate Change in Australia (CCIA) projections for Australia’s NRM regions produced a range of datasets of projected climate change, including changes in air temperature, rainfall and potential evapotranspiration (CSIRO and BoM, 2015). Summary information is available from the CCIA website, with time series datasets available for users who register their details with CSIRO.</w:t>
      </w:r>
    </w:p>
    <w:p w14:paraId="3E735998" w14:textId="77777777" w:rsidR="007B29DD" w:rsidRDefault="007B29DD" w:rsidP="007B29DD">
      <w:pPr>
        <w:pStyle w:val="BodyText"/>
        <w:rPr>
          <w:lang w:eastAsia="en-AU"/>
        </w:rPr>
      </w:pPr>
      <w:r>
        <w:rPr>
          <w:lang w:eastAsia="en-AU"/>
        </w:rPr>
        <w:t>Relative to the projections used in the DELWP guidelines, the CCIA projections have these advantages:</w:t>
      </w:r>
    </w:p>
    <w:p w14:paraId="6A40E379" w14:textId="77777777" w:rsidR="007B29DD" w:rsidRDefault="007B29DD" w:rsidP="007B29DD">
      <w:pPr>
        <w:pStyle w:val="BodyText"/>
        <w:numPr>
          <w:ilvl w:val="0"/>
          <w:numId w:val="52"/>
        </w:numPr>
        <w:rPr>
          <w:lang w:eastAsia="en-AU"/>
        </w:rPr>
      </w:pPr>
      <w:r>
        <w:rPr>
          <w:lang w:eastAsia="en-AU"/>
        </w:rPr>
        <w:t>Projections are available Australia-wide, so can be used in studies for shared water resources that span well beyond the Victorian border</w:t>
      </w:r>
    </w:p>
    <w:p w14:paraId="56638F31" w14:textId="77777777" w:rsidR="007B29DD" w:rsidRDefault="007B29DD" w:rsidP="007B29DD">
      <w:pPr>
        <w:pStyle w:val="BodyText"/>
        <w:numPr>
          <w:ilvl w:val="0"/>
          <w:numId w:val="52"/>
        </w:numPr>
        <w:rPr>
          <w:lang w:eastAsia="en-AU"/>
        </w:rPr>
      </w:pPr>
      <w:r>
        <w:rPr>
          <w:lang w:eastAsia="en-AU"/>
        </w:rPr>
        <w:t>Lower emissions scenarios are available in addition to the emissions scenario adopted in the guidelines</w:t>
      </w:r>
    </w:p>
    <w:p w14:paraId="44793CC4" w14:textId="77777777" w:rsidR="007B29DD" w:rsidRDefault="007B29DD" w:rsidP="007B29DD">
      <w:pPr>
        <w:pStyle w:val="BodyText"/>
        <w:numPr>
          <w:ilvl w:val="0"/>
          <w:numId w:val="52"/>
        </w:numPr>
        <w:rPr>
          <w:lang w:eastAsia="en-AU"/>
        </w:rPr>
      </w:pPr>
      <w:r>
        <w:rPr>
          <w:lang w:eastAsia="en-AU"/>
        </w:rPr>
        <w:t>The projections include an additional, earlier time slice (at 2030, 2050, 2070 and 2090)</w:t>
      </w:r>
    </w:p>
    <w:p w14:paraId="7A1D0F9B" w14:textId="77777777" w:rsidR="007B29DD" w:rsidRDefault="007B29DD" w:rsidP="007B29DD">
      <w:pPr>
        <w:pStyle w:val="BodyText"/>
        <w:rPr>
          <w:lang w:eastAsia="en-AU"/>
        </w:rPr>
      </w:pPr>
      <w:r>
        <w:rPr>
          <w:lang w:eastAsia="en-AU"/>
        </w:rPr>
        <w:t>The disadvantages of the CCIA projections are:</w:t>
      </w:r>
    </w:p>
    <w:p w14:paraId="47EC966F" w14:textId="77777777" w:rsidR="007B29DD" w:rsidRDefault="007B29DD" w:rsidP="007B29DD">
      <w:pPr>
        <w:pStyle w:val="BodyText"/>
        <w:numPr>
          <w:ilvl w:val="0"/>
          <w:numId w:val="30"/>
        </w:numPr>
        <w:rPr>
          <w:lang w:eastAsia="en-AU"/>
        </w:rPr>
      </w:pPr>
      <w:r>
        <w:rPr>
          <w:lang w:eastAsia="en-AU"/>
        </w:rPr>
        <w:t>The runoff estimates for NRM regions (covering many river basins) were regarded as an “interim product” only in CCIA reporting (CSIRO and BoM, 2015)</w:t>
      </w:r>
    </w:p>
    <w:p w14:paraId="5A53F42B" w14:textId="77777777" w:rsidR="007B29DD" w:rsidRDefault="007B29DD" w:rsidP="007B29DD">
      <w:pPr>
        <w:pStyle w:val="BodyText"/>
        <w:rPr>
          <w:lang w:eastAsia="en-AU"/>
        </w:rPr>
      </w:pPr>
      <w:r>
        <w:rPr>
          <w:lang w:eastAsia="en-AU"/>
        </w:rPr>
        <w:t xml:space="preserve">Results are available for NRM regions that span many river basins. Finer grid information was produced but could be misinterpreted as it does not contain additional information than what is available at the larger GCM </w:t>
      </w:r>
      <w:r>
        <w:rPr>
          <w:lang w:eastAsia="en-AU"/>
        </w:rPr>
        <w:lastRenderedPageBreak/>
        <w:t>grid scale. This is due to the method used to generate the grids, which is a simple interpolation method that is not informed by local climate conditions.</w:t>
      </w:r>
    </w:p>
    <w:p w14:paraId="61CAF946" w14:textId="77777777" w:rsidR="007B29DD" w:rsidRDefault="007B29DD" w:rsidP="007B29DD">
      <w:pPr>
        <w:pStyle w:val="BodyText"/>
        <w:rPr>
          <w:lang w:eastAsia="en-AU"/>
        </w:rPr>
      </w:pPr>
      <w:r>
        <w:rPr>
          <w:lang w:eastAsia="en-AU"/>
        </w:rPr>
        <w:t xml:space="preserve">The CCIA projections are best suited for (i) studies at a national scale or where the study area of interest extends well into other states and territories (e.g. for whole of Murray-Darling Basin studies) and (ii) if a particular parameter of interest is not available from the guidelines or the VCP19 projections. </w:t>
      </w:r>
    </w:p>
    <w:p w14:paraId="42C9E299" w14:textId="77777777" w:rsidR="007B29DD" w:rsidRDefault="007B29DD" w:rsidP="007B29DD">
      <w:pPr>
        <w:pStyle w:val="BodyText"/>
        <w:rPr>
          <w:lang w:eastAsia="en-AU"/>
        </w:rPr>
      </w:pPr>
      <w:r>
        <w:rPr>
          <w:lang w:eastAsia="en-AU"/>
        </w:rPr>
        <w:t>The CCIA website (</w:t>
      </w:r>
      <w:hyperlink r:id="rId90" w:history="1">
        <w:r w:rsidRPr="008A192C">
          <w:rPr>
            <w:rStyle w:val="Hyperlink"/>
          </w:rPr>
          <w:t>https://www.climatechangeinaustralia.gov.au</w:t>
        </w:r>
      </w:hyperlink>
      <w:r>
        <w:t>)</w:t>
      </w:r>
      <w:r>
        <w:rPr>
          <w:lang w:eastAsia="en-AU"/>
        </w:rPr>
        <w:t xml:space="preserve"> does, however, include a wide range of useful contextual information and tools. These include the Climate Futures Tool (which provides a matrix of GCM agreement for a particular region) and the Climate Analogues Tool (which allows the projected change in climate of one location to be mapped to the historical climate of other locations).</w:t>
      </w:r>
    </w:p>
    <w:p w14:paraId="5606DE33" w14:textId="77777777" w:rsidR="007B29DD" w:rsidRPr="003F5074" w:rsidRDefault="007B29DD" w:rsidP="007B29DD">
      <w:pPr>
        <w:pStyle w:val="BodyText"/>
        <w:rPr>
          <w:lang w:eastAsia="en-AU"/>
        </w:rPr>
      </w:pPr>
      <w:r>
        <w:rPr>
          <w:lang w:eastAsia="en-AU"/>
        </w:rPr>
        <w:t>Note that the VCP19 datasets are stored on the CCIA website, but for the purposes of these guidelines are considered a separate product to the CCIA national projections of climate change.</w:t>
      </w:r>
    </w:p>
    <w:p w14:paraId="60872377" w14:textId="77777777" w:rsidR="007B29DD" w:rsidRPr="00E44CBB" w:rsidRDefault="007B29DD" w:rsidP="007B29DD">
      <w:pPr>
        <w:pStyle w:val="Heading3"/>
        <w:rPr>
          <w:b/>
          <w:bCs/>
          <w:color w:val="000000" w:themeColor="text1"/>
        </w:rPr>
      </w:pPr>
      <w:bookmarkStart w:id="936" w:name="_Toc38957473"/>
      <w:bookmarkStart w:id="937" w:name="_Toc43476537"/>
      <w:bookmarkStart w:id="938" w:name="_Toc44928782"/>
      <w:bookmarkStart w:id="939" w:name="_Toc51658053"/>
      <w:bookmarkStart w:id="940" w:name="_Toc53585958"/>
      <w:bookmarkStart w:id="941" w:name="_Toc57377209"/>
      <w:r w:rsidRPr="00E44CBB">
        <w:rPr>
          <w:b/>
          <w:bCs/>
          <w:color w:val="000000" w:themeColor="text1"/>
        </w:rPr>
        <w:t>B.2.3 National Hydrologic Projections</w:t>
      </w:r>
      <w:bookmarkEnd w:id="936"/>
      <w:bookmarkEnd w:id="937"/>
      <w:bookmarkEnd w:id="938"/>
      <w:bookmarkEnd w:id="939"/>
      <w:bookmarkEnd w:id="940"/>
      <w:bookmarkEnd w:id="941"/>
    </w:p>
    <w:p w14:paraId="3B687D5F" w14:textId="77777777" w:rsidR="007B29DD" w:rsidRDefault="007B29DD" w:rsidP="007B29DD">
      <w:pPr>
        <w:pStyle w:val="BodyText"/>
        <w:rPr>
          <w:lang w:eastAsia="en-AU"/>
        </w:rPr>
      </w:pPr>
      <w:r w:rsidRPr="00D77C06">
        <w:rPr>
          <w:lang w:eastAsia="en-AU"/>
        </w:rPr>
        <w:t xml:space="preserve">The Bureau of Meteorology is currently developing a national hydrological projections service for Australia, which would complement the existing </w:t>
      </w:r>
      <w:r>
        <w:rPr>
          <w:lang w:eastAsia="en-AU"/>
        </w:rPr>
        <w:t>CCIA</w:t>
      </w:r>
      <w:r w:rsidRPr="00D77C06">
        <w:rPr>
          <w:lang w:eastAsia="en-AU"/>
        </w:rPr>
        <w:t xml:space="preserve"> projections of climate variables. As of May 2020, the project team had run the outputs from </w:t>
      </w:r>
      <w:r>
        <w:rPr>
          <w:lang w:eastAsia="en-AU"/>
        </w:rPr>
        <w:t>four</w:t>
      </w:r>
      <w:r w:rsidRPr="00D77C06">
        <w:rPr>
          <w:lang w:eastAsia="en-AU"/>
        </w:rPr>
        <w:t xml:space="preserve"> GCMs and </w:t>
      </w:r>
      <w:r>
        <w:rPr>
          <w:lang w:eastAsia="en-AU"/>
        </w:rPr>
        <w:t>CCAM downscaling model at 50 km resolution</w:t>
      </w:r>
      <w:r w:rsidRPr="00D77C06">
        <w:rPr>
          <w:lang w:eastAsia="en-AU"/>
        </w:rPr>
        <w:t xml:space="preserve"> through </w:t>
      </w:r>
      <w:r>
        <w:rPr>
          <w:lang w:eastAsia="en-AU"/>
        </w:rPr>
        <w:t>three</w:t>
      </w:r>
      <w:r w:rsidRPr="00D77C06">
        <w:rPr>
          <w:lang w:eastAsia="en-AU"/>
        </w:rPr>
        <w:t xml:space="preserve"> different bias correction methods and then a water balance model, AWRA-L, that has been calibrated nationally (L. Wilson, </w:t>
      </w:r>
      <w:r>
        <w:rPr>
          <w:lang w:eastAsia="en-AU"/>
        </w:rPr>
        <w:t xml:space="preserve">BoM, </w:t>
      </w:r>
      <w:r w:rsidRPr="00D77C06">
        <w:rPr>
          <w:lang w:eastAsia="en-AU"/>
        </w:rPr>
        <w:t>pers. comm. 28/05//11/2020)</w:t>
      </w:r>
      <w:r>
        <w:rPr>
          <w:lang w:eastAsia="en-AU"/>
        </w:rPr>
        <w:t>. M</w:t>
      </w:r>
      <w:r w:rsidRPr="00D77C06">
        <w:rPr>
          <w:lang w:eastAsia="en-AU"/>
        </w:rPr>
        <w:t>odel results are currently being assessed. Further activities planned for 2020 include the development of case studies and ongoing user engagement activities</w:t>
      </w:r>
      <w:r>
        <w:rPr>
          <w:lang w:eastAsia="en-AU"/>
        </w:rPr>
        <w:t>. These have</w:t>
      </w:r>
      <w:r w:rsidRPr="00D77C06">
        <w:rPr>
          <w:lang w:eastAsia="en-AU"/>
        </w:rPr>
        <w:t xml:space="preserve"> a planned </w:t>
      </w:r>
      <w:r>
        <w:rPr>
          <w:lang w:eastAsia="en-AU"/>
        </w:rPr>
        <w:t xml:space="preserve">beta </w:t>
      </w:r>
      <w:r w:rsidRPr="00D77C06">
        <w:rPr>
          <w:lang w:eastAsia="en-AU"/>
        </w:rPr>
        <w:t>delivery date of late 2020</w:t>
      </w:r>
      <w:r>
        <w:rPr>
          <w:lang w:eastAsia="en-AU"/>
        </w:rPr>
        <w:t xml:space="preserve"> and full delivery in early 2021, with plans for extension to include more datasets as resources allow</w:t>
      </w:r>
      <w:r w:rsidRPr="00D77C06">
        <w:rPr>
          <w:lang w:eastAsia="en-AU"/>
        </w:rPr>
        <w:t xml:space="preserve">. These </w:t>
      </w:r>
      <w:r>
        <w:rPr>
          <w:lang w:eastAsia="en-AU"/>
        </w:rPr>
        <w:t>national</w:t>
      </w:r>
      <w:r w:rsidRPr="00D77C06">
        <w:rPr>
          <w:lang w:eastAsia="en-AU"/>
        </w:rPr>
        <w:t xml:space="preserve"> projections are likely to be suitable for continental-scale applications but are not expected to replace the existing VicCI runoff projections. DELWP will consider the potential role of these projections in applications for Victoria when they are produced.</w:t>
      </w:r>
    </w:p>
    <w:p w14:paraId="329E89FE" w14:textId="77777777" w:rsidR="007B29DD" w:rsidRDefault="007B29DD" w:rsidP="007B29DD">
      <w:pPr>
        <w:pStyle w:val="BodyText"/>
        <w:rPr>
          <w:lang w:eastAsia="en-AU"/>
        </w:rPr>
      </w:pPr>
    </w:p>
    <w:p w14:paraId="07209F02" w14:textId="77777777" w:rsidR="007B29DD" w:rsidRPr="004B2334" w:rsidRDefault="007B29DD" w:rsidP="007B29DD">
      <w:pPr>
        <w:pStyle w:val="Heading2"/>
        <w:rPr>
          <w:b/>
          <w:bCs/>
          <w:color w:val="000000" w:themeColor="text1"/>
        </w:rPr>
      </w:pPr>
      <w:bookmarkStart w:id="942" w:name="_Toc43476538"/>
      <w:bookmarkStart w:id="943" w:name="_Toc44928783"/>
      <w:bookmarkStart w:id="944" w:name="_Toc51658054"/>
      <w:bookmarkStart w:id="945" w:name="_Toc53585959"/>
      <w:bookmarkStart w:id="946" w:name="_Toc57377210"/>
      <w:r w:rsidRPr="004B2334">
        <w:rPr>
          <w:b/>
          <w:bCs/>
          <w:color w:val="000000" w:themeColor="text1"/>
        </w:rPr>
        <w:t>B.3 Obtaining finer spatial resolution for projected changes</w:t>
      </w:r>
      <w:bookmarkEnd w:id="942"/>
      <w:bookmarkEnd w:id="943"/>
      <w:bookmarkEnd w:id="944"/>
      <w:bookmarkEnd w:id="945"/>
      <w:bookmarkEnd w:id="946"/>
    </w:p>
    <w:p w14:paraId="0980B904" w14:textId="77777777" w:rsidR="007B29DD" w:rsidRDefault="007B29DD" w:rsidP="007B29DD">
      <w:pPr>
        <w:pStyle w:val="BodyText"/>
      </w:pPr>
      <w:r>
        <w:t>Projected changes in climate and runoff/recharge are provided for each Victorian river basin and are considered appropriate for future water supply planning purposes in most Victorian systems. Obtaining projected changes at a finer or different spatial resolution likely involves considerable effort and collaboration with the climate change researchers who have derived the projections of interest.</w:t>
      </w:r>
    </w:p>
    <w:p w14:paraId="2A468527" w14:textId="77777777" w:rsidR="007B29DD" w:rsidRDefault="007B29DD" w:rsidP="007B29DD">
      <w:pPr>
        <w:pStyle w:val="BodyText"/>
      </w:pPr>
      <w:r>
        <w:t>In the case that the use of the projected changes for a different spatial extent (and potentially at a different spatial scale) is warranted, climate change projections can be generated in a manner consistent with the VicCI projections in the guidelines. They are as follows:</w:t>
      </w:r>
    </w:p>
    <w:p w14:paraId="6E6EF392" w14:textId="77777777" w:rsidR="007B29DD" w:rsidRDefault="007B29DD" w:rsidP="007B29DD">
      <w:pPr>
        <w:pStyle w:val="ListNumber"/>
        <w:numPr>
          <w:ilvl w:val="0"/>
          <w:numId w:val="53"/>
        </w:numPr>
      </w:pPr>
      <w:r>
        <w:t xml:space="preserve">Obtain the 5 km grids of hydroclimate projections generated by CSIRO (Potter et al., 2016), as illustrated in </w:t>
      </w:r>
      <w:r>
        <w:fldChar w:fldCharType="begin"/>
      </w:r>
      <w:r>
        <w:instrText xml:space="preserve"> REF _Ref448846844 \h  \* MERGEFORMAT </w:instrText>
      </w:r>
      <w:r>
        <w:fldChar w:fldCharType="separate"/>
      </w:r>
      <w:r>
        <w:t xml:space="preserve">Figure </w:t>
      </w:r>
      <w:r>
        <w:rPr>
          <w:noProof/>
        </w:rPr>
        <w:t>35</w:t>
      </w:r>
      <w:r>
        <w:fldChar w:fldCharType="end"/>
      </w:r>
      <w:r>
        <w:t xml:space="preserve"> and </w:t>
      </w:r>
      <w:r>
        <w:fldChar w:fldCharType="begin"/>
      </w:r>
      <w:r>
        <w:instrText xml:space="preserve"> REF _Ref448846896 \h  \* MERGEFORMAT </w:instrText>
      </w:r>
      <w:r>
        <w:fldChar w:fldCharType="separate"/>
      </w:r>
      <w:r>
        <w:t xml:space="preserve">Figure </w:t>
      </w:r>
      <w:r>
        <w:rPr>
          <w:noProof/>
        </w:rPr>
        <w:t>36</w:t>
      </w:r>
      <w:r>
        <w:fldChar w:fldCharType="end"/>
      </w:r>
      <w:r>
        <w:t>. The available gridded information provides the projections from each of the 42 GCMs for rainfall, potential evapotranspiration and runoff under current climate and for 2040 and 2065. This data can be obtained from DELWP.</w:t>
      </w:r>
    </w:p>
    <w:p w14:paraId="3183100A" w14:textId="77777777" w:rsidR="007B29DD" w:rsidRDefault="007B29DD" w:rsidP="007B29DD">
      <w:pPr>
        <w:pStyle w:val="ListNumber"/>
        <w:numPr>
          <w:ilvl w:val="0"/>
          <w:numId w:val="53"/>
        </w:numPr>
      </w:pPr>
      <w:r>
        <w:t>For each GCM aggregate the total runoff over the entire region of interest for both the current climate and future scenario (either 2040 or 2065) and calculate the percentage change (or absolute change for temperature).</w:t>
      </w:r>
    </w:p>
    <w:p w14:paraId="0C0B2DF9" w14:textId="77777777" w:rsidR="007B29DD" w:rsidRDefault="007B29DD" w:rsidP="007B29DD">
      <w:pPr>
        <w:pStyle w:val="ListNumber"/>
        <w:numPr>
          <w:ilvl w:val="0"/>
          <w:numId w:val="53"/>
        </w:numPr>
      </w:pPr>
      <w:r>
        <w:t>Select GCMs to represent each of the three scenarios as follows:</w:t>
      </w:r>
    </w:p>
    <w:p w14:paraId="23EF50DF" w14:textId="77777777" w:rsidR="007B29DD" w:rsidRDefault="007B29DD" w:rsidP="007B29DD">
      <w:pPr>
        <w:pStyle w:val="ListBullet3"/>
        <w:tabs>
          <w:tab w:val="clear" w:pos="680"/>
          <w:tab w:val="num" w:pos="510"/>
        </w:tabs>
        <w:ind w:left="510"/>
      </w:pPr>
      <w:r>
        <w:t>Low</w:t>
      </w:r>
      <w:r w:rsidDel="00382881">
        <w:t xml:space="preserve"> </w:t>
      </w:r>
      <w:r>
        <w:t xml:space="preserve">— select the GCM that is associated with the </w:t>
      </w:r>
      <w:r w:rsidRPr="003178A9">
        <w:t>10th</w:t>
      </w:r>
      <w:r>
        <w:t xml:space="preserve"> percentile change in runoff.</w:t>
      </w:r>
    </w:p>
    <w:p w14:paraId="2EFE4352" w14:textId="77777777" w:rsidR="007B29DD" w:rsidRDefault="007B29DD" w:rsidP="007B29DD">
      <w:pPr>
        <w:pStyle w:val="ListBullet3"/>
        <w:tabs>
          <w:tab w:val="clear" w:pos="680"/>
          <w:tab w:val="num" w:pos="510"/>
        </w:tabs>
        <w:ind w:left="510"/>
      </w:pPr>
      <w:r>
        <w:t>Medium — select the GCM that is associated with the median change in runoff.</w:t>
      </w:r>
    </w:p>
    <w:p w14:paraId="6B695F21" w14:textId="77777777" w:rsidR="007B29DD" w:rsidRDefault="007B29DD" w:rsidP="007B29DD">
      <w:pPr>
        <w:pStyle w:val="ListBullet3"/>
        <w:tabs>
          <w:tab w:val="clear" w:pos="680"/>
          <w:tab w:val="num" w:pos="510"/>
        </w:tabs>
        <w:ind w:left="510"/>
      </w:pPr>
      <w:r>
        <w:t>High</w:t>
      </w:r>
      <w:r w:rsidDel="00382881">
        <w:t xml:space="preserve"> </w:t>
      </w:r>
      <w:r>
        <w:t xml:space="preserve">— select the GCM that is associated with the </w:t>
      </w:r>
      <w:r w:rsidRPr="005E0E0D">
        <w:t>90th</w:t>
      </w:r>
      <w:r>
        <w:t xml:space="preserve"> percentile change in runoff.</w:t>
      </w:r>
    </w:p>
    <w:p w14:paraId="4473539F" w14:textId="77777777" w:rsidR="007B29DD" w:rsidRDefault="007B29DD" w:rsidP="007B29DD">
      <w:pPr>
        <w:pStyle w:val="ListNumber"/>
        <w:numPr>
          <w:ilvl w:val="0"/>
          <w:numId w:val="53"/>
        </w:numPr>
      </w:pPr>
      <w:r>
        <w:t>The projected changes calculated using this approach may not be exactly consistent with the basin-wide factors if the GCMs selected are different than those selected for the entire river basin.</w:t>
      </w:r>
    </w:p>
    <w:p w14:paraId="175BE47D" w14:textId="77777777" w:rsidR="007B29DD" w:rsidRDefault="007B29DD" w:rsidP="007B29DD">
      <w:pPr>
        <w:pStyle w:val="ListNumber"/>
        <w:numPr>
          <w:ilvl w:val="0"/>
          <w:numId w:val="53"/>
        </w:numPr>
      </w:pPr>
      <w:r>
        <w:t>For each scenario (low, medium and high), adopt the projected changes for each variable (rainfall, potential evapotranspiration and runoff) from the GCM selected in step iii.</w:t>
      </w:r>
    </w:p>
    <w:p w14:paraId="3B594E33" w14:textId="77777777" w:rsidR="007B29DD" w:rsidRDefault="007B29DD" w:rsidP="007B29DD">
      <w:pPr>
        <w:pStyle w:val="BodyText"/>
      </w:pPr>
      <w:r>
        <w:lastRenderedPageBreak/>
        <w:t>Alternatively, the VCP19 downscaled projections can be utilised. This would involve the following steps:</w:t>
      </w:r>
    </w:p>
    <w:p w14:paraId="6C19DC9B" w14:textId="77777777" w:rsidR="007B29DD" w:rsidRPr="004F28B8" w:rsidRDefault="007B29DD" w:rsidP="007B29DD">
      <w:pPr>
        <w:pStyle w:val="ListNumber"/>
        <w:numPr>
          <w:ilvl w:val="0"/>
          <w:numId w:val="53"/>
        </w:numPr>
      </w:pPr>
      <w:r>
        <w:t xml:space="preserve">Obtain the 5 km grids of hydroclimate projections generated for VCP19 (Clarke et al., 2019a). The available gridded information provides the projections from six GCMs for temperature, rainfall and potential evapotranspiration in 1995, 2030, 2050 and 2090. This data can be </w:t>
      </w:r>
      <w:r w:rsidRPr="004F28B8">
        <w:t xml:space="preserve">obtained from DELWP. Runoff projections for VCP19 were not yet available at the time of </w:t>
      </w:r>
      <w:r>
        <w:t>publishing</w:t>
      </w:r>
      <w:r w:rsidRPr="004F28B8">
        <w:t xml:space="preserve"> these guidelines, but are expected to be prepared by late 2020</w:t>
      </w:r>
      <w:r>
        <w:t xml:space="preserve"> </w:t>
      </w:r>
      <w:r w:rsidRPr="004F28B8">
        <w:t>to allow different runoff projections derived using different modelling approaches to be compared</w:t>
      </w:r>
      <w:r w:rsidRPr="00BA113A">
        <w:t>.</w:t>
      </w:r>
    </w:p>
    <w:p w14:paraId="37311D98" w14:textId="77777777" w:rsidR="007B29DD" w:rsidRDefault="007B29DD" w:rsidP="007B29DD">
      <w:pPr>
        <w:pStyle w:val="ListNumber"/>
        <w:numPr>
          <w:ilvl w:val="0"/>
          <w:numId w:val="53"/>
        </w:numPr>
      </w:pPr>
      <w:r>
        <w:t>Identify the GCMs of interest from the six available, by referring to the comparison of VCP19 and VicCI rainfall projections by river basin, presented in Appendix B2.1. More detailed GCM comparisons (e.g. Hope et al., 2016 or Grose et al., 2017) can be used at this step, if desired, to check the ability of that particular host GCM to replicate climate characteristics considered of most relevance to the region of interest.</w:t>
      </w:r>
    </w:p>
    <w:p w14:paraId="724930A6" w14:textId="77777777" w:rsidR="007B29DD" w:rsidRDefault="007B29DD" w:rsidP="007B29DD">
      <w:pPr>
        <w:pStyle w:val="ListNumber"/>
        <w:numPr>
          <w:ilvl w:val="0"/>
          <w:numId w:val="53"/>
        </w:numPr>
      </w:pPr>
      <w:r>
        <w:t>For each GCM aggregate or average each variable over the region of interest and calculate the percentage change (or absolute change for temperature) from 1995 to the time period of interest.</w:t>
      </w:r>
    </w:p>
    <w:p w14:paraId="7CDC47BD" w14:textId="77777777" w:rsidR="007B29DD" w:rsidRDefault="007B29DD" w:rsidP="007B29DD">
      <w:r>
        <w:rPr>
          <w:noProof/>
        </w:rPr>
        <w:drawing>
          <wp:inline distT="0" distB="0" distL="0" distR="0" wp14:anchorId="785ED5C3" wp14:editId="1ECFA27B">
            <wp:extent cx="6370954" cy="3987165"/>
            <wp:effectExtent l="19050" t="19050" r="11430" b="13335"/>
            <wp:docPr id="974452682" name="Picture 34" descr="Infographic showing projected changes in rainfall across river basins in South East Australia at 2040 and 2065 for the RCP8.5 emissions scenario. The infographic shows moderate increases in rainfall for the 10th percentile projection, moderate decreases for the median projection, and significant decreases for the 90th percentil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1">
                      <a:extLst>
                        <a:ext uri="{28A0092B-C50C-407E-A947-70E740481C1C}">
                          <a14:useLocalDpi xmlns:a14="http://schemas.microsoft.com/office/drawing/2010/main" val="0"/>
                        </a:ext>
                      </a:extLst>
                    </a:blip>
                    <a:stretch>
                      <a:fillRect/>
                    </a:stretch>
                  </pic:blipFill>
                  <pic:spPr>
                    <a:xfrm>
                      <a:off x="0" y="0"/>
                      <a:ext cx="6370954" cy="3987165"/>
                    </a:xfrm>
                    <a:prstGeom prst="rect">
                      <a:avLst/>
                    </a:prstGeom>
                    <a:ln>
                      <a:solidFill>
                        <a:schemeClr val="bg1">
                          <a:lumMod val="65000"/>
                        </a:schemeClr>
                      </a:solidFill>
                    </a:ln>
                  </pic:spPr>
                </pic:pic>
              </a:graphicData>
            </a:graphic>
          </wp:inline>
        </w:drawing>
      </w:r>
    </w:p>
    <w:p w14:paraId="29B90C2E" w14:textId="77777777" w:rsidR="007B29DD" w:rsidRDefault="007B29DD" w:rsidP="007B29DD">
      <w:pPr>
        <w:pStyle w:val="Caption"/>
        <w:spacing w:before="0"/>
      </w:pPr>
      <w:bookmarkStart w:id="947" w:name="_Ref448846844"/>
      <w:bookmarkStart w:id="948" w:name="_Toc43476607"/>
      <w:bookmarkStart w:id="949" w:name="_Toc44928850"/>
      <w:bookmarkStart w:id="950" w:name="_Toc51237511"/>
      <w:bookmarkStart w:id="951" w:name="_Toc53586026"/>
      <w:bookmarkStart w:id="952" w:name="_Toc57377277"/>
      <w:r>
        <w:t xml:space="preserve">Figure </w:t>
      </w:r>
      <w:r>
        <w:fldChar w:fldCharType="begin"/>
      </w:r>
      <w:r>
        <w:instrText>SEQ Figure \* ARABIC</w:instrText>
      </w:r>
      <w:r>
        <w:fldChar w:fldCharType="separate"/>
      </w:r>
      <w:r>
        <w:rPr>
          <w:noProof/>
        </w:rPr>
        <w:t>35</w:t>
      </w:r>
      <w:r>
        <w:fldChar w:fldCharType="end"/>
      </w:r>
      <w:bookmarkEnd w:id="947"/>
      <w:r>
        <w:t xml:space="preserve"> Projected changes in annual rainfall under emissions scenario RCP8.5 relative to current climate at a finer spatial scale (Source: Potter et al., 2016)</w:t>
      </w:r>
      <w:bookmarkEnd w:id="948"/>
      <w:bookmarkEnd w:id="949"/>
      <w:bookmarkEnd w:id="950"/>
      <w:bookmarkEnd w:id="951"/>
      <w:bookmarkEnd w:id="952"/>
    </w:p>
    <w:p w14:paraId="3B15178E" w14:textId="77777777" w:rsidR="007B29DD" w:rsidRPr="00234B6E" w:rsidRDefault="007B29DD" w:rsidP="007B29DD"/>
    <w:p w14:paraId="33356A12" w14:textId="77777777" w:rsidR="007B29DD" w:rsidRDefault="007B29DD" w:rsidP="007B29DD">
      <w:r>
        <w:rPr>
          <w:noProof/>
        </w:rPr>
        <w:lastRenderedPageBreak/>
        <w:drawing>
          <wp:inline distT="0" distB="0" distL="0" distR="0" wp14:anchorId="2E85EA43" wp14:editId="20A649EE">
            <wp:extent cx="6375384" cy="3540557"/>
            <wp:effectExtent l="19050" t="19050" r="26035" b="22225"/>
            <wp:docPr id="945704177" name="Picture 945704177" descr="Infographic showing projected changes in runoff across river basins in South East Australia at 2040 and 2065 for the RCP8.5 emissions scenario. The infographic shows moderate increases for the 10th percentile projection, moderate decreases for the median projection, and significant decreases for the 90th percentil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4177" name="RCP85.png"/>
                    <pic:cNvPicPr/>
                  </pic:nvPicPr>
                  <pic:blipFill>
                    <a:blip r:embed="rId92">
                      <a:extLst>
                        <a:ext uri="{28A0092B-C50C-407E-A947-70E740481C1C}">
                          <a14:useLocalDpi xmlns:a14="http://schemas.microsoft.com/office/drawing/2010/main" val="0"/>
                        </a:ext>
                      </a:extLst>
                    </a:blip>
                    <a:stretch>
                      <a:fillRect/>
                    </a:stretch>
                  </pic:blipFill>
                  <pic:spPr>
                    <a:xfrm>
                      <a:off x="0" y="0"/>
                      <a:ext cx="6381774" cy="3544105"/>
                    </a:xfrm>
                    <a:prstGeom prst="rect">
                      <a:avLst/>
                    </a:prstGeom>
                    <a:ln>
                      <a:solidFill>
                        <a:schemeClr val="bg1">
                          <a:lumMod val="65000"/>
                        </a:schemeClr>
                      </a:solidFill>
                    </a:ln>
                  </pic:spPr>
                </pic:pic>
              </a:graphicData>
            </a:graphic>
          </wp:inline>
        </w:drawing>
      </w:r>
    </w:p>
    <w:p w14:paraId="2332F2F5" w14:textId="77777777" w:rsidR="007B29DD" w:rsidRDefault="007B29DD" w:rsidP="007B29DD">
      <w:pPr>
        <w:pStyle w:val="Caption"/>
        <w:spacing w:before="0"/>
      </w:pPr>
      <w:bookmarkStart w:id="953" w:name="_Ref448846896"/>
      <w:bookmarkStart w:id="954" w:name="_Toc43476608"/>
      <w:bookmarkStart w:id="955" w:name="_Toc44928851"/>
      <w:bookmarkStart w:id="956" w:name="_Toc51237512"/>
      <w:bookmarkStart w:id="957" w:name="_Toc53586027"/>
      <w:bookmarkStart w:id="958" w:name="_Toc57377278"/>
      <w:r>
        <w:t xml:space="preserve">Figure </w:t>
      </w:r>
      <w:r>
        <w:fldChar w:fldCharType="begin"/>
      </w:r>
      <w:r>
        <w:instrText>SEQ Figure \* ARABIC</w:instrText>
      </w:r>
      <w:r>
        <w:fldChar w:fldCharType="separate"/>
      </w:r>
      <w:r>
        <w:rPr>
          <w:noProof/>
        </w:rPr>
        <w:t>36</w:t>
      </w:r>
      <w:r>
        <w:fldChar w:fldCharType="end"/>
      </w:r>
      <w:bookmarkEnd w:id="953"/>
      <w:r>
        <w:t xml:space="preserve"> Projected changes in annual runoff under emissions scenario RCP8.5 relative to current climate at a finer spatial scale (Source: Potter et al., 2016)</w:t>
      </w:r>
      <w:bookmarkEnd w:id="954"/>
      <w:bookmarkEnd w:id="955"/>
      <w:bookmarkEnd w:id="956"/>
      <w:bookmarkEnd w:id="957"/>
      <w:bookmarkEnd w:id="958"/>
    </w:p>
    <w:p w14:paraId="749F603E" w14:textId="77777777" w:rsidR="007B29DD" w:rsidRPr="00813ECE" w:rsidRDefault="007B29DD" w:rsidP="007B29DD">
      <w:pPr>
        <w:pStyle w:val="BodyText"/>
        <w:rPr>
          <w:highlight w:val="yellow"/>
        </w:rPr>
      </w:pPr>
    </w:p>
    <w:p w14:paraId="213C100E" w14:textId="77777777" w:rsidR="007B29DD" w:rsidRPr="00E44CBB" w:rsidRDefault="007B29DD" w:rsidP="007B29DD">
      <w:pPr>
        <w:pStyle w:val="Heading2"/>
        <w:rPr>
          <w:b/>
          <w:bCs/>
          <w:color w:val="000000" w:themeColor="text1"/>
        </w:rPr>
      </w:pPr>
      <w:bookmarkStart w:id="959" w:name="_Toc38957476"/>
      <w:bookmarkStart w:id="960" w:name="_Toc43476539"/>
      <w:bookmarkStart w:id="961" w:name="_Toc44928784"/>
      <w:bookmarkStart w:id="962" w:name="_Toc51658055"/>
      <w:bookmarkStart w:id="963" w:name="_Toc53585960"/>
      <w:bookmarkStart w:id="964" w:name="_Toc57377211"/>
      <w:r w:rsidRPr="00E44CBB">
        <w:rPr>
          <w:b/>
          <w:bCs/>
          <w:color w:val="000000" w:themeColor="text1"/>
        </w:rPr>
        <w:t>B.4 Climate analogues</w:t>
      </w:r>
      <w:bookmarkEnd w:id="959"/>
      <w:bookmarkEnd w:id="960"/>
      <w:bookmarkEnd w:id="961"/>
      <w:bookmarkEnd w:id="962"/>
      <w:bookmarkEnd w:id="963"/>
      <w:bookmarkEnd w:id="964"/>
    </w:p>
    <w:p w14:paraId="1840A15C" w14:textId="77777777" w:rsidR="007B29DD" w:rsidRDefault="007B29DD" w:rsidP="007B29DD">
      <w:pPr>
        <w:pStyle w:val="BodyText"/>
      </w:pPr>
      <w:r>
        <w:t>Climate analogues involve selecting historical climate data from another climate station in Australia to represent the anticipated climate behaviour at the location of interest under a future climate change condition. For example, if a location is expected to become drier, then a rainfall station in a drier climate could be selected to illustrate what that location’s future climate might be like.</w:t>
      </w:r>
    </w:p>
    <w:p w14:paraId="027B09B6" w14:textId="77777777" w:rsidR="007B29DD" w:rsidRDefault="007B29DD" w:rsidP="007B29DD">
      <w:pPr>
        <w:pStyle w:val="BodyText"/>
      </w:pPr>
      <w:r w:rsidRPr="002761F5">
        <w:t xml:space="preserve">Climate </w:t>
      </w:r>
      <w:r>
        <w:t>analogues are presented on the Climate Change in Australia using the Climate Analogues Explorer (</w:t>
      </w:r>
      <w:hyperlink r:id="rId93" w:history="1">
        <w:r w:rsidRPr="00A52D6A">
          <w:rPr>
            <w:rStyle w:val="Hyperlink"/>
          </w:rPr>
          <w:t>http://www.climatechangeinaustralia.gov.au/en/climate-projections/climate-analogues/analogues-explorer/</w:t>
        </w:r>
      </w:hyperlink>
      <w:r>
        <w:t>), with case studies for Victoria presented in Grose et al. (2015a) and Timbal et al. (2015).</w:t>
      </w:r>
    </w:p>
    <w:p w14:paraId="453042F0" w14:textId="77777777" w:rsidR="007B29DD" w:rsidRDefault="007B29DD" w:rsidP="007B29DD">
      <w:pPr>
        <w:pStyle w:val="BodyText"/>
      </w:pPr>
      <w:r>
        <w:t>The method used by the Climate Analogues Explorer matches the site of interest to other locations using the average annual rainfall and the maximum temperature (within set tolerances) (CSIRO and Bureau of Meteorology, 2015). The online tool can also be used to refine the search using measures of rainfall seasonality (the proportion of rainfall that falls in summer) and temperature seasonality (expressed as the difference between summer and winter temperatures), as well as average seasonal rainfall and temperature for individual seasons. As noted by CSIRO and the Bureau of Meteorology (2015) the tool ignores other potentially important factors. For this reason, it “should not be used directly in adaptation planning without considering more detailed information” (Grose et al., 2015a). Implicit in this method is the assumption that future climate with higher global greenhouse gas concentrations can be represented by a historical climate with lower global greenhouse gas concentrations, although it is acknowledged that this assumption is not limited to the analogue approach.</w:t>
      </w:r>
    </w:p>
    <w:p w14:paraId="6784D764" w14:textId="77777777" w:rsidR="007B29DD" w:rsidRDefault="007B29DD" w:rsidP="007B29DD">
      <w:pPr>
        <w:pStyle w:val="BodyText"/>
      </w:pPr>
      <w:r>
        <w:t>Climate analogues have been used to estimate projected changes in climate behaviour but are usually used alongside other techniques as part of sensitivity testing alternative projections. Arnbjerg-Nielson (2012), for example, uses climate analogues to assess climate change impacts on extreme rainfall alongside two other analysis techniques.</w:t>
      </w:r>
    </w:p>
    <w:p w14:paraId="6E47FEE0" w14:textId="2512F641" w:rsidR="007B29DD" w:rsidRDefault="007B29DD" w:rsidP="007B29DD">
      <w:pPr>
        <w:pStyle w:val="BodyText"/>
      </w:pPr>
      <w:r>
        <w:t>Due to the tolerance when selecting analogue sites, multiple sites can potentially be used to represent future climate for a single location for any given combination of future warming and drying. For example, for a</w:t>
      </w:r>
      <w:r w:rsidDel="00297DDB">
        <w:t xml:space="preserve"> </w:t>
      </w:r>
      <w:r>
        <w:t xml:space="preserve">one-degree increase in temperature and a 10% reduction in annual rainfall in Melbourne, the tool selects 14 </w:t>
      </w:r>
      <w:r>
        <w:lastRenderedPageBreak/>
        <w:t xml:space="preserve">potential climate analogues from regional Victoria, New South Wales, South Australia and Western Australia, as shown in </w:t>
      </w:r>
      <w:r>
        <w:fldChar w:fldCharType="begin"/>
      </w:r>
      <w:r>
        <w:instrText xml:space="preserve"> REF _Ref443050232 \h  \* MERGEFORMAT </w:instrText>
      </w:r>
      <w:r>
        <w:fldChar w:fldCharType="separate"/>
      </w:r>
      <w:r>
        <w:t xml:space="preserve">Figure </w:t>
      </w:r>
      <w:r>
        <w:rPr>
          <w:noProof/>
        </w:rPr>
        <w:t>37</w:t>
      </w:r>
      <w:r>
        <w:fldChar w:fldCharType="end"/>
      </w:r>
      <w:r>
        <w:t xml:space="preserve">. The default tolerances in the tool are </w:t>
      </w:r>
      <w:r w:rsidRPr="002C6A4F">
        <w:rPr>
          <w:u w:val="single"/>
        </w:rPr>
        <w:t>+</w:t>
      </w:r>
      <w:r>
        <w:t xml:space="preserve"> 1 degree Celsius and </w:t>
      </w:r>
      <w:r w:rsidRPr="002C6A4F">
        <w:rPr>
          <w:u w:val="single"/>
        </w:rPr>
        <w:t>+</w:t>
      </w:r>
      <w:r>
        <w:t xml:space="preserve"> 20% of mean annual rainfall. By selecting the advanced tools button in the top right-hand corner, these tolerances can be narrowed.</w:t>
      </w:r>
    </w:p>
    <w:p w14:paraId="23C858B4" w14:textId="77777777" w:rsidR="007B29DD" w:rsidRDefault="007B29DD" w:rsidP="00E44CBB">
      <w:pPr>
        <w:spacing w:after="0"/>
      </w:pPr>
      <w:r>
        <w:rPr>
          <w:noProof/>
        </w:rPr>
        <w:drawing>
          <wp:inline distT="0" distB="0" distL="0" distR="0" wp14:anchorId="722B70EE" wp14:editId="239F8CE4">
            <wp:extent cx="6243932" cy="2714723"/>
            <wp:effectExtent l="19050" t="19050" r="24130" b="9525"/>
            <wp:docPr id="109" name="Picture 6" descr="Map of the southern half of Australia identifying climate analogues fo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6266285" cy="2724442"/>
                    </a:xfrm>
                    <a:prstGeom prst="rect">
                      <a:avLst/>
                    </a:prstGeom>
                    <a:noFill/>
                    <a:ln w="9525">
                      <a:solidFill>
                        <a:schemeClr val="bg1">
                          <a:lumMod val="65000"/>
                        </a:schemeClr>
                      </a:solidFill>
                      <a:miter lim="800000"/>
                      <a:headEnd/>
                      <a:tailEnd/>
                    </a:ln>
                  </pic:spPr>
                </pic:pic>
              </a:graphicData>
            </a:graphic>
          </wp:inline>
        </w:drawing>
      </w:r>
    </w:p>
    <w:p w14:paraId="57FFBE6A" w14:textId="77777777" w:rsidR="007B29DD" w:rsidRDefault="007B29DD" w:rsidP="00E44CBB">
      <w:pPr>
        <w:pStyle w:val="Caption"/>
        <w:spacing w:before="0" w:after="0"/>
      </w:pPr>
      <w:bookmarkStart w:id="965" w:name="_Ref443050232"/>
      <w:bookmarkStart w:id="966" w:name="_Toc43476609"/>
      <w:bookmarkStart w:id="967" w:name="_Toc44928852"/>
      <w:bookmarkStart w:id="968" w:name="_Toc51237513"/>
      <w:bookmarkStart w:id="969" w:name="_Toc53586028"/>
      <w:bookmarkStart w:id="970" w:name="_Toc57377279"/>
      <w:r>
        <w:t xml:space="preserve">Figure </w:t>
      </w:r>
      <w:r>
        <w:fldChar w:fldCharType="begin"/>
      </w:r>
      <w:r>
        <w:instrText>SEQ Figure \* ARABIC</w:instrText>
      </w:r>
      <w:r>
        <w:fldChar w:fldCharType="separate"/>
      </w:r>
      <w:r>
        <w:rPr>
          <w:noProof/>
        </w:rPr>
        <w:t>37</w:t>
      </w:r>
      <w:r>
        <w:fldChar w:fldCharType="end"/>
      </w:r>
      <w:bookmarkEnd w:id="965"/>
      <w:r>
        <w:t xml:space="preserve"> Climate Analogues for Melbourne for a 1 degree warming and 10% reduction in annual rainfall</w:t>
      </w:r>
      <w:bookmarkEnd w:id="966"/>
      <w:bookmarkEnd w:id="967"/>
      <w:bookmarkEnd w:id="968"/>
      <w:bookmarkEnd w:id="969"/>
      <w:bookmarkEnd w:id="970"/>
    </w:p>
    <w:p w14:paraId="0938DE39" w14:textId="77777777" w:rsidR="007B29DD" w:rsidRDefault="007B29DD" w:rsidP="007B29DD"/>
    <w:p w14:paraId="7BB87698" w14:textId="77777777" w:rsidR="007B29DD" w:rsidRDefault="007B29DD" w:rsidP="007B29DD">
      <w:pPr>
        <w:pStyle w:val="BodyText"/>
      </w:pPr>
      <w:r>
        <w:t>The advanced tools also allow seasonal changes to be considered in selecting the analogue sites. In the above example, the search could be refined to match a one-degree change in annual temperature and a 10% reduction in rainfall (as above), but with an additional constraint that a 10% reduction in rainfall must occur in winter and spring. This</w:t>
      </w:r>
      <w:r w:rsidDel="00011ABB">
        <w:t xml:space="preserve"> </w:t>
      </w:r>
      <w:r>
        <w:t>yields two climate analogues (Sale and Bathurst) from the original 14 sites. These two sites can then be examined for projected changes in autumn rainfall (in this example, assumed to be 142 mm in Melbourne), indicating that average annual rainfall in Bathurst (133 mm) better reflects an anticipated decline in autumn rainfall than Sale (150 mm). On this basis, Bathurst could be regarded as a suitable climate analogue for Melbourne for this hypothetical future climate scenario.</w:t>
      </w:r>
    </w:p>
    <w:p w14:paraId="6EAAA378" w14:textId="77777777" w:rsidR="007B29DD" w:rsidRDefault="007B29DD" w:rsidP="007B29DD">
      <w:pPr>
        <w:pStyle w:val="BodyText"/>
      </w:pPr>
      <w:r>
        <w:t>It is unlikely that a single climate analogue will be representative of anticipated changes in climate at a given site, particularly given that the GCMs produce a wide range of climate responses (low to medium to high). Therefore, multiple analogues are likely to be required to gain an appreciation of the range of potential daily climate behaviour under future climate change. There is also no guarantee that the analogue associated with the high climate change scenario will produce longer duration droughts than the median or high climate change analogues.</w:t>
      </w:r>
    </w:p>
    <w:p w14:paraId="234E3558" w14:textId="77777777" w:rsidR="007B29DD" w:rsidRDefault="007B29DD" w:rsidP="007B29DD">
      <w:pPr>
        <w:pStyle w:val="BodyText"/>
      </w:pPr>
      <w:r>
        <w:t>Climate analogues could be used in a few different ways:</w:t>
      </w:r>
    </w:p>
    <w:p w14:paraId="0A614976" w14:textId="77777777" w:rsidR="007B29DD" w:rsidRDefault="007B29DD" w:rsidP="007B29DD">
      <w:pPr>
        <w:pStyle w:val="ListBullet"/>
      </w:pPr>
      <w:r>
        <w:t>As a communication tool to a non-technical audience however, there may be limitations to this if the audience has no understanding of the historic climate at the location of the analogues. In the above example, if a person in Melbourne has never been to Bathurst, they may not be able to grasp how the climate in Melbourne may change, unless it is described to them using other information (e.g. statistical differences in the weather of the two locations, types of water dependent industries that exist in the two locations, etc.). These statistical differences could include daily time step information that the GCMs are unable to accurately provide.</w:t>
      </w:r>
    </w:p>
    <w:p w14:paraId="514BFB33" w14:textId="77777777" w:rsidR="007B29DD" w:rsidRPr="00FE34C4" w:rsidRDefault="007B29DD" w:rsidP="007B29DD">
      <w:pPr>
        <w:pStyle w:val="ListBullet"/>
      </w:pPr>
      <w:r>
        <w:t xml:space="preserve">To provide an indication of drought duration, severity and frequency </w:t>
      </w:r>
      <w:r w:rsidRPr="00BF27CA">
        <w:t xml:space="preserve">for run-of-river supply systems, integrated water management options, managed aquifer recharge and single year storage systems, alongside other existing analysis techniques. It was acknowledged in Section </w:t>
      </w:r>
      <w:r w:rsidRPr="00BF27CA">
        <w:fldChar w:fldCharType="begin"/>
      </w:r>
      <w:r w:rsidRPr="00BF27CA">
        <w:instrText xml:space="preserve"> REF _Ref39916314 \n \h </w:instrText>
      </w:r>
      <w:r>
        <w:instrText xml:space="preserve"> \* MERGEFORMAT </w:instrText>
      </w:r>
      <w:r w:rsidRPr="00BF27CA">
        <w:fldChar w:fldCharType="separate"/>
      </w:r>
      <w:r>
        <w:t>4.8</w:t>
      </w:r>
      <w:r w:rsidRPr="00BF27CA">
        <w:fldChar w:fldCharType="end"/>
      </w:r>
      <w:r w:rsidRPr="00BF27CA">
        <w:t xml:space="preserve"> that GCMs and their downscaled data provide this type of information with only a low level of confidence</w:t>
      </w:r>
      <w:r>
        <w:t xml:space="preserve">. Water Corporations could potentially take the selected analogues and run them through a rainfall-runoff model or groundwater model at the local site of interest to get an appreciation of how periods of low flow may change, and the implications for management of the water supply system. Similar to GCMs, any inferences about within-year climate change drawn from climate analogues are likely to be made only with low </w:t>
      </w:r>
      <w:r>
        <w:lastRenderedPageBreak/>
        <w:t>confidence. However, climate analogues have the advantage of at least presenting the possibility of changes to within-year drought duration that GCMs currently do not.</w:t>
      </w:r>
    </w:p>
    <w:p w14:paraId="6AF0AA5E" w14:textId="77777777" w:rsidR="007B29DD" w:rsidRPr="00E44CBB" w:rsidRDefault="007B29DD" w:rsidP="007B29DD">
      <w:pPr>
        <w:pStyle w:val="Heading2"/>
        <w:rPr>
          <w:b/>
          <w:bCs/>
          <w:color w:val="000000" w:themeColor="text1"/>
        </w:rPr>
      </w:pPr>
      <w:bookmarkStart w:id="971" w:name="_Toc38957474"/>
      <w:bookmarkStart w:id="972" w:name="_Toc43476540"/>
      <w:bookmarkStart w:id="973" w:name="_Toc44928785"/>
      <w:bookmarkStart w:id="974" w:name="_Toc51658056"/>
      <w:bookmarkStart w:id="975" w:name="_Toc53585961"/>
      <w:bookmarkStart w:id="976" w:name="_Toc57377212"/>
      <w:r w:rsidRPr="00E44CBB">
        <w:rPr>
          <w:b/>
          <w:bCs/>
          <w:color w:val="000000" w:themeColor="text1"/>
        </w:rPr>
        <w:t>B.5 Paleoclimate rainfall and streamflow reconstructions</w:t>
      </w:r>
      <w:bookmarkEnd w:id="971"/>
      <w:bookmarkEnd w:id="972"/>
      <w:bookmarkEnd w:id="973"/>
      <w:bookmarkEnd w:id="974"/>
      <w:bookmarkEnd w:id="975"/>
      <w:bookmarkEnd w:id="976"/>
    </w:p>
    <w:p w14:paraId="2DC4C5FF" w14:textId="77777777" w:rsidR="007B29DD" w:rsidRPr="000E4F7D" w:rsidRDefault="007B29DD" w:rsidP="007B29DD">
      <w:pPr>
        <w:pStyle w:val="BodyText"/>
      </w:pPr>
      <w:r>
        <w:t xml:space="preserve">Instrumental records for rainfall are typically only available from the late </w:t>
      </w:r>
      <w:r w:rsidRPr="00B535E6">
        <w:t>19th</w:t>
      </w:r>
      <w:r>
        <w:t xml:space="preserve"> century onwards in Victoria, with almost all streamflow records in Victoria not starting until the </w:t>
      </w:r>
      <w:r w:rsidRPr="00B535E6">
        <w:t>20th</w:t>
      </w:r>
      <w:r>
        <w:t xml:space="preserve"> century. Paleoclimate proxy records are indicators of past climate that can provide information about natural climate variability prior to the start of available instrumental records. Paleoclimate proxy records can date back hundreds to thousands of years. Paleoclimate proxy records are derived from a range of sources including from corals, tree rings, ice cores, cave speleothems, lake and marine sediments. Paleoclimate proxy records have been utilised in other states of Australia for water supply impact assessment, including for extending a representative </w:t>
      </w:r>
      <w:r w:rsidRPr="00D63814">
        <w:t>current clim</w:t>
      </w:r>
      <w:r w:rsidRPr="000E4F7D">
        <w:t>ate baseline</w:t>
      </w:r>
      <w:r w:rsidRPr="00D63814">
        <w:t xml:space="preserve"> </w:t>
      </w:r>
      <w:r>
        <w:t xml:space="preserve">prior to undertaking climate change impact </w:t>
      </w:r>
      <w:r w:rsidRPr="00AC7369">
        <w:t>assessment (e.g. Verdon</w:t>
      </w:r>
      <w:r>
        <w:t>-Kidd et al., 2019).</w:t>
      </w:r>
    </w:p>
    <w:p w14:paraId="70EC8633" w14:textId="77777777" w:rsidR="007B29DD" w:rsidRDefault="007B29DD" w:rsidP="007B29DD">
      <w:pPr>
        <w:pStyle w:val="BodyText"/>
        <w:rPr>
          <w:lang w:eastAsia="en-AU"/>
        </w:rPr>
      </w:pPr>
      <w:r w:rsidRPr="000E4F7D">
        <w:t>Victorian Drought Risk Inference Project</w:t>
      </w:r>
      <w:r>
        <w:t xml:space="preserve"> (</w:t>
      </w:r>
      <w:r w:rsidRPr="000E4F7D">
        <w:t>VicDRIP</w:t>
      </w:r>
      <w:r>
        <w:t>)</w:t>
      </w:r>
      <w:r w:rsidRPr="000E4F7D">
        <w:t xml:space="preserve"> researchers from the University of Melbourne generated paleoclimate reconstruction records of cool season and warm season rainfall dating back 400</w:t>
      </w:r>
      <w:r>
        <w:t>–</w:t>
      </w:r>
      <w:r w:rsidRPr="000E4F7D">
        <w:t>800 years across different regions of Australia. The predictive skill of the reconstruction is influenced by the availability of local natural archives</w:t>
      </w:r>
      <w:r>
        <w:rPr>
          <w:lang w:eastAsia="en-AU"/>
        </w:rPr>
        <w:t xml:space="preserve">, and the connections between those archives, climate influences and rainfall. At the DELWP Climate and Water Science Day, Ballis (2019) indicated that there were no natural archives available in Victoria, as shown in </w:t>
      </w:r>
      <w:r>
        <w:rPr>
          <w:lang w:eastAsia="en-AU"/>
        </w:rPr>
        <w:fldChar w:fldCharType="begin"/>
      </w:r>
      <w:r>
        <w:rPr>
          <w:lang w:eastAsia="en-AU"/>
        </w:rPr>
        <w:instrText xml:space="preserve"> REF _Ref23773973 \h </w:instrText>
      </w:r>
      <w:r>
        <w:rPr>
          <w:lang w:eastAsia="en-AU"/>
        </w:rPr>
      </w:r>
      <w:r>
        <w:rPr>
          <w:lang w:eastAsia="en-AU"/>
        </w:rPr>
        <w:fldChar w:fldCharType="separate"/>
      </w:r>
      <w:r>
        <w:t xml:space="preserve">Figure </w:t>
      </w:r>
      <w:r>
        <w:rPr>
          <w:noProof/>
        </w:rPr>
        <w:t>38</w:t>
      </w:r>
      <w:r>
        <w:rPr>
          <w:lang w:eastAsia="en-AU"/>
        </w:rPr>
        <w:fldChar w:fldCharType="end"/>
      </w:r>
      <w:r>
        <w:rPr>
          <w:lang w:eastAsia="en-AU"/>
        </w:rPr>
        <w:t>. Rainfall reconstructions for Victoria therefore rely upon natural archives in other parts of the country or elsewhere, and their relationship to the regional climate influences that affect Victoria’s climate.</w:t>
      </w:r>
    </w:p>
    <w:p w14:paraId="3CE54611" w14:textId="77777777" w:rsidR="007B29DD" w:rsidRDefault="007B29DD" w:rsidP="007B29DD">
      <w:pPr>
        <w:pStyle w:val="BodyText"/>
        <w:spacing w:after="0"/>
        <w:rPr>
          <w:lang w:eastAsia="en-AU"/>
        </w:rPr>
      </w:pPr>
      <w:r w:rsidRPr="00E16232">
        <w:rPr>
          <w:noProof/>
          <w:lang w:eastAsia="en-AU"/>
        </w:rPr>
        <w:drawing>
          <wp:inline distT="0" distB="0" distL="0" distR="0" wp14:anchorId="77B341EB" wp14:editId="77368312">
            <wp:extent cx="5498881" cy="3930625"/>
            <wp:effectExtent l="19050" t="19050" r="26035" b="13335"/>
            <wp:docPr id="121" name="Picture 121" descr="Map of Australia identifying the locations of tree, coral, speleothem and ice archives for use in paleoclimate reconstructions.&#10;Coral archives are found only along the Queensland and Western Australia coast.&#10;Some tree archives are found in Northern Territory, Western Australia and New South Wales. Many tree archives are found in Tasmania.&#10;No ice archives are marked.&#10;Speleothem archives are found in two places, one in New South Wales and another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13210" cy="3940868"/>
                    </a:xfrm>
                    <a:prstGeom prst="rect">
                      <a:avLst/>
                    </a:prstGeom>
                    <a:noFill/>
                    <a:ln>
                      <a:solidFill>
                        <a:schemeClr val="bg1">
                          <a:lumMod val="65000"/>
                        </a:schemeClr>
                      </a:solidFill>
                    </a:ln>
                  </pic:spPr>
                </pic:pic>
              </a:graphicData>
            </a:graphic>
          </wp:inline>
        </w:drawing>
      </w:r>
    </w:p>
    <w:p w14:paraId="42BDD79D" w14:textId="77777777" w:rsidR="007B29DD" w:rsidRDefault="007B29DD" w:rsidP="007B29DD">
      <w:pPr>
        <w:pStyle w:val="Caption"/>
        <w:spacing w:before="0"/>
      </w:pPr>
      <w:bookmarkStart w:id="977" w:name="_Ref23773973"/>
      <w:bookmarkStart w:id="978" w:name="_Toc30425272"/>
      <w:bookmarkStart w:id="979" w:name="_Toc43476610"/>
      <w:bookmarkStart w:id="980" w:name="_Toc44928853"/>
      <w:bookmarkStart w:id="981" w:name="_Toc51237514"/>
      <w:bookmarkStart w:id="982" w:name="_Toc53586029"/>
      <w:bookmarkStart w:id="983" w:name="_Toc57377280"/>
      <w:r>
        <w:t xml:space="preserve">Figure </w:t>
      </w:r>
      <w:r>
        <w:fldChar w:fldCharType="begin"/>
      </w:r>
      <w:r>
        <w:instrText>SEQ Figure \* ARABIC</w:instrText>
      </w:r>
      <w:r>
        <w:fldChar w:fldCharType="separate"/>
      </w:r>
      <w:r>
        <w:rPr>
          <w:noProof/>
        </w:rPr>
        <w:t>38</w:t>
      </w:r>
      <w:r>
        <w:fldChar w:fldCharType="end"/>
      </w:r>
      <w:bookmarkEnd w:id="977"/>
      <w:r>
        <w:t xml:space="preserve"> Availability of natural archives for use in paleoclimate reconstructions (Source: presentation by Ballis, 2019)</w:t>
      </w:r>
      <w:bookmarkEnd w:id="978"/>
      <w:bookmarkEnd w:id="979"/>
      <w:bookmarkEnd w:id="980"/>
      <w:bookmarkEnd w:id="981"/>
      <w:bookmarkEnd w:id="982"/>
      <w:bookmarkEnd w:id="983"/>
    </w:p>
    <w:p w14:paraId="080568EC" w14:textId="77777777" w:rsidR="007B29DD" w:rsidRDefault="007B29DD" w:rsidP="007B29DD">
      <w:pPr>
        <w:pStyle w:val="BodyText"/>
        <w:rPr>
          <w:lang w:eastAsia="en-AU"/>
        </w:rPr>
      </w:pPr>
      <w:r>
        <w:rPr>
          <w:lang w:eastAsia="en-AU"/>
        </w:rPr>
        <w:t xml:space="preserve">The predictive skill of paleoclimate reconstructions (i.e. the ability to estimate rainfall, streamflow or drought duration over a gauged reference period) is highest in coastal Queensland, where high quality coral proxy records are available. However, as a result of the lack of local natural archives in Victoria, the skill of Victorian rainfall reconstructions developed from remote proxy archives are low. According to Ballis (2019), the Nash–Sutcliffe efficiency (NSE) of paleoclimate reconstruction records of rainfall and streamflow for south east Australia ranged from less than zero (i.e. worse than assuming mean rainfall or streamflow conditions) up to 0.4, with most reconstructions exhibiting NSE values of zero to 0.25. This is illustrated in </w:t>
      </w:r>
      <w:r>
        <w:rPr>
          <w:lang w:eastAsia="en-AU"/>
        </w:rPr>
        <w:fldChar w:fldCharType="begin"/>
      </w:r>
      <w:r>
        <w:rPr>
          <w:lang w:eastAsia="en-AU"/>
        </w:rPr>
        <w:instrText xml:space="preserve"> REF _Ref24106766 \h </w:instrText>
      </w:r>
      <w:r>
        <w:rPr>
          <w:lang w:eastAsia="en-AU"/>
        </w:rPr>
      </w:r>
      <w:r>
        <w:rPr>
          <w:lang w:eastAsia="en-AU"/>
        </w:rPr>
        <w:fldChar w:fldCharType="separate"/>
      </w:r>
      <w:r>
        <w:t xml:space="preserve">Figure </w:t>
      </w:r>
      <w:r>
        <w:rPr>
          <w:noProof/>
        </w:rPr>
        <w:t>39</w:t>
      </w:r>
      <w:r>
        <w:rPr>
          <w:lang w:eastAsia="en-AU"/>
        </w:rPr>
        <w:fldChar w:fldCharType="end"/>
      </w:r>
      <w:r>
        <w:rPr>
          <w:lang w:eastAsia="en-AU"/>
        </w:rPr>
        <w:t xml:space="preserve">. The skill of </w:t>
      </w:r>
      <w:r>
        <w:rPr>
          <w:lang w:eastAsia="en-AU"/>
        </w:rPr>
        <w:lastRenderedPageBreak/>
        <w:t>reconstructions reported in Freund et al. (2017), a key VicDRIP funded research paper, was of a similar order of magnitude using a range of different calibration and verification statistics.</w:t>
      </w:r>
    </w:p>
    <w:p w14:paraId="5296D2C4" w14:textId="77777777" w:rsidR="007B29DD" w:rsidRDefault="007B29DD" w:rsidP="00E44CBB">
      <w:pPr>
        <w:pStyle w:val="BodyText"/>
        <w:spacing w:before="0" w:after="0"/>
        <w:rPr>
          <w:lang w:eastAsia="en-AU"/>
        </w:rPr>
      </w:pPr>
      <w:r w:rsidRPr="00FA2880">
        <w:rPr>
          <w:noProof/>
          <w:lang w:eastAsia="en-AU"/>
        </w:rPr>
        <w:drawing>
          <wp:inline distT="0" distB="0" distL="0" distR="0" wp14:anchorId="72E29BDF" wp14:editId="2F9E794C">
            <wp:extent cx="5396096" cy="2790138"/>
            <wp:effectExtent l="19050" t="19050" r="14605" b="10795"/>
            <wp:docPr id="122" name="Picture 122" descr="Quality of paleoclimate rainfall and streamflow reconstructions for south-east Australia. The quality is described by use of the Nash-Sutcliffe Efficiency coefficient for 12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3437" cy="2793934"/>
                    </a:xfrm>
                    <a:prstGeom prst="rect">
                      <a:avLst/>
                    </a:prstGeom>
                    <a:noFill/>
                    <a:ln>
                      <a:solidFill>
                        <a:schemeClr val="bg1">
                          <a:lumMod val="65000"/>
                        </a:schemeClr>
                      </a:solidFill>
                    </a:ln>
                  </pic:spPr>
                </pic:pic>
              </a:graphicData>
            </a:graphic>
          </wp:inline>
        </w:drawing>
      </w:r>
    </w:p>
    <w:p w14:paraId="7F208968" w14:textId="77777777" w:rsidR="007B29DD" w:rsidRDefault="007B29DD" w:rsidP="00E44CBB">
      <w:pPr>
        <w:pStyle w:val="Caption"/>
        <w:spacing w:before="0" w:after="0"/>
      </w:pPr>
      <w:bookmarkStart w:id="984" w:name="_Ref24106766"/>
      <w:bookmarkStart w:id="985" w:name="_Toc30425273"/>
      <w:bookmarkStart w:id="986" w:name="_Toc43476611"/>
      <w:bookmarkStart w:id="987" w:name="_Toc44928854"/>
      <w:bookmarkStart w:id="988" w:name="_Toc51237515"/>
      <w:bookmarkStart w:id="989" w:name="_Toc53586030"/>
      <w:bookmarkStart w:id="990" w:name="_Toc57377281"/>
      <w:r>
        <w:t xml:space="preserve">Figure </w:t>
      </w:r>
      <w:r>
        <w:fldChar w:fldCharType="begin"/>
      </w:r>
      <w:r>
        <w:instrText>SEQ Figure \* ARABIC</w:instrText>
      </w:r>
      <w:r>
        <w:fldChar w:fldCharType="separate"/>
      </w:r>
      <w:r>
        <w:rPr>
          <w:noProof/>
        </w:rPr>
        <w:t>39</w:t>
      </w:r>
      <w:r>
        <w:fldChar w:fldCharType="end"/>
      </w:r>
      <w:bookmarkEnd w:id="984"/>
      <w:r>
        <w:t xml:space="preserve"> Quality of paleoclimate rainfall and streamflow reconstructions for south-east Australia (Source: Ballis, 2019)</w:t>
      </w:r>
      <w:bookmarkEnd w:id="985"/>
      <w:bookmarkEnd w:id="986"/>
      <w:bookmarkEnd w:id="987"/>
      <w:bookmarkEnd w:id="988"/>
      <w:bookmarkEnd w:id="989"/>
      <w:bookmarkEnd w:id="990"/>
    </w:p>
    <w:p w14:paraId="1E4463AD" w14:textId="77777777" w:rsidR="007B29DD" w:rsidRDefault="007B29DD" w:rsidP="007B29DD">
      <w:pPr>
        <w:rPr>
          <w:rFonts w:cs="Times New Roman"/>
        </w:rPr>
      </w:pPr>
      <w:r>
        <w:br w:type="page"/>
      </w:r>
    </w:p>
    <w:p w14:paraId="40B0B84B" w14:textId="77777777" w:rsidR="007B29DD" w:rsidRDefault="007B29DD" w:rsidP="007B29DD">
      <w:pPr>
        <w:pStyle w:val="BodyText"/>
        <w:rPr>
          <w:lang w:eastAsia="en-AU"/>
        </w:rPr>
      </w:pPr>
      <w:r>
        <w:rPr>
          <w:lang w:eastAsia="en-AU"/>
        </w:rPr>
        <w:lastRenderedPageBreak/>
        <w:t>Freund et al. (2017) also compared these most recent rainfall reconstructions with previous rainfall reconstructions. In Victoria the correlations with other studies appear to reinforce the uncertainties associated with paleoclimate proxy records. Freund et al. (2017) did however identify strong correlations with documentary records of past cool season climate events in the Murray-Darling Basin.</w:t>
      </w:r>
    </w:p>
    <w:p w14:paraId="569AE3EB" w14:textId="77777777" w:rsidR="007B29DD" w:rsidRDefault="007B29DD" w:rsidP="007B29DD">
      <w:pPr>
        <w:pStyle w:val="BodyText"/>
        <w:rPr>
          <w:lang w:eastAsia="en-AU"/>
        </w:rPr>
      </w:pPr>
      <w:r>
        <w:rPr>
          <w:lang w:eastAsia="en-AU"/>
        </w:rPr>
        <w:t>Notwithstanding the apparent inability of paleoclimate reconstruction records of two-season rainfall to capture recorded historical variability well in Victoria, Freund et al. (2017) concluded that:</w:t>
      </w:r>
    </w:p>
    <w:p w14:paraId="0F26A3F0" w14:textId="77777777" w:rsidR="007B29DD" w:rsidRDefault="007B29DD" w:rsidP="007B29DD">
      <w:pPr>
        <w:pStyle w:val="BodyText"/>
        <w:numPr>
          <w:ilvl w:val="0"/>
          <w:numId w:val="51"/>
        </w:numPr>
        <w:rPr>
          <w:lang w:eastAsia="en-AU"/>
        </w:rPr>
      </w:pPr>
      <w:r>
        <w:rPr>
          <w:lang w:eastAsia="en-AU"/>
        </w:rPr>
        <w:t>“The most recent decline in rainfall in the Southern Slopes [covering southern Victoria and Tasmania] is within the range of variability given by the reconstruction”.</w:t>
      </w:r>
    </w:p>
    <w:p w14:paraId="586BE170" w14:textId="77777777" w:rsidR="007B29DD" w:rsidRDefault="007B29DD" w:rsidP="007B29DD">
      <w:pPr>
        <w:pStyle w:val="BodyText"/>
        <w:numPr>
          <w:ilvl w:val="0"/>
          <w:numId w:val="51"/>
        </w:numPr>
        <w:rPr>
          <w:lang w:eastAsia="en-AU"/>
        </w:rPr>
      </w:pPr>
      <w:r>
        <w:rPr>
          <w:lang w:eastAsia="en-AU"/>
        </w:rPr>
        <w:t xml:space="preserve">“The most recent trends [in rainfall in the Murray-Darling Basin] starting after the 1950s and 1970s are not unprecedented but are below the </w:t>
      </w:r>
      <w:r w:rsidRPr="0089606A">
        <w:rPr>
          <w:lang w:eastAsia="en-AU"/>
        </w:rPr>
        <w:t>25th</w:t>
      </w:r>
      <w:r>
        <w:rPr>
          <w:lang w:eastAsia="en-AU"/>
        </w:rPr>
        <w:t xml:space="preserve"> percentile, pointing towards a drying tendency”. Freund et al. (2017) inferred that recent observed reductions in cool season rainfall “are not particularly unusual in terms of natural variability resolved by the reconstruction”, despite this observation being “often associated with the intensification of the sub-tropical ridge […], changes in large-scale atmospheric circulation […], and the observed upward trend in SAM”.</w:t>
      </w:r>
    </w:p>
    <w:p w14:paraId="3DB468D1" w14:textId="77777777" w:rsidR="007B29DD" w:rsidRDefault="007B29DD" w:rsidP="007B29DD">
      <w:pPr>
        <w:pStyle w:val="BodyText"/>
        <w:numPr>
          <w:ilvl w:val="0"/>
          <w:numId w:val="51"/>
        </w:numPr>
        <w:rPr>
          <w:lang w:eastAsia="en-AU"/>
        </w:rPr>
      </w:pPr>
      <w:r>
        <w:rPr>
          <w:lang w:eastAsia="en-AU"/>
        </w:rPr>
        <w:t>“The Millennium Drought stands out as an unprecedented drought in the Southern Slopes region [covering southern Victoria and Tasmania]. The World War 2 Drought seems not to be as exceptional” at a national scale, with only central and eastern regions of Australia most affected. “The Federation Drought […] is confirmed as one of the worst periods of suppressed rainfall in the Murray Basin”, while other earlier droughts “appeared to be much more regionally constrained”.</w:t>
      </w:r>
    </w:p>
    <w:p w14:paraId="4D25FFAE" w14:textId="77777777" w:rsidR="007B29DD" w:rsidRDefault="007B29DD" w:rsidP="007B29DD">
      <w:pPr>
        <w:pStyle w:val="BodyText"/>
        <w:rPr>
          <w:lang w:eastAsia="en-AU"/>
        </w:rPr>
      </w:pPr>
      <w:r>
        <w:rPr>
          <w:lang w:eastAsia="en-AU"/>
        </w:rPr>
        <w:t>If these findings are correct for Victoria, then it would imply that there is little value to be gained from the use of paleoclimate reconstructions based on remote proxies in Victoria for assessing long-term reliability of supply, because the instrumental record captures the most severe droughts of the last 400-800 years.</w:t>
      </w:r>
    </w:p>
    <w:p w14:paraId="45CE8350" w14:textId="77777777" w:rsidR="007B29DD" w:rsidRDefault="007B29DD" w:rsidP="007B29DD">
      <w:pPr>
        <w:pStyle w:val="BodyText"/>
        <w:rPr>
          <w:lang w:eastAsia="en-AU"/>
        </w:rPr>
      </w:pPr>
      <w:r w:rsidRPr="00E651BD">
        <w:rPr>
          <w:lang w:eastAsia="en-AU"/>
        </w:rPr>
        <w:t xml:space="preserve">This research </w:t>
      </w:r>
      <w:r>
        <w:rPr>
          <w:lang w:eastAsia="en-AU"/>
        </w:rPr>
        <w:t>highlights that, unlike for some other parts of Australia, significant uncertainties exist in paleoclimate reconstruction records of annual warm and cool season rainfall for Victoria. If the available reconstruction records are correct, this would suggest that the observed droughts in Victoria from the instrumental record are the worst over the past several centuries. For these reasons, the use of paleoclimate reconstruction records, based on remote proxies, is not recommended as a direct input to water resource modelling assessments in Victoria at the current time.</w:t>
      </w:r>
    </w:p>
    <w:p w14:paraId="1E906A62" w14:textId="77777777" w:rsidR="007B29DD" w:rsidRPr="00E44CBB" w:rsidRDefault="007B29DD" w:rsidP="007B29DD">
      <w:pPr>
        <w:pStyle w:val="Heading2"/>
        <w:rPr>
          <w:b/>
          <w:bCs/>
          <w:color w:val="000000" w:themeColor="text1"/>
        </w:rPr>
      </w:pPr>
      <w:bookmarkStart w:id="991" w:name="_Toc38957475"/>
      <w:bookmarkStart w:id="992" w:name="_Toc43476541"/>
      <w:bookmarkStart w:id="993" w:name="_Toc44928786"/>
      <w:bookmarkStart w:id="994" w:name="_Toc51658057"/>
      <w:bookmarkStart w:id="995" w:name="_Toc53585962"/>
      <w:bookmarkStart w:id="996" w:name="_Toc57377213"/>
      <w:r w:rsidRPr="00E44CBB">
        <w:rPr>
          <w:b/>
          <w:bCs/>
          <w:color w:val="000000" w:themeColor="text1"/>
        </w:rPr>
        <w:t>B.6 Additional climate change impact assessment techniques</w:t>
      </w:r>
      <w:bookmarkEnd w:id="991"/>
      <w:bookmarkEnd w:id="992"/>
      <w:bookmarkEnd w:id="993"/>
      <w:bookmarkEnd w:id="994"/>
      <w:bookmarkEnd w:id="995"/>
      <w:bookmarkEnd w:id="996"/>
    </w:p>
    <w:p w14:paraId="254DEEAC" w14:textId="77777777" w:rsidR="007B29DD" w:rsidRPr="00E44CBB" w:rsidRDefault="007B29DD" w:rsidP="007B29DD">
      <w:pPr>
        <w:pStyle w:val="Heading3"/>
        <w:rPr>
          <w:b/>
          <w:bCs/>
          <w:color w:val="000000" w:themeColor="text1"/>
        </w:rPr>
      </w:pPr>
      <w:bookmarkStart w:id="997" w:name="_Toc38957477"/>
      <w:bookmarkStart w:id="998" w:name="_Toc43476542"/>
      <w:bookmarkStart w:id="999" w:name="_Toc44928787"/>
      <w:bookmarkStart w:id="1000" w:name="_Toc51658058"/>
      <w:bookmarkStart w:id="1001" w:name="_Toc53585963"/>
      <w:bookmarkStart w:id="1002" w:name="_Toc57377214"/>
      <w:r w:rsidRPr="00E44CBB">
        <w:rPr>
          <w:b/>
          <w:bCs/>
          <w:color w:val="000000" w:themeColor="text1"/>
        </w:rPr>
        <w:t>B 6.1 Sensitivity (stress) testing</w:t>
      </w:r>
      <w:bookmarkEnd w:id="997"/>
      <w:bookmarkEnd w:id="998"/>
      <w:bookmarkEnd w:id="999"/>
      <w:bookmarkEnd w:id="1000"/>
      <w:bookmarkEnd w:id="1001"/>
      <w:bookmarkEnd w:id="1002"/>
    </w:p>
    <w:p w14:paraId="39C9F162" w14:textId="77777777" w:rsidR="007B29DD" w:rsidRDefault="007B29DD" w:rsidP="007B29DD">
      <w:pPr>
        <w:pStyle w:val="BodyText"/>
        <w:rPr>
          <w:lang w:eastAsia="en-AU"/>
        </w:rPr>
      </w:pPr>
      <w:r w:rsidRPr="005672FA">
        <w:rPr>
          <w:lang w:eastAsia="en-AU"/>
        </w:rPr>
        <w:t xml:space="preserve">Climate sensitivity testing, also known as climate stress testing, involves testing river </w:t>
      </w:r>
      <w:r>
        <w:rPr>
          <w:lang w:eastAsia="en-AU"/>
        </w:rPr>
        <w:t>behaviour</w:t>
      </w:r>
      <w:r w:rsidRPr="005672FA">
        <w:rPr>
          <w:lang w:eastAsia="en-AU"/>
        </w:rPr>
        <w:t xml:space="preserve"> or supply system </w:t>
      </w:r>
      <w:r>
        <w:rPr>
          <w:lang w:eastAsia="en-AU"/>
        </w:rPr>
        <w:t>performance</w:t>
      </w:r>
      <w:r w:rsidRPr="005672FA">
        <w:rPr>
          <w:lang w:eastAsia="en-AU"/>
        </w:rPr>
        <w:t xml:space="preserve"> under incremental changes in climate, recharge or runoff.</w:t>
      </w:r>
      <w:r>
        <w:rPr>
          <w:lang w:eastAsia="en-AU"/>
        </w:rPr>
        <w:t xml:space="preserve"> This could involve, for example, testing the behaviour of a river system under say a 10% reduction in rainfall, or testing the performance of a supply system under a 10% reduction in streamflows, and examining changes in streamflow characteristics or supply system performance metrics. An overview of the process is shown in </w:t>
      </w:r>
      <w:r>
        <w:rPr>
          <w:lang w:eastAsia="en-AU"/>
        </w:rPr>
        <w:fldChar w:fldCharType="begin"/>
      </w:r>
      <w:r>
        <w:rPr>
          <w:lang w:eastAsia="en-AU"/>
        </w:rPr>
        <w:instrText xml:space="preserve"> REF _Ref40277934 \h </w:instrText>
      </w:r>
      <w:r>
        <w:rPr>
          <w:lang w:eastAsia="en-AU"/>
        </w:rPr>
      </w:r>
      <w:r>
        <w:rPr>
          <w:lang w:eastAsia="en-AU"/>
        </w:rPr>
        <w:fldChar w:fldCharType="separate"/>
      </w:r>
      <w:r>
        <w:t xml:space="preserve">Figure </w:t>
      </w:r>
      <w:r>
        <w:rPr>
          <w:noProof/>
        </w:rPr>
        <w:t>40</w:t>
      </w:r>
      <w:r>
        <w:rPr>
          <w:lang w:eastAsia="en-AU"/>
        </w:rPr>
        <w:fldChar w:fldCharType="end"/>
      </w:r>
      <w:r>
        <w:rPr>
          <w:lang w:eastAsia="en-AU"/>
        </w:rPr>
        <w:t>, with an example output.</w:t>
      </w:r>
    </w:p>
    <w:p w14:paraId="133E1F96" w14:textId="77777777" w:rsidR="007B29DD" w:rsidRDefault="007B29DD" w:rsidP="007B29DD">
      <w:pPr>
        <w:pStyle w:val="BodyText"/>
        <w:rPr>
          <w:lang w:eastAsia="en-AU"/>
        </w:rPr>
      </w:pPr>
      <w:r>
        <w:rPr>
          <w:lang w:eastAsia="en-AU"/>
        </w:rPr>
        <w:t>Sensitivity testing and stress testing are subtly different and potentially offer different insights. Sensitivity testing typically includes both negative and positive perturbations (e.g. both incremental increases and decreases in rainfall), whereas stress testing typically only considers perturbations that could cause a decrease in performance (e.g. an incremental decrease in rainfall). Stress testing can also be directly related to a specific scenario, with the degree of perturbation related to an output from another process. Stress testing under changes in runoff informed by bushfire impact modelling could be an example of this kind of stress testing.</w:t>
      </w:r>
    </w:p>
    <w:p w14:paraId="514E6EF2" w14:textId="77777777" w:rsidR="007B29DD" w:rsidRPr="004D33FF" w:rsidRDefault="007B29DD" w:rsidP="007B29DD">
      <w:pPr>
        <w:pStyle w:val="BodyText"/>
      </w:pPr>
      <w:r>
        <w:rPr>
          <w:lang w:eastAsia="en-AU"/>
        </w:rPr>
        <w:t xml:space="preserve">If perturbing more than one climate or hydrological characteristic, it is important to consider their cross-correlation. For highly correlated variables, only one of those variables should be perturbed. The relationship between correlated variables should be defined using some form of functional equation. For example, it would typically not make sense to increase air temperature and decrease evaporation at the same time, because this is unlikely to be physically plausible. Rather they would be paired so that if air temperature is increased by 10% then evaporation would be assumed to also increase by some related percentage. See Section </w:t>
      </w:r>
      <w:r>
        <w:rPr>
          <w:lang w:eastAsia="en-AU"/>
        </w:rPr>
        <w:fldChar w:fldCharType="begin"/>
      </w:r>
      <w:r>
        <w:rPr>
          <w:lang w:eastAsia="en-AU"/>
        </w:rPr>
        <w:instrText xml:space="preserve"> REF _Ref51234357 \r \h </w:instrText>
      </w:r>
      <w:r>
        <w:rPr>
          <w:lang w:eastAsia="en-AU"/>
        </w:rPr>
      </w:r>
      <w:r>
        <w:rPr>
          <w:lang w:eastAsia="en-AU"/>
        </w:rPr>
        <w:fldChar w:fldCharType="separate"/>
      </w:r>
      <w:r>
        <w:rPr>
          <w:lang w:eastAsia="en-AU"/>
        </w:rPr>
        <w:t>5.6.2</w:t>
      </w:r>
      <w:r>
        <w:rPr>
          <w:lang w:eastAsia="en-AU"/>
        </w:rPr>
        <w:fldChar w:fldCharType="end"/>
      </w:r>
      <w:r>
        <w:rPr>
          <w:lang w:eastAsia="en-AU"/>
        </w:rPr>
        <w:t xml:space="preserve"> for further discussion on GCM uncertainty and consistency between projections.</w:t>
      </w:r>
    </w:p>
    <w:p w14:paraId="49030F42" w14:textId="77777777" w:rsidR="007B29DD" w:rsidRDefault="007B29DD" w:rsidP="007B29DD">
      <w:pPr>
        <w:pStyle w:val="BodyText"/>
        <w:spacing w:after="0"/>
        <w:rPr>
          <w:lang w:eastAsia="en-AU"/>
        </w:rPr>
      </w:pPr>
      <w:r>
        <w:rPr>
          <w:noProof/>
        </w:rPr>
        <w:lastRenderedPageBreak/>
        <w:drawing>
          <wp:inline distT="0" distB="0" distL="0" distR="0" wp14:anchorId="0317CE5A" wp14:editId="0803B4F3">
            <wp:extent cx="6195600" cy="4233600"/>
            <wp:effectExtent l="19050" t="19050" r="15240" b="14605"/>
            <wp:docPr id="945704174" name="Picture 945704174" descr="Process of sensitivity testing:&#10;&#10;Step one: Define river or supply system performance measures (e.g. reliability of supply, yield, percent of time that a given flow threshold is exceeded, etc)&#10;&#10;Step two: Identify climate and hydroclimate characteristics under which to test water supply behaviour (e.g. through understanding historical relationships between climate, hydrology and supply system performance).&#10;&#10;Step three: Define plausible limits for perturbation. These plausible limits should not constrain the amount of perturbation, but can be used to inform how likely given changes might be considering constraints such as cross-correlations between variables.&#10;&#10;Step four: Define other assumptions (e.g. starting conditions, test assessment duration, etc).&#10;&#10;Step five: Apply incremental perturbations. These plausible limits should not constrain the amount of perturbation but can be used to inform how likely given changes might be. They are typically undertaken in increments of ten percent relative to reference period conditions.&#10;&#10;Step six: Plot or tabulate performance for each increment of perturbation.&#10;&#10;Step seven: Interpret performance and reassess decision making to address potential vulner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70417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95600" cy="4233600"/>
                    </a:xfrm>
                    <a:prstGeom prst="rect">
                      <a:avLst/>
                    </a:prstGeom>
                    <a:ln>
                      <a:solidFill>
                        <a:schemeClr val="bg1">
                          <a:lumMod val="65000"/>
                        </a:schemeClr>
                      </a:solidFill>
                    </a:ln>
                  </pic:spPr>
                </pic:pic>
              </a:graphicData>
            </a:graphic>
          </wp:inline>
        </w:drawing>
      </w:r>
    </w:p>
    <w:p w14:paraId="156D2C8C" w14:textId="77777777" w:rsidR="007B29DD" w:rsidRDefault="007B29DD" w:rsidP="007B29DD">
      <w:pPr>
        <w:pStyle w:val="Caption"/>
        <w:spacing w:before="0"/>
      </w:pPr>
      <w:bookmarkStart w:id="1003" w:name="_Ref40277934"/>
      <w:bookmarkStart w:id="1004" w:name="_Toc43476612"/>
      <w:bookmarkStart w:id="1005" w:name="_Toc44928855"/>
      <w:bookmarkStart w:id="1006" w:name="_Toc51237516"/>
      <w:bookmarkStart w:id="1007" w:name="_Toc53586031"/>
      <w:bookmarkStart w:id="1008" w:name="_Toc57377282"/>
      <w:r>
        <w:t xml:space="preserve">Figure </w:t>
      </w:r>
      <w:r>
        <w:fldChar w:fldCharType="begin"/>
      </w:r>
      <w:r>
        <w:instrText>SEQ Figure \* ARABIC</w:instrText>
      </w:r>
      <w:r>
        <w:fldChar w:fldCharType="separate"/>
      </w:r>
      <w:r>
        <w:rPr>
          <w:noProof/>
        </w:rPr>
        <w:t>40</w:t>
      </w:r>
      <w:r>
        <w:fldChar w:fldCharType="end"/>
      </w:r>
      <w:bookmarkEnd w:id="1003"/>
      <w:r>
        <w:t xml:space="preserve"> Process and example output from sensitivity testing</w:t>
      </w:r>
      <w:bookmarkEnd w:id="1004"/>
      <w:bookmarkEnd w:id="1005"/>
      <w:bookmarkEnd w:id="1006"/>
      <w:bookmarkEnd w:id="1007"/>
      <w:bookmarkEnd w:id="1008"/>
    </w:p>
    <w:p w14:paraId="1852BAF9" w14:textId="77777777" w:rsidR="007B29DD" w:rsidRDefault="007B29DD" w:rsidP="007B29DD">
      <w:pPr>
        <w:pStyle w:val="BodyText"/>
        <w:rPr>
          <w:lang w:eastAsia="en-AU"/>
        </w:rPr>
      </w:pPr>
    </w:p>
    <w:p w14:paraId="38DB9A34" w14:textId="77777777" w:rsidR="007B29DD" w:rsidRDefault="007B29DD" w:rsidP="007B29DD">
      <w:pPr>
        <w:pStyle w:val="BodyText"/>
        <w:rPr>
          <w:lang w:eastAsia="en-AU"/>
        </w:rPr>
      </w:pPr>
      <w:r>
        <w:rPr>
          <w:lang w:eastAsia="en-AU"/>
        </w:rPr>
        <w:t>One potential advantage of sensitivity testing is that it is not constrained by real-world climate observations or the limitations of GCMs. For example, for run-of-river systems that are perceived as being sensitive to changes in within-year drought duration, a hypothetical rainfall or streamflow sequence can be created that reflects this potential change. The supply system can then be tested to understand what drought duration would start to cause supply system performance to drop below level of service objectives. If the duration at which supply system performance drops below expectations is only marginally longer than historical observations, then the supply system is potentially at risk from the occurrence of a drought only slightly worse than the worst on record, and action to improve supply system resilience could be warranted. On the other hand, if the duration of drought needs to double before supply system performance is compromised, then this indicates both that the supply system is resilient to drought duration, and also provides an indication of the time that might be available to make corrective actions if such a drought were to actually eventuate.</w:t>
      </w:r>
    </w:p>
    <w:p w14:paraId="5BB79C20" w14:textId="77777777" w:rsidR="007B29DD" w:rsidRDefault="007B29DD" w:rsidP="007B29DD">
      <w:pPr>
        <w:pStyle w:val="BodyText"/>
        <w:rPr>
          <w:lang w:eastAsia="en-AU"/>
        </w:rPr>
      </w:pPr>
      <w:r>
        <w:rPr>
          <w:lang w:eastAsia="en-AU"/>
        </w:rPr>
        <w:t>The decision risk associated with sensitivity testing and stress testing is that if the perturbations are not plausible, they can skew decision making to try and plan for an event of extremely low likelihood. For this reason, the perturbations should be related to observed or modelled behaviour wherever possible, including indicating where the perturbations extend beyond those observations or model results.</w:t>
      </w:r>
    </w:p>
    <w:p w14:paraId="2DED4C4C" w14:textId="77777777" w:rsidR="007B29DD" w:rsidRPr="00A0031C" w:rsidRDefault="007B29DD" w:rsidP="007B29DD">
      <w:pPr>
        <w:pStyle w:val="BodyText"/>
        <w:rPr>
          <w:lang w:eastAsia="en-AU"/>
        </w:rPr>
      </w:pPr>
    </w:p>
    <w:p w14:paraId="0394BCD4" w14:textId="77777777" w:rsidR="007B29DD" w:rsidRDefault="007B29DD" w:rsidP="007B29DD">
      <w:pPr>
        <w:rPr>
          <w:rFonts w:cs="Times New Roman"/>
        </w:rPr>
      </w:pPr>
      <w:r>
        <w:br w:type="page"/>
      </w:r>
    </w:p>
    <w:p w14:paraId="7C1CD3D9" w14:textId="77777777" w:rsidR="007B29DD" w:rsidRPr="00E44CBB" w:rsidRDefault="007B29DD" w:rsidP="007B29DD">
      <w:pPr>
        <w:pStyle w:val="Heading3"/>
        <w:rPr>
          <w:b/>
          <w:bCs/>
          <w:color w:val="000000" w:themeColor="text1"/>
        </w:rPr>
      </w:pPr>
      <w:bookmarkStart w:id="1009" w:name="_Toc43476543"/>
      <w:bookmarkStart w:id="1010" w:name="_Toc44928788"/>
      <w:bookmarkStart w:id="1011" w:name="_Toc51658059"/>
      <w:bookmarkStart w:id="1012" w:name="_Toc53585964"/>
      <w:bookmarkStart w:id="1013" w:name="_Toc57377215"/>
      <w:r w:rsidRPr="00E44CBB">
        <w:rPr>
          <w:b/>
          <w:bCs/>
          <w:color w:val="000000" w:themeColor="text1"/>
        </w:rPr>
        <w:lastRenderedPageBreak/>
        <w:t>B 6.2 Sensitivity testing for seasonal rainfall projections</w:t>
      </w:r>
      <w:bookmarkEnd w:id="1009"/>
      <w:bookmarkEnd w:id="1010"/>
      <w:bookmarkEnd w:id="1011"/>
      <w:bookmarkEnd w:id="1012"/>
      <w:bookmarkEnd w:id="1013"/>
    </w:p>
    <w:p w14:paraId="78F82CEE" w14:textId="77777777" w:rsidR="007B29DD" w:rsidRDefault="007B29DD" w:rsidP="007B29DD">
      <w:pPr>
        <w:pStyle w:val="BodyText"/>
        <w:rPr>
          <w:lang w:eastAsia="en-AU"/>
        </w:rPr>
      </w:pPr>
      <w:r>
        <w:rPr>
          <w:lang w:eastAsia="en-AU"/>
        </w:rPr>
        <w:t>Step</w:t>
      </w:r>
      <w:r w:rsidDel="005E04C9">
        <w:rPr>
          <w:lang w:eastAsia="en-AU"/>
        </w:rPr>
        <w:t xml:space="preserve"> </w:t>
      </w:r>
      <w:r>
        <w:rPr>
          <w:lang w:eastAsia="en-AU"/>
        </w:rPr>
        <w:t xml:space="preserve">three (define plausible limits for perturbation) of the above process in </w:t>
      </w:r>
      <w:r>
        <w:rPr>
          <w:lang w:eastAsia="en-AU"/>
        </w:rPr>
        <w:fldChar w:fldCharType="begin"/>
      </w:r>
      <w:r>
        <w:rPr>
          <w:lang w:eastAsia="en-AU"/>
        </w:rPr>
        <w:instrText xml:space="preserve"> REF _Ref40277934 \h </w:instrText>
      </w:r>
      <w:r>
        <w:rPr>
          <w:lang w:eastAsia="en-AU"/>
        </w:rPr>
      </w:r>
      <w:r>
        <w:rPr>
          <w:lang w:eastAsia="en-AU"/>
        </w:rPr>
        <w:fldChar w:fldCharType="separate"/>
      </w:r>
      <w:r>
        <w:t xml:space="preserve">Figure </w:t>
      </w:r>
      <w:r>
        <w:rPr>
          <w:noProof/>
        </w:rPr>
        <w:t>40</w:t>
      </w:r>
      <w:r>
        <w:rPr>
          <w:lang w:eastAsia="en-AU"/>
        </w:rPr>
        <w:fldChar w:fldCharType="end"/>
      </w:r>
      <w:r>
        <w:rPr>
          <w:lang w:eastAsia="en-AU"/>
        </w:rPr>
        <w:t xml:space="preserve"> has been developed for sensitivity testing of projected seasonal changes in rainfall. </w:t>
      </w:r>
      <w:r>
        <w:rPr>
          <w:lang w:eastAsia="en-AU"/>
        </w:rPr>
        <w:fldChar w:fldCharType="begin"/>
      </w:r>
      <w:r>
        <w:rPr>
          <w:lang w:eastAsia="en-AU"/>
        </w:rPr>
        <w:instrText xml:space="preserve"> REF _Ref40457095 \h  \* MERGEFORMAT </w:instrText>
      </w:r>
      <w:r>
        <w:rPr>
          <w:lang w:eastAsia="en-AU"/>
        </w:rPr>
      </w:r>
      <w:r>
        <w:rPr>
          <w:lang w:eastAsia="en-AU"/>
        </w:rPr>
        <w:fldChar w:fldCharType="separate"/>
      </w:r>
      <w:r>
        <w:t xml:space="preserve">Figure </w:t>
      </w:r>
      <w:r>
        <w:rPr>
          <w:noProof/>
        </w:rPr>
        <w:t>41</w:t>
      </w:r>
      <w:r>
        <w:rPr>
          <w:lang w:eastAsia="en-AU"/>
        </w:rPr>
        <w:fldChar w:fldCharType="end"/>
      </w:r>
      <w:r>
        <w:rPr>
          <w:lang w:eastAsia="en-AU"/>
        </w:rPr>
        <w:t xml:space="preserve"> illustrates, for an example river basin, how cool and warm season rainfall varies for a given annual projection from the range of 42 GCMs, for a given emissions scenario. </w:t>
      </w:r>
      <w:r w:rsidRPr="00760304">
        <w:rPr>
          <w:lang w:eastAsia="en-AU"/>
        </w:rPr>
        <w:t>For Victoria, the cool season is assumed to run from April to October and the warm season is assumed to run from November to March.</w:t>
      </w:r>
      <w:r>
        <w:rPr>
          <w:lang w:eastAsia="en-AU"/>
        </w:rPr>
        <w:t xml:space="preserve"> The deviation of the projected cool and warm season behaviour from the annual projection is shown in </w:t>
      </w:r>
      <w:r>
        <w:rPr>
          <w:lang w:eastAsia="en-AU"/>
        </w:rPr>
        <w:fldChar w:fldCharType="begin"/>
      </w:r>
      <w:r>
        <w:rPr>
          <w:lang w:eastAsia="en-AU"/>
        </w:rPr>
        <w:instrText xml:space="preserve"> REF _Ref40457230 \h  \* MERGEFORMAT </w:instrText>
      </w:r>
      <w:r>
        <w:rPr>
          <w:lang w:eastAsia="en-AU"/>
        </w:rPr>
      </w:r>
      <w:r>
        <w:rPr>
          <w:lang w:eastAsia="en-AU"/>
        </w:rPr>
        <w:fldChar w:fldCharType="separate"/>
      </w:r>
      <w:r>
        <w:t xml:space="preserve">Figure </w:t>
      </w:r>
      <w:r>
        <w:rPr>
          <w:noProof/>
        </w:rPr>
        <w:t>42</w:t>
      </w:r>
      <w:r>
        <w:rPr>
          <w:lang w:eastAsia="en-AU"/>
        </w:rPr>
        <w:fldChar w:fldCharType="end"/>
      </w:r>
      <w:r>
        <w:rPr>
          <w:lang w:eastAsia="en-AU"/>
        </w:rPr>
        <w:t xml:space="preserve">. From this figure the maximum </w:t>
      </w:r>
      <w:r w:rsidRPr="003E2152">
        <w:rPr>
          <w:b/>
          <w:lang w:eastAsia="en-AU"/>
        </w:rPr>
        <w:t>deviation</w:t>
      </w:r>
      <w:r>
        <w:rPr>
          <w:lang w:eastAsia="en-AU"/>
        </w:rPr>
        <w:t xml:space="preserve"> for both the cool season and the warm season have been identified, over the range of annual projections adopted in the guidelines (i.e. from the </w:t>
      </w:r>
      <w:r w:rsidRPr="003178A9">
        <w:rPr>
          <w:lang w:eastAsia="en-AU"/>
        </w:rPr>
        <w:t>10th</w:t>
      </w:r>
      <w:r>
        <w:rPr>
          <w:lang w:eastAsia="en-AU"/>
        </w:rPr>
        <w:t xml:space="preserve"> to </w:t>
      </w:r>
      <w:r w:rsidRPr="005E0E0D">
        <w:rPr>
          <w:lang w:eastAsia="en-AU"/>
        </w:rPr>
        <w:t>90th</w:t>
      </w:r>
      <w:r>
        <w:rPr>
          <w:lang w:eastAsia="en-AU"/>
        </w:rPr>
        <w:t xml:space="preserve"> percentile annual projections). The cool and warm season deviations are paired for each GCM. That is, the GCM that generates the maximum cool season rainfall increase will have a corresponding maximum warm season decrease, and the GCM that generates the maximum warm season increase will have a corresponding maximum cool season decrease.</w:t>
      </w:r>
    </w:p>
    <w:p w14:paraId="63E0A576" w14:textId="77777777" w:rsidR="007B29DD" w:rsidRDefault="007B29DD" w:rsidP="007B29DD">
      <w:pPr>
        <w:pStyle w:val="BodyText"/>
        <w:rPr>
          <w:lang w:eastAsia="en-AU"/>
        </w:rPr>
      </w:pPr>
      <w:r>
        <w:rPr>
          <w:lang w:eastAsia="en-AU"/>
        </w:rPr>
        <w:t xml:space="preserve">In the example shown in </w:t>
      </w:r>
      <w:r>
        <w:rPr>
          <w:lang w:eastAsia="en-AU"/>
        </w:rPr>
        <w:fldChar w:fldCharType="begin"/>
      </w:r>
      <w:r>
        <w:rPr>
          <w:lang w:eastAsia="en-AU"/>
        </w:rPr>
        <w:instrText xml:space="preserve"> REF _Ref40457230 \h  \* MERGEFORMAT </w:instrText>
      </w:r>
      <w:r>
        <w:rPr>
          <w:lang w:eastAsia="en-AU"/>
        </w:rPr>
      </w:r>
      <w:r>
        <w:rPr>
          <w:lang w:eastAsia="en-AU"/>
        </w:rPr>
        <w:fldChar w:fldCharType="separate"/>
      </w:r>
      <w:r>
        <w:t xml:space="preserve">Figure </w:t>
      </w:r>
      <w:r>
        <w:rPr>
          <w:noProof/>
        </w:rPr>
        <w:t>42</w:t>
      </w:r>
      <w:r>
        <w:rPr>
          <w:lang w:eastAsia="en-AU"/>
        </w:rPr>
        <w:fldChar w:fldCharType="end"/>
      </w:r>
      <w:r>
        <w:rPr>
          <w:lang w:eastAsia="en-AU"/>
        </w:rPr>
        <w:t>, the GCM with the greatest warm season increase (relative to the given annual projection) generates an 18% increase in warm season rainfall, with a corresponding 11% decrease in cool season rainfall. Similarly, the GCM with the greatest cool season increase (relative to the given annual projection) generates a 13% increase in cool season rainfall, with a corresponding warm season rainfall decrease of 21%.</w:t>
      </w:r>
    </w:p>
    <w:p w14:paraId="3C389B93" w14:textId="77777777" w:rsidR="007B29DD" w:rsidRDefault="007B29DD" w:rsidP="007B29DD">
      <w:pPr>
        <w:pStyle w:val="BodyText"/>
        <w:rPr>
          <w:lang w:eastAsia="en-AU"/>
        </w:rPr>
      </w:pPr>
      <w:r>
        <w:rPr>
          <w:lang w:eastAsia="en-AU"/>
        </w:rPr>
        <w:t>These are the two paired ranges that can therefore be used for sensitivity testing:</w:t>
      </w:r>
    </w:p>
    <w:p w14:paraId="62B52BF8" w14:textId="77777777" w:rsidR="007B29DD" w:rsidRDefault="007B29DD" w:rsidP="007B29DD">
      <w:pPr>
        <w:pStyle w:val="BodyText"/>
        <w:numPr>
          <w:ilvl w:val="0"/>
          <w:numId w:val="20"/>
        </w:numPr>
        <w:rPr>
          <w:lang w:eastAsia="en-AU"/>
        </w:rPr>
      </w:pPr>
      <w:r>
        <w:rPr>
          <w:lang w:eastAsia="en-AU"/>
        </w:rPr>
        <w:t xml:space="preserve">The first paired sensitivity represents the combination associated with the greatest increase in cool season rainfall relative to the annual projection (and the greatest decrease in warm season rainfall relative to the annual projection). </w:t>
      </w:r>
    </w:p>
    <w:p w14:paraId="5B64B391" w14:textId="77777777" w:rsidR="007B29DD" w:rsidRDefault="007B29DD" w:rsidP="007B29DD">
      <w:pPr>
        <w:pStyle w:val="BodyText"/>
        <w:numPr>
          <w:ilvl w:val="0"/>
          <w:numId w:val="20"/>
        </w:numPr>
        <w:rPr>
          <w:lang w:eastAsia="en-AU"/>
        </w:rPr>
      </w:pPr>
      <w:r>
        <w:rPr>
          <w:lang w:eastAsia="en-AU"/>
        </w:rPr>
        <w:t>The second represents the combination associated with the greatest increase in warm season rainfall relative to the annual projection (and the greatest decrease in cool season rainfall relative to the annual projection).</w:t>
      </w:r>
    </w:p>
    <w:p w14:paraId="41499FC9" w14:textId="77777777" w:rsidR="007B29DD" w:rsidRDefault="007B29DD" w:rsidP="007B29DD">
      <w:pPr>
        <w:pStyle w:val="BodyText"/>
        <w:rPr>
          <w:lang w:eastAsia="en-AU"/>
        </w:rPr>
      </w:pPr>
      <w:r>
        <w:rPr>
          <w:lang w:eastAsia="en-AU"/>
        </w:rPr>
        <w:t>Both pairs must be utilised to fully understand the potential impact of seasonal projection uncertainty on river or supply system behaviour.</w:t>
      </w:r>
    </w:p>
    <w:p w14:paraId="4083C141" w14:textId="77777777" w:rsidR="007B29DD" w:rsidRDefault="007B29DD" w:rsidP="007B29DD">
      <w:pPr>
        <w:pStyle w:val="BodyText"/>
        <w:rPr>
          <w:lang w:eastAsia="en-AU"/>
        </w:rPr>
      </w:pPr>
      <w:r>
        <w:rPr>
          <w:lang w:eastAsia="en-AU"/>
        </w:rPr>
        <w:t xml:space="preserve">Sensitivity ranges for the seasonal projections were derived for each river basin, as listed in </w:t>
      </w:r>
      <w:r>
        <w:rPr>
          <w:lang w:eastAsia="en-AU"/>
        </w:rPr>
        <w:fldChar w:fldCharType="begin"/>
      </w:r>
      <w:r>
        <w:rPr>
          <w:lang w:eastAsia="en-AU"/>
        </w:rPr>
        <w:instrText xml:space="preserve"> REF _Ref42940000 \h </w:instrText>
      </w:r>
      <w:r>
        <w:rPr>
          <w:lang w:eastAsia="en-AU"/>
        </w:rPr>
      </w:r>
      <w:r>
        <w:rPr>
          <w:lang w:eastAsia="en-AU"/>
        </w:rPr>
        <w:fldChar w:fldCharType="separate"/>
      </w:r>
      <w:r>
        <w:t xml:space="preserve">Table </w:t>
      </w:r>
      <w:r>
        <w:rPr>
          <w:noProof/>
        </w:rPr>
        <w:t>11</w:t>
      </w:r>
      <w:r>
        <w:rPr>
          <w:lang w:eastAsia="en-AU"/>
        </w:rPr>
        <w:fldChar w:fldCharType="end"/>
      </w:r>
      <w:r>
        <w:rPr>
          <w:lang w:eastAsia="en-AU"/>
        </w:rPr>
        <w:t xml:space="preserve"> (for the low climate change projection), </w:t>
      </w:r>
      <w:r>
        <w:rPr>
          <w:lang w:eastAsia="en-AU"/>
        </w:rPr>
        <w:fldChar w:fldCharType="begin"/>
      </w:r>
      <w:r>
        <w:rPr>
          <w:lang w:eastAsia="en-AU"/>
        </w:rPr>
        <w:instrText xml:space="preserve"> REF _Ref42941221 \h </w:instrText>
      </w:r>
      <w:r>
        <w:rPr>
          <w:lang w:eastAsia="en-AU"/>
        </w:rPr>
      </w:r>
      <w:r>
        <w:rPr>
          <w:lang w:eastAsia="en-AU"/>
        </w:rPr>
        <w:fldChar w:fldCharType="separate"/>
      </w:r>
      <w:r>
        <w:t xml:space="preserve">Table </w:t>
      </w:r>
      <w:r>
        <w:rPr>
          <w:noProof/>
        </w:rPr>
        <w:t>12</w:t>
      </w:r>
      <w:r>
        <w:rPr>
          <w:lang w:eastAsia="en-AU"/>
        </w:rPr>
        <w:fldChar w:fldCharType="end"/>
      </w:r>
      <w:r>
        <w:rPr>
          <w:lang w:eastAsia="en-AU"/>
        </w:rPr>
        <w:t xml:space="preserve"> (for the medium climate change projection) and </w:t>
      </w:r>
      <w:r>
        <w:rPr>
          <w:lang w:eastAsia="en-AU"/>
        </w:rPr>
        <w:fldChar w:fldCharType="begin"/>
      </w:r>
      <w:r>
        <w:rPr>
          <w:lang w:eastAsia="en-AU"/>
        </w:rPr>
        <w:instrText xml:space="preserve"> REF _Ref42941233 \h </w:instrText>
      </w:r>
      <w:r>
        <w:rPr>
          <w:lang w:eastAsia="en-AU"/>
        </w:rPr>
      </w:r>
      <w:r>
        <w:rPr>
          <w:lang w:eastAsia="en-AU"/>
        </w:rPr>
        <w:fldChar w:fldCharType="separate"/>
      </w:r>
      <w:r>
        <w:t xml:space="preserve">Table </w:t>
      </w:r>
      <w:r>
        <w:rPr>
          <w:noProof/>
        </w:rPr>
        <w:t>13</w:t>
      </w:r>
      <w:r>
        <w:rPr>
          <w:lang w:eastAsia="en-AU"/>
        </w:rPr>
        <w:fldChar w:fldCharType="end"/>
      </w:r>
      <w:r>
        <w:rPr>
          <w:lang w:eastAsia="en-AU"/>
        </w:rPr>
        <w:t xml:space="preserve"> (for the high climate change projection).</w:t>
      </w:r>
    </w:p>
    <w:p w14:paraId="1999AF49" w14:textId="77777777" w:rsidR="007B29DD" w:rsidRDefault="007B29DD" w:rsidP="007B29DD">
      <w:pPr>
        <w:pStyle w:val="BodyText"/>
        <w:rPr>
          <w:lang w:eastAsia="en-AU"/>
        </w:rPr>
      </w:pPr>
      <w:r>
        <w:rPr>
          <w:lang w:eastAsia="en-AU"/>
        </w:rPr>
        <w:t xml:space="preserve">To illustrate how to apply </w:t>
      </w:r>
      <w:r>
        <w:rPr>
          <w:lang w:eastAsia="en-AU"/>
        </w:rPr>
        <w:fldChar w:fldCharType="begin"/>
      </w:r>
      <w:r>
        <w:rPr>
          <w:lang w:eastAsia="en-AU"/>
        </w:rPr>
        <w:instrText xml:space="preserve"> REF _Ref42940000 \h </w:instrText>
      </w:r>
      <w:r>
        <w:rPr>
          <w:lang w:eastAsia="en-AU"/>
        </w:rPr>
      </w:r>
      <w:r>
        <w:rPr>
          <w:lang w:eastAsia="en-AU"/>
        </w:rPr>
        <w:fldChar w:fldCharType="separate"/>
      </w:r>
      <w:r>
        <w:t xml:space="preserve">Table </w:t>
      </w:r>
      <w:r>
        <w:rPr>
          <w:noProof/>
        </w:rPr>
        <w:t>11</w:t>
      </w:r>
      <w:r>
        <w:rPr>
          <w:lang w:eastAsia="en-AU"/>
        </w:rPr>
        <w:fldChar w:fldCharType="end"/>
      </w:r>
      <w:r>
        <w:rPr>
          <w:lang w:eastAsia="en-AU"/>
        </w:rPr>
        <w:t xml:space="preserve"> to </w:t>
      </w:r>
      <w:r>
        <w:rPr>
          <w:lang w:eastAsia="en-AU"/>
        </w:rPr>
        <w:fldChar w:fldCharType="begin"/>
      </w:r>
      <w:r>
        <w:rPr>
          <w:lang w:eastAsia="en-AU"/>
        </w:rPr>
        <w:instrText xml:space="preserve"> REF _Ref42941233 \h </w:instrText>
      </w:r>
      <w:r>
        <w:rPr>
          <w:lang w:eastAsia="en-AU"/>
        </w:rPr>
      </w:r>
      <w:r>
        <w:rPr>
          <w:lang w:eastAsia="en-AU"/>
        </w:rPr>
        <w:fldChar w:fldCharType="separate"/>
      </w:r>
      <w:r>
        <w:t xml:space="preserve">Table </w:t>
      </w:r>
      <w:r>
        <w:rPr>
          <w:noProof/>
        </w:rPr>
        <w:t>13</w:t>
      </w:r>
      <w:r>
        <w:rPr>
          <w:lang w:eastAsia="en-AU"/>
        </w:rPr>
        <w:fldChar w:fldCharType="end"/>
      </w:r>
      <w:r>
        <w:rPr>
          <w:lang w:eastAsia="en-AU"/>
        </w:rPr>
        <w:t xml:space="preserve">, the East Gippsland Basin has been adopted. In </w:t>
      </w:r>
      <w:r>
        <w:rPr>
          <w:lang w:eastAsia="en-AU"/>
        </w:rPr>
        <w:fldChar w:fldCharType="begin"/>
      </w:r>
      <w:r>
        <w:rPr>
          <w:lang w:eastAsia="en-AU"/>
        </w:rPr>
        <w:instrText xml:space="preserve"> REF _Ref42941233 \h </w:instrText>
      </w:r>
      <w:r>
        <w:rPr>
          <w:lang w:eastAsia="en-AU"/>
        </w:rPr>
      </w:r>
      <w:r>
        <w:rPr>
          <w:lang w:eastAsia="en-AU"/>
        </w:rPr>
        <w:fldChar w:fldCharType="separate"/>
      </w:r>
      <w:r>
        <w:t xml:space="preserve">Table </w:t>
      </w:r>
      <w:r>
        <w:rPr>
          <w:noProof/>
        </w:rPr>
        <w:t>13</w:t>
      </w:r>
      <w:r>
        <w:rPr>
          <w:lang w:eastAsia="en-AU"/>
        </w:rPr>
        <w:fldChar w:fldCharType="end"/>
      </w:r>
      <w:r>
        <w:rPr>
          <w:lang w:eastAsia="en-AU"/>
        </w:rPr>
        <w:t>, the high climate change projection (from chapter</w:t>
      </w:r>
      <w:r w:rsidDel="00AE22E5">
        <w:rPr>
          <w:lang w:eastAsia="en-AU"/>
        </w:rPr>
        <w:t xml:space="preserve"> </w:t>
      </w:r>
      <w:r>
        <w:rPr>
          <w:lang w:eastAsia="en-AU"/>
        </w:rPr>
        <w:t xml:space="preserve">five of the guidelines) for this basin for the year 2040 under the RCP8.5 emissions scenario is for a 10.8% reduction in annual rainfall. From </w:t>
      </w:r>
      <w:r>
        <w:rPr>
          <w:lang w:eastAsia="en-AU"/>
        </w:rPr>
        <w:fldChar w:fldCharType="begin"/>
      </w:r>
      <w:r>
        <w:rPr>
          <w:lang w:eastAsia="en-AU"/>
        </w:rPr>
        <w:instrText xml:space="preserve"> REF _Ref42941233 \h </w:instrText>
      </w:r>
      <w:r>
        <w:rPr>
          <w:lang w:eastAsia="en-AU"/>
        </w:rPr>
      </w:r>
      <w:r>
        <w:rPr>
          <w:lang w:eastAsia="en-AU"/>
        </w:rPr>
        <w:fldChar w:fldCharType="separate"/>
      </w:r>
      <w:r>
        <w:t xml:space="preserve">Table </w:t>
      </w:r>
      <w:r>
        <w:rPr>
          <w:noProof/>
        </w:rPr>
        <w:t>13</w:t>
      </w:r>
      <w:r>
        <w:rPr>
          <w:lang w:eastAsia="en-AU"/>
        </w:rPr>
        <w:fldChar w:fldCharType="end"/>
      </w:r>
      <w:r>
        <w:rPr>
          <w:lang w:eastAsia="en-AU"/>
        </w:rPr>
        <w:t>, the projected range of possible seasonal changes under these conditions would be:</w:t>
      </w:r>
    </w:p>
    <w:p w14:paraId="37E640BD" w14:textId="77777777" w:rsidR="007B29DD" w:rsidRDefault="007B29DD" w:rsidP="007B29DD">
      <w:pPr>
        <w:pStyle w:val="BodyText"/>
        <w:numPr>
          <w:ilvl w:val="5"/>
          <w:numId w:val="34"/>
        </w:numPr>
        <w:ind w:left="709"/>
        <w:rPr>
          <w:lang w:eastAsia="en-AU"/>
        </w:rPr>
      </w:pPr>
      <w:r>
        <w:rPr>
          <w:lang w:eastAsia="en-AU"/>
        </w:rPr>
        <w:t>A 3.2% decrease in cool season rainfall coupled with a 22.3% decrease in warm season rainfall.</w:t>
      </w:r>
    </w:p>
    <w:p w14:paraId="174E5580" w14:textId="77777777" w:rsidR="007B29DD" w:rsidRDefault="007B29DD" w:rsidP="007B29DD">
      <w:pPr>
        <w:pStyle w:val="BodyText"/>
        <w:numPr>
          <w:ilvl w:val="5"/>
          <w:numId w:val="34"/>
        </w:numPr>
        <w:ind w:left="709"/>
        <w:rPr>
          <w:lang w:eastAsia="en-AU"/>
        </w:rPr>
      </w:pPr>
      <w:r>
        <w:rPr>
          <w:lang w:eastAsia="en-AU"/>
        </w:rPr>
        <w:t>A 22.4% decrease in cool season rainfall coupled with a 6.8% increase in warm season rainfall.</w:t>
      </w:r>
    </w:p>
    <w:p w14:paraId="3332C3E0" w14:textId="77777777" w:rsidR="007B29DD" w:rsidRDefault="007B29DD" w:rsidP="007B29DD">
      <w:pPr>
        <w:pStyle w:val="BodyText"/>
        <w:rPr>
          <w:lang w:eastAsia="en-AU"/>
        </w:rPr>
      </w:pPr>
      <w:r>
        <w:rPr>
          <w:lang w:eastAsia="en-AU"/>
        </w:rPr>
        <w:t xml:space="preserve">Both pairs of cool and warm season changes are equally plausible, and both need to be applied to adequately test the sensitivity of streamflow characteristics or supply system performance to seasonal climate changes for any given annual projection. When applied, the sum of seasonal impacts will not add precisely to the low, medium or high annual projection. This is potentially acceptable; we </w:t>
      </w:r>
      <w:r w:rsidRPr="0024687B">
        <w:rPr>
          <w:lang w:eastAsia="en-AU"/>
        </w:rPr>
        <w:t xml:space="preserve">don't know how </w:t>
      </w:r>
      <w:r>
        <w:rPr>
          <w:lang w:eastAsia="en-AU"/>
        </w:rPr>
        <w:t>climate</w:t>
      </w:r>
      <w:r w:rsidRPr="0024687B">
        <w:rPr>
          <w:lang w:eastAsia="en-AU"/>
        </w:rPr>
        <w:t xml:space="preserve"> change will play out seasonally, and if it </w:t>
      </w:r>
      <w:r>
        <w:rPr>
          <w:lang w:eastAsia="en-AU"/>
        </w:rPr>
        <w:t xml:space="preserve">will </w:t>
      </w:r>
      <w:r w:rsidRPr="0024687B">
        <w:rPr>
          <w:lang w:eastAsia="en-AU"/>
        </w:rPr>
        <w:t>manifest in a non-uniform way across the seasons (or in a manner different to the single GCM that was used to derive the annual projected change)</w:t>
      </w:r>
      <w:r>
        <w:rPr>
          <w:lang w:eastAsia="en-AU"/>
        </w:rPr>
        <w:t xml:space="preserve">. If desired, a further step can be undertaken, to </w:t>
      </w:r>
      <w:r w:rsidRPr="00F10F5A">
        <w:rPr>
          <w:lang w:eastAsia="en-AU"/>
        </w:rPr>
        <w:t xml:space="preserve">uniformly scale up or down the seasonally adjusted rainfall to match the annual projection. </w:t>
      </w:r>
      <w:r>
        <w:rPr>
          <w:lang w:eastAsia="en-AU"/>
        </w:rPr>
        <w:t>This</w:t>
      </w:r>
      <w:r w:rsidRPr="00F10F5A">
        <w:rPr>
          <w:lang w:eastAsia="en-AU"/>
        </w:rPr>
        <w:t xml:space="preserve"> step would make </w:t>
      </w:r>
      <w:r>
        <w:rPr>
          <w:lang w:eastAsia="en-AU"/>
        </w:rPr>
        <w:t>it</w:t>
      </w:r>
      <w:r w:rsidRPr="00F10F5A">
        <w:rPr>
          <w:lang w:eastAsia="en-AU"/>
        </w:rPr>
        <w:t xml:space="preserve"> easier to compar</w:t>
      </w:r>
      <w:r>
        <w:rPr>
          <w:lang w:eastAsia="en-AU"/>
        </w:rPr>
        <w:t xml:space="preserve">e </w:t>
      </w:r>
      <w:r w:rsidRPr="00F10F5A">
        <w:rPr>
          <w:lang w:eastAsia="en-AU"/>
        </w:rPr>
        <w:t>scenarios.</w:t>
      </w:r>
    </w:p>
    <w:p w14:paraId="3D9140F1" w14:textId="77777777" w:rsidR="007B29DD" w:rsidRDefault="007B29DD" w:rsidP="007B29DD">
      <w:pPr>
        <w:pStyle w:val="BodyText"/>
        <w:rPr>
          <w:lang w:eastAsia="en-AU"/>
        </w:rPr>
      </w:pPr>
      <w:r>
        <w:rPr>
          <w:lang w:eastAsia="en-AU"/>
        </w:rPr>
        <w:t xml:space="preserve">To test seasonal sensitivities to the high, medium and low projections (i.e. three projections) for the years 2040 and 2065 (two time slices), up to 12 sensitivity tests could be required. Due to the laborious nature of applying these tables, </w:t>
      </w:r>
      <w:r w:rsidDel="00B96BDB">
        <w:rPr>
          <w:lang w:eastAsia="en-AU"/>
        </w:rPr>
        <w:t>it is</w:t>
      </w:r>
      <w:r>
        <w:rPr>
          <w:lang w:eastAsia="en-AU"/>
        </w:rPr>
        <w:t xml:space="preserve"> recommended </w:t>
      </w:r>
      <w:r w:rsidDel="00B96BDB">
        <w:rPr>
          <w:lang w:eastAsia="en-AU"/>
        </w:rPr>
        <w:t xml:space="preserve">that </w:t>
      </w:r>
      <w:r>
        <w:rPr>
          <w:lang w:eastAsia="en-AU"/>
        </w:rPr>
        <w:t>testing the sensitivity of streamflow characteristics or supply system performance to uncertainty in seasonal rainfall projections for the given projected annual rainfall change should only be undertaken for representative scenarios, with results inferred more broadly from those sensitivities.</w:t>
      </w:r>
    </w:p>
    <w:p w14:paraId="08752BDB" w14:textId="77777777" w:rsidR="007B29DD" w:rsidRDefault="007B29DD" w:rsidP="007B29DD">
      <w:pPr>
        <w:rPr>
          <w:rFonts w:cs="Times New Roman"/>
          <w:highlight w:val="yellow"/>
        </w:rPr>
      </w:pPr>
      <w:r>
        <w:rPr>
          <w:highlight w:val="yellow"/>
        </w:rPr>
        <w:br w:type="page"/>
      </w:r>
    </w:p>
    <w:p w14:paraId="12201CEB" w14:textId="77777777" w:rsidR="007B29DD" w:rsidRDefault="007B29DD" w:rsidP="007B29DD">
      <w:pPr>
        <w:pStyle w:val="BodyText"/>
        <w:rPr>
          <w:highlight w:val="yellow"/>
          <w:lang w:eastAsia="en-AU"/>
        </w:rPr>
      </w:pPr>
    </w:p>
    <w:p w14:paraId="75022B39" w14:textId="77777777" w:rsidR="007B29DD" w:rsidRDefault="007B29DD" w:rsidP="007B29DD">
      <w:pPr>
        <w:pStyle w:val="BodyText"/>
        <w:spacing w:after="0"/>
        <w:rPr>
          <w:lang w:eastAsia="en-AU"/>
        </w:rPr>
      </w:pPr>
      <w:r>
        <w:rPr>
          <w:noProof/>
        </w:rPr>
        <w:drawing>
          <wp:inline distT="0" distB="0" distL="0" distR="0" wp14:anchorId="083026AA" wp14:editId="4349B3DE">
            <wp:extent cx="6281877" cy="3619893"/>
            <wp:effectExtent l="19050" t="19050" r="24130" b="19050"/>
            <wp:docPr id="562075669" name="Picture 361161712" descr="This chart shows the annual, cool season and warm season rainfall change for an example river basin, emission scenario and time slice, for 42 Global Climate Models. The models are plot in order of highest positive change, to greatest negative change. The plot shows that, in terms of seasonal changes, there is no apparent trend in seasonal changes for Global Climate Models exhibiting a similar annu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61712"/>
                    <pic:cNvPicPr/>
                  </pic:nvPicPr>
                  <pic:blipFill>
                    <a:blip r:embed="rId98">
                      <a:extLst>
                        <a:ext uri="{28A0092B-C50C-407E-A947-70E740481C1C}">
                          <a14:useLocalDpi xmlns:a14="http://schemas.microsoft.com/office/drawing/2010/main" val="0"/>
                        </a:ext>
                      </a:extLst>
                    </a:blip>
                    <a:stretch>
                      <a:fillRect/>
                    </a:stretch>
                  </pic:blipFill>
                  <pic:spPr>
                    <a:xfrm>
                      <a:off x="0" y="0"/>
                      <a:ext cx="6287268" cy="3622999"/>
                    </a:xfrm>
                    <a:prstGeom prst="rect">
                      <a:avLst/>
                    </a:prstGeom>
                    <a:ln>
                      <a:solidFill>
                        <a:schemeClr val="bg1">
                          <a:lumMod val="65000"/>
                        </a:schemeClr>
                      </a:solidFill>
                    </a:ln>
                  </pic:spPr>
                </pic:pic>
              </a:graphicData>
            </a:graphic>
          </wp:inline>
        </w:drawing>
      </w:r>
    </w:p>
    <w:p w14:paraId="6F413153" w14:textId="77777777" w:rsidR="007B29DD" w:rsidRDefault="007B29DD" w:rsidP="007B29DD">
      <w:pPr>
        <w:pStyle w:val="Caption"/>
        <w:keepNext w:val="0"/>
        <w:spacing w:before="0"/>
      </w:pPr>
      <w:bookmarkStart w:id="1014" w:name="_Ref40457095"/>
      <w:bookmarkStart w:id="1015" w:name="_Toc43476613"/>
      <w:bookmarkStart w:id="1016" w:name="_Toc44928856"/>
      <w:bookmarkStart w:id="1017" w:name="_Toc51237517"/>
      <w:bookmarkStart w:id="1018" w:name="_Toc53586032"/>
      <w:bookmarkStart w:id="1019" w:name="_Toc57377283"/>
      <w:r>
        <w:t xml:space="preserve">Figure </w:t>
      </w:r>
      <w:r>
        <w:fldChar w:fldCharType="begin"/>
      </w:r>
      <w:r>
        <w:instrText>SEQ Figure \* ARABIC</w:instrText>
      </w:r>
      <w:r>
        <w:fldChar w:fldCharType="separate"/>
      </w:r>
      <w:r>
        <w:rPr>
          <w:noProof/>
        </w:rPr>
        <w:t>41</w:t>
      </w:r>
      <w:r>
        <w:fldChar w:fldCharType="end"/>
      </w:r>
      <w:bookmarkEnd w:id="1014"/>
      <w:r>
        <w:t xml:space="preserve"> Cool and warm season projection variability by annual projected change for an example river basin</w:t>
      </w:r>
      <w:bookmarkEnd w:id="1015"/>
      <w:bookmarkEnd w:id="1016"/>
      <w:bookmarkEnd w:id="1017"/>
      <w:r>
        <w:t>, RCP and time slice</w:t>
      </w:r>
      <w:bookmarkEnd w:id="1018"/>
      <w:bookmarkEnd w:id="1019"/>
    </w:p>
    <w:p w14:paraId="330E34AA" w14:textId="77777777" w:rsidR="007B29DD" w:rsidRDefault="007B29DD" w:rsidP="007B29DD">
      <w:pPr>
        <w:pStyle w:val="Caption"/>
        <w:spacing w:after="0"/>
      </w:pPr>
      <w:r>
        <w:t xml:space="preserve"> </w:t>
      </w:r>
      <w:r>
        <w:rPr>
          <w:noProof/>
        </w:rPr>
        <w:drawing>
          <wp:inline distT="0" distB="0" distL="0" distR="0" wp14:anchorId="76C5DB3C" wp14:editId="76F777F8">
            <wp:extent cx="6300470" cy="3624790"/>
            <wp:effectExtent l="19050" t="19050" r="24130" b="13970"/>
            <wp:docPr id="91899016" name="Picture 361161713" descr="This chart shows cool season and warm season rainfall change as a proportion of the annual change for an example river basin, emission scenario and time slice, for 42 Global Climate Models. This chart is used to illustrate the selection of the maximum range of paired cool/warm season rainfall projections for the 10th to 90th percentile annual projections for use in sensitivity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61713"/>
                    <pic:cNvPicPr/>
                  </pic:nvPicPr>
                  <pic:blipFill>
                    <a:blip r:embed="rId99">
                      <a:extLst>
                        <a:ext uri="{28A0092B-C50C-407E-A947-70E740481C1C}">
                          <a14:useLocalDpi xmlns:a14="http://schemas.microsoft.com/office/drawing/2010/main" val="0"/>
                        </a:ext>
                      </a:extLst>
                    </a:blip>
                    <a:stretch>
                      <a:fillRect/>
                    </a:stretch>
                  </pic:blipFill>
                  <pic:spPr>
                    <a:xfrm>
                      <a:off x="0" y="0"/>
                      <a:ext cx="6322026" cy="3637192"/>
                    </a:xfrm>
                    <a:prstGeom prst="rect">
                      <a:avLst/>
                    </a:prstGeom>
                    <a:ln>
                      <a:solidFill>
                        <a:schemeClr val="bg1">
                          <a:lumMod val="65000"/>
                        </a:schemeClr>
                      </a:solidFill>
                    </a:ln>
                  </pic:spPr>
                </pic:pic>
              </a:graphicData>
            </a:graphic>
          </wp:inline>
        </w:drawing>
      </w:r>
    </w:p>
    <w:p w14:paraId="43072CCF" w14:textId="77777777" w:rsidR="007B29DD" w:rsidRDefault="007B29DD" w:rsidP="007B29DD">
      <w:pPr>
        <w:pStyle w:val="Caption"/>
        <w:spacing w:before="0"/>
      </w:pPr>
      <w:bookmarkStart w:id="1020" w:name="_Ref40457230"/>
      <w:bookmarkStart w:id="1021" w:name="_Toc43476614"/>
      <w:bookmarkStart w:id="1022" w:name="_Toc44928857"/>
      <w:bookmarkStart w:id="1023" w:name="_Toc51237518"/>
      <w:bookmarkStart w:id="1024" w:name="_Toc53586033"/>
      <w:bookmarkStart w:id="1025" w:name="_Toc57377284"/>
      <w:r>
        <w:t xml:space="preserve">Figure </w:t>
      </w:r>
      <w:r>
        <w:fldChar w:fldCharType="begin"/>
      </w:r>
      <w:r>
        <w:instrText>SEQ Figure \* ARABIC</w:instrText>
      </w:r>
      <w:r>
        <w:fldChar w:fldCharType="separate"/>
      </w:r>
      <w:r>
        <w:rPr>
          <w:noProof/>
        </w:rPr>
        <w:t>42</w:t>
      </w:r>
      <w:r>
        <w:fldChar w:fldCharType="end"/>
      </w:r>
      <w:bookmarkEnd w:id="1020"/>
      <w:r>
        <w:t xml:space="preserve"> Maximum range of paired cool/warm season rainfall projections for the </w:t>
      </w:r>
      <w:r w:rsidRPr="003178A9">
        <w:t>10th</w:t>
      </w:r>
      <w:r>
        <w:t xml:space="preserve"> to </w:t>
      </w:r>
      <w:r w:rsidRPr="005E0E0D">
        <w:t>90th</w:t>
      </w:r>
      <w:r>
        <w:t xml:space="preserve"> percentile annual projections</w:t>
      </w:r>
      <w:bookmarkEnd w:id="1021"/>
      <w:bookmarkEnd w:id="1022"/>
      <w:bookmarkEnd w:id="1023"/>
      <w:bookmarkEnd w:id="1024"/>
      <w:bookmarkEnd w:id="1025"/>
    </w:p>
    <w:p w14:paraId="054ECCE1" w14:textId="77777777" w:rsidR="007B29DD" w:rsidRPr="00E153B2" w:rsidRDefault="007B29DD" w:rsidP="007B29DD">
      <w:pPr>
        <w:pStyle w:val="BodyText"/>
        <w:rPr>
          <w:lang w:eastAsia="en-AU"/>
        </w:rPr>
      </w:pPr>
    </w:p>
    <w:p w14:paraId="3B1698BF" w14:textId="77777777" w:rsidR="007B29DD" w:rsidRDefault="007B29DD" w:rsidP="007B29DD">
      <w:pPr>
        <w:pStyle w:val="Caption"/>
      </w:pPr>
      <w:bookmarkStart w:id="1026" w:name="_Ref42940000"/>
      <w:bookmarkStart w:id="1027" w:name="_Toc43476565"/>
      <w:bookmarkStart w:id="1028" w:name="_Toc44928810"/>
      <w:bookmarkStart w:id="1029" w:name="_Toc51237473"/>
      <w:bookmarkStart w:id="1030" w:name="_Toc53585988"/>
      <w:bookmarkStart w:id="1031" w:name="_Toc57377239"/>
      <w:r>
        <w:lastRenderedPageBreak/>
        <w:t xml:space="preserve">Table </w:t>
      </w:r>
      <w:r>
        <w:fldChar w:fldCharType="begin"/>
      </w:r>
      <w:r>
        <w:instrText>SEQ Table \* ARABIC</w:instrText>
      </w:r>
      <w:r>
        <w:fldChar w:fldCharType="separate"/>
      </w:r>
      <w:r>
        <w:rPr>
          <w:noProof/>
        </w:rPr>
        <w:t>11</w:t>
      </w:r>
      <w:r>
        <w:fldChar w:fldCharType="end"/>
      </w:r>
      <w:bookmarkEnd w:id="1026"/>
      <w:r>
        <w:t xml:space="preserve"> Range of projected seasonal changes in rainfall for maximum cool season rainfall increase (Sensitivity Test 1) and maximum warm season rainfall increase (Sensitivity Test 2) for the LOW climate change projection</w:t>
      </w:r>
      <w:bookmarkEnd w:id="1027"/>
      <w:bookmarkEnd w:id="1028"/>
      <w:bookmarkEnd w:id="1029"/>
      <w:bookmarkEnd w:id="1030"/>
      <w:bookmarkEnd w:id="1031"/>
    </w:p>
    <w:tbl>
      <w:tblPr>
        <w:tblW w:w="9351" w:type="dxa"/>
        <w:tblLayout w:type="fixed"/>
        <w:tblLook w:val="04A0" w:firstRow="1" w:lastRow="0" w:firstColumn="1" w:lastColumn="0" w:noHBand="0" w:noVBand="1"/>
      </w:tblPr>
      <w:tblGrid>
        <w:gridCol w:w="1217"/>
        <w:gridCol w:w="1559"/>
        <w:gridCol w:w="1187"/>
        <w:gridCol w:w="1419"/>
        <w:gridCol w:w="1276"/>
        <w:gridCol w:w="1275"/>
        <w:gridCol w:w="1418"/>
      </w:tblGrid>
      <w:tr w:rsidR="007B29DD" w14:paraId="56B9E0F6" w14:textId="77777777" w:rsidTr="00306AF1">
        <w:trPr>
          <w:trHeight w:val="1230"/>
          <w:tblHeader/>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6CEEBC63"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River basin (and basin number)</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1DBE1C7A"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Projection</w:t>
            </w:r>
          </w:p>
        </w:tc>
        <w:tc>
          <w:tcPr>
            <w:tcW w:w="1187" w:type="dxa"/>
            <w:tcBorders>
              <w:top w:val="single" w:sz="4" w:space="0" w:color="auto"/>
              <w:left w:val="nil"/>
              <w:bottom w:val="single" w:sz="4" w:space="0" w:color="auto"/>
              <w:right w:val="nil"/>
            </w:tcBorders>
            <w:vAlign w:val="bottom"/>
            <w:hideMark/>
          </w:tcPr>
          <w:p w14:paraId="21572733"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Annual projected change (%) from 1995 baseline</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27878FD1"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Maximum projected positive cool season change (%) from 1995 baseline value</w:t>
            </w:r>
          </w:p>
        </w:tc>
        <w:tc>
          <w:tcPr>
            <w:tcW w:w="2693" w:type="dxa"/>
            <w:gridSpan w:val="2"/>
            <w:tcBorders>
              <w:top w:val="single" w:sz="4" w:space="0" w:color="auto"/>
              <w:left w:val="nil"/>
              <w:bottom w:val="single" w:sz="4" w:space="0" w:color="auto"/>
              <w:right w:val="single" w:sz="4" w:space="0" w:color="auto"/>
            </w:tcBorders>
            <w:vAlign w:val="center"/>
            <w:hideMark/>
          </w:tcPr>
          <w:p w14:paraId="16A518EC"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Maximum projected positive warm season change (%) from 1995 baseline value</w:t>
            </w:r>
          </w:p>
        </w:tc>
      </w:tr>
      <w:tr w:rsidR="007B29DD" w14:paraId="63766D4C" w14:textId="77777777" w:rsidTr="00306AF1">
        <w:trPr>
          <w:trHeight w:val="315"/>
          <w:tblHead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3F8254B" w14:textId="77777777" w:rsidR="007B29DD" w:rsidRDefault="007B29DD" w:rsidP="00306AF1">
            <w:pPr>
              <w:spacing w:line="256" w:lineRule="auto"/>
              <w:rPr>
                <w:rFonts w:ascii="Calibri" w:hAnsi="Calibri" w:cs="Calibri"/>
                <w:b/>
                <w:bCs/>
                <w:color w:val="000000"/>
                <w:sz w:val="18"/>
                <w:szCs w:val="18"/>
                <w:lang w:val="en-US"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BB859D" w14:textId="77777777" w:rsidR="007B29DD" w:rsidRDefault="007B29DD" w:rsidP="00306AF1">
            <w:pPr>
              <w:spacing w:line="256" w:lineRule="auto"/>
              <w:rPr>
                <w:rFonts w:ascii="Calibri" w:hAnsi="Calibri" w:cs="Calibri"/>
                <w:b/>
                <w:bCs/>
                <w:color w:val="000000"/>
                <w:sz w:val="18"/>
                <w:szCs w:val="18"/>
                <w:lang w:val="en-US" w:eastAsia="zh-CN"/>
              </w:rPr>
            </w:pPr>
          </w:p>
        </w:tc>
        <w:tc>
          <w:tcPr>
            <w:tcW w:w="1187" w:type="dxa"/>
            <w:tcBorders>
              <w:top w:val="nil"/>
              <w:left w:val="nil"/>
              <w:bottom w:val="single" w:sz="4" w:space="0" w:color="auto"/>
              <w:right w:val="single" w:sz="4" w:space="0" w:color="auto"/>
            </w:tcBorders>
            <w:noWrap/>
            <w:vAlign w:val="center"/>
            <w:hideMark/>
          </w:tcPr>
          <w:p w14:paraId="2201A9EF"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Low</w:t>
            </w:r>
          </w:p>
        </w:tc>
        <w:tc>
          <w:tcPr>
            <w:tcW w:w="1419" w:type="dxa"/>
            <w:tcBorders>
              <w:top w:val="nil"/>
              <w:left w:val="nil"/>
              <w:bottom w:val="single" w:sz="4" w:space="0" w:color="auto"/>
              <w:right w:val="single" w:sz="4" w:space="0" w:color="auto"/>
            </w:tcBorders>
            <w:noWrap/>
            <w:vAlign w:val="center"/>
            <w:hideMark/>
          </w:tcPr>
          <w:p w14:paraId="34E0FDC2"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Cool</w:t>
            </w:r>
          </w:p>
        </w:tc>
        <w:tc>
          <w:tcPr>
            <w:tcW w:w="1276" w:type="dxa"/>
            <w:tcBorders>
              <w:top w:val="nil"/>
              <w:left w:val="nil"/>
              <w:bottom w:val="single" w:sz="4" w:space="0" w:color="auto"/>
              <w:right w:val="single" w:sz="4" w:space="0" w:color="auto"/>
            </w:tcBorders>
            <w:vAlign w:val="center"/>
            <w:hideMark/>
          </w:tcPr>
          <w:p w14:paraId="3673BD57"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Warm</w:t>
            </w:r>
          </w:p>
        </w:tc>
        <w:tc>
          <w:tcPr>
            <w:tcW w:w="1275" w:type="dxa"/>
            <w:tcBorders>
              <w:top w:val="nil"/>
              <w:left w:val="nil"/>
              <w:bottom w:val="single" w:sz="4" w:space="0" w:color="auto"/>
              <w:right w:val="single" w:sz="4" w:space="0" w:color="auto"/>
            </w:tcBorders>
            <w:vAlign w:val="center"/>
            <w:hideMark/>
          </w:tcPr>
          <w:p w14:paraId="11337F7C"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Cool</w:t>
            </w:r>
          </w:p>
        </w:tc>
        <w:tc>
          <w:tcPr>
            <w:tcW w:w="1418" w:type="dxa"/>
            <w:tcBorders>
              <w:top w:val="nil"/>
              <w:left w:val="nil"/>
              <w:bottom w:val="single" w:sz="4" w:space="0" w:color="auto"/>
              <w:right w:val="single" w:sz="4" w:space="0" w:color="auto"/>
            </w:tcBorders>
            <w:vAlign w:val="center"/>
            <w:hideMark/>
          </w:tcPr>
          <w:p w14:paraId="7FAE7975"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Warm</w:t>
            </w:r>
          </w:p>
        </w:tc>
      </w:tr>
      <w:tr w:rsidR="007B29DD" w14:paraId="3D1AB546" w14:textId="77777777" w:rsidTr="00306AF1">
        <w:trPr>
          <w:trHeight w:val="315"/>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4BD6BF" w14:textId="77777777" w:rsidR="007B29DD" w:rsidRDefault="007B29DD" w:rsidP="00306AF1">
            <w:pPr>
              <w:keepNext/>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East Gippsland (221)</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657A4AEE"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1F997BBB"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6.8%</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5E2C84A8"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14.4%</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CEA050F"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-4.7%</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68D0FD18"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-4.8%</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48A6A3F"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24.4%</w:t>
            </w:r>
          </w:p>
        </w:tc>
      </w:tr>
      <w:tr w:rsidR="007B29DD" w14:paraId="61B77EAE"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A915B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25B32523"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64A47BC4"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7.9%</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52CF60F"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19.9%</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78E8477B"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-10.3%</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020B3612"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-2.1%</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0325F1BD"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23.0%</w:t>
            </w:r>
          </w:p>
        </w:tc>
      </w:tr>
      <w:tr w:rsidR="007B29DD" w14:paraId="7FC5472E"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83D1B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7710487E"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6B9F7C5"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5.6%</w:t>
            </w:r>
          </w:p>
        </w:tc>
        <w:tc>
          <w:tcPr>
            <w:tcW w:w="1419" w:type="dxa"/>
            <w:tcBorders>
              <w:top w:val="nil"/>
              <w:left w:val="nil"/>
              <w:bottom w:val="single" w:sz="4" w:space="0" w:color="auto"/>
              <w:right w:val="single" w:sz="4" w:space="0" w:color="auto"/>
            </w:tcBorders>
            <w:shd w:val="clear" w:color="auto" w:fill="D9D9D9" w:themeFill="background1" w:themeFillShade="D9"/>
            <w:hideMark/>
          </w:tcPr>
          <w:p w14:paraId="67630CEB"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10.0%</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5DF370BB"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-1.1%</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5F389C36"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-9.9%</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9CD9B23"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29.1%</w:t>
            </w:r>
          </w:p>
        </w:tc>
      </w:tr>
      <w:tr w:rsidR="007B29DD" w14:paraId="67A0BC94"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48BC2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576600C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7F37998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6.6%</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309600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16.7%</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9B4D45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-8.7%</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5943D0F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-3.0%</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9B59EF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21.2%</w:t>
            </w:r>
          </w:p>
        </w:tc>
      </w:tr>
      <w:tr w:rsidR="007B29DD" w14:paraId="13D5D1E4" w14:textId="77777777" w:rsidTr="00306AF1">
        <w:trPr>
          <w:trHeight w:val="315"/>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1C6F58D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Snowy (222)</w:t>
            </w:r>
          </w:p>
        </w:tc>
        <w:tc>
          <w:tcPr>
            <w:tcW w:w="1559" w:type="dxa"/>
            <w:tcBorders>
              <w:top w:val="nil"/>
              <w:left w:val="nil"/>
              <w:bottom w:val="single" w:sz="4" w:space="0" w:color="auto"/>
              <w:right w:val="single" w:sz="4" w:space="0" w:color="auto"/>
            </w:tcBorders>
            <w:shd w:val="clear" w:color="auto" w:fill="auto"/>
            <w:vAlign w:val="center"/>
            <w:hideMark/>
          </w:tcPr>
          <w:p w14:paraId="76B069E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auto"/>
            <w:hideMark/>
          </w:tcPr>
          <w:p w14:paraId="68DC94E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7.6%</w:t>
            </w:r>
          </w:p>
        </w:tc>
        <w:tc>
          <w:tcPr>
            <w:tcW w:w="1419" w:type="dxa"/>
            <w:tcBorders>
              <w:top w:val="nil"/>
              <w:left w:val="nil"/>
              <w:bottom w:val="single" w:sz="4" w:space="0" w:color="auto"/>
              <w:right w:val="single" w:sz="4" w:space="0" w:color="auto"/>
            </w:tcBorders>
            <w:shd w:val="clear" w:color="auto" w:fill="auto"/>
            <w:noWrap/>
            <w:hideMark/>
          </w:tcPr>
          <w:p w14:paraId="7149E3E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12.0%</w:t>
            </w:r>
          </w:p>
        </w:tc>
        <w:tc>
          <w:tcPr>
            <w:tcW w:w="1276" w:type="dxa"/>
            <w:tcBorders>
              <w:top w:val="nil"/>
              <w:left w:val="nil"/>
              <w:bottom w:val="single" w:sz="4" w:space="0" w:color="auto"/>
              <w:right w:val="single" w:sz="4" w:space="0" w:color="auto"/>
            </w:tcBorders>
            <w:shd w:val="clear" w:color="auto" w:fill="auto"/>
            <w:hideMark/>
          </w:tcPr>
          <w:p w14:paraId="3AB8B0F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w:t>
            </w:r>
          </w:p>
        </w:tc>
        <w:tc>
          <w:tcPr>
            <w:tcW w:w="1275" w:type="dxa"/>
            <w:tcBorders>
              <w:top w:val="nil"/>
              <w:left w:val="nil"/>
              <w:bottom w:val="single" w:sz="4" w:space="0" w:color="auto"/>
              <w:right w:val="single" w:sz="4" w:space="0" w:color="auto"/>
            </w:tcBorders>
            <w:shd w:val="clear" w:color="auto" w:fill="auto"/>
            <w:hideMark/>
          </w:tcPr>
          <w:p w14:paraId="5A68E4F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-3.0%</w:t>
            </w:r>
          </w:p>
        </w:tc>
        <w:tc>
          <w:tcPr>
            <w:tcW w:w="1418" w:type="dxa"/>
            <w:tcBorders>
              <w:top w:val="nil"/>
              <w:left w:val="nil"/>
              <w:bottom w:val="single" w:sz="4" w:space="0" w:color="auto"/>
              <w:right w:val="single" w:sz="4" w:space="0" w:color="auto"/>
            </w:tcBorders>
            <w:shd w:val="clear" w:color="auto" w:fill="auto"/>
            <w:hideMark/>
          </w:tcPr>
          <w:p w14:paraId="0525BD2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22.0%</w:t>
            </w:r>
          </w:p>
        </w:tc>
      </w:tr>
      <w:tr w:rsidR="007B29DD" w14:paraId="7E45DE86"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0CE1DA1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4F77878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auto"/>
            <w:hideMark/>
          </w:tcPr>
          <w:p w14:paraId="37973F9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8.5%</w:t>
            </w:r>
          </w:p>
        </w:tc>
        <w:tc>
          <w:tcPr>
            <w:tcW w:w="1419" w:type="dxa"/>
            <w:tcBorders>
              <w:top w:val="nil"/>
              <w:left w:val="nil"/>
              <w:bottom w:val="single" w:sz="4" w:space="0" w:color="auto"/>
              <w:right w:val="single" w:sz="4" w:space="0" w:color="auto"/>
            </w:tcBorders>
            <w:shd w:val="clear" w:color="auto" w:fill="auto"/>
            <w:noWrap/>
            <w:hideMark/>
          </w:tcPr>
          <w:p w14:paraId="406EDC1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18.1%</w:t>
            </w:r>
          </w:p>
        </w:tc>
        <w:tc>
          <w:tcPr>
            <w:tcW w:w="1276" w:type="dxa"/>
            <w:tcBorders>
              <w:top w:val="nil"/>
              <w:left w:val="nil"/>
              <w:bottom w:val="single" w:sz="4" w:space="0" w:color="auto"/>
              <w:right w:val="single" w:sz="4" w:space="0" w:color="auto"/>
            </w:tcBorders>
            <w:shd w:val="clear" w:color="auto" w:fill="auto"/>
            <w:hideMark/>
          </w:tcPr>
          <w:p w14:paraId="77FD67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-4.6%</w:t>
            </w:r>
          </w:p>
        </w:tc>
        <w:tc>
          <w:tcPr>
            <w:tcW w:w="1275" w:type="dxa"/>
            <w:tcBorders>
              <w:top w:val="nil"/>
              <w:left w:val="nil"/>
              <w:bottom w:val="single" w:sz="4" w:space="0" w:color="auto"/>
              <w:right w:val="single" w:sz="4" w:space="0" w:color="auto"/>
            </w:tcBorders>
            <w:shd w:val="clear" w:color="auto" w:fill="auto"/>
            <w:hideMark/>
          </w:tcPr>
          <w:p w14:paraId="4F67F0C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-4.1%</w:t>
            </w:r>
          </w:p>
        </w:tc>
        <w:tc>
          <w:tcPr>
            <w:tcW w:w="1418" w:type="dxa"/>
            <w:tcBorders>
              <w:top w:val="nil"/>
              <w:left w:val="nil"/>
              <w:bottom w:val="single" w:sz="4" w:space="0" w:color="auto"/>
              <w:right w:val="single" w:sz="4" w:space="0" w:color="auto"/>
            </w:tcBorders>
            <w:shd w:val="clear" w:color="auto" w:fill="auto"/>
            <w:hideMark/>
          </w:tcPr>
          <w:p w14:paraId="618D215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25.7%</w:t>
            </w:r>
          </w:p>
        </w:tc>
      </w:tr>
      <w:tr w:rsidR="007B29DD" w14:paraId="7BFAC8B5"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5976B08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395F93B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auto"/>
            <w:hideMark/>
          </w:tcPr>
          <w:p w14:paraId="22B1ED4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4.9%</w:t>
            </w:r>
          </w:p>
        </w:tc>
        <w:tc>
          <w:tcPr>
            <w:tcW w:w="1419" w:type="dxa"/>
            <w:tcBorders>
              <w:top w:val="nil"/>
              <w:left w:val="nil"/>
              <w:bottom w:val="single" w:sz="4" w:space="0" w:color="auto"/>
              <w:right w:val="single" w:sz="4" w:space="0" w:color="auto"/>
            </w:tcBorders>
            <w:shd w:val="clear" w:color="auto" w:fill="auto"/>
            <w:noWrap/>
            <w:hideMark/>
          </w:tcPr>
          <w:p w14:paraId="1EE89FE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9.4%</w:t>
            </w:r>
          </w:p>
        </w:tc>
        <w:tc>
          <w:tcPr>
            <w:tcW w:w="1276" w:type="dxa"/>
            <w:tcBorders>
              <w:top w:val="nil"/>
              <w:left w:val="nil"/>
              <w:bottom w:val="single" w:sz="4" w:space="0" w:color="auto"/>
              <w:right w:val="single" w:sz="4" w:space="0" w:color="auto"/>
            </w:tcBorders>
            <w:shd w:val="clear" w:color="auto" w:fill="auto"/>
            <w:hideMark/>
          </w:tcPr>
          <w:p w14:paraId="5D4C067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w:t>
            </w:r>
          </w:p>
        </w:tc>
        <w:tc>
          <w:tcPr>
            <w:tcW w:w="1275" w:type="dxa"/>
            <w:tcBorders>
              <w:top w:val="nil"/>
              <w:left w:val="nil"/>
              <w:bottom w:val="single" w:sz="4" w:space="0" w:color="auto"/>
              <w:right w:val="single" w:sz="4" w:space="0" w:color="auto"/>
            </w:tcBorders>
            <w:shd w:val="clear" w:color="auto" w:fill="auto"/>
            <w:hideMark/>
          </w:tcPr>
          <w:p w14:paraId="48A1B68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-13.3%</w:t>
            </w:r>
          </w:p>
        </w:tc>
        <w:tc>
          <w:tcPr>
            <w:tcW w:w="1418" w:type="dxa"/>
            <w:tcBorders>
              <w:top w:val="nil"/>
              <w:left w:val="nil"/>
              <w:bottom w:val="single" w:sz="4" w:space="0" w:color="auto"/>
              <w:right w:val="single" w:sz="4" w:space="0" w:color="auto"/>
            </w:tcBorders>
            <w:shd w:val="clear" w:color="auto" w:fill="auto"/>
            <w:hideMark/>
          </w:tcPr>
          <w:p w14:paraId="7EE395E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29.7%</w:t>
            </w:r>
          </w:p>
        </w:tc>
      </w:tr>
      <w:tr w:rsidR="007B29DD" w14:paraId="1F5D721F"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5EF2C97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2327512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auto"/>
            <w:hideMark/>
          </w:tcPr>
          <w:p w14:paraId="366192E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6.7%</w:t>
            </w:r>
          </w:p>
        </w:tc>
        <w:tc>
          <w:tcPr>
            <w:tcW w:w="1419" w:type="dxa"/>
            <w:tcBorders>
              <w:top w:val="nil"/>
              <w:left w:val="nil"/>
              <w:bottom w:val="single" w:sz="4" w:space="0" w:color="auto"/>
              <w:right w:val="single" w:sz="4" w:space="0" w:color="auto"/>
            </w:tcBorders>
            <w:shd w:val="clear" w:color="auto" w:fill="auto"/>
            <w:noWrap/>
            <w:hideMark/>
          </w:tcPr>
          <w:p w14:paraId="584E395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15.3%</w:t>
            </w:r>
          </w:p>
        </w:tc>
        <w:tc>
          <w:tcPr>
            <w:tcW w:w="1276" w:type="dxa"/>
            <w:tcBorders>
              <w:top w:val="nil"/>
              <w:left w:val="nil"/>
              <w:bottom w:val="single" w:sz="4" w:space="0" w:color="auto"/>
              <w:right w:val="single" w:sz="4" w:space="0" w:color="auto"/>
            </w:tcBorders>
            <w:shd w:val="clear" w:color="auto" w:fill="auto"/>
            <w:hideMark/>
          </w:tcPr>
          <w:p w14:paraId="4BFA444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-5.1%</w:t>
            </w:r>
          </w:p>
        </w:tc>
        <w:tc>
          <w:tcPr>
            <w:tcW w:w="1275" w:type="dxa"/>
            <w:tcBorders>
              <w:top w:val="nil"/>
              <w:left w:val="nil"/>
              <w:bottom w:val="single" w:sz="4" w:space="0" w:color="auto"/>
              <w:right w:val="single" w:sz="4" w:space="0" w:color="auto"/>
            </w:tcBorders>
            <w:shd w:val="clear" w:color="auto" w:fill="auto"/>
            <w:hideMark/>
          </w:tcPr>
          <w:p w14:paraId="5B1B105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-3.2%</w:t>
            </w:r>
          </w:p>
        </w:tc>
        <w:tc>
          <w:tcPr>
            <w:tcW w:w="1418" w:type="dxa"/>
            <w:tcBorders>
              <w:top w:val="nil"/>
              <w:left w:val="nil"/>
              <w:bottom w:val="single" w:sz="4" w:space="0" w:color="auto"/>
              <w:right w:val="single" w:sz="4" w:space="0" w:color="auto"/>
            </w:tcBorders>
            <w:shd w:val="clear" w:color="auto" w:fill="auto"/>
            <w:hideMark/>
          </w:tcPr>
          <w:p w14:paraId="384DE52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20.2%</w:t>
            </w:r>
          </w:p>
        </w:tc>
      </w:tr>
      <w:tr w:rsidR="007B29DD" w14:paraId="75CBBA88"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EFDE62"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Tambo (223)</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33334E9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525B9DE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5.9%</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FC64C1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11.5%</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1562C52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09327A7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-5.6%</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709095B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21.9%</w:t>
            </w:r>
          </w:p>
        </w:tc>
      </w:tr>
      <w:tr w:rsidR="007B29DD" w14:paraId="25A04227"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BFF0C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15843E5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0D58266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7.1%</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09C55FD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19.8%</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73FA4D3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-10.5%</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6471F55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02DE4F9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22.4%</w:t>
            </w:r>
          </w:p>
        </w:tc>
      </w:tr>
      <w:tr w:rsidR="007B29DD" w14:paraId="442B2F98"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16940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4D39DAC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3F8B2FB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5.4%</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59B2E33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8.7%</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3EC2828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0.8%</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47154F1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-11.1%</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7877F4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28.4%</w:t>
            </w:r>
          </w:p>
        </w:tc>
      </w:tr>
      <w:tr w:rsidR="007B29DD" w14:paraId="4F153090"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CDC1C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3B8F7D7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0ACCB1A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5.3%</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69C7CCF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14.4%</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31104C7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-7.3%</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59527EC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4CD629F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18.9%</w:t>
            </w:r>
          </w:p>
        </w:tc>
      </w:tr>
      <w:tr w:rsidR="007B29DD" w14:paraId="7E22546F"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7AF4EED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Mitchell (224)</w:t>
            </w:r>
          </w:p>
        </w:tc>
        <w:tc>
          <w:tcPr>
            <w:tcW w:w="1559" w:type="dxa"/>
            <w:tcBorders>
              <w:top w:val="nil"/>
              <w:left w:val="nil"/>
              <w:bottom w:val="single" w:sz="4" w:space="0" w:color="auto"/>
              <w:right w:val="single" w:sz="4" w:space="0" w:color="auto"/>
            </w:tcBorders>
            <w:shd w:val="clear" w:color="auto" w:fill="auto"/>
            <w:vAlign w:val="center"/>
            <w:hideMark/>
          </w:tcPr>
          <w:p w14:paraId="217C530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auto"/>
            <w:hideMark/>
          </w:tcPr>
          <w:p w14:paraId="39890230"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4.3%</w:t>
            </w:r>
          </w:p>
        </w:tc>
        <w:tc>
          <w:tcPr>
            <w:tcW w:w="1419" w:type="dxa"/>
            <w:tcBorders>
              <w:top w:val="nil"/>
              <w:left w:val="nil"/>
              <w:bottom w:val="single" w:sz="4" w:space="0" w:color="auto"/>
              <w:right w:val="single" w:sz="4" w:space="0" w:color="auto"/>
            </w:tcBorders>
            <w:shd w:val="clear" w:color="auto" w:fill="auto"/>
            <w:noWrap/>
            <w:hideMark/>
          </w:tcPr>
          <w:p w14:paraId="5825C77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9.1%</w:t>
            </w:r>
          </w:p>
        </w:tc>
        <w:tc>
          <w:tcPr>
            <w:tcW w:w="1276" w:type="dxa"/>
            <w:tcBorders>
              <w:top w:val="nil"/>
              <w:left w:val="nil"/>
              <w:bottom w:val="single" w:sz="4" w:space="0" w:color="auto"/>
              <w:right w:val="single" w:sz="4" w:space="0" w:color="auto"/>
            </w:tcBorders>
            <w:shd w:val="clear" w:color="auto" w:fill="auto"/>
            <w:hideMark/>
          </w:tcPr>
          <w:p w14:paraId="3C6162B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-3.8%</w:t>
            </w:r>
          </w:p>
        </w:tc>
        <w:tc>
          <w:tcPr>
            <w:tcW w:w="1275" w:type="dxa"/>
            <w:tcBorders>
              <w:top w:val="nil"/>
              <w:left w:val="nil"/>
              <w:bottom w:val="single" w:sz="4" w:space="0" w:color="auto"/>
              <w:right w:val="single" w:sz="4" w:space="0" w:color="auto"/>
            </w:tcBorders>
            <w:shd w:val="clear" w:color="auto" w:fill="auto"/>
            <w:hideMark/>
          </w:tcPr>
          <w:p w14:paraId="7F14DB7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418" w:type="dxa"/>
            <w:tcBorders>
              <w:top w:val="nil"/>
              <w:left w:val="nil"/>
              <w:bottom w:val="single" w:sz="4" w:space="0" w:color="auto"/>
              <w:right w:val="single" w:sz="4" w:space="0" w:color="auto"/>
            </w:tcBorders>
            <w:shd w:val="clear" w:color="auto" w:fill="auto"/>
            <w:hideMark/>
          </w:tcPr>
          <w:p w14:paraId="5E33A3D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21.4%</w:t>
            </w:r>
          </w:p>
        </w:tc>
      </w:tr>
      <w:tr w:rsidR="007B29DD" w14:paraId="40246EDE"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060E2FE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69502A8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auto"/>
            <w:hideMark/>
          </w:tcPr>
          <w:p w14:paraId="437D2C3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2.3%</w:t>
            </w:r>
          </w:p>
        </w:tc>
        <w:tc>
          <w:tcPr>
            <w:tcW w:w="1419" w:type="dxa"/>
            <w:tcBorders>
              <w:top w:val="nil"/>
              <w:left w:val="nil"/>
              <w:bottom w:val="single" w:sz="4" w:space="0" w:color="auto"/>
              <w:right w:val="single" w:sz="4" w:space="0" w:color="auto"/>
            </w:tcBorders>
            <w:shd w:val="clear" w:color="auto" w:fill="auto"/>
            <w:noWrap/>
            <w:hideMark/>
          </w:tcPr>
          <w:p w14:paraId="34159D9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6" w:type="dxa"/>
            <w:tcBorders>
              <w:top w:val="nil"/>
              <w:left w:val="nil"/>
              <w:bottom w:val="single" w:sz="4" w:space="0" w:color="auto"/>
              <w:right w:val="single" w:sz="4" w:space="0" w:color="auto"/>
            </w:tcBorders>
            <w:shd w:val="clear" w:color="auto" w:fill="auto"/>
            <w:hideMark/>
          </w:tcPr>
          <w:p w14:paraId="3C4B3D0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-12.9%</w:t>
            </w:r>
          </w:p>
        </w:tc>
        <w:tc>
          <w:tcPr>
            <w:tcW w:w="1275" w:type="dxa"/>
            <w:tcBorders>
              <w:top w:val="nil"/>
              <w:left w:val="nil"/>
              <w:bottom w:val="single" w:sz="4" w:space="0" w:color="auto"/>
              <w:right w:val="single" w:sz="4" w:space="0" w:color="auto"/>
            </w:tcBorders>
            <w:shd w:val="clear" w:color="auto" w:fill="auto"/>
            <w:hideMark/>
          </w:tcPr>
          <w:p w14:paraId="2D716F4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-7.7%</w:t>
            </w:r>
          </w:p>
        </w:tc>
        <w:tc>
          <w:tcPr>
            <w:tcW w:w="1418" w:type="dxa"/>
            <w:tcBorders>
              <w:top w:val="nil"/>
              <w:left w:val="nil"/>
              <w:bottom w:val="single" w:sz="4" w:space="0" w:color="auto"/>
              <w:right w:val="single" w:sz="4" w:space="0" w:color="auto"/>
            </w:tcBorders>
            <w:shd w:val="clear" w:color="auto" w:fill="auto"/>
            <w:hideMark/>
          </w:tcPr>
          <w:p w14:paraId="73C74EB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19.2%</w:t>
            </w:r>
          </w:p>
        </w:tc>
      </w:tr>
      <w:tr w:rsidR="007B29DD" w14:paraId="3BDFBEB5"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50BE1C2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284A03E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auto"/>
            <w:hideMark/>
          </w:tcPr>
          <w:p w14:paraId="3A841CD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4.1%</w:t>
            </w:r>
          </w:p>
        </w:tc>
        <w:tc>
          <w:tcPr>
            <w:tcW w:w="1419" w:type="dxa"/>
            <w:tcBorders>
              <w:top w:val="nil"/>
              <w:left w:val="nil"/>
              <w:bottom w:val="single" w:sz="4" w:space="0" w:color="auto"/>
              <w:right w:val="single" w:sz="4" w:space="0" w:color="auto"/>
            </w:tcBorders>
            <w:shd w:val="clear" w:color="auto" w:fill="auto"/>
            <w:noWrap/>
            <w:hideMark/>
          </w:tcPr>
          <w:p w14:paraId="79543EB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8.0%</w:t>
            </w:r>
          </w:p>
        </w:tc>
        <w:tc>
          <w:tcPr>
            <w:tcW w:w="1276" w:type="dxa"/>
            <w:tcBorders>
              <w:top w:val="nil"/>
              <w:left w:val="nil"/>
              <w:bottom w:val="single" w:sz="4" w:space="0" w:color="auto"/>
              <w:right w:val="single" w:sz="4" w:space="0" w:color="auto"/>
            </w:tcBorders>
            <w:shd w:val="clear" w:color="auto" w:fill="auto"/>
            <w:hideMark/>
          </w:tcPr>
          <w:p w14:paraId="2FF7236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w:t>
            </w:r>
          </w:p>
        </w:tc>
        <w:tc>
          <w:tcPr>
            <w:tcW w:w="1275" w:type="dxa"/>
            <w:tcBorders>
              <w:top w:val="nil"/>
              <w:left w:val="nil"/>
              <w:bottom w:val="single" w:sz="4" w:space="0" w:color="auto"/>
              <w:right w:val="single" w:sz="4" w:space="0" w:color="auto"/>
            </w:tcBorders>
            <w:shd w:val="clear" w:color="auto" w:fill="auto"/>
            <w:hideMark/>
          </w:tcPr>
          <w:p w14:paraId="3715614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-12.7%</w:t>
            </w:r>
          </w:p>
        </w:tc>
        <w:tc>
          <w:tcPr>
            <w:tcW w:w="1418" w:type="dxa"/>
            <w:tcBorders>
              <w:top w:val="nil"/>
              <w:left w:val="nil"/>
              <w:bottom w:val="single" w:sz="4" w:space="0" w:color="auto"/>
              <w:right w:val="single" w:sz="4" w:space="0" w:color="auto"/>
            </w:tcBorders>
            <w:shd w:val="clear" w:color="auto" w:fill="auto"/>
            <w:hideMark/>
          </w:tcPr>
          <w:p w14:paraId="4A41081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32.5%</w:t>
            </w:r>
          </w:p>
        </w:tc>
      </w:tr>
      <w:tr w:rsidR="007B29DD" w14:paraId="190518A9"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11A3FE9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5B6BDD9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auto"/>
            <w:hideMark/>
          </w:tcPr>
          <w:p w14:paraId="542012A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4.0%</w:t>
            </w:r>
          </w:p>
        </w:tc>
        <w:tc>
          <w:tcPr>
            <w:tcW w:w="1419" w:type="dxa"/>
            <w:tcBorders>
              <w:top w:val="nil"/>
              <w:left w:val="nil"/>
              <w:bottom w:val="single" w:sz="4" w:space="0" w:color="auto"/>
              <w:right w:val="single" w:sz="4" w:space="0" w:color="auto"/>
            </w:tcBorders>
            <w:shd w:val="clear" w:color="auto" w:fill="auto"/>
            <w:noWrap/>
            <w:hideMark/>
          </w:tcPr>
          <w:p w14:paraId="6D77E6E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12.0%</w:t>
            </w:r>
          </w:p>
        </w:tc>
        <w:tc>
          <w:tcPr>
            <w:tcW w:w="1276" w:type="dxa"/>
            <w:tcBorders>
              <w:top w:val="nil"/>
              <w:left w:val="nil"/>
              <w:bottom w:val="single" w:sz="4" w:space="0" w:color="auto"/>
              <w:right w:val="single" w:sz="4" w:space="0" w:color="auto"/>
            </w:tcBorders>
            <w:shd w:val="clear" w:color="auto" w:fill="auto"/>
            <w:hideMark/>
          </w:tcPr>
          <w:p w14:paraId="2BE331F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-9.6%</w:t>
            </w:r>
          </w:p>
        </w:tc>
        <w:tc>
          <w:tcPr>
            <w:tcW w:w="1275" w:type="dxa"/>
            <w:tcBorders>
              <w:top w:val="nil"/>
              <w:left w:val="nil"/>
              <w:bottom w:val="single" w:sz="4" w:space="0" w:color="auto"/>
              <w:right w:val="single" w:sz="4" w:space="0" w:color="auto"/>
            </w:tcBorders>
            <w:shd w:val="clear" w:color="auto" w:fill="auto"/>
            <w:hideMark/>
          </w:tcPr>
          <w:p w14:paraId="4601CF1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-4.9%</w:t>
            </w:r>
          </w:p>
        </w:tc>
        <w:tc>
          <w:tcPr>
            <w:tcW w:w="1418" w:type="dxa"/>
            <w:tcBorders>
              <w:top w:val="nil"/>
              <w:left w:val="nil"/>
              <w:bottom w:val="single" w:sz="4" w:space="0" w:color="auto"/>
              <w:right w:val="single" w:sz="4" w:space="0" w:color="auto"/>
            </w:tcBorders>
            <w:shd w:val="clear" w:color="auto" w:fill="auto"/>
            <w:hideMark/>
          </w:tcPr>
          <w:p w14:paraId="4E727BD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19.1%</w:t>
            </w:r>
          </w:p>
        </w:tc>
      </w:tr>
      <w:tr w:rsidR="007B29DD" w14:paraId="54231CE7"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FB80D"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Thomson (225)</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6B94AE7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1F568FD"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4.1%</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EC98B7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14F796F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-4.6%</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79665F3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675F754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20.2%</w:t>
            </w:r>
          </w:p>
        </w:tc>
      </w:tr>
      <w:tr w:rsidR="007B29DD" w14:paraId="791E8EE8"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18AA4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67492FE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7DBF56A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2.3%</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306D400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12.4%</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A3E3F4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-14.8%</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710DA45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-7.6%</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3665D8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18.9%</w:t>
            </w:r>
          </w:p>
        </w:tc>
      </w:tr>
      <w:tr w:rsidR="007B29DD" w14:paraId="5A7AACDC"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5D411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2896A49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3633EB4D"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4.5%</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00D6AB4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10.0%</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4675DFD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-4.8%</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3319308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6867357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33.2%</w:t>
            </w:r>
          </w:p>
        </w:tc>
      </w:tr>
      <w:tr w:rsidR="007B29DD" w14:paraId="44F508DB"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46483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364D4D1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E92F612"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4.0%</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6F6E96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7964FE9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-9.9%</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3287CF8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-4.4%</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F3164C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18.2%</w:t>
            </w:r>
          </w:p>
        </w:tc>
      </w:tr>
      <w:tr w:rsidR="007B29DD" w14:paraId="0F7CED9D"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0761811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Latrobe (226)</w:t>
            </w:r>
          </w:p>
        </w:tc>
        <w:tc>
          <w:tcPr>
            <w:tcW w:w="1559" w:type="dxa"/>
            <w:tcBorders>
              <w:top w:val="nil"/>
              <w:left w:val="nil"/>
              <w:bottom w:val="single" w:sz="4" w:space="0" w:color="auto"/>
              <w:right w:val="single" w:sz="4" w:space="0" w:color="auto"/>
            </w:tcBorders>
            <w:vAlign w:val="center"/>
            <w:hideMark/>
          </w:tcPr>
          <w:p w14:paraId="42A3214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740A8A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3.3%</w:t>
            </w:r>
          </w:p>
        </w:tc>
        <w:tc>
          <w:tcPr>
            <w:tcW w:w="1419" w:type="dxa"/>
            <w:tcBorders>
              <w:top w:val="nil"/>
              <w:left w:val="nil"/>
              <w:bottom w:val="single" w:sz="4" w:space="0" w:color="auto"/>
              <w:right w:val="single" w:sz="4" w:space="0" w:color="auto"/>
            </w:tcBorders>
            <w:noWrap/>
            <w:hideMark/>
          </w:tcPr>
          <w:p w14:paraId="56925B1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8.4%</w:t>
            </w:r>
          </w:p>
        </w:tc>
        <w:tc>
          <w:tcPr>
            <w:tcW w:w="1276" w:type="dxa"/>
            <w:tcBorders>
              <w:top w:val="nil"/>
              <w:left w:val="nil"/>
              <w:bottom w:val="single" w:sz="4" w:space="0" w:color="auto"/>
              <w:right w:val="single" w:sz="4" w:space="0" w:color="auto"/>
            </w:tcBorders>
            <w:hideMark/>
          </w:tcPr>
          <w:p w14:paraId="47BE68F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-5.9%</w:t>
            </w:r>
          </w:p>
        </w:tc>
        <w:tc>
          <w:tcPr>
            <w:tcW w:w="1275" w:type="dxa"/>
            <w:tcBorders>
              <w:top w:val="nil"/>
              <w:left w:val="nil"/>
              <w:bottom w:val="single" w:sz="4" w:space="0" w:color="auto"/>
              <w:right w:val="single" w:sz="4" w:space="0" w:color="auto"/>
            </w:tcBorders>
            <w:hideMark/>
          </w:tcPr>
          <w:p w14:paraId="6ECC8D4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-5.7%</w:t>
            </w:r>
          </w:p>
        </w:tc>
        <w:tc>
          <w:tcPr>
            <w:tcW w:w="1418" w:type="dxa"/>
            <w:tcBorders>
              <w:top w:val="nil"/>
              <w:left w:val="nil"/>
              <w:bottom w:val="single" w:sz="4" w:space="0" w:color="auto"/>
              <w:right w:val="single" w:sz="4" w:space="0" w:color="auto"/>
            </w:tcBorders>
            <w:hideMark/>
          </w:tcPr>
          <w:p w14:paraId="3854278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19.5%</w:t>
            </w:r>
          </w:p>
        </w:tc>
      </w:tr>
      <w:tr w:rsidR="007B29DD" w14:paraId="6ED9E36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6B460C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0F1636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177E0C61"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2.2%</w:t>
            </w:r>
          </w:p>
        </w:tc>
        <w:tc>
          <w:tcPr>
            <w:tcW w:w="1419" w:type="dxa"/>
            <w:tcBorders>
              <w:top w:val="nil"/>
              <w:left w:val="nil"/>
              <w:bottom w:val="single" w:sz="4" w:space="0" w:color="auto"/>
              <w:right w:val="single" w:sz="4" w:space="0" w:color="auto"/>
            </w:tcBorders>
            <w:noWrap/>
            <w:hideMark/>
          </w:tcPr>
          <w:p w14:paraId="59ADA90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13.4%</w:t>
            </w:r>
          </w:p>
        </w:tc>
        <w:tc>
          <w:tcPr>
            <w:tcW w:w="1276" w:type="dxa"/>
            <w:tcBorders>
              <w:top w:val="nil"/>
              <w:left w:val="nil"/>
              <w:bottom w:val="single" w:sz="4" w:space="0" w:color="auto"/>
              <w:right w:val="single" w:sz="4" w:space="0" w:color="auto"/>
            </w:tcBorders>
            <w:hideMark/>
          </w:tcPr>
          <w:p w14:paraId="763B19F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-18.1%</w:t>
            </w:r>
          </w:p>
        </w:tc>
        <w:tc>
          <w:tcPr>
            <w:tcW w:w="1275" w:type="dxa"/>
            <w:tcBorders>
              <w:top w:val="nil"/>
              <w:left w:val="nil"/>
              <w:bottom w:val="single" w:sz="4" w:space="0" w:color="auto"/>
              <w:right w:val="single" w:sz="4" w:space="0" w:color="auto"/>
            </w:tcBorders>
            <w:hideMark/>
          </w:tcPr>
          <w:p w14:paraId="545FBBB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-6.6%</w:t>
            </w:r>
          </w:p>
        </w:tc>
        <w:tc>
          <w:tcPr>
            <w:tcW w:w="1418" w:type="dxa"/>
            <w:tcBorders>
              <w:top w:val="nil"/>
              <w:left w:val="nil"/>
              <w:bottom w:val="single" w:sz="4" w:space="0" w:color="auto"/>
              <w:right w:val="single" w:sz="4" w:space="0" w:color="auto"/>
            </w:tcBorders>
            <w:hideMark/>
          </w:tcPr>
          <w:p w14:paraId="77B17B7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18.0%</w:t>
            </w:r>
          </w:p>
        </w:tc>
      </w:tr>
      <w:tr w:rsidR="007B29DD" w14:paraId="1B70535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7F61E1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7EC53C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4057F9AD"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4.4%</w:t>
            </w:r>
          </w:p>
        </w:tc>
        <w:tc>
          <w:tcPr>
            <w:tcW w:w="1419" w:type="dxa"/>
            <w:tcBorders>
              <w:top w:val="nil"/>
              <w:left w:val="nil"/>
              <w:bottom w:val="single" w:sz="4" w:space="0" w:color="auto"/>
              <w:right w:val="single" w:sz="4" w:space="0" w:color="auto"/>
            </w:tcBorders>
            <w:noWrap/>
            <w:hideMark/>
          </w:tcPr>
          <w:p w14:paraId="0A1234C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10.1%</w:t>
            </w:r>
          </w:p>
        </w:tc>
        <w:tc>
          <w:tcPr>
            <w:tcW w:w="1276" w:type="dxa"/>
            <w:tcBorders>
              <w:top w:val="nil"/>
              <w:left w:val="nil"/>
              <w:bottom w:val="single" w:sz="4" w:space="0" w:color="auto"/>
              <w:right w:val="single" w:sz="4" w:space="0" w:color="auto"/>
            </w:tcBorders>
            <w:hideMark/>
          </w:tcPr>
          <w:p w14:paraId="77802C8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275" w:type="dxa"/>
            <w:tcBorders>
              <w:top w:val="nil"/>
              <w:left w:val="nil"/>
              <w:bottom w:val="single" w:sz="4" w:space="0" w:color="auto"/>
              <w:right w:val="single" w:sz="4" w:space="0" w:color="auto"/>
            </w:tcBorders>
            <w:hideMark/>
          </w:tcPr>
          <w:p w14:paraId="0B384C2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-8.2%</w:t>
            </w:r>
          </w:p>
        </w:tc>
        <w:tc>
          <w:tcPr>
            <w:tcW w:w="1418" w:type="dxa"/>
            <w:tcBorders>
              <w:top w:val="nil"/>
              <w:left w:val="nil"/>
              <w:bottom w:val="single" w:sz="4" w:space="0" w:color="auto"/>
              <w:right w:val="single" w:sz="4" w:space="0" w:color="auto"/>
            </w:tcBorders>
            <w:hideMark/>
          </w:tcPr>
          <w:p w14:paraId="09CD137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27.1%</w:t>
            </w:r>
          </w:p>
        </w:tc>
      </w:tr>
      <w:tr w:rsidR="007B29DD" w14:paraId="31EAB62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F38D57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02611E6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62D9154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3.9%</w:t>
            </w:r>
          </w:p>
        </w:tc>
        <w:tc>
          <w:tcPr>
            <w:tcW w:w="1419" w:type="dxa"/>
            <w:tcBorders>
              <w:top w:val="nil"/>
              <w:left w:val="nil"/>
              <w:bottom w:val="single" w:sz="4" w:space="0" w:color="auto"/>
              <w:right w:val="single" w:sz="4" w:space="0" w:color="auto"/>
            </w:tcBorders>
            <w:noWrap/>
            <w:hideMark/>
          </w:tcPr>
          <w:p w14:paraId="3D127B9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12.0%</w:t>
            </w:r>
          </w:p>
        </w:tc>
        <w:tc>
          <w:tcPr>
            <w:tcW w:w="1276" w:type="dxa"/>
            <w:tcBorders>
              <w:top w:val="nil"/>
              <w:left w:val="nil"/>
              <w:bottom w:val="single" w:sz="4" w:space="0" w:color="auto"/>
              <w:right w:val="single" w:sz="4" w:space="0" w:color="auto"/>
            </w:tcBorders>
            <w:hideMark/>
          </w:tcPr>
          <w:p w14:paraId="091D550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-10.7%</w:t>
            </w:r>
          </w:p>
        </w:tc>
        <w:tc>
          <w:tcPr>
            <w:tcW w:w="1275" w:type="dxa"/>
            <w:tcBorders>
              <w:top w:val="nil"/>
              <w:left w:val="nil"/>
              <w:bottom w:val="single" w:sz="4" w:space="0" w:color="auto"/>
              <w:right w:val="single" w:sz="4" w:space="0" w:color="auto"/>
            </w:tcBorders>
            <w:hideMark/>
          </w:tcPr>
          <w:p w14:paraId="4553FEA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-4.2%</w:t>
            </w:r>
          </w:p>
        </w:tc>
        <w:tc>
          <w:tcPr>
            <w:tcW w:w="1418" w:type="dxa"/>
            <w:tcBorders>
              <w:top w:val="nil"/>
              <w:left w:val="nil"/>
              <w:bottom w:val="single" w:sz="4" w:space="0" w:color="auto"/>
              <w:right w:val="single" w:sz="4" w:space="0" w:color="auto"/>
            </w:tcBorders>
            <w:hideMark/>
          </w:tcPr>
          <w:p w14:paraId="425E2CD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18.6%</w:t>
            </w:r>
          </w:p>
        </w:tc>
      </w:tr>
      <w:tr w:rsidR="007B29DD" w14:paraId="47EB26DC"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459E629"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South Gippsland (227)</w:t>
            </w:r>
          </w:p>
        </w:tc>
        <w:tc>
          <w:tcPr>
            <w:tcW w:w="1559" w:type="dxa"/>
            <w:tcBorders>
              <w:top w:val="nil"/>
              <w:left w:val="nil"/>
              <w:bottom w:val="single" w:sz="4" w:space="0" w:color="auto"/>
              <w:right w:val="single" w:sz="4" w:space="0" w:color="auto"/>
            </w:tcBorders>
            <w:shd w:val="clear" w:color="auto" w:fill="D9D9D9"/>
            <w:vAlign w:val="center"/>
            <w:hideMark/>
          </w:tcPr>
          <w:p w14:paraId="57DF620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2FC063B0"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2.6%</w:t>
            </w:r>
          </w:p>
        </w:tc>
        <w:tc>
          <w:tcPr>
            <w:tcW w:w="1419" w:type="dxa"/>
            <w:tcBorders>
              <w:top w:val="nil"/>
              <w:left w:val="nil"/>
              <w:bottom w:val="single" w:sz="4" w:space="0" w:color="auto"/>
              <w:right w:val="single" w:sz="4" w:space="0" w:color="auto"/>
            </w:tcBorders>
            <w:shd w:val="clear" w:color="auto" w:fill="D9D9D9"/>
            <w:noWrap/>
            <w:hideMark/>
          </w:tcPr>
          <w:p w14:paraId="02BD12C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8.2%</w:t>
            </w:r>
          </w:p>
        </w:tc>
        <w:tc>
          <w:tcPr>
            <w:tcW w:w="1276" w:type="dxa"/>
            <w:tcBorders>
              <w:top w:val="nil"/>
              <w:left w:val="nil"/>
              <w:bottom w:val="single" w:sz="4" w:space="0" w:color="auto"/>
              <w:right w:val="single" w:sz="4" w:space="0" w:color="auto"/>
            </w:tcBorders>
            <w:shd w:val="clear" w:color="auto" w:fill="D9D9D9"/>
            <w:hideMark/>
          </w:tcPr>
          <w:p w14:paraId="2A8747B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-8.4%</w:t>
            </w:r>
          </w:p>
        </w:tc>
        <w:tc>
          <w:tcPr>
            <w:tcW w:w="1275" w:type="dxa"/>
            <w:tcBorders>
              <w:top w:val="nil"/>
              <w:left w:val="nil"/>
              <w:bottom w:val="single" w:sz="4" w:space="0" w:color="auto"/>
              <w:right w:val="single" w:sz="4" w:space="0" w:color="auto"/>
            </w:tcBorders>
            <w:shd w:val="clear" w:color="auto" w:fill="D9D9D9"/>
            <w:hideMark/>
          </w:tcPr>
          <w:p w14:paraId="22D64FD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-6.3%</w:t>
            </w:r>
          </w:p>
        </w:tc>
        <w:tc>
          <w:tcPr>
            <w:tcW w:w="1418" w:type="dxa"/>
            <w:tcBorders>
              <w:top w:val="nil"/>
              <w:left w:val="nil"/>
              <w:bottom w:val="single" w:sz="4" w:space="0" w:color="auto"/>
              <w:right w:val="single" w:sz="4" w:space="0" w:color="auto"/>
            </w:tcBorders>
            <w:shd w:val="clear" w:color="auto" w:fill="D9D9D9"/>
            <w:hideMark/>
          </w:tcPr>
          <w:p w14:paraId="12C26D6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20.2%</w:t>
            </w:r>
          </w:p>
        </w:tc>
      </w:tr>
      <w:tr w:rsidR="007B29DD" w14:paraId="53ACBB9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33EB31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37696C2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6266ABC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2.2%</w:t>
            </w:r>
          </w:p>
        </w:tc>
        <w:tc>
          <w:tcPr>
            <w:tcW w:w="1419" w:type="dxa"/>
            <w:tcBorders>
              <w:top w:val="nil"/>
              <w:left w:val="nil"/>
              <w:bottom w:val="single" w:sz="4" w:space="0" w:color="auto"/>
              <w:right w:val="single" w:sz="4" w:space="0" w:color="auto"/>
            </w:tcBorders>
            <w:shd w:val="clear" w:color="auto" w:fill="D9D9D9"/>
            <w:noWrap/>
            <w:hideMark/>
          </w:tcPr>
          <w:p w14:paraId="17D886B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13.3%</w:t>
            </w:r>
          </w:p>
        </w:tc>
        <w:tc>
          <w:tcPr>
            <w:tcW w:w="1276" w:type="dxa"/>
            <w:tcBorders>
              <w:top w:val="nil"/>
              <w:left w:val="nil"/>
              <w:bottom w:val="single" w:sz="4" w:space="0" w:color="auto"/>
              <w:right w:val="single" w:sz="4" w:space="0" w:color="auto"/>
            </w:tcBorders>
            <w:shd w:val="clear" w:color="auto" w:fill="D9D9D9"/>
            <w:hideMark/>
          </w:tcPr>
          <w:p w14:paraId="68B53F1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-19.5%</w:t>
            </w:r>
          </w:p>
        </w:tc>
        <w:tc>
          <w:tcPr>
            <w:tcW w:w="1275" w:type="dxa"/>
            <w:tcBorders>
              <w:top w:val="nil"/>
              <w:left w:val="nil"/>
              <w:bottom w:val="single" w:sz="4" w:space="0" w:color="auto"/>
              <w:right w:val="single" w:sz="4" w:space="0" w:color="auto"/>
            </w:tcBorders>
            <w:shd w:val="clear" w:color="auto" w:fill="D9D9D9"/>
            <w:hideMark/>
          </w:tcPr>
          <w:p w14:paraId="0C427E6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-6.1%</w:t>
            </w:r>
          </w:p>
        </w:tc>
        <w:tc>
          <w:tcPr>
            <w:tcW w:w="1418" w:type="dxa"/>
            <w:tcBorders>
              <w:top w:val="nil"/>
              <w:left w:val="nil"/>
              <w:bottom w:val="single" w:sz="4" w:space="0" w:color="auto"/>
              <w:right w:val="single" w:sz="4" w:space="0" w:color="auto"/>
            </w:tcBorders>
            <w:shd w:val="clear" w:color="auto" w:fill="D9D9D9"/>
            <w:hideMark/>
          </w:tcPr>
          <w:p w14:paraId="6DF7BA2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18.4%</w:t>
            </w:r>
          </w:p>
        </w:tc>
      </w:tr>
      <w:tr w:rsidR="007B29DD" w14:paraId="6B66F5A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4A45E0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0B8F14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620D722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4.4%</w:t>
            </w:r>
          </w:p>
        </w:tc>
        <w:tc>
          <w:tcPr>
            <w:tcW w:w="1419" w:type="dxa"/>
            <w:tcBorders>
              <w:top w:val="nil"/>
              <w:left w:val="nil"/>
              <w:bottom w:val="single" w:sz="4" w:space="0" w:color="auto"/>
              <w:right w:val="single" w:sz="4" w:space="0" w:color="auto"/>
            </w:tcBorders>
            <w:shd w:val="clear" w:color="auto" w:fill="D9D9D9"/>
            <w:noWrap/>
            <w:hideMark/>
          </w:tcPr>
          <w:p w14:paraId="38E247C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9.7%</w:t>
            </w:r>
          </w:p>
        </w:tc>
        <w:tc>
          <w:tcPr>
            <w:tcW w:w="1276" w:type="dxa"/>
            <w:tcBorders>
              <w:top w:val="nil"/>
              <w:left w:val="nil"/>
              <w:bottom w:val="single" w:sz="4" w:space="0" w:color="auto"/>
              <w:right w:val="single" w:sz="4" w:space="0" w:color="auto"/>
            </w:tcBorders>
            <w:shd w:val="clear" w:color="auto" w:fill="D9D9D9"/>
            <w:hideMark/>
          </w:tcPr>
          <w:p w14:paraId="5BE924F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-6.0%</w:t>
            </w:r>
          </w:p>
        </w:tc>
        <w:tc>
          <w:tcPr>
            <w:tcW w:w="1275" w:type="dxa"/>
            <w:tcBorders>
              <w:top w:val="nil"/>
              <w:left w:val="nil"/>
              <w:bottom w:val="single" w:sz="4" w:space="0" w:color="auto"/>
              <w:right w:val="single" w:sz="4" w:space="0" w:color="auto"/>
            </w:tcBorders>
            <w:shd w:val="clear" w:color="auto" w:fill="D9D9D9"/>
            <w:hideMark/>
          </w:tcPr>
          <w:p w14:paraId="1A3BF8F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-2.3%</w:t>
            </w:r>
          </w:p>
        </w:tc>
        <w:tc>
          <w:tcPr>
            <w:tcW w:w="1418" w:type="dxa"/>
            <w:tcBorders>
              <w:top w:val="nil"/>
              <w:left w:val="nil"/>
              <w:bottom w:val="single" w:sz="4" w:space="0" w:color="auto"/>
              <w:right w:val="single" w:sz="4" w:space="0" w:color="auto"/>
            </w:tcBorders>
            <w:shd w:val="clear" w:color="auto" w:fill="D9D9D9"/>
            <w:hideMark/>
          </w:tcPr>
          <w:p w14:paraId="09CBD2E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17.4%</w:t>
            </w:r>
          </w:p>
        </w:tc>
      </w:tr>
      <w:tr w:rsidR="007B29DD" w14:paraId="797371A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7EC078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4E98E7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F0C90C6"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4.0%</w:t>
            </w:r>
          </w:p>
        </w:tc>
        <w:tc>
          <w:tcPr>
            <w:tcW w:w="1419" w:type="dxa"/>
            <w:tcBorders>
              <w:top w:val="nil"/>
              <w:left w:val="nil"/>
              <w:bottom w:val="single" w:sz="4" w:space="0" w:color="auto"/>
              <w:right w:val="single" w:sz="4" w:space="0" w:color="auto"/>
            </w:tcBorders>
            <w:shd w:val="clear" w:color="auto" w:fill="D9D9D9"/>
            <w:noWrap/>
            <w:hideMark/>
          </w:tcPr>
          <w:p w14:paraId="501AF8A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11.8%</w:t>
            </w:r>
          </w:p>
        </w:tc>
        <w:tc>
          <w:tcPr>
            <w:tcW w:w="1276" w:type="dxa"/>
            <w:tcBorders>
              <w:top w:val="nil"/>
              <w:left w:val="nil"/>
              <w:bottom w:val="single" w:sz="4" w:space="0" w:color="auto"/>
              <w:right w:val="single" w:sz="4" w:space="0" w:color="auto"/>
            </w:tcBorders>
            <w:shd w:val="clear" w:color="auto" w:fill="D9D9D9"/>
            <w:hideMark/>
          </w:tcPr>
          <w:p w14:paraId="35C33C0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-11.2%</w:t>
            </w:r>
          </w:p>
        </w:tc>
        <w:tc>
          <w:tcPr>
            <w:tcW w:w="1275" w:type="dxa"/>
            <w:tcBorders>
              <w:top w:val="nil"/>
              <w:left w:val="nil"/>
              <w:bottom w:val="single" w:sz="4" w:space="0" w:color="auto"/>
              <w:right w:val="single" w:sz="4" w:space="0" w:color="auto"/>
            </w:tcBorders>
            <w:shd w:val="clear" w:color="auto" w:fill="D9D9D9"/>
            <w:hideMark/>
          </w:tcPr>
          <w:p w14:paraId="1DE3767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-3.1%</w:t>
            </w:r>
          </w:p>
        </w:tc>
        <w:tc>
          <w:tcPr>
            <w:tcW w:w="1418" w:type="dxa"/>
            <w:tcBorders>
              <w:top w:val="nil"/>
              <w:left w:val="nil"/>
              <w:bottom w:val="single" w:sz="4" w:space="0" w:color="auto"/>
              <w:right w:val="single" w:sz="4" w:space="0" w:color="auto"/>
            </w:tcBorders>
            <w:shd w:val="clear" w:color="auto" w:fill="D9D9D9"/>
            <w:hideMark/>
          </w:tcPr>
          <w:p w14:paraId="3A44B8D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18.0%</w:t>
            </w:r>
          </w:p>
        </w:tc>
      </w:tr>
      <w:tr w:rsidR="007B29DD" w14:paraId="7D21FC34"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CDD2A2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Bunyip (228)</w:t>
            </w:r>
          </w:p>
        </w:tc>
        <w:tc>
          <w:tcPr>
            <w:tcW w:w="1559" w:type="dxa"/>
            <w:tcBorders>
              <w:top w:val="nil"/>
              <w:left w:val="nil"/>
              <w:bottom w:val="single" w:sz="4" w:space="0" w:color="auto"/>
              <w:right w:val="single" w:sz="4" w:space="0" w:color="auto"/>
            </w:tcBorders>
            <w:vAlign w:val="center"/>
            <w:hideMark/>
          </w:tcPr>
          <w:p w14:paraId="2BA7037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413BE7C2"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2.9%</w:t>
            </w:r>
          </w:p>
        </w:tc>
        <w:tc>
          <w:tcPr>
            <w:tcW w:w="1419" w:type="dxa"/>
            <w:tcBorders>
              <w:top w:val="nil"/>
              <w:left w:val="nil"/>
              <w:bottom w:val="single" w:sz="4" w:space="0" w:color="auto"/>
              <w:right w:val="single" w:sz="4" w:space="0" w:color="auto"/>
            </w:tcBorders>
            <w:noWrap/>
            <w:hideMark/>
          </w:tcPr>
          <w:p w14:paraId="3236D1E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7.8%</w:t>
            </w:r>
          </w:p>
        </w:tc>
        <w:tc>
          <w:tcPr>
            <w:tcW w:w="1276" w:type="dxa"/>
            <w:tcBorders>
              <w:top w:val="nil"/>
              <w:left w:val="nil"/>
              <w:bottom w:val="single" w:sz="4" w:space="0" w:color="auto"/>
              <w:right w:val="single" w:sz="4" w:space="0" w:color="auto"/>
            </w:tcBorders>
            <w:hideMark/>
          </w:tcPr>
          <w:p w14:paraId="7C20196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-6.4%</w:t>
            </w:r>
          </w:p>
        </w:tc>
        <w:tc>
          <w:tcPr>
            <w:tcW w:w="1275" w:type="dxa"/>
            <w:tcBorders>
              <w:top w:val="nil"/>
              <w:left w:val="nil"/>
              <w:bottom w:val="single" w:sz="4" w:space="0" w:color="auto"/>
              <w:right w:val="single" w:sz="4" w:space="0" w:color="auto"/>
            </w:tcBorders>
            <w:hideMark/>
          </w:tcPr>
          <w:p w14:paraId="767BA05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-6.2%</w:t>
            </w:r>
          </w:p>
        </w:tc>
        <w:tc>
          <w:tcPr>
            <w:tcW w:w="1418" w:type="dxa"/>
            <w:tcBorders>
              <w:top w:val="nil"/>
              <w:left w:val="nil"/>
              <w:bottom w:val="single" w:sz="4" w:space="0" w:color="auto"/>
              <w:right w:val="single" w:sz="4" w:space="0" w:color="auto"/>
            </w:tcBorders>
            <w:hideMark/>
          </w:tcPr>
          <w:p w14:paraId="7FC329A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20.0%</w:t>
            </w:r>
          </w:p>
        </w:tc>
      </w:tr>
      <w:tr w:rsidR="007B29DD" w14:paraId="462B60A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BD53F9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EF46E1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622FA4E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2.1%</w:t>
            </w:r>
          </w:p>
        </w:tc>
        <w:tc>
          <w:tcPr>
            <w:tcW w:w="1419" w:type="dxa"/>
            <w:tcBorders>
              <w:top w:val="nil"/>
              <w:left w:val="nil"/>
              <w:bottom w:val="single" w:sz="4" w:space="0" w:color="auto"/>
              <w:right w:val="single" w:sz="4" w:space="0" w:color="auto"/>
            </w:tcBorders>
            <w:noWrap/>
            <w:hideMark/>
          </w:tcPr>
          <w:p w14:paraId="58D6B94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14.5%</w:t>
            </w:r>
          </w:p>
        </w:tc>
        <w:tc>
          <w:tcPr>
            <w:tcW w:w="1276" w:type="dxa"/>
            <w:tcBorders>
              <w:top w:val="nil"/>
              <w:left w:val="nil"/>
              <w:bottom w:val="single" w:sz="4" w:space="0" w:color="auto"/>
              <w:right w:val="single" w:sz="4" w:space="0" w:color="auto"/>
            </w:tcBorders>
            <w:hideMark/>
          </w:tcPr>
          <w:p w14:paraId="408F37A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-21.2%</w:t>
            </w:r>
          </w:p>
        </w:tc>
        <w:tc>
          <w:tcPr>
            <w:tcW w:w="1275" w:type="dxa"/>
            <w:tcBorders>
              <w:top w:val="nil"/>
              <w:left w:val="nil"/>
              <w:bottom w:val="single" w:sz="4" w:space="0" w:color="auto"/>
              <w:right w:val="single" w:sz="4" w:space="0" w:color="auto"/>
            </w:tcBorders>
            <w:hideMark/>
          </w:tcPr>
          <w:p w14:paraId="5155FCF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-6.9%</w:t>
            </w:r>
          </w:p>
        </w:tc>
        <w:tc>
          <w:tcPr>
            <w:tcW w:w="1418" w:type="dxa"/>
            <w:tcBorders>
              <w:top w:val="nil"/>
              <w:left w:val="nil"/>
              <w:bottom w:val="single" w:sz="4" w:space="0" w:color="auto"/>
              <w:right w:val="single" w:sz="4" w:space="0" w:color="auto"/>
            </w:tcBorders>
            <w:hideMark/>
          </w:tcPr>
          <w:p w14:paraId="6AD69BF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19.0%</w:t>
            </w:r>
          </w:p>
        </w:tc>
      </w:tr>
      <w:tr w:rsidR="007B29DD" w14:paraId="76C9A15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9289B0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5CF13C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436D61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4.3%</w:t>
            </w:r>
          </w:p>
        </w:tc>
        <w:tc>
          <w:tcPr>
            <w:tcW w:w="1419" w:type="dxa"/>
            <w:tcBorders>
              <w:top w:val="nil"/>
              <w:left w:val="nil"/>
              <w:bottom w:val="single" w:sz="4" w:space="0" w:color="auto"/>
              <w:right w:val="single" w:sz="4" w:space="0" w:color="auto"/>
            </w:tcBorders>
            <w:noWrap/>
            <w:hideMark/>
          </w:tcPr>
          <w:p w14:paraId="66C11D7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6" w:type="dxa"/>
            <w:tcBorders>
              <w:top w:val="nil"/>
              <w:left w:val="nil"/>
              <w:bottom w:val="single" w:sz="4" w:space="0" w:color="auto"/>
              <w:right w:val="single" w:sz="4" w:space="0" w:color="auto"/>
            </w:tcBorders>
            <w:hideMark/>
          </w:tcPr>
          <w:p w14:paraId="1994D6B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-9.0%</w:t>
            </w:r>
          </w:p>
        </w:tc>
        <w:tc>
          <w:tcPr>
            <w:tcW w:w="1275" w:type="dxa"/>
            <w:tcBorders>
              <w:top w:val="nil"/>
              <w:left w:val="nil"/>
              <w:bottom w:val="single" w:sz="4" w:space="0" w:color="auto"/>
              <w:right w:val="single" w:sz="4" w:space="0" w:color="auto"/>
            </w:tcBorders>
            <w:hideMark/>
          </w:tcPr>
          <w:p w14:paraId="7DFD2A6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-7.1%</w:t>
            </w:r>
          </w:p>
        </w:tc>
        <w:tc>
          <w:tcPr>
            <w:tcW w:w="1418" w:type="dxa"/>
            <w:tcBorders>
              <w:top w:val="nil"/>
              <w:left w:val="nil"/>
              <w:bottom w:val="single" w:sz="4" w:space="0" w:color="auto"/>
              <w:right w:val="single" w:sz="4" w:space="0" w:color="auto"/>
            </w:tcBorders>
            <w:hideMark/>
          </w:tcPr>
          <w:p w14:paraId="7451878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25.9%</w:t>
            </w:r>
          </w:p>
        </w:tc>
      </w:tr>
      <w:tr w:rsidR="007B29DD" w14:paraId="0234117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040136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534125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59B0132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3.7%</w:t>
            </w:r>
          </w:p>
        </w:tc>
        <w:tc>
          <w:tcPr>
            <w:tcW w:w="1419" w:type="dxa"/>
            <w:tcBorders>
              <w:top w:val="nil"/>
              <w:left w:val="nil"/>
              <w:bottom w:val="single" w:sz="4" w:space="0" w:color="auto"/>
              <w:right w:val="single" w:sz="4" w:space="0" w:color="auto"/>
            </w:tcBorders>
            <w:noWrap/>
            <w:hideMark/>
          </w:tcPr>
          <w:p w14:paraId="52DBBBE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11.6%</w:t>
            </w:r>
          </w:p>
        </w:tc>
        <w:tc>
          <w:tcPr>
            <w:tcW w:w="1276" w:type="dxa"/>
            <w:tcBorders>
              <w:top w:val="nil"/>
              <w:left w:val="nil"/>
              <w:bottom w:val="single" w:sz="4" w:space="0" w:color="auto"/>
              <w:right w:val="single" w:sz="4" w:space="0" w:color="auto"/>
            </w:tcBorders>
            <w:hideMark/>
          </w:tcPr>
          <w:p w14:paraId="52C5372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5" w:type="dxa"/>
            <w:tcBorders>
              <w:top w:val="nil"/>
              <w:left w:val="nil"/>
              <w:bottom w:val="single" w:sz="4" w:space="0" w:color="auto"/>
              <w:right w:val="single" w:sz="4" w:space="0" w:color="auto"/>
            </w:tcBorders>
            <w:hideMark/>
          </w:tcPr>
          <w:p w14:paraId="72E0EA7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-3.6%</w:t>
            </w:r>
          </w:p>
        </w:tc>
        <w:tc>
          <w:tcPr>
            <w:tcW w:w="1418" w:type="dxa"/>
            <w:tcBorders>
              <w:top w:val="nil"/>
              <w:left w:val="nil"/>
              <w:bottom w:val="single" w:sz="4" w:space="0" w:color="auto"/>
              <w:right w:val="single" w:sz="4" w:space="0" w:color="auto"/>
            </w:tcBorders>
            <w:hideMark/>
          </w:tcPr>
          <w:p w14:paraId="3990C72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17.4%</w:t>
            </w:r>
          </w:p>
        </w:tc>
      </w:tr>
      <w:tr w:rsidR="007B29DD" w14:paraId="58459A96"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228D9E00"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Yarra (229)</w:t>
            </w:r>
          </w:p>
        </w:tc>
        <w:tc>
          <w:tcPr>
            <w:tcW w:w="1559" w:type="dxa"/>
            <w:tcBorders>
              <w:top w:val="nil"/>
              <w:left w:val="nil"/>
              <w:bottom w:val="single" w:sz="4" w:space="0" w:color="auto"/>
              <w:right w:val="single" w:sz="4" w:space="0" w:color="auto"/>
            </w:tcBorders>
            <w:shd w:val="clear" w:color="auto" w:fill="D9D9D9"/>
            <w:vAlign w:val="center"/>
            <w:hideMark/>
          </w:tcPr>
          <w:p w14:paraId="2DF3353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664CD62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3.7%</w:t>
            </w:r>
          </w:p>
        </w:tc>
        <w:tc>
          <w:tcPr>
            <w:tcW w:w="1419" w:type="dxa"/>
            <w:tcBorders>
              <w:top w:val="nil"/>
              <w:left w:val="nil"/>
              <w:bottom w:val="single" w:sz="4" w:space="0" w:color="auto"/>
              <w:right w:val="single" w:sz="4" w:space="0" w:color="auto"/>
            </w:tcBorders>
            <w:shd w:val="clear" w:color="auto" w:fill="D9D9D9"/>
            <w:noWrap/>
            <w:hideMark/>
          </w:tcPr>
          <w:p w14:paraId="2CC0238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8.5%</w:t>
            </w:r>
          </w:p>
        </w:tc>
        <w:tc>
          <w:tcPr>
            <w:tcW w:w="1276" w:type="dxa"/>
            <w:tcBorders>
              <w:top w:val="nil"/>
              <w:left w:val="nil"/>
              <w:bottom w:val="single" w:sz="4" w:space="0" w:color="auto"/>
              <w:right w:val="single" w:sz="4" w:space="0" w:color="auto"/>
            </w:tcBorders>
            <w:shd w:val="clear" w:color="auto" w:fill="D9D9D9"/>
            <w:hideMark/>
          </w:tcPr>
          <w:p w14:paraId="621EF27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-5.3%</w:t>
            </w:r>
          </w:p>
        </w:tc>
        <w:tc>
          <w:tcPr>
            <w:tcW w:w="1275" w:type="dxa"/>
            <w:tcBorders>
              <w:top w:val="nil"/>
              <w:left w:val="nil"/>
              <w:bottom w:val="single" w:sz="4" w:space="0" w:color="auto"/>
              <w:right w:val="single" w:sz="4" w:space="0" w:color="auto"/>
            </w:tcBorders>
            <w:shd w:val="clear" w:color="auto" w:fill="D9D9D9"/>
            <w:hideMark/>
          </w:tcPr>
          <w:p w14:paraId="5847A61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-5.6%</w:t>
            </w:r>
          </w:p>
        </w:tc>
        <w:tc>
          <w:tcPr>
            <w:tcW w:w="1418" w:type="dxa"/>
            <w:tcBorders>
              <w:top w:val="nil"/>
              <w:left w:val="nil"/>
              <w:bottom w:val="single" w:sz="4" w:space="0" w:color="auto"/>
              <w:right w:val="single" w:sz="4" w:space="0" w:color="auto"/>
            </w:tcBorders>
            <w:shd w:val="clear" w:color="auto" w:fill="D9D9D9"/>
            <w:hideMark/>
          </w:tcPr>
          <w:p w14:paraId="4FBB1C9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21.2%</w:t>
            </w:r>
          </w:p>
        </w:tc>
      </w:tr>
      <w:tr w:rsidR="007B29DD" w14:paraId="779B2D8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148476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CE73AB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5DC5511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2.4%</w:t>
            </w:r>
          </w:p>
        </w:tc>
        <w:tc>
          <w:tcPr>
            <w:tcW w:w="1419" w:type="dxa"/>
            <w:tcBorders>
              <w:top w:val="nil"/>
              <w:left w:val="nil"/>
              <w:bottom w:val="single" w:sz="4" w:space="0" w:color="auto"/>
              <w:right w:val="single" w:sz="4" w:space="0" w:color="auto"/>
            </w:tcBorders>
            <w:shd w:val="clear" w:color="auto" w:fill="D9D9D9"/>
            <w:noWrap/>
            <w:hideMark/>
          </w:tcPr>
          <w:p w14:paraId="75C4718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14.5%</w:t>
            </w:r>
          </w:p>
        </w:tc>
        <w:tc>
          <w:tcPr>
            <w:tcW w:w="1276" w:type="dxa"/>
            <w:tcBorders>
              <w:top w:val="nil"/>
              <w:left w:val="nil"/>
              <w:bottom w:val="single" w:sz="4" w:space="0" w:color="auto"/>
              <w:right w:val="single" w:sz="4" w:space="0" w:color="auto"/>
            </w:tcBorders>
            <w:shd w:val="clear" w:color="auto" w:fill="D9D9D9"/>
            <w:hideMark/>
          </w:tcPr>
          <w:p w14:paraId="0C45807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-20.3%</w:t>
            </w:r>
          </w:p>
        </w:tc>
        <w:tc>
          <w:tcPr>
            <w:tcW w:w="1275" w:type="dxa"/>
            <w:tcBorders>
              <w:top w:val="nil"/>
              <w:left w:val="nil"/>
              <w:bottom w:val="single" w:sz="4" w:space="0" w:color="auto"/>
              <w:right w:val="single" w:sz="4" w:space="0" w:color="auto"/>
            </w:tcBorders>
            <w:shd w:val="clear" w:color="auto" w:fill="D9D9D9"/>
            <w:hideMark/>
          </w:tcPr>
          <w:p w14:paraId="615E6FC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-6.6%</w:t>
            </w:r>
          </w:p>
        </w:tc>
        <w:tc>
          <w:tcPr>
            <w:tcW w:w="1418" w:type="dxa"/>
            <w:tcBorders>
              <w:top w:val="nil"/>
              <w:left w:val="nil"/>
              <w:bottom w:val="single" w:sz="4" w:space="0" w:color="auto"/>
              <w:right w:val="single" w:sz="4" w:space="0" w:color="auto"/>
            </w:tcBorders>
            <w:shd w:val="clear" w:color="auto" w:fill="D9D9D9"/>
            <w:hideMark/>
          </w:tcPr>
          <w:p w14:paraId="7EF4277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19.3%</w:t>
            </w:r>
          </w:p>
        </w:tc>
      </w:tr>
      <w:tr w:rsidR="007B29DD" w14:paraId="1713819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72EE63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D42B92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03C5D99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4.7%</w:t>
            </w:r>
          </w:p>
        </w:tc>
        <w:tc>
          <w:tcPr>
            <w:tcW w:w="1419" w:type="dxa"/>
            <w:tcBorders>
              <w:top w:val="nil"/>
              <w:left w:val="nil"/>
              <w:bottom w:val="single" w:sz="4" w:space="0" w:color="auto"/>
              <w:right w:val="single" w:sz="4" w:space="0" w:color="auto"/>
            </w:tcBorders>
            <w:shd w:val="clear" w:color="auto" w:fill="D9D9D9"/>
            <w:noWrap/>
            <w:hideMark/>
          </w:tcPr>
          <w:p w14:paraId="5839808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11.1%</w:t>
            </w:r>
          </w:p>
        </w:tc>
        <w:tc>
          <w:tcPr>
            <w:tcW w:w="1276" w:type="dxa"/>
            <w:tcBorders>
              <w:top w:val="nil"/>
              <w:left w:val="nil"/>
              <w:bottom w:val="single" w:sz="4" w:space="0" w:color="auto"/>
              <w:right w:val="single" w:sz="4" w:space="0" w:color="auto"/>
            </w:tcBorders>
            <w:shd w:val="clear" w:color="auto" w:fill="D9D9D9"/>
            <w:hideMark/>
          </w:tcPr>
          <w:p w14:paraId="31055D0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-7.3%</w:t>
            </w:r>
          </w:p>
        </w:tc>
        <w:tc>
          <w:tcPr>
            <w:tcW w:w="1275" w:type="dxa"/>
            <w:tcBorders>
              <w:top w:val="nil"/>
              <w:left w:val="nil"/>
              <w:bottom w:val="single" w:sz="4" w:space="0" w:color="auto"/>
              <w:right w:val="single" w:sz="4" w:space="0" w:color="auto"/>
            </w:tcBorders>
            <w:shd w:val="clear" w:color="auto" w:fill="D9D9D9"/>
            <w:hideMark/>
          </w:tcPr>
          <w:p w14:paraId="35CE3A5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-11.0%</w:t>
            </w:r>
          </w:p>
        </w:tc>
        <w:tc>
          <w:tcPr>
            <w:tcW w:w="1418" w:type="dxa"/>
            <w:tcBorders>
              <w:top w:val="nil"/>
              <w:left w:val="nil"/>
              <w:bottom w:val="single" w:sz="4" w:space="0" w:color="auto"/>
              <w:right w:val="single" w:sz="4" w:space="0" w:color="auto"/>
            </w:tcBorders>
            <w:shd w:val="clear" w:color="auto" w:fill="D9D9D9"/>
            <w:hideMark/>
          </w:tcPr>
          <w:p w14:paraId="43A11E4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34.3%</w:t>
            </w:r>
          </w:p>
        </w:tc>
      </w:tr>
      <w:tr w:rsidR="007B29DD" w14:paraId="1FC90C5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25FDBC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27FD55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4D280ED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4.0%</w:t>
            </w:r>
          </w:p>
        </w:tc>
        <w:tc>
          <w:tcPr>
            <w:tcW w:w="1419" w:type="dxa"/>
            <w:tcBorders>
              <w:top w:val="nil"/>
              <w:left w:val="nil"/>
              <w:bottom w:val="single" w:sz="4" w:space="0" w:color="auto"/>
              <w:right w:val="single" w:sz="4" w:space="0" w:color="auto"/>
            </w:tcBorders>
            <w:shd w:val="clear" w:color="auto" w:fill="D9D9D9"/>
            <w:noWrap/>
            <w:hideMark/>
          </w:tcPr>
          <w:p w14:paraId="14CF578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6" w:type="dxa"/>
            <w:tcBorders>
              <w:top w:val="nil"/>
              <w:left w:val="nil"/>
              <w:bottom w:val="single" w:sz="4" w:space="0" w:color="auto"/>
              <w:right w:val="single" w:sz="4" w:space="0" w:color="auto"/>
            </w:tcBorders>
            <w:shd w:val="clear" w:color="auto" w:fill="D9D9D9"/>
            <w:hideMark/>
          </w:tcPr>
          <w:p w14:paraId="715EB48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-9.7%</w:t>
            </w:r>
          </w:p>
        </w:tc>
        <w:tc>
          <w:tcPr>
            <w:tcW w:w="1275" w:type="dxa"/>
            <w:tcBorders>
              <w:top w:val="nil"/>
              <w:left w:val="nil"/>
              <w:bottom w:val="single" w:sz="4" w:space="0" w:color="auto"/>
              <w:right w:val="single" w:sz="4" w:space="0" w:color="auto"/>
            </w:tcBorders>
            <w:shd w:val="clear" w:color="auto" w:fill="D9D9D9"/>
            <w:hideMark/>
          </w:tcPr>
          <w:p w14:paraId="5941A0D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-4.0%</w:t>
            </w:r>
          </w:p>
        </w:tc>
        <w:tc>
          <w:tcPr>
            <w:tcW w:w="1418" w:type="dxa"/>
            <w:tcBorders>
              <w:top w:val="nil"/>
              <w:left w:val="nil"/>
              <w:bottom w:val="single" w:sz="4" w:space="0" w:color="auto"/>
              <w:right w:val="single" w:sz="4" w:space="0" w:color="auto"/>
            </w:tcBorders>
            <w:shd w:val="clear" w:color="auto" w:fill="D9D9D9"/>
            <w:hideMark/>
          </w:tcPr>
          <w:p w14:paraId="45C4890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19.1%</w:t>
            </w:r>
          </w:p>
        </w:tc>
      </w:tr>
      <w:tr w:rsidR="007B29DD" w14:paraId="5304E1E2"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7EEA12D4" w14:textId="77777777" w:rsidR="007B29DD" w:rsidRDefault="007B29DD" w:rsidP="00306AF1">
            <w:pPr>
              <w:keepNext/>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Maribyrnong (230)</w:t>
            </w:r>
          </w:p>
        </w:tc>
        <w:tc>
          <w:tcPr>
            <w:tcW w:w="1559" w:type="dxa"/>
            <w:tcBorders>
              <w:top w:val="nil"/>
              <w:left w:val="nil"/>
              <w:bottom w:val="single" w:sz="4" w:space="0" w:color="auto"/>
              <w:right w:val="single" w:sz="4" w:space="0" w:color="auto"/>
            </w:tcBorders>
            <w:vAlign w:val="center"/>
            <w:hideMark/>
          </w:tcPr>
          <w:p w14:paraId="74E150F0"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2EB0632"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2.7%</w:t>
            </w:r>
          </w:p>
        </w:tc>
        <w:tc>
          <w:tcPr>
            <w:tcW w:w="1419" w:type="dxa"/>
            <w:tcBorders>
              <w:top w:val="nil"/>
              <w:left w:val="nil"/>
              <w:bottom w:val="single" w:sz="4" w:space="0" w:color="auto"/>
              <w:right w:val="single" w:sz="4" w:space="0" w:color="auto"/>
            </w:tcBorders>
            <w:noWrap/>
            <w:hideMark/>
          </w:tcPr>
          <w:p w14:paraId="0D595B26"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7.5%</w:t>
            </w:r>
          </w:p>
        </w:tc>
        <w:tc>
          <w:tcPr>
            <w:tcW w:w="1276" w:type="dxa"/>
            <w:tcBorders>
              <w:top w:val="nil"/>
              <w:left w:val="nil"/>
              <w:bottom w:val="single" w:sz="4" w:space="0" w:color="auto"/>
              <w:right w:val="single" w:sz="4" w:space="0" w:color="auto"/>
            </w:tcBorders>
            <w:hideMark/>
          </w:tcPr>
          <w:p w14:paraId="380A7003"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-5.8%</w:t>
            </w:r>
          </w:p>
        </w:tc>
        <w:tc>
          <w:tcPr>
            <w:tcW w:w="1275" w:type="dxa"/>
            <w:tcBorders>
              <w:top w:val="nil"/>
              <w:left w:val="nil"/>
              <w:bottom w:val="single" w:sz="4" w:space="0" w:color="auto"/>
              <w:right w:val="single" w:sz="4" w:space="0" w:color="auto"/>
            </w:tcBorders>
            <w:hideMark/>
          </w:tcPr>
          <w:p w14:paraId="0377FE35"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-6.2%</w:t>
            </w:r>
          </w:p>
        </w:tc>
        <w:tc>
          <w:tcPr>
            <w:tcW w:w="1418" w:type="dxa"/>
            <w:tcBorders>
              <w:top w:val="nil"/>
              <w:left w:val="nil"/>
              <w:bottom w:val="single" w:sz="4" w:space="0" w:color="auto"/>
              <w:right w:val="single" w:sz="4" w:space="0" w:color="auto"/>
            </w:tcBorders>
            <w:hideMark/>
          </w:tcPr>
          <w:p w14:paraId="2D5FE5F0"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18.3%</w:t>
            </w:r>
          </w:p>
        </w:tc>
      </w:tr>
      <w:tr w:rsidR="007B29DD" w14:paraId="17A8DB9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D5A6FB1" w14:textId="77777777" w:rsidR="007B29DD" w:rsidRDefault="007B29DD" w:rsidP="00306AF1">
            <w:pPr>
              <w:keepNext/>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17BDC47"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57BE56C0"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2.6%</w:t>
            </w:r>
          </w:p>
        </w:tc>
        <w:tc>
          <w:tcPr>
            <w:tcW w:w="1419" w:type="dxa"/>
            <w:tcBorders>
              <w:top w:val="nil"/>
              <w:left w:val="nil"/>
              <w:bottom w:val="single" w:sz="4" w:space="0" w:color="auto"/>
              <w:right w:val="single" w:sz="4" w:space="0" w:color="auto"/>
            </w:tcBorders>
            <w:noWrap/>
            <w:hideMark/>
          </w:tcPr>
          <w:p w14:paraId="3C12DE1D"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14.6%</w:t>
            </w:r>
          </w:p>
        </w:tc>
        <w:tc>
          <w:tcPr>
            <w:tcW w:w="1276" w:type="dxa"/>
            <w:tcBorders>
              <w:top w:val="nil"/>
              <w:left w:val="nil"/>
              <w:bottom w:val="single" w:sz="4" w:space="0" w:color="auto"/>
              <w:right w:val="single" w:sz="4" w:space="0" w:color="auto"/>
            </w:tcBorders>
            <w:hideMark/>
          </w:tcPr>
          <w:p w14:paraId="3ADFDA9F"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-18.5%</w:t>
            </w:r>
          </w:p>
        </w:tc>
        <w:tc>
          <w:tcPr>
            <w:tcW w:w="1275" w:type="dxa"/>
            <w:tcBorders>
              <w:top w:val="nil"/>
              <w:left w:val="nil"/>
              <w:bottom w:val="single" w:sz="4" w:space="0" w:color="auto"/>
              <w:right w:val="single" w:sz="4" w:space="0" w:color="auto"/>
            </w:tcBorders>
            <w:hideMark/>
          </w:tcPr>
          <w:p w14:paraId="38D2E8AB"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-7.4%</w:t>
            </w:r>
          </w:p>
        </w:tc>
        <w:tc>
          <w:tcPr>
            <w:tcW w:w="1418" w:type="dxa"/>
            <w:tcBorders>
              <w:top w:val="nil"/>
              <w:left w:val="nil"/>
              <w:bottom w:val="single" w:sz="4" w:space="0" w:color="auto"/>
              <w:right w:val="single" w:sz="4" w:space="0" w:color="auto"/>
            </w:tcBorders>
            <w:hideMark/>
          </w:tcPr>
          <w:p w14:paraId="0E34B8F9"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20.2%</w:t>
            </w:r>
          </w:p>
        </w:tc>
      </w:tr>
      <w:tr w:rsidR="007B29DD" w14:paraId="361540D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3FBD225" w14:textId="77777777" w:rsidR="007B29DD" w:rsidRDefault="007B29DD" w:rsidP="00306AF1">
            <w:pPr>
              <w:keepNext/>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EB99D13"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1CBAE42"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5.2%</w:t>
            </w:r>
          </w:p>
        </w:tc>
        <w:tc>
          <w:tcPr>
            <w:tcW w:w="1419" w:type="dxa"/>
            <w:tcBorders>
              <w:top w:val="nil"/>
              <w:left w:val="nil"/>
              <w:bottom w:val="single" w:sz="4" w:space="0" w:color="auto"/>
              <w:right w:val="single" w:sz="4" w:space="0" w:color="auto"/>
            </w:tcBorders>
            <w:noWrap/>
            <w:hideMark/>
          </w:tcPr>
          <w:p w14:paraId="1DE8D0FA"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11.0%</w:t>
            </w:r>
          </w:p>
        </w:tc>
        <w:tc>
          <w:tcPr>
            <w:tcW w:w="1276" w:type="dxa"/>
            <w:tcBorders>
              <w:top w:val="nil"/>
              <w:left w:val="nil"/>
              <w:bottom w:val="single" w:sz="4" w:space="0" w:color="auto"/>
              <w:right w:val="single" w:sz="4" w:space="0" w:color="auto"/>
            </w:tcBorders>
            <w:hideMark/>
          </w:tcPr>
          <w:p w14:paraId="07A5C6BD"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-5.0%</w:t>
            </w:r>
          </w:p>
        </w:tc>
        <w:tc>
          <w:tcPr>
            <w:tcW w:w="1275" w:type="dxa"/>
            <w:tcBorders>
              <w:top w:val="nil"/>
              <w:left w:val="nil"/>
              <w:bottom w:val="single" w:sz="4" w:space="0" w:color="auto"/>
              <w:right w:val="single" w:sz="4" w:space="0" w:color="auto"/>
            </w:tcBorders>
            <w:hideMark/>
          </w:tcPr>
          <w:p w14:paraId="7DC5F1CF"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-6.3%</w:t>
            </w:r>
          </w:p>
        </w:tc>
        <w:tc>
          <w:tcPr>
            <w:tcW w:w="1418" w:type="dxa"/>
            <w:tcBorders>
              <w:top w:val="nil"/>
              <w:left w:val="nil"/>
              <w:bottom w:val="single" w:sz="4" w:space="0" w:color="auto"/>
              <w:right w:val="single" w:sz="4" w:space="0" w:color="auto"/>
            </w:tcBorders>
            <w:hideMark/>
          </w:tcPr>
          <w:p w14:paraId="2DDA9866"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25.4%</w:t>
            </w:r>
          </w:p>
        </w:tc>
      </w:tr>
      <w:tr w:rsidR="007B29DD" w14:paraId="2C7EC4C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86481D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2D709B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3E9CE38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3.8%</w:t>
            </w:r>
          </w:p>
        </w:tc>
        <w:tc>
          <w:tcPr>
            <w:tcW w:w="1419" w:type="dxa"/>
            <w:tcBorders>
              <w:top w:val="nil"/>
              <w:left w:val="nil"/>
              <w:bottom w:val="single" w:sz="4" w:space="0" w:color="auto"/>
              <w:right w:val="single" w:sz="4" w:space="0" w:color="auto"/>
            </w:tcBorders>
            <w:noWrap/>
            <w:hideMark/>
          </w:tcPr>
          <w:p w14:paraId="23D0E23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11.5%</w:t>
            </w:r>
          </w:p>
        </w:tc>
        <w:tc>
          <w:tcPr>
            <w:tcW w:w="1276" w:type="dxa"/>
            <w:tcBorders>
              <w:top w:val="nil"/>
              <w:left w:val="nil"/>
              <w:bottom w:val="single" w:sz="4" w:space="0" w:color="auto"/>
              <w:right w:val="single" w:sz="4" w:space="0" w:color="auto"/>
            </w:tcBorders>
            <w:hideMark/>
          </w:tcPr>
          <w:p w14:paraId="1F84539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-9.7%</w:t>
            </w:r>
          </w:p>
        </w:tc>
        <w:tc>
          <w:tcPr>
            <w:tcW w:w="1275" w:type="dxa"/>
            <w:tcBorders>
              <w:top w:val="nil"/>
              <w:left w:val="nil"/>
              <w:bottom w:val="single" w:sz="4" w:space="0" w:color="auto"/>
              <w:right w:val="single" w:sz="4" w:space="0" w:color="auto"/>
            </w:tcBorders>
            <w:hideMark/>
          </w:tcPr>
          <w:p w14:paraId="3286C2D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418" w:type="dxa"/>
            <w:tcBorders>
              <w:top w:val="nil"/>
              <w:left w:val="nil"/>
              <w:bottom w:val="single" w:sz="4" w:space="0" w:color="auto"/>
              <w:right w:val="single" w:sz="4" w:space="0" w:color="auto"/>
            </w:tcBorders>
            <w:hideMark/>
          </w:tcPr>
          <w:p w14:paraId="76EE3BF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20.6%</w:t>
            </w:r>
          </w:p>
        </w:tc>
      </w:tr>
      <w:tr w:rsidR="007B29DD" w14:paraId="78FC3F80"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650B921"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Werribee (231)</w:t>
            </w:r>
          </w:p>
        </w:tc>
        <w:tc>
          <w:tcPr>
            <w:tcW w:w="1559" w:type="dxa"/>
            <w:tcBorders>
              <w:top w:val="nil"/>
              <w:left w:val="nil"/>
              <w:bottom w:val="single" w:sz="4" w:space="0" w:color="auto"/>
              <w:right w:val="single" w:sz="4" w:space="0" w:color="auto"/>
            </w:tcBorders>
            <w:shd w:val="clear" w:color="auto" w:fill="D9D9D9"/>
            <w:vAlign w:val="center"/>
            <w:hideMark/>
          </w:tcPr>
          <w:p w14:paraId="31DAD37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2F084E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2.2%</w:t>
            </w:r>
          </w:p>
        </w:tc>
        <w:tc>
          <w:tcPr>
            <w:tcW w:w="1419" w:type="dxa"/>
            <w:tcBorders>
              <w:top w:val="nil"/>
              <w:left w:val="nil"/>
              <w:bottom w:val="single" w:sz="4" w:space="0" w:color="auto"/>
              <w:right w:val="single" w:sz="4" w:space="0" w:color="auto"/>
            </w:tcBorders>
            <w:shd w:val="clear" w:color="auto" w:fill="D9D9D9"/>
            <w:noWrap/>
            <w:hideMark/>
          </w:tcPr>
          <w:p w14:paraId="5028777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7.2%</w:t>
            </w:r>
          </w:p>
        </w:tc>
        <w:tc>
          <w:tcPr>
            <w:tcW w:w="1276" w:type="dxa"/>
            <w:tcBorders>
              <w:top w:val="nil"/>
              <w:left w:val="nil"/>
              <w:bottom w:val="single" w:sz="4" w:space="0" w:color="auto"/>
              <w:right w:val="single" w:sz="4" w:space="0" w:color="auto"/>
            </w:tcBorders>
            <w:shd w:val="clear" w:color="auto" w:fill="D9D9D9"/>
            <w:hideMark/>
          </w:tcPr>
          <w:p w14:paraId="3B7C55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-6.1%</w:t>
            </w:r>
          </w:p>
        </w:tc>
        <w:tc>
          <w:tcPr>
            <w:tcW w:w="1275" w:type="dxa"/>
            <w:tcBorders>
              <w:top w:val="nil"/>
              <w:left w:val="nil"/>
              <w:bottom w:val="single" w:sz="4" w:space="0" w:color="auto"/>
              <w:right w:val="single" w:sz="4" w:space="0" w:color="auto"/>
            </w:tcBorders>
            <w:shd w:val="clear" w:color="auto" w:fill="D9D9D9"/>
            <w:hideMark/>
          </w:tcPr>
          <w:p w14:paraId="2BD84D8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-7.2%</w:t>
            </w:r>
          </w:p>
        </w:tc>
        <w:tc>
          <w:tcPr>
            <w:tcW w:w="1418" w:type="dxa"/>
            <w:tcBorders>
              <w:top w:val="nil"/>
              <w:left w:val="nil"/>
              <w:bottom w:val="single" w:sz="4" w:space="0" w:color="auto"/>
              <w:right w:val="single" w:sz="4" w:space="0" w:color="auto"/>
            </w:tcBorders>
            <w:shd w:val="clear" w:color="auto" w:fill="D9D9D9"/>
            <w:hideMark/>
          </w:tcPr>
          <w:p w14:paraId="24234AE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17.7%</w:t>
            </w:r>
          </w:p>
        </w:tc>
      </w:tr>
      <w:tr w:rsidR="007B29DD" w14:paraId="704ABE0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01D005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3A2162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2C384071"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2.4%</w:t>
            </w:r>
          </w:p>
        </w:tc>
        <w:tc>
          <w:tcPr>
            <w:tcW w:w="1419" w:type="dxa"/>
            <w:tcBorders>
              <w:top w:val="nil"/>
              <w:left w:val="nil"/>
              <w:bottom w:val="single" w:sz="4" w:space="0" w:color="auto"/>
              <w:right w:val="single" w:sz="4" w:space="0" w:color="auto"/>
            </w:tcBorders>
            <w:shd w:val="clear" w:color="auto" w:fill="D9D9D9"/>
            <w:noWrap/>
            <w:hideMark/>
          </w:tcPr>
          <w:p w14:paraId="050CFD5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15.3%</w:t>
            </w:r>
          </w:p>
        </w:tc>
        <w:tc>
          <w:tcPr>
            <w:tcW w:w="1276" w:type="dxa"/>
            <w:tcBorders>
              <w:top w:val="nil"/>
              <w:left w:val="nil"/>
              <w:bottom w:val="single" w:sz="4" w:space="0" w:color="auto"/>
              <w:right w:val="single" w:sz="4" w:space="0" w:color="auto"/>
            </w:tcBorders>
            <w:shd w:val="clear" w:color="auto" w:fill="D9D9D9"/>
            <w:hideMark/>
          </w:tcPr>
          <w:p w14:paraId="5E60386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-18.8%</w:t>
            </w:r>
          </w:p>
        </w:tc>
        <w:tc>
          <w:tcPr>
            <w:tcW w:w="1275" w:type="dxa"/>
            <w:tcBorders>
              <w:top w:val="nil"/>
              <w:left w:val="nil"/>
              <w:bottom w:val="single" w:sz="4" w:space="0" w:color="auto"/>
              <w:right w:val="single" w:sz="4" w:space="0" w:color="auto"/>
            </w:tcBorders>
            <w:shd w:val="clear" w:color="auto" w:fill="D9D9D9"/>
            <w:hideMark/>
          </w:tcPr>
          <w:p w14:paraId="2C6128B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-8.5%</w:t>
            </w:r>
          </w:p>
        </w:tc>
        <w:tc>
          <w:tcPr>
            <w:tcW w:w="1418" w:type="dxa"/>
            <w:tcBorders>
              <w:top w:val="nil"/>
              <w:left w:val="nil"/>
              <w:bottom w:val="single" w:sz="4" w:space="0" w:color="auto"/>
              <w:right w:val="single" w:sz="4" w:space="0" w:color="auto"/>
            </w:tcBorders>
            <w:shd w:val="clear" w:color="auto" w:fill="D9D9D9"/>
            <w:hideMark/>
          </w:tcPr>
          <w:p w14:paraId="266448D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20.4%</w:t>
            </w:r>
          </w:p>
        </w:tc>
      </w:tr>
      <w:tr w:rsidR="007B29DD" w14:paraId="5991F2E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E68607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54A8EB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8523E07"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5.2%</w:t>
            </w:r>
          </w:p>
        </w:tc>
        <w:tc>
          <w:tcPr>
            <w:tcW w:w="1419" w:type="dxa"/>
            <w:tcBorders>
              <w:top w:val="nil"/>
              <w:left w:val="nil"/>
              <w:bottom w:val="single" w:sz="4" w:space="0" w:color="auto"/>
              <w:right w:val="single" w:sz="4" w:space="0" w:color="auto"/>
            </w:tcBorders>
            <w:shd w:val="clear" w:color="auto" w:fill="D9D9D9"/>
            <w:noWrap/>
            <w:hideMark/>
          </w:tcPr>
          <w:p w14:paraId="26225ED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11.1%</w:t>
            </w:r>
          </w:p>
        </w:tc>
        <w:tc>
          <w:tcPr>
            <w:tcW w:w="1276" w:type="dxa"/>
            <w:tcBorders>
              <w:top w:val="nil"/>
              <w:left w:val="nil"/>
              <w:bottom w:val="single" w:sz="4" w:space="0" w:color="auto"/>
              <w:right w:val="single" w:sz="4" w:space="0" w:color="auto"/>
            </w:tcBorders>
            <w:shd w:val="clear" w:color="auto" w:fill="D9D9D9"/>
            <w:hideMark/>
          </w:tcPr>
          <w:p w14:paraId="0F9C74A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-4.5%</w:t>
            </w:r>
          </w:p>
        </w:tc>
        <w:tc>
          <w:tcPr>
            <w:tcW w:w="1275" w:type="dxa"/>
            <w:tcBorders>
              <w:top w:val="nil"/>
              <w:left w:val="nil"/>
              <w:bottom w:val="single" w:sz="4" w:space="0" w:color="auto"/>
              <w:right w:val="single" w:sz="4" w:space="0" w:color="auto"/>
            </w:tcBorders>
            <w:shd w:val="clear" w:color="auto" w:fill="D9D9D9"/>
            <w:hideMark/>
          </w:tcPr>
          <w:p w14:paraId="0035219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w:t>
            </w:r>
          </w:p>
        </w:tc>
        <w:tc>
          <w:tcPr>
            <w:tcW w:w="1418" w:type="dxa"/>
            <w:tcBorders>
              <w:top w:val="nil"/>
              <w:left w:val="nil"/>
              <w:bottom w:val="single" w:sz="4" w:space="0" w:color="auto"/>
              <w:right w:val="single" w:sz="4" w:space="0" w:color="auto"/>
            </w:tcBorders>
            <w:shd w:val="clear" w:color="auto" w:fill="D9D9D9"/>
            <w:hideMark/>
          </w:tcPr>
          <w:p w14:paraId="115734D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16.7%</w:t>
            </w:r>
          </w:p>
        </w:tc>
      </w:tr>
      <w:tr w:rsidR="007B29DD" w14:paraId="0B684C7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F21040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0A4911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045E94D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3.1%</w:t>
            </w:r>
          </w:p>
        </w:tc>
        <w:tc>
          <w:tcPr>
            <w:tcW w:w="1419" w:type="dxa"/>
            <w:tcBorders>
              <w:top w:val="nil"/>
              <w:left w:val="nil"/>
              <w:bottom w:val="single" w:sz="4" w:space="0" w:color="auto"/>
              <w:right w:val="single" w:sz="4" w:space="0" w:color="auto"/>
            </w:tcBorders>
            <w:shd w:val="clear" w:color="auto" w:fill="D9D9D9"/>
            <w:noWrap/>
            <w:hideMark/>
          </w:tcPr>
          <w:p w14:paraId="3B81D20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11.8%</w:t>
            </w:r>
          </w:p>
        </w:tc>
        <w:tc>
          <w:tcPr>
            <w:tcW w:w="1276" w:type="dxa"/>
            <w:tcBorders>
              <w:top w:val="nil"/>
              <w:left w:val="nil"/>
              <w:bottom w:val="single" w:sz="4" w:space="0" w:color="auto"/>
              <w:right w:val="single" w:sz="4" w:space="0" w:color="auto"/>
            </w:tcBorders>
            <w:shd w:val="clear" w:color="auto" w:fill="D9D9D9"/>
            <w:hideMark/>
          </w:tcPr>
          <w:p w14:paraId="7E62438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-11.2%</w:t>
            </w:r>
          </w:p>
        </w:tc>
        <w:tc>
          <w:tcPr>
            <w:tcW w:w="1275" w:type="dxa"/>
            <w:tcBorders>
              <w:top w:val="nil"/>
              <w:left w:val="nil"/>
              <w:bottom w:val="single" w:sz="4" w:space="0" w:color="auto"/>
              <w:right w:val="single" w:sz="4" w:space="0" w:color="auto"/>
            </w:tcBorders>
            <w:shd w:val="clear" w:color="auto" w:fill="D9D9D9"/>
            <w:hideMark/>
          </w:tcPr>
          <w:p w14:paraId="1AC5AA1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-5.2%</w:t>
            </w:r>
          </w:p>
        </w:tc>
        <w:tc>
          <w:tcPr>
            <w:tcW w:w="1418" w:type="dxa"/>
            <w:tcBorders>
              <w:top w:val="nil"/>
              <w:left w:val="nil"/>
              <w:bottom w:val="single" w:sz="4" w:space="0" w:color="auto"/>
              <w:right w:val="single" w:sz="4" w:space="0" w:color="auto"/>
            </w:tcBorders>
            <w:shd w:val="clear" w:color="auto" w:fill="D9D9D9"/>
            <w:hideMark/>
          </w:tcPr>
          <w:p w14:paraId="2C1A638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16.7%</w:t>
            </w:r>
          </w:p>
        </w:tc>
      </w:tr>
      <w:tr w:rsidR="007B29DD" w14:paraId="15902FED"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B49593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Moorabool (232)</w:t>
            </w:r>
          </w:p>
        </w:tc>
        <w:tc>
          <w:tcPr>
            <w:tcW w:w="1559" w:type="dxa"/>
            <w:tcBorders>
              <w:top w:val="nil"/>
              <w:left w:val="nil"/>
              <w:bottom w:val="single" w:sz="4" w:space="0" w:color="auto"/>
              <w:right w:val="single" w:sz="4" w:space="0" w:color="auto"/>
            </w:tcBorders>
            <w:vAlign w:val="center"/>
            <w:hideMark/>
          </w:tcPr>
          <w:p w14:paraId="07EFE4A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192490F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2.0%</w:t>
            </w:r>
          </w:p>
        </w:tc>
        <w:tc>
          <w:tcPr>
            <w:tcW w:w="1419" w:type="dxa"/>
            <w:tcBorders>
              <w:top w:val="nil"/>
              <w:left w:val="nil"/>
              <w:bottom w:val="single" w:sz="4" w:space="0" w:color="auto"/>
              <w:right w:val="single" w:sz="4" w:space="0" w:color="auto"/>
            </w:tcBorders>
            <w:noWrap/>
            <w:hideMark/>
          </w:tcPr>
          <w:p w14:paraId="2AD9746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7.7%</w:t>
            </w:r>
          </w:p>
        </w:tc>
        <w:tc>
          <w:tcPr>
            <w:tcW w:w="1276" w:type="dxa"/>
            <w:tcBorders>
              <w:top w:val="nil"/>
              <w:left w:val="nil"/>
              <w:bottom w:val="single" w:sz="4" w:space="0" w:color="auto"/>
              <w:right w:val="single" w:sz="4" w:space="0" w:color="auto"/>
            </w:tcBorders>
            <w:hideMark/>
          </w:tcPr>
          <w:p w14:paraId="73542B4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-7.4%</w:t>
            </w:r>
          </w:p>
        </w:tc>
        <w:tc>
          <w:tcPr>
            <w:tcW w:w="1275" w:type="dxa"/>
            <w:tcBorders>
              <w:top w:val="nil"/>
              <w:left w:val="nil"/>
              <w:bottom w:val="single" w:sz="4" w:space="0" w:color="auto"/>
              <w:right w:val="single" w:sz="4" w:space="0" w:color="auto"/>
            </w:tcBorders>
            <w:hideMark/>
          </w:tcPr>
          <w:p w14:paraId="7F0D06A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-7.3%</w:t>
            </w:r>
          </w:p>
        </w:tc>
        <w:tc>
          <w:tcPr>
            <w:tcW w:w="1418" w:type="dxa"/>
            <w:tcBorders>
              <w:top w:val="nil"/>
              <w:left w:val="nil"/>
              <w:bottom w:val="single" w:sz="4" w:space="0" w:color="auto"/>
              <w:right w:val="single" w:sz="4" w:space="0" w:color="auto"/>
            </w:tcBorders>
            <w:hideMark/>
          </w:tcPr>
          <w:p w14:paraId="31C60A9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17.5%</w:t>
            </w:r>
          </w:p>
        </w:tc>
      </w:tr>
      <w:tr w:rsidR="007B29DD" w14:paraId="183E430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8B430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496682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6925DA5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1.5%</w:t>
            </w:r>
          </w:p>
        </w:tc>
        <w:tc>
          <w:tcPr>
            <w:tcW w:w="1419" w:type="dxa"/>
            <w:tcBorders>
              <w:top w:val="nil"/>
              <w:left w:val="nil"/>
              <w:bottom w:val="single" w:sz="4" w:space="0" w:color="auto"/>
              <w:right w:val="single" w:sz="4" w:space="0" w:color="auto"/>
            </w:tcBorders>
            <w:noWrap/>
            <w:hideMark/>
          </w:tcPr>
          <w:p w14:paraId="6C35E3F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13.6%</w:t>
            </w:r>
          </w:p>
        </w:tc>
        <w:tc>
          <w:tcPr>
            <w:tcW w:w="1276" w:type="dxa"/>
            <w:tcBorders>
              <w:top w:val="nil"/>
              <w:left w:val="nil"/>
              <w:bottom w:val="single" w:sz="4" w:space="0" w:color="auto"/>
              <w:right w:val="single" w:sz="4" w:space="0" w:color="auto"/>
            </w:tcBorders>
            <w:hideMark/>
          </w:tcPr>
          <w:p w14:paraId="6A785D7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-18.7%</w:t>
            </w:r>
          </w:p>
        </w:tc>
        <w:tc>
          <w:tcPr>
            <w:tcW w:w="1275" w:type="dxa"/>
            <w:tcBorders>
              <w:top w:val="nil"/>
              <w:left w:val="nil"/>
              <w:bottom w:val="single" w:sz="4" w:space="0" w:color="auto"/>
              <w:right w:val="single" w:sz="4" w:space="0" w:color="auto"/>
            </w:tcBorders>
            <w:hideMark/>
          </w:tcPr>
          <w:p w14:paraId="26A58DB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-9.9%</w:t>
            </w:r>
          </w:p>
        </w:tc>
        <w:tc>
          <w:tcPr>
            <w:tcW w:w="1418" w:type="dxa"/>
            <w:tcBorders>
              <w:top w:val="nil"/>
              <w:left w:val="nil"/>
              <w:bottom w:val="single" w:sz="4" w:space="0" w:color="auto"/>
              <w:right w:val="single" w:sz="4" w:space="0" w:color="auto"/>
            </w:tcBorders>
            <w:hideMark/>
          </w:tcPr>
          <w:p w14:paraId="3839B0B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20.5%</w:t>
            </w:r>
          </w:p>
        </w:tc>
      </w:tr>
      <w:tr w:rsidR="007B29DD" w14:paraId="6B78654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79DA9B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684092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7260D252"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5.0%</w:t>
            </w:r>
          </w:p>
        </w:tc>
        <w:tc>
          <w:tcPr>
            <w:tcW w:w="1419" w:type="dxa"/>
            <w:tcBorders>
              <w:top w:val="nil"/>
              <w:left w:val="nil"/>
              <w:bottom w:val="single" w:sz="4" w:space="0" w:color="auto"/>
              <w:right w:val="single" w:sz="4" w:space="0" w:color="auto"/>
            </w:tcBorders>
            <w:noWrap/>
            <w:hideMark/>
          </w:tcPr>
          <w:p w14:paraId="07717ED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10.8%</w:t>
            </w:r>
          </w:p>
        </w:tc>
        <w:tc>
          <w:tcPr>
            <w:tcW w:w="1276" w:type="dxa"/>
            <w:tcBorders>
              <w:top w:val="nil"/>
              <w:left w:val="nil"/>
              <w:bottom w:val="single" w:sz="4" w:space="0" w:color="auto"/>
              <w:right w:val="single" w:sz="4" w:space="0" w:color="auto"/>
            </w:tcBorders>
            <w:hideMark/>
          </w:tcPr>
          <w:p w14:paraId="281CAD7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-4.6%</w:t>
            </w:r>
          </w:p>
        </w:tc>
        <w:tc>
          <w:tcPr>
            <w:tcW w:w="1275" w:type="dxa"/>
            <w:tcBorders>
              <w:top w:val="nil"/>
              <w:left w:val="nil"/>
              <w:bottom w:val="single" w:sz="4" w:space="0" w:color="auto"/>
              <w:right w:val="single" w:sz="4" w:space="0" w:color="auto"/>
            </w:tcBorders>
            <w:hideMark/>
          </w:tcPr>
          <w:p w14:paraId="6F38800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-2.7%</w:t>
            </w:r>
          </w:p>
        </w:tc>
        <w:tc>
          <w:tcPr>
            <w:tcW w:w="1418" w:type="dxa"/>
            <w:tcBorders>
              <w:top w:val="nil"/>
              <w:left w:val="nil"/>
              <w:bottom w:val="single" w:sz="4" w:space="0" w:color="auto"/>
              <w:right w:val="single" w:sz="4" w:space="0" w:color="auto"/>
            </w:tcBorders>
            <w:hideMark/>
          </w:tcPr>
          <w:p w14:paraId="6593A04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17.7%</w:t>
            </w:r>
          </w:p>
        </w:tc>
      </w:tr>
      <w:tr w:rsidR="007B29DD" w14:paraId="0C11C9B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4D282C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AEFDD7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7F0F0706"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2.3%</w:t>
            </w:r>
          </w:p>
        </w:tc>
        <w:tc>
          <w:tcPr>
            <w:tcW w:w="1419" w:type="dxa"/>
            <w:tcBorders>
              <w:top w:val="nil"/>
              <w:left w:val="nil"/>
              <w:bottom w:val="single" w:sz="4" w:space="0" w:color="auto"/>
              <w:right w:val="single" w:sz="4" w:space="0" w:color="auto"/>
            </w:tcBorders>
            <w:noWrap/>
            <w:hideMark/>
          </w:tcPr>
          <w:p w14:paraId="7E8D5C4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11.1%</w:t>
            </w:r>
          </w:p>
        </w:tc>
        <w:tc>
          <w:tcPr>
            <w:tcW w:w="1276" w:type="dxa"/>
            <w:tcBorders>
              <w:top w:val="nil"/>
              <w:left w:val="nil"/>
              <w:bottom w:val="single" w:sz="4" w:space="0" w:color="auto"/>
              <w:right w:val="single" w:sz="4" w:space="0" w:color="auto"/>
            </w:tcBorders>
            <w:hideMark/>
          </w:tcPr>
          <w:p w14:paraId="1018F2D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-12.3%</w:t>
            </w:r>
          </w:p>
        </w:tc>
        <w:tc>
          <w:tcPr>
            <w:tcW w:w="1275" w:type="dxa"/>
            <w:tcBorders>
              <w:top w:val="nil"/>
              <w:left w:val="nil"/>
              <w:bottom w:val="single" w:sz="4" w:space="0" w:color="auto"/>
              <w:right w:val="single" w:sz="4" w:space="0" w:color="auto"/>
            </w:tcBorders>
            <w:hideMark/>
          </w:tcPr>
          <w:p w14:paraId="2828279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-5.3%</w:t>
            </w:r>
          </w:p>
        </w:tc>
        <w:tc>
          <w:tcPr>
            <w:tcW w:w="1418" w:type="dxa"/>
            <w:tcBorders>
              <w:top w:val="nil"/>
              <w:left w:val="nil"/>
              <w:bottom w:val="single" w:sz="4" w:space="0" w:color="auto"/>
              <w:right w:val="single" w:sz="4" w:space="0" w:color="auto"/>
            </w:tcBorders>
            <w:hideMark/>
          </w:tcPr>
          <w:p w14:paraId="2783F31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15.0%</w:t>
            </w:r>
          </w:p>
        </w:tc>
      </w:tr>
      <w:tr w:rsidR="007B29DD" w14:paraId="5BDA03B0"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217558B0"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Barwon (233)</w:t>
            </w:r>
          </w:p>
        </w:tc>
        <w:tc>
          <w:tcPr>
            <w:tcW w:w="1559" w:type="dxa"/>
            <w:tcBorders>
              <w:top w:val="nil"/>
              <w:left w:val="nil"/>
              <w:bottom w:val="single" w:sz="4" w:space="0" w:color="auto"/>
              <w:right w:val="single" w:sz="4" w:space="0" w:color="auto"/>
            </w:tcBorders>
            <w:shd w:val="clear" w:color="auto" w:fill="D9D9D9"/>
            <w:vAlign w:val="center"/>
            <w:hideMark/>
          </w:tcPr>
          <w:p w14:paraId="2DD8298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58BE3F31"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2.0%</w:t>
            </w:r>
          </w:p>
        </w:tc>
        <w:tc>
          <w:tcPr>
            <w:tcW w:w="1419" w:type="dxa"/>
            <w:tcBorders>
              <w:top w:val="nil"/>
              <w:left w:val="nil"/>
              <w:bottom w:val="single" w:sz="4" w:space="0" w:color="auto"/>
              <w:right w:val="single" w:sz="4" w:space="0" w:color="auto"/>
            </w:tcBorders>
            <w:shd w:val="clear" w:color="auto" w:fill="D9D9D9"/>
            <w:noWrap/>
            <w:hideMark/>
          </w:tcPr>
          <w:p w14:paraId="158B0D2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6.3%</w:t>
            </w:r>
          </w:p>
        </w:tc>
        <w:tc>
          <w:tcPr>
            <w:tcW w:w="1276" w:type="dxa"/>
            <w:tcBorders>
              <w:top w:val="nil"/>
              <w:left w:val="nil"/>
              <w:bottom w:val="single" w:sz="4" w:space="0" w:color="auto"/>
              <w:right w:val="single" w:sz="4" w:space="0" w:color="auto"/>
            </w:tcBorders>
            <w:shd w:val="clear" w:color="auto" w:fill="D9D9D9"/>
            <w:hideMark/>
          </w:tcPr>
          <w:p w14:paraId="1284363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-6.4%</w:t>
            </w:r>
          </w:p>
        </w:tc>
        <w:tc>
          <w:tcPr>
            <w:tcW w:w="1275" w:type="dxa"/>
            <w:tcBorders>
              <w:top w:val="nil"/>
              <w:left w:val="nil"/>
              <w:bottom w:val="single" w:sz="4" w:space="0" w:color="auto"/>
              <w:right w:val="single" w:sz="4" w:space="0" w:color="auto"/>
            </w:tcBorders>
            <w:shd w:val="clear" w:color="auto" w:fill="D9D9D9"/>
            <w:hideMark/>
          </w:tcPr>
          <w:p w14:paraId="751F789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-4.4%</w:t>
            </w:r>
          </w:p>
        </w:tc>
        <w:tc>
          <w:tcPr>
            <w:tcW w:w="1418" w:type="dxa"/>
            <w:tcBorders>
              <w:top w:val="nil"/>
              <w:left w:val="nil"/>
              <w:bottom w:val="single" w:sz="4" w:space="0" w:color="auto"/>
              <w:right w:val="single" w:sz="4" w:space="0" w:color="auto"/>
            </w:tcBorders>
            <w:shd w:val="clear" w:color="auto" w:fill="D9D9D9"/>
            <w:hideMark/>
          </w:tcPr>
          <w:p w14:paraId="53616E8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14.5%</w:t>
            </w:r>
          </w:p>
        </w:tc>
      </w:tr>
      <w:tr w:rsidR="007B29DD" w14:paraId="2F161FF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5CC5E3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C463CD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4D97EE8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1.2%</w:t>
            </w:r>
          </w:p>
        </w:tc>
        <w:tc>
          <w:tcPr>
            <w:tcW w:w="1419" w:type="dxa"/>
            <w:tcBorders>
              <w:top w:val="nil"/>
              <w:left w:val="nil"/>
              <w:bottom w:val="single" w:sz="4" w:space="0" w:color="auto"/>
              <w:right w:val="single" w:sz="4" w:space="0" w:color="auto"/>
            </w:tcBorders>
            <w:shd w:val="clear" w:color="auto" w:fill="D9D9D9"/>
            <w:noWrap/>
            <w:hideMark/>
          </w:tcPr>
          <w:p w14:paraId="58A75BC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6" w:type="dxa"/>
            <w:tcBorders>
              <w:top w:val="nil"/>
              <w:left w:val="nil"/>
              <w:bottom w:val="single" w:sz="4" w:space="0" w:color="auto"/>
              <w:right w:val="single" w:sz="4" w:space="0" w:color="auto"/>
            </w:tcBorders>
            <w:shd w:val="clear" w:color="auto" w:fill="D9D9D9"/>
            <w:hideMark/>
          </w:tcPr>
          <w:p w14:paraId="2778E93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-18.6%</w:t>
            </w:r>
          </w:p>
        </w:tc>
        <w:tc>
          <w:tcPr>
            <w:tcW w:w="1275" w:type="dxa"/>
            <w:tcBorders>
              <w:top w:val="nil"/>
              <w:left w:val="nil"/>
              <w:bottom w:val="single" w:sz="4" w:space="0" w:color="auto"/>
              <w:right w:val="single" w:sz="4" w:space="0" w:color="auto"/>
            </w:tcBorders>
            <w:shd w:val="clear" w:color="auto" w:fill="D9D9D9"/>
            <w:hideMark/>
          </w:tcPr>
          <w:p w14:paraId="6497A97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-5.6%</w:t>
            </w:r>
          </w:p>
        </w:tc>
        <w:tc>
          <w:tcPr>
            <w:tcW w:w="1418" w:type="dxa"/>
            <w:tcBorders>
              <w:top w:val="nil"/>
              <w:left w:val="nil"/>
              <w:bottom w:val="single" w:sz="4" w:space="0" w:color="auto"/>
              <w:right w:val="single" w:sz="4" w:space="0" w:color="auto"/>
            </w:tcBorders>
            <w:shd w:val="clear" w:color="auto" w:fill="D9D9D9"/>
            <w:hideMark/>
          </w:tcPr>
          <w:p w14:paraId="294DF75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14.7%</w:t>
            </w:r>
          </w:p>
        </w:tc>
      </w:tr>
      <w:tr w:rsidR="007B29DD" w14:paraId="2871A24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ED5276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254E6F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E2C8DA2"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3.7%</w:t>
            </w:r>
          </w:p>
        </w:tc>
        <w:tc>
          <w:tcPr>
            <w:tcW w:w="1419" w:type="dxa"/>
            <w:tcBorders>
              <w:top w:val="nil"/>
              <w:left w:val="nil"/>
              <w:bottom w:val="single" w:sz="4" w:space="0" w:color="auto"/>
              <w:right w:val="single" w:sz="4" w:space="0" w:color="auto"/>
            </w:tcBorders>
            <w:shd w:val="clear" w:color="auto" w:fill="D9D9D9"/>
            <w:noWrap/>
            <w:hideMark/>
          </w:tcPr>
          <w:p w14:paraId="2E4250C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8.8%</w:t>
            </w:r>
          </w:p>
        </w:tc>
        <w:tc>
          <w:tcPr>
            <w:tcW w:w="1276" w:type="dxa"/>
            <w:tcBorders>
              <w:top w:val="nil"/>
              <w:left w:val="nil"/>
              <w:bottom w:val="single" w:sz="4" w:space="0" w:color="auto"/>
              <w:right w:val="single" w:sz="4" w:space="0" w:color="auto"/>
            </w:tcBorders>
            <w:shd w:val="clear" w:color="auto" w:fill="D9D9D9"/>
            <w:hideMark/>
          </w:tcPr>
          <w:p w14:paraId="41219C5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-6.3%</w:t>
            </w:r>
          </w:p>
        </w:tc>
        <w:tc>
          <w:tcPr>
            <w:tcW w:w="1275" w:type="dxa"/>
            <w:tcBorders>
              <w:top w:val="nil"/>
              <w:left w:val="nil"/>
              <w:bottom w:val="single" w:sz="4" w:space="0" w:color="auto"/>
              <w:right w:val="single" w:sz="4" w:space="0" w:color="auto"/>
            </w:tcBorders>
            <w:shd w:val="clear" w:color="auto" w:fill="D9D9D9"/>
            <w:hideMark/>
          </w:tcPr>
          <w:p w14:paraId="41786CD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-2.9%</w:t>
            </w:r>
          </w:p>
        </w:tc>
        <w:tc>
          <w:tcPr>
            <w:tcW w:w="1418" w:type="dxa"/>
            <w:tcBorders>
              <w:top w:val="nil"/>
              <w:left w:val="nil"/>
              <w:bottom w:val="single" w:sz="4" w:space="0" w:color="auto"/>
              <w:right w:val="single" w:sz="4" w:space="0" w:color="auto"/>
            </w:tcBorders>
            <w:shd w:val="clear" w:color="auto" w:fill="D9D9D9"/>
            <w:hideMark/>
          </w:tcPr>
          <w:p w14:paraId="43F4FBE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16.6%</w:t>
            </w:r>
          </w:p>
        </w:tc>
      </w:tr>
      <w:tr w:rsidR="007B29DD" w14:paraId="5B3ABBB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A6BE00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77D482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C45C61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1.5%</w:t>
            </w:r>
          </w:p>
        </w:tc>
        <w:tc>
          <w:tcPr>
            <w:tcW w:w="1419" w:type="dxa"/>
            <w:tcBorders>
              <w:top w:val="nil"/>
              <w:left w:val="nil"/>
              <w:bottom w:val="single" w:sz="4" w:space="0" w:color="auto"/>
              <w:right w:val="single" w:sz="4" w:space="0" w:color="auto"/>
            </w:tcBorders>
            <w:shd w:val="clear" w:color="auto" w:fill="D9D9D9"/>
            <w:noWrap/>
            <w:hideMark/>
          </w:tcPr>
          <w:p w14:paraId="4BCCB2C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8.4%</w:t>
            </w:r>
          </w:p>
        </w:tc>
        <w:tc>
          <w:tcPr>
            <w:tcW w:w="1276" w:type="dxa"/>
            <w:tcBorders>
              <w:top w:val="nil"/>
              <w:left w:val="nil"/>
              <w:bottom w:val="single" w:sz="4" w:space="0" w:color="auto"/>
              <w:right w:val="single" w:sz="4" w:space="0" w:color="auto"/>
            </w:tcBorders>
            <w:shd w:val="clear" w:color="auto" w:fill="D9D9D9"/>
            <w:hideMark/>
          </w:tcPr>
          <w:p w14:paraId="06F42B8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-12.1%</w:t>
            </w:r>
          </w:p>
        </w:tc>
        <w:tc>
          <w:tcPr>
            <w:tcW w:w="1275" w:type="dxa"/>
            <w:tcBorders>
              <w:top w:val="nil"/>
              <w:left w:val="nil"/>
              <w:bottom w:val="single" w:sz="4" w:space="0" w:color="auto"/>
              <w:right w:val="single" w:sz="4" w:space="0" w:color="auto"/>
            </w:tcBorders>
            <w:shd w:val="clear" w:color="auto" w:fill="D9D9D9"/>
            <w:hideMark/>
          </w:tcPr>
          <w:p w14:paraId="6036B7B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-4.2%</w:t>
            </w:r>
          </w:p>
        </w:tc>
        <w:tc>
          <w:tcPr>
            <w:tcW w:w="1418" w:type="dxa"/>
            <w:tcBorders>
              <w:top w:val="nil"/>
              <w:left w:val="nil"/>
              <w:bottom w:val="single" w:sz="4" w:space="0" w:color="auto"/>
              <w:right w:val="single" w:sz="4" w:space="0" w:color="auto"/>
            </w:tcBorders>
            <w:shd w:val="clear" w:color="auto" w:fill="D9D9D9"/>
            <w:hideMark/>
          </w:tcPr>
          <w:p w14:paraId="2E32502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12.7%</w:t>
            </w:r>
          </w:p>
        </w:tc>
      </w:tr>
      <w:tr w:rsidR="007B29DD" w14:paraId="7C09D9A8"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7741495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Lake Corangamite (234)</w:t>
            </w:r>
          </w:p>
        </w:tc>
        <w:tc>
          <w:tcPr>
            <w:tcW w:w="1559" w:type="dxa"/>
            <w:tcBorders>
              <w:top w:val="nil"/>
              <w:left w:val="nil"/>
              <w:bottom w:val="single" w:sz="4" w:space="0" w:color="auto"/>
              <w:right w:val="single" w:sz="4" w:space="0" w:color="auto"/>
            </w:tcBorders>
            <w:vAlign w:val="center"/>
            <w:hideMark/>
          </w:tcPr>
          <w:p w14:paraId="1EA8000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2E15C99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2.0%</w:t>
            </w:r>
          </w:p>
        </w:tc>
        <w:tc>
          <w:tcPr>
            <w:tcW w:w="1419" w:type="dxa"/>
            <w:tcBorders>
              <w:top w:val="nil"/>
              <w:left w:val="nil"/>
              <w:bottom w:val="single" w:sz="4" w:space="0" w:color="auto"/>
              <w:right w:val="single" w:sz="4" w:space="0" w:color="auto"/>
            </w:tcBorders>
            <w:noWrap/>
            <w:hideMark/>
          </w:tcPr>
          <w:p w14:paraId="14E440F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6.1%</w:t>
            </w:r>
          </w:p>
        </w:tc>
        <w:tc>
          <w:tcPr>
            <w:tcW w:w="1276" w:type="dxa"/>
            <w:tcBorders>
              <w:top w:val="nil"/>
              <w:left w:val="nil"/>
              <w:bottom w:val="single" w:sz="4" w:space="0" w:color="auto"/>
              <w:right w:val="single" w:sz="4" w:space="0" w:color="auto"/>
            </w:tcBorders>
            <w:hideMark/>
          </w:tcPr>
          <w:p w14:paraId="139BF3C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-6.5%</w:t>
            </w:r>
          </w:p>
        </w:tc>
        <w:tc>
          <w:tcPr>
            <w:tcW w:w="1275" w:type="dxa"/>
            <w:tcBorders>
              <w:top w:val="nil"/>
              <w:left w:val="nil"/>
              <w:bottom w:val="single" w:sz="4" w:space="0" w:color="auto"/>
              <w:right w:val="single" w:sz="4" w:space="0" w:color="auto"/>
            </w:tcBorders>
            <w:hideMark/>
          </w:tcPr>
          <w:p w14:paraId="60E4FDA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-4.1%</w:t>
            </w:r>
          </w:p>
        </w:tc>
        <w:tc>
          <w:tcPr>
            <w:tcW w:w="1418" w:type="dxa"/>
            <w:tcBorders>
              <w:top w:val="nil"/>
              <w:left w:val="nil"/>
              <w:bottom w:val="single" w:sz="4" w:space="0" w:color="auto"/>
              <w:right w:val="single" w:sz="4" w:space="0" w:color="auto"/>
            </w:tcBorders>
            <w:hideMark/>
          </w:tcPr>
          <w:p w14:paraId="4BE3C50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14.5%</w:t>
            </w:r>
          </w:p>
        </w:tc>
      </w:tr>
      <w:tr w:rsidR="007B29DD" w14:paraId="4BA3BCC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0EFEC8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F50EF0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4EEF8590"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-0.2%</w:t>
            </w:r>
          </w:p>
        </w:tc>
        <w:tc>
          <w:tcPr>
            <w:tcW w:w="1419" w:type="dxa"/>
            <w:tcBorders>
              <w:top w:val="nil"/>
              <w:left w:val="nil"/>
              <w:bottom w:val="single" w:sz="4" w:space="0" w:color="auto"/>
              <w:right w:val="single" w:sz="4" w:space="0" w:color="auto"/>
            </w:tcBorders>
            <w:noWrap/>
            <w:hideMark/>
          </w:tcPr>
          <w:p w14:paraId="55E3B5D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8.0%</w:t>
            </w:r>
          </w:p>
        </w:tc>
        <w:tc>
          <w:tcPr>
            <w:tcW w:w="1276" w:type="dxa"/>
            <w:tcBorders>
              <w:top w:val="nil"/>
              <w:left w:val="nil"/>
              <w:bottom w:val="single" w:sz="4" w:space="0" w:color="auto"/>
              <w:right w:val="single" w:sz="4" w:space="0" w:color="auto"/>
            </w:tcBorders>
            <w:hideMark/>
          </w:tcPr>
          <w:p w14:paraId="1BC49CE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-17.1%</w:t>
            </w:r>
          </w:p>
        </w:tc>
        <w:tc>
          <w:tcPr>
            <w:tcW w:w="1275" w:type="dxa"/>
            <w:tcBorders>
              <w:top w:val="nil"/>
              <w:left w:val="nil"/>
              <w:bottom w:val="single" w:sz="4" w:space="0" w:color="auto"/>
              <w:right w:val="single" w:sz="4" w:space="0" w:color="auto"/>
            </w:tcBorders>
            <w:hideMark/>
          </w:tcPr>
          <w:p w14:paraId="60C3230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-6.9%</w:t>
            </w:r>
          </w:p>
        </w:tc>
        <w:tc>
          <w:tcPr>
            <w:tcW w:w="1418" w:type="dxa"/>
            <w:tcBorders>
              <w:top w:val="nil"/>
              <w:left w:val="nil"/>
              <w:bottom w:val="single" w:sz="4" w:space="0" w:color="auto"/>
              <w:right w:val="single" w:sz="4" w:space="0" w:color="auto"/>
            </w:tcBorders>
            <w:hideMark/>
          </w:tcPr>
          <w:p w14:paraId="3924963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13.6%</w:t>
            </w:r>
          </w:p>
        </w:tc>
      </w:tr>
      <w:tr w:rsidR="007B29DD" w14:paraId="6396C82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38E27B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F964FE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484222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3.7%</w:t>
            </w:r>
          </w:p>
        </w:tc>
        <w:tc>
          <w:tcPr>
            <w:tcW w:w="1419" w:type="dxa"/>
            <w:tcBorders>
              <w:top w:val="nil"/>
              <w:left w:val="nil"/>
              <w:bottom w:val="single" w:sz="4" w:space="0" w:color="auto"/>
              <w:right w:val="single" w:sz="4" w:space="0" w:color="auto"/>
            </w:tcBorders>
            <w:noWrap/>
            <w:hideMark/>
          </w:tcPr>
          <w:p w14:paraId="7C1E950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8.7%</w:t>
            </w:r>
          </w:p>
        </w:tc>
        <w:tc>
          <w:tcPr>
            <w:tcW w:w="1276" w:type="dxa"/>
            <w:tcBorders>
              <w:top w:val="nil"/>
              <w:left w:val="nil"/>
              <w:bottom w:val="single" w:sz="4" w:space="0" w:color="auto"/>
              <w:right w:val="single" w:sz="4" w:space="0" w:color="auto"/>
            </w:tcBorders>
            <w:hideMark/>
          </w:tcPr>
          <w:p w14:paraId="3C47C7C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-6.5%</w:t>
            </w:r>
          </w:p>
        </w:tc>
        <w:tc>
          <w:tcPr>
            <w:tcW w:w="1275" w:type="dxa"/>
            <w:tcBorders>
              <w:top w:val="nil"/>
              <w:left w:val="nil"/>
              <w:bottom w:val="single" w:sz="4" w:space="0" w:color="auto"/>
              <w:right w:val="single" w:sz="4" w:space="0" w:color="auto"/>
            </w:tcBorders>
            <w:hideMark/>
          </w:tcPr>
          <w:p w14:paraId="28C79A3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-3.0%</w:t>
            </w:r>
          </w:p>
        </w:tc>
        <w:tc>
          <w:tcPr>
            <w:tcW w:w="1418" w:type="dxa"/>
            <w:tcBorders>
              <w:top w:val="nil"/>
              <w:left w:val="nil"/>
              <w:bottom w:val="single" w:sz="4" w:space="0" w:color="auto"/>
              <w:right w:val="single" w:sz="4" w:space="0" w:color="auto"/>
            </w:tcBorders>
            <w:hideMark/>
          </w:tcPr>
          <w:p w14:paraId="0C74456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17.4%</w:t>
            </w:r>
          </w:p>
        </w:tc>
      </w:tr>
      <w:tr w:rsidR="007B29DD" w14:paraId="0FB5CE2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A8923D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A308DE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63C0A37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1.7%</w:t>
            </w:r>
          </w:p>
        </w:tc>
        <w:tc>
          <w:tcPr>
            <w:tcW w:w="1419" w:type="dxa"/>
            <w:tcBorders>
              <w:top w:val="nil"/>
              <w:left w:val="nil"/>
              <w:bottom w:val="single" w:sz="4" w:space="0" w:color="auto"/>
              <w:right w:val="single" w:sz="4" w:space="0" w:color="auto"/>
            </w:tcBorders>
            <w:noWrap/>
            <w:hideMark/>
          </w:tcPr>
          <w:p w14:paraId="704D0B0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8.4%</w:t>
            </w:r>
          </w:p>
        </w:tc>
        <w:tc>
          <w:tcPr>
            <w:tcW w:w="1276" w:type="dxa"/>
            <w:tcBorders>
              <w:top w:val="nil"/>
              <w:left w:val="nil"/>
              <w:bottom w:val="single" w:sz="4" w:space="0" w:color="auto"/>
              <w:right w:val="single" w:sz="4" w:space="0" w:color="auto"/>
            </w:tcBorders>
            <w:hideMark/>
          </w:tcPr>
          <w:p w14:paraId="56AD588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-12.0%</w:t>
            </w:r>
          </w:p>
        </w:tc>
        <w:tc>
          <w:tcPr>
            <w:tcW w:w="1275" w:type="dxa"/>
            <w:tcBorders>
              <w:top w:val="nil"/>
              <w:left w:val="nil"/>
              <w:bottom w:val="single" w:sz="4" w:space="0" w:color="auto"/>
              <w:right w:val="single" w:sz="4" w:space="0" w:color="auto"/>
            </w:tcBorders>
            <w:hideMark/>
          </w:tcPr>
          <w:p w14:paraId="532ACB8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-4.2%</w:t>
            </w:r>
          </w:p>
        </w:tc>
        <w:tc>
          <w:tcPr>
            <w:tcW w:w="1418" w:type="dxa"/>
            <w:tcBorders>
              <w:top w:val="nil"/>
              <w:left w:val="nil"/>
              <w:bottom w:val="single" w:sz="4" w:space="0" w:color="auto"/>
              <w:right w:val="single" w:sz="4" w:space="0" w:color="auto"/>
            </w:tcBorders>
            <w:hideMark/>
          </w:tcPr>
          <w:p w14:paraId="2BCDC2C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13.7%</w:t>
            </w:r>
          </w:p>
        </w:tc>
      </w:tr>
      <w:tr w:rsidR="007B29DD" w14:paraId="25919928"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4CB30FD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Otway Coast (235)</w:t>
            </w:r>
          </w:p>
        </w:tc>
        <w:tc>
          <w:tcPr>
            <w:tcW w:w="1559" w:type="dxa"/>
            <w:tcBorders>
              <w:top w:val="nil"/>
              <w:left w:val="nil"/>
              <w:bottom w:val="single" w:sz="4" w:space="0" w:color="auto"/>
              <w:right w:val="single" w:sz="4" w:space="0" w:color="auto"/>
            </w:tcBorders>
            <w:shd w:val="clear" w:color="auto" w:fill="D9D9D9"/>
            <w:vAlign w:val="center"/>
            <w:hideMark/>
          </w:tcPr>
          <w:p w14:paraId="0C73FBE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5894BC37"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2.1%</w:t>
            </w:r>
          </w:p>
        </w:tc>
        <w:tc>
          <w:tcPr>
            <w:tcW w:w="1419" w:type="dxa"/>
            <w:tcBorders>
              <w:top w:val="nil"/>
              <w:left w:val="nil"/>
              <w:bottom w:val="single" w:sz="4" w:space="0" w:color="auto"/>
              <w:right w:val="single" w:sz="4" w:space="0" w:color="auto"/>
            </w:tcBorders>
            <w:shd w:val="clear" w:color="auto" w:fill="D9D9D9"/>
            <w:noWrap/>
            <w:hideMark/>
          </w:tcPr>
          <w:p w14:paraId="5D05734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6.5%</w:t>
            </w:r>
          </w:p>
        </w:tc>
        <w:tc>
          <w:tcPr>
            <w:tcW w:w="1276" w:type="dxa"/>
            <w:tcBorders>
              <w:top w:val="nil"/>
              <w:left w:val="nil"/>
              <w:bottom w:val="single" w:sz="4" w:space="0" w:color="auto"/>
              <w:right w:val="single" w:sz="4" w:space="0" w:color="auto"/>
            </w:tcBorders>
            <w:shd w:val="clear" w:color="auto" w:fill="D9D9D9"/>
            <w:hideMark/>
          </w:tcPr>
          <w:p w14:paraId="3523665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-8.6%</w:t>
            </w:r>
          </w:p>
        </w:tc>
        <w:tc>
          <w:tcPr>
            <w:tcW w:w="1275" w:type="dxa"/>
            <w:tcBorders>
              <w:top w:val="nil"/>
              <w:left w:val="nil"/>
              <w:bottom w:val="single" w:sz="4" w:space="0" w:color="auto"/>
              <w:right w:val="single" w:sz="4" w:space="0" w:color="auto"/>
            </w:tcBorders>
            <w:shd w:val="clear" w:color="auto" w:fill="D9D9D9"/>
            <w:hideMark/>
          </w:tcPr>
          <w:p w14:paraId="2A192C3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-3.0%</w:t>
            </w:r>
          </w:p>
        </w:tc>
        <w:tc>
          <w:tcPr>
            <w:tcW w:w="1418" w:type="dxa"/>
            <w:tcBorders>
              <w:top w:val="nil"/>
              <w:left w:val="nil"/>
              <w:bottom w:val="single" w:sz="4" w:space="0" w:color="auto"/>
              <w:right w:val="single" w:sz="4" w:space="0" w:color="auto"/>
            </w:tcBorders>
            <w:shd w:val="clear" w:color="auto" w:fill="D9D9D9"/>
            <w:hideMark/>
          </w:tcPr>
          <w:p w14:paraId="22C2C87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14.4%</w:t>
            </w:r>
          </w:p>
        </w:tc>
      </w:tr>
      <w:tr w:rsidR="007B29DD" w14:paraId="133B706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DAD6D2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141079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16CC51C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0.5%</w:t>
            </w:r>
          </w:p>
        </w:tc>
        <w:tc>
          <w:tcPr>
            <w:tcW w:w="1419" w:type="dxa"/>
            <w:tcBorders>
              <w:top w:val="nil"/>
              <w:left w:val="nil"/>
              <w:bottom w:val="single" w:sz="4" w:space="0" w:color="auto"/>
              <w:right w:val="single" w:sz="4" w:space="0" w:color="auto"/>
            </w:tcBorders>
            <w:shd w:val="clear" w:color="auto" w:fill="D9D9D9"/>
            <w:noWrap/>
            <w:hideMark/>
          </w:tcPr>
          <w:p w14:paraId="376AA5D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7.9%</w:t>
            </w:r>
          </w:p>
        </w:tc>
        <w:tc>
          <w:tcPr>
            <w:tcW w:w="1276" w:type="dxa"/>
            <w:tcBorders>
              <w:top w:val="nil"/>
              <w:left w:val="nil"/>
              <w:bottom w:val="single" w:sz="4" w:space="0" w:color="auto"/>
              <w:right w:val="single" w:sz="4" w:space="0" w:color="auto"/>
            </w:tcBorders>
            <w:shd w:val="clear" w:color="auto" w:fill="D9D9D9"/>
            <w:hideMark/>
          </w:tcPr>
          <w:p w14:paraId="11694C2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-17.4%</w:t>
            </w:r>
          </w:p>
        </w:tc>
        <w:tc>
          <w:tcPr>
            <w:tcW w:w="1275" w:type="dxa"/>
            <w:tcBorders>
              <w:top w:val="nil"/>
              <w:left w:val="nil"/>
              <w:bottom w:val="single" w:sz="4" w:space="0" w:color="auto"/>
              <w:right w:val="single" w:sz="4" w:space="0" w:color="auto"/>
            </w:tcBorders>
            <w:shd w:val="clear" w:color="auto" w:fill="D9D9D9"/>
            <w:hideMark/>
          </w:tcPr>
          <w:p w14:paraId="0F9B313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-5.1%</w:t>
            </w:r>
          </w:p>
        </w:tc>
        <w:tc>
          <w:tcPr>
            <w:tcW w:w="1418" w:type="dxa"/>
            <w:tcBorders>
              <w:top w:val="nil"/>
              <w:left w:val="nil"/>
              <w:bottom w:val="single" w:sz="4" w:space="0" w:color="auto"/>
              <w:right w:val="single" w:sz="4" w:space="0" w:color="auto"/>
            </w:tcBorders>
            <w:shd w:val="clear" w:color="auto" w:fill="D9D9D9"/>
            <w:hideMark/>
          </w:tcPr>
          <w:p w14:paraId="4FBCA60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14.1%</w:t>
            </w:r>
          </w:p>
        </w:tc>
      </w:tr>
      <w:tr w:rsidR="007B29DD" w14:paraId="208CAD4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A5503C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A7EBEA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B6448C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4.1%</w:t>
            </w:r>
          </w:p>
        </w:tc>
        <w:tc>
          <w:tcPr>
            <w:tcW w:w="1419" w:type="dxa"/>
            <w:tcBorders>
              <w:top w:val="nil"/>
              <w:left w:val="nil"/>
              <w:bottom w:val="single" w:sz="4" w:space="0" w:color="auto"/>
              <w:right w:val="single" w:sz="4" w:space="0" w:color="auto"/>
            </w:tcBorders>
            <w:shd w:val="clear" w:color="auto" w:fill="D9D9D9"/>
            <w:noWrap/>
            <w:hideMark/>
          </w:tcPr>
          <w:p w14:paraId="61490B2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8.2%</w:t>
            </w:r>
          </w:p>
        </w:tc>
        <w:tc>
          <w:tcPr>
            <w:tcW w:w="1276" w:type="dxa"/>
            <w:tcBorders>
              <w:top w:val="nil"/>
              <w:left w:val="nil"/>
              <w:bottom w:val="single" w:sz="4" w:space="0" w:color="auto"/>
              <w:right w:val="single" w:sz="4" w:space="0" w:color="auto"/>
            </w:tcBorders>
            <w:shd w:val="clear" w:color="auto" w:fill="D9D9D9"/>
            <w:hideMark/>
          </w:tcPr>
          <w:p w14:paraId="4A3CCF1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275" w:type="dxa"/>
            <w:tcBorders>
              <w:top w:val="nil"/>
              <w:left w:val="nil"/>
              <w:bottom w:val="single" w:sz="4" w:space="0" w:color="auto"/>
              <w:right w:val="single" w:sz="4" w:space="0" w:color="auto"/>
            </w:tcBorders>
            <w:shd w:val="clear" w:color="auto" w:fill="D9D9D9"/>
            <w:hideMark/>
          </w:tcPr>
          <w:p w14:paraId="19E1D15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w:t>
            </w:r>
          </w:p>
        </w:tc>
        <w:tc>
          <w:tcPr>
            <w:tcW w:w="1418" w:type="dxa"/>
            <w:tcBorders>
              <w:top w:val="nil"/>
              <w:left w:val="nil"/>
              <w:bottom w:val="single" w:sz="4" w:space="0" w:color="auto"/>
              <w:right w:val="single" w:sz="4" w:space="0" w:color="auto"/>
            </w:tcBorders>
            <w:shd w:val="clear" w:color="auto" w:fill="D9D9D9"/>
            <w:hideMark/>
          </w:tcPr>
          <w:p w14:paraId="0727E51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18.5%</w:t>
            </w:r>
          </w:p>
        </w:tc>
      </w:tr>
      <w:tr w:rsidR="007B29DD" w14:paraId="1D61FB1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FE125C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B7450F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0851DFC2"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1.9%</w:t>
            </w:r>
          </w:p>
        </w:tc>
        <w:tc>
          <w:tcPr>
            <w:tcW w:w="1419" w:type="dxa"/>
            <w:tcBorders>
              <w:top w:val="nil"/>
              <w:left w:val="nil"/>
              <w:bottom w:val="single" w:sz="4" w:space="0" w:color="auto"/>
              <w:right w:val="single" w:sz="4" w:space="0" w:color="auto"/>
            </w:tcBorders>
            <w:shd w:val="clear" w:color="auto" w:fill="D9D9D9"/>
            <w:noWrap/>
            <w:hideMark/>
          </w:tcPr>
          <w:p w14:paraId="4801BD6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7.0%</w:t>
            </w:r>
          </w:p>
        </w:tc>
        <w:tc>
          <w:tcPr>
            <w:tcW w:w="1276" w:type="dxa"/>
            <w:tcBorders>
              <w:top w:val="nil"/>
              <w:left w:val="nil"/>
              <w:bottom w:val="single" w:sz="4" w:space="0" w:color="auto"/>
              <w:right w:val="single" w:sz="4" w:space="0" w:color="auto"/>
            </w:tcBorders>
            <w:shd w:val="clear" w:color="auto" w:fill="D9D9D9"/>
            <w:hideMark/>
          </w:tcPr>
          <w:p w14:paraId="05CC5E3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-10.5%</w:t>
            </w:r>
          </w:p>
        </w:tc>
        <w:tc>
          <w:tcPr>
            <w:tcW w:w="1275" w:type="dxa"/>
            <w:tcBorders>
              <w:top w:val="nil"/>
              <w:left w:val="nil"/>
              <w:bottom w:val="single" w:sz="4" w:space="0" w:color="auto"/>
              <w:right w:val="single" w:sz="4" w:space="0" w:color="auto"/>
            </w:tcBorders>
            <w:shd w:val="clear" w:color="auto" w:fill="D9D9D9"/>
            <w:hideMark/>
          </w:tcPr>
          <w:p w14:paraId="0C47C54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-2.7%</w:t>
            </w:r>
          </w:p>
        </w:tc>
        <w:tc>
          <w:tcPr>
            <w:tcW w:w="1418" w:type="dxa"/>
            <w:tcBorders>
              <w:top w:val="nil"/>
              <w:left w:val="nil"/>
              <w:bottom w:val="single" w:sz="4" w:space="0" w:color="auto"/>
              <w:right w:val="single" w:sz="4" w:space="0" w:color="auto"/>
            </w:tcBorders>
            <w:shd w:val="clear" w:color="auto" w:fill="D9D9D9"/>
            <w:hideMark/>
          </w:tcPr>
          <w:p w14:paraId="3868892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13.0%</w:t>
            </w:r>
          </w:p>
        </w:tc>
      </w:tr>
      <w:tr w:rsidR="007B29DD" w14:paraId="1CAD2519"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2E9EF4D"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Hopkins (236)</w:t>
            </w:r>
          </w:p>
        </w:tc>
        <w:tc>
          <w:tcPr>
            <w:tcW w:w="1559" w:type="dxa"/>
            <w:tcBorders>
              <w:top w:val="nil"/>
              <w:left w:val="nil"/>
              <w:bottom w:val="single" w:sz="4" w:space="0" w:color="auto"/>
              <w:right w:val="single" w:sz="4" w:space="0" w:color="auto"/>
            </w:tcBorders>
            <w:vAlign w:val="center"/>
            <w:hideMark/>
          </w:tcPr>
          <w:p w14:paraId="738E504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5AAEF4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2.1%</w:t>
            </w:r>
          </w:p>
        </w:tc>
        <w:tc>
          <w:tcPr>
            <w:tcW w:w="1419" w:type="dxa"/>
            <w:tcBorders>
              <w:top w:val="nil"/>
              <w:left w:val="nil"/>
              <w:bottom w:val="single" w:sz="4" w:space="0" w:color="auto"/>
              <w:right w:val="single" w:sz="4" w:space="0" w:color="auto"/>
            </w:tcBorders>
            <w:noWrap/>
            <w:hideMark/>
          </w:tcPr>
          <w:p w14:paraId="79A9C92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6.8%</w:t>
            </w:r>
          </w:p>
        </w:tc>
        <w:tc>
          <w:tcPr>
            <w:tcW w:w="1276" w:type="dxa"/>
            <w:tcBorders>
              <w:top w:val="nil"/>
              <w:left w:val="nil"/>
              <w:bottom w:val="single" w:sz="4" w:space="0" w:color="auto"/>
              <w:right w:val="single" w:sz="4" w:space="0" w:color="auto"/>
            </w:tcBorders>
            <w:hideMark/>
          </w:tcPr>
          <w:p w14:paraId="0197125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-8.1%</w:t>
            </w:r>
          </w:p>
        </w:tc>
        <w:tc>
          <w:tcPr>
            <w:tcW w:w="1275" w:type="dxa"/>
            <w:tcBorders>
              <w:top w:val="nil"/>
              <w:left w:val="nil"/>
              <w:bottom w:val="single" w:sz="4" w:space="0" w:color="auto"/>
              <w:right w:val="single" w:sz="4" w:space="0" w:color="auto"/>
            </w:tcBorders>
            <w:hideMark/>
          </w:tcPr>
          <w:p w14:paraId="1BA79BE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-5.1%</w:t>
            </w:r>
          </w:p>
        </w:tc>
        <w:tc>
          <w:tcPr>
            <w:tcW w:w="1418" w:type="dxa"/>
            <w:tcBorders>
              <w:top w:val="nil"/>
              <w:left w:val="nil"/>
              <w:bottom w:val="single" w:sz="4" w:space="0" w:color="auto"/>
              <w:right w:val="single" w:sz="4" w:space="0" w:color="auto"/>
            </w:tcBorders>
            <w:hideMark/>
          </w:tcPr>
          <w:p w14:paraId="0814AFE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17.8%</w:t>
            </w:r>
          </w:p>
        </w:tc>
      </w:tr>
      <w:tr w:rsidR="007B29DD" w14:paraId="4B24DFD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974E8B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50F9DC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532420B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1.0%</w:t>
            </w:r>
          </w:p>
        </w:tc>
        <w:tc>
          <w:tcPr>
            <w:tcW w:w="1419" w:type="dxa"/>
            <w:tcBorders>
              <w:top w:val="nil"/>
              <w:left w:val="nil"/>
              <w:bottom w:val="single" w:sz="4" w:space="0" w:color="auto"/>
              <w:right w:val="single" w:sz="4" w:space="0" w:color="auto"/>
            </w:tcBorders>
            <w:noWrap/>
            <w:hideMark/>
          </w:tcPr>
          <w:p w14:paraId="2C074B3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8.0%</w:t>
            </w:r>
          </w:p>
        </w:tc>
        <w:tc>
          <w:tcPr>
            <w:tcW w:w="1276" w:type="dxa"/>
            <w:tcBorders>
              <w:top w:val="nil"/>
              <w:left w:val="nil"/>
              <w:bottom w:val="single" w:sz="4" w:space="0" w:color="auto"/>
              <w:right w:val="single" w:sz="4" w:space="0" w:color="auto"/>
            </w:tcBorders>
            <w:hideMark/>
          </w:tcPr>
          <w:p w14:paraId="2EDD752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-14.1%</w:t>
            </w:r>
          </w:p>
        </w:tc>
        <w:tc>
          <w:tcPr>
            <w:tcW w:w="1275" w:type="dxa"/>
            <w:tcBorders>
              <w:top w:val="nil"/>
              <w:left w:val="nil"/>
              <w:bottom w:val="single" w:sz="4" w:space="0" w:color="auto"/>
              <w:right w:val="single" w:sz="4" w:space="0" w:color="auto"/>
            </w:tcBorders>
            <w:hideMark/>
          </w:tcPr>
          <w:p w14:paraId="00E4B39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-7.6%</w:t>
            </w:r>
          </w:p>
        </w:tc>
        <w:tc>
          <w:tcPr>
            <w:tcW w:w="1418" w:type="dxa"/>
            <w:tcBorders>
              <w:top w:val="nil"/>
              <w:left w:val="nil"/>
              <w:bottom w:val="single" w:sz="4" w:space="0" w:color="auto"/>
              <w:right w:val="single" w:sz="4" w:space="0" w:color="auto"/>
            </w:tcBorders>
            <w:hideMark/>
          </w:tcPr>
          <w:p w14:paraId="60CA477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19.7%</w:t>
            </w:r>
          </w:p>
        </w:tc>
      </w:tr>
      <w:tr w:rsidR="007B29DD" w14:paraId="2E66146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0AB720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C4332B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8FE6A9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3.6%</w:t>
            </w:r>
          </w:p>
        </w:tc>
        <w:tc>
          <w:tcPr>
            <w:tcW w:w="1419" w:type="dxa"/>
            <w:tcBorders>
              <w:top w:val="nil"/>
              <w:left w:val="nil"/>
              <w:bottom w:val="single" w:sz="4" w:space="0" w:color="auto"/>
              <w:right w:val="single" w:sz="4" w:space="0" w:color="auto"/>
            </w:tcBorders>
            <w:noWrap/>
            <w:hideMark/>
          </w:tcPr>
          <w:p w14:paraId="434B9B8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8.9%</w:t>
            </w:r>
          </w:p>
        </w:tc>
        <w:tc>
          <w:tcPr>
            <w:tcW w:w="1276" w:type="dxa"/>
            <w:tcBorders>
              <w:top w:val="nil"/>
              <w:left w:val="nil"/>
              <w:bottom w:val="single" w:sz="4" w:space="0" w:color="auto"/>
              <w:right w:val="single" w:sz="4" w:space="0" w:color="auto"/>
            </w:tcBorders>
            <w:hideMark/>
          </w:tcPr>
          <w:p w14:paraId="4699D21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-7.8%</w:t>
            </w:r>
          </w:p>
        </w:tc>
        <w:tc>
          <w:tcPr>
            <w:tcW w:w="1275" w:type="dxa"/>
            <w:tcBorders>
              <w:top w:val="nil"/>
              <w:left w:val="nil"/>
              <w:bottom w:val="single" w:sz="4" w:space="0" w:color="auto"/>
              <w:right w:val="single" w:sz="4" w:space="0" w:color="auto"/>
            </w:tcBorders>
            <w:hideMark/>
          </w:tcPr>
          <w:p w14:paraId="161CE27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-3.6%</w:t>
            </w:r>
          </w:p>
        </w:tc>
        <w:tc>
          <w:tcPr>
            <w:tcW w:w="1418" w:type="dxa"/>
            <w:tcBorders>
              <w:top w:val="nil"/>
              <w:left w:val="nil"/>
              <w:bottom w:val="single" w:sz="4" w:space="0" w:color="auto"/>
              <w:right w:val="single" w:sz="4" w:space="0" w:color="auto"/>
            </w:tcBorders>
            <w:hideMark/>
          </w:tcPr>
          <w:p w14:paraId="6D27E41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19.2%</w:t>
            </w:r>
          </w:p>
        </w:tc>
      </w:tr>
      <w:tr w:rsidR="007B29DD" w14:paraId="2BF79F7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D2AA44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07ED8D0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3F489086"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1.5%</w:t>
            </w:r>
          </w:p>
        </w:tc>
        <w:tc>
          <w:tcPr>
            <w:tcW w:w="1419" w:type="dxa"/>
            <w:tcBorders>
              <w:top w:val="nil"/>
              <w:left w:val="nil"/>
              <w:bottom w:val="single" w:sz="4" w:space="0" w:color="auto"/>
              <w:right w:val="single" w:sz="4" w:space="0" w:color="auto"/>
            </w:tcBorders>
            <w:noWrap/>
            <w:hideMark/>
          </w:tcPr>
          <w:p w14:paraId="5DDD40F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8.7%</w:t>
            </w:r>
          </w:p>
        </w:tc>
        <w:tc>
          <w:tcPr>
            <w:tcW w:w="1276" w:type="dxa"/>
            <w:tcBorders>
              <w:top w:val="nil"/>
              <w:left w:val="nil"/>
              <w:bottom w:val="single" w:sz="4" w:space="0" w:color="auto"/>
              <w:right w:val="single" w:sz="4" w:space="0" w:color="auto"/>
            </w:tcBorders>
            <w:hideMark/>
          </w:tcPr>
          <w:p w14:paraId="0C1321B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-14.2%</w:t>
            </w:r>
          </w:p>
        </w:tc>
        <w:tc>
          <w:tcPr>
            <w:tcW w:w="1275" w:type="dxa"/>
            <w:tcBorders>
              <w:top w:val="nil"/>
              <w:left w:val="nil"/>
              <w:bottom w:val="single" w:sz="4" w:space="0" w:color="auto"/>
              <w:right w:val="single" w:sz="4" w:space="0" w:color="auto"/>
            </w:tcBorders>
            <w:hideMark/>
          </w:tcPr>
          <w:p w14:paraId="55017AB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-5.6%</w:t>
            </w:r>
          </w:p>
        </w:tc>
        <w:tc>
          <w:tcPr>
            <w:tcW w:w="1418" w:type="dxa"/>
            <w:tcBorders>
              <w:top w:val="nil"/>
              <w:left w:val="nil"/>
              <w:bottom w:val="single" w:sz="4" w:space="0" w:color="auto"/>
              <w:right w:val="single" w:sz="4" w:space="0" w:color="auto"/>
            </w:tcBorders>
            <w:hideMark/>
          </w:tcPr>
          <w:p w14:paraId="34CCB2E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16.9%</w:t>
            </w:r>
          </w:p>
        </w:tc>
      </w:tr>
      <w:tr w:rsidR="007B29DD" w14:paraId="33998461"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55AD220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Portland Coast (237)</w:t>
            </w:r>
          </w:p>
        </w:tc>
        <w:tc>
          <w:tcPr>
            <w:tcW w:w="1559" w:type="dxa"/>
            <w:tcBorders>
              <w:top w:val="nil"/>
              <w:left w:val="nil"/>
              <w:bottom w:val="single" w:sz="4" w:space="0" w:color="auto"/>
              <w:right w:val="single" w:sz="4" w:space="0" w:color="auto"/>
            </w:tcBorders>
            <w:shd w:val="clear" w:color="auto" w:fill="D9D9D9"/>
            <w:vAlign w:val="center"/>
            <w:hideMark/>
          </w:tcPr>
          <w:p w14:paraId="6DFFF85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0FE6A3C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2.6%</w:t>
            </w:r>
          </w:p>
        </w:tc>
        <w:tc>
          <w:tcPr>
            <w:tcW w:w="1419" w:type="dxa"/>
            <w:tcBorders>
              <w:top w:val="nil"/>
              <w:left w:val="nil"/>
              <w:bottom w:val="single" w:sz="4" w:space="0" w:color="auto"/>
              <w:right w:val="single" w:sz="4" w:space="0" w:color="auto"/>
            </w:tcBorders>
            <w:shd w:val="clear" w:color="auto" w:fill="D9D9D9"/>
            <w:noWrap/>
            <w:hideMark/>
          </w:tcPr>
          <w:p w14:paraId="1E25ED7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276" w:type="dxa"/>
            <w:tcBorders>
              <w:top w:val="nil"/>
              <w:left w:val="nil"/>
              <w:bottom w:val="single" w:sz="4" w:space="0" w:color="auto"/>
              <w:right w:val="single" w:sz="4" w:space="0" w:color="auto"/>
            </w:tcBorders>
            <w:shd w:val="clear" w:color="auto" w:fill="D9D9D9"/>
            <w:hideMark/>
          </w:tcPr>
          <w:p w14:paraId="30140F2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-5.9%</w:t>
            </w:r>
          </w:p>
        </w:tc>
        <w:tc>
          <w:tcPr>
            <w:tcW w:w="1275" w:type="dxa"/>
            <w:tcBorders>
              <w:top w:val="nil"/>
              <w:left w:val="nil"/>
              <w:bottom w:val="single" w:sz="4" w:space="0" w:color="auto"/>
              <w:right w:val="single" w:sz="4" w:space="0" w:color="auto"/>
            </w:tcBorders>
            <w:shd w:val="clear" w:color="auto" w:fill="D9D9D9"/>
            <w:hideMark/>
          </w:tcPr>
          <w:p w14:paraId="0C97117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-2.4%</w:t>
            </w:r>
          </w:p>
        </w:tc>
        <w:tc>
          <w:tcPr>
            <w:tcW w:w="1418" w:type="dxa"/>
            <w:tcBorders>
              <w:top w:val="nil"/>
              <w:left w:val="nil"/>
              <w:bottom w:val="single" w:sz="4" w:space="0" w:color="auto"/>
              <w:right w:val="single" w:sz="4" w:space="0" w:color="auto"/>
            </w:tcBorders>
            <w:shd w:val="clear" w:color="auto" w:fill="D9D9D9"/>
            <w:hideMark/>
          </w:tcPr>
          <w:p w14:paraId="1A86774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16.1%</w:t>
            </w:r>
          </w:p>
        </w:tc>
      </w:tr>
      <w:tr w:rsidR="007B29DD" w14:paraId="3ADAF65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378449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7EB6BE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7D96849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-0.2%</w:t>
            </w:r>
          </w:p>
        </w:tc>
        <w:tc>
          <w:tcPr>
            <w:tcW w:w="1419" w:type="dxa"/>
            <w:tcBorders>
              <w:top w:val="nil"/>
              <w:left w:val="nil"/>
              <w:bottom w:val="single" w:sz="4" w:space="0" w:color="auto"/>
              <w:right w:val="single" w:sz="4" w:space="0" w:color="auto"/>
            </w:tcBorders>
            <w:shd w:val="clear" w:color="auto" w:fill="D9D9D9"/>
            <w:noWrap/>
            <w:hideMark/>
          </w:tcPr>
          <w:p w14:paraId="12692CE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6.2%</w:t>
            </w:r>
          </w:p>
        </w:tc>
        <w:tc>
          <w:tcPr>
            <w:tcW w:w="1276" w:type="dxa"/>
            <w:tcBorders>
              <w:top w:val="nil"/>
              <w:left w:val="nil"/>
              <w:bottom w:val="single" w:sz="4" w:space="0" w:color="auto"/>
              <w:right w:val="single" w:sz="4" w:space="0" w:color="auto"/>
            </w:tcBorders>
            <w:shd w:val="clear" w:color="auto" w:fill="D9D9D9"/>
            <w:hideMark/>
          </w:tcPr>
          <w:p w14:paraId="67ECA5F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-17.6%</w:t>
            </w:r>
          </w:p>
        </w:tc>
        <w:tc>
          <w:tcPr>
            <w:tcW w:w="1275" w:type="dxa"/>
            <w:tcBorders>
              <w:top w:val="nil"/>
              <w:left w:val="nil"/>
              <w:bottom w:val="single" w:sz="4" w:space="0" w:color="auto"/>
              <w:right w:val="single" w:sz="4" w:space="0" w:color="auto"/>
            </w:tcBorders>
            <w:shd w:val="clear" w:color="auto" w:fill="D9D9D9"/>
            <w:hideMark/>
          </w:tcPr>
          <w:p w14:paraId="7CA7947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-7.0%</w:t>
            </w:r>
          </w:p>
        </w:tc>
        <w:tc>
          <w:tcPr>
            <w:tcW w:w="1418" w:type="dxa"/>
            <w:tcBorders>
              <w:top w:val="nil"/>
              <w:left w:val="nil"/>
              <w:bottom w:val="single" w:sz="4" w:space="0" w:color="auto"/>
              <w:right w:val="single" w:sz="4" w:space="0" w:color="auto"/>
            </w:tcBorders>
            <w:shd w:val="clear" w:color="auto" w:fill="D9D9D9"/>
            <w:hideMark/>
          </w:tcPr>
          <w:p w14:paraId="43F8CCF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18.3%</w:t>
            </w:r>
          </w:p>
        </w:tc>
      </w:tr>
      <w:tr w:rsidR="007B29DD" w14:paraId="7F8C66A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D28672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20B1CD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F5D2DF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3.5%</w:t>
            </w:r>
          </w:p>
        </w:tc>
        <w:tc>
          <w:tcPr>
            <w:tcW w:w="1419" w:type="dxa"/>
            <w:tcBorders>
              <w:top w:val="nil"/>
              <w:left w:val="nil"/>
              <w:bottom w:val="single" w:sz="4" w:space="0" w:color="auto"/>
              <w:right w:val="single" w:sz="4" w:space="0" w:color="auto"/>
            </w:tcBorders>
            <w:shd w:val="clear" w:color="auto" w:fill="D9D9D9"/>
            <w:noWrap/>
            <w:hideMark/>
          </w:tcPr>
          <w:p w14:paraId="44B8D40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8.9%</w:t>
            </w:r>
          </w:p>
        </w:tc>
        <w:tc>
          <w:tcPr>
            <w:tcW w:w="1276" w:type="dxa"/>
            <w:tcBorders>
              <w:top w:val="nil"/>
              <w:left w:val="nil"/>
              <w:bottom w:val="single" w:sz="4" w:space="0" w:color="auto"/>
              <w:right w:val="single" w:sz="4" w:space="0" w:color="auto"/>
            </w:tcBorders>
            <w:shd w:val="clear" w:color="auto" w:fill="D9D9D9"/>
            <w:hideMark/>
          </w:tcPr>
          <w:p w14:paraId="01AB5AC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-11.0%</w:t>
            </w:r>
          </w:p>
        </w:tc>
        <w:tc>
          <w:tcPr>
            <w:tcW w:w="1275" w:type="dxa"/>
            <w:tcBorders>
              <w:top w:val="nil"/>
              <w:left w:val="nil"/>
              <w:bottom w:val="single" w:sz="4" w:space="0" w:color="auto"/>
              <w:right w:val="single" w:sz="4" w:space="0" w:color="auto"/>
            </w:tcBorders>
            <w:shd w:val="clear" w:color="auto" w:fill="D9D9D9"/>
            <w:hideMark/>
          </w:tcPr>
          <w:p w14:paraId="25C6414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w:t>
            </w:r>
          </w:p>
        </w:tc>
        <w:tc>
          <w:tcPr>
            <w:tcW w:w="1418" w:type="dxa"/>
            <w:tcBorders>
              <w:top w:val="nil"/>
              <w:left w:val="nil"/>
              <w:bottom w:val="single" w:sz="4" w:space="0" w:color="auto"/>
              <w:right w:val="single" w:sz="4" w:space="0" w:color="auto"/>
            </w:tcBorders>
            <w:shd w:val="clear" w:color="auto" w:fill="D9D9D9"/>
            <w:hideMark/>
          </w:tcPr>
          <w:p w14:paraId="41C361D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19.8%</w:t>
            </w:r>
          </w:p>
        </w:tc>
      </w:tr>
      <w:tr w:rsidR="007B29DD" w14:paraId="11E265A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84B7C7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2F3EDF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32FD617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2.5%</w:t>
            </w:r>
          </w:p>
        </w:tc>
        <w:tc>
          <w:tcPr>
            <w:tcW w:w="1419" w:type="dxa"/>
            <w:tcBorders>
              <w:top w:val="nil"/>
              <w:left w:val="nil"/>
              <w:bottom w:val="single" w:sz="4" w:space="0" w:color="auto"/>
              <w:right w:val="single" w:sz="4" w:space="0" w:color="auto"/>
            </w:tcBorders>
            <w:shd w:val="clear" w:color="auto" w:fill="D9D9D9"/>
            <w:noWrap/>
            <w:hideMark/>
          </w:tcPr>
          <w:p w14:paraId="3D91F82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7.4%</w:t>
            </w:r>
          </w:p>
        </w:tc>
        <w:tc>
          <w:tcPr>
            <w:tcW w:w="1276" w:type="dxa"/>
            <w:tcBorders>
              <w:top w:val="nil"/>
              <w:left w:val="nil"/>
              <w:bottom w:val="single" w:sz="4" w:space="0" w:color="auto"/>
              <w:right w:val="single" w:sz="4" w:space="0" w:color="auto"/>
            </w:tcBorders>
            <w:shd w:val="clear" w:color="auto" w:fill="D9D9D9"/>
            <w:hideMark/>
          </w:tcPr>
          <w:p w14:paraId="23EA317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-10.7%</w:t>
            </w:r>
          </w:p>
        </w:tc>
        <w:tc>
          <w:tcPr>
            <w:tcW w:w="1275" w:type="dxa"/>
            <w:tcBorders>
              <w:top w:val="nil"/>
              <w:left w:val="nil"/>
              <w:bottom w:val="single" w:sz="4" w:space="0" w:color="auto"/>
              <w:right w:val="single" w:sz="4" w:space="0" w:color="auto"/>
            </w:tcBorders>
            <w:shd w:val="clear" w:color="auto" w:fill="D9D9D9"/>
            <w:hideMark/>
          </w:tcPr>
          <w:p w14:paraId="6A792DC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-2.4%</w:t>
            </w:r>
          </w:p>
        </w:tc>
        <w:tc>
          <w:tcPr>
            <w:tcW w:w="1418" w:type="dxa"/>
            <w:tcBorders>
              <w:top w:val="nil"/>
              <w:left w:val="nil"/>
              <w:bottom w:val="single" w:sz="4" w:space="0" w:color="auto"/>
              <w:right w:val="single" w:sz="4" w:space="0" w:color="auto"/>
            </w:tcBorders>
            <w:shd w:val="clear" w:color="auto" w:fill="D9D9D9"/>
            <w:hideMark/>
          </w:tcPr>
          <w:p w14:paraId="45DEDD7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15.8%</w:t>
            </w:r>
          </w:p>
        </w:tc>
      </w:tr>
      <w:tr w:rsidR="007B29DD" w14:paraId="2647F6CA"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562D8E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Glenelg (238)</w:t>
            </w:r>
          </w:p>
        </w:tc>
        <w:tc>
          <w:tcPr>
            <w:tcW w:w="1559" w:type="dxa"/>
            <w:tcBorders>
              <w:top w:val="nil"/>
              <w:left w:val="nil"/>
              <w:bottom w:val="single" w:sz="4" w:space="0" w:color="auto"/>
              <w:right w:val="single" w:sz="4" w:space="0" w:color="auto"/>
            </w:tcBorders>
            <w:vAlign w:val="center"/>
            <w:hideMark/>
          </w:tcPr>
          <w:p w14:paraId="2C285EA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23C3F7C0"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1.2%</w:t>
            </w:r>
          </w:p>
        </w:tc>
        <w:tc>
          <w:tcPr>
            <w:tcW w:w="1419" w:type="dxa"/>
            <w:tcBorders>
              <w:top w:val="nil"/>
              <w:left w:val="nil"/>
              <w:bottom w:val="single" w:sz="4" w:space="0" w:color="auto"/>
              <w:right w:val="single" w:sz="4" w:space="0" w:color="auto"/>
            </w:tcBorders>
            <w:noWrap/>
            <w:hideMark/>
          </w:tcPr>
          <w:p w14:paraId="3004346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276" w:type="dxa"/>
            <w:tcBorders>
              <w:top w:val="nil"/>
              <w:left w:val="nil"/>
              <w:bottom w:val="single" w:sz="4" w:space="0" w:color="auto"/>
              <w:right w:val="single" w:sz="4" w:space="0" w:color="auto"/>
            </w:tcBorders>
            <w:hideMark/>
          </w:tcPr>
          <w:p w14:paraId="2C5A267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5" w:type="dxa"/>
            <w:tcBorders>
              <w:top w:val="nil"/>
              <w:left w:val="nil"/>
              <w:bottom w:val="single" w:sz="4" w:space="0" w:color="auto"/>
              <w:right w:val="single" w:sz="4" w:space="0" w:color="auto"/>
            </w:tcBorders>
            <w:hideMark/>
          </w:tcPr>
          <w:p w14:paraId="1983343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-5.7%</w:t>
            </w:r>
          </w:p>
        </w:tc>
        <w:tc>
          <w:tcPr>
            <w:tcW w:w="1418" w:type="dxa"/>
            <w:tcBorders>
              <w:top w:val="nil"/>
              <w:left w:val="nil"/>
              <w:bottom w:val="single" w:sz="4" w:space="0" w:color="auto"/>
              <w:right w:val="single" w:sz="4" w:space="0" w:color="auto"/>
            </w:tcBorders>
            <w:hideMark/>
          </w:tcPr>
          <w:p w14:paraId="5976312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20.0%</w:t>
            </w:r>
          </w:p>
        </w:tc>
      </w:tr>
      <w:tr w:rsidR="007B29DD" w14:paraId="0EC6683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1D36C8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6F6C23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1385B60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1.4%</w:t>
            </w:r>
          </w:p>
        </w:tc>
        <w:tc>
          <w:tcPr>
            <w:tcW w:w="1419" w:type="dxa"/>
            <w:tcBorders>
              <w:top w:val="nil"/>
              <w:left w:val="nil"/>
              <w:bottom w:val="single" w:sz="4" w:space="0" w:color="auto"/>
              <w:right w:val="single" w:sz="4" w:space="0" w:color="auto"/>
            </w:tcBorders>
            <w:noWrap/>
            <w:hideMark/>
          </w:tcPr>
          <w:p w14:paraId="0BA4588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6.0%</w:t>
            </w:r>
          </w:p>
        </w:tc>
        <w:tc>
          <w:tcPr>
            <w:tcW w:w="1276" w:type="dxa"/>
            <w:tcBorders>
              <w:top w:val="nil"/>
              <w:left w:val="nil"/>
              <w:bottom w:val="single" w:sz="4" w:space="0" w:color="auto"/>
              <w:right w:val="single" w:sz="4" w:space="0" w:color="auto"/>
            </w:tcBorders>
            <w:hideMark/>
          </w:tcPr>
          <w:p w14:paraId="3AE3DDF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-11.1%</w:t>
            </w:r>
          </w:p>
        </w:tc>
        <w:tc>
          <w:tcPr>
            <w:tcW w:w="1275" w:type="dxa"/>
            <w:tcBorders>
              <w:top w:val="nil"/>
              <w:left w:val="nil"/>
              <w:bottom w:val="single" w:sz="4" w:space="0" w:color="auto"/>
              <w:right w:val="single" w:sz="4" w:space="0" w:color="auto"/>
            </w:tcBorders>
            <w:hideMark/>
          </w:tcPr>
          <w:p w14:paraId="52C676A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-7.8%</w:t>
            </w:r>
          </w:p>
        </w:tc>
        <w:tc>
          <w:tcPr>
            <w:tcW w:w="1418" w:type="dxa"/>
            <w:tcBorders>
              <w:top w:val="nil"/>
              <w:left w:val="nil"/>
              <w:bottom w:val="single" w:sz="4" w:space="0" w:color="auto"/>
              <w:right w:val="single" w:sz="4" w:space="0" w:color="auto"/>
            </w:tcBorders>
            <w:hideMark/>
          </w:tcPr>
          <w:p w14:paraId="22C2305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26.4%</w:t>
            </w:r>
          </w:p>
        </w:tc>
      </w:tr>
      <w:tr w:rsidR="007B29DD" w14:paraId="62A93B9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C99705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578337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7F5C39E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1.9%</w:t>
            </w:r>
          </w:p>
        </w:tc>
        <w:tc>
          <w:tcPr>
            <w:tcW w:w="1419" w:type="dxa"/>
            <w:tcBorders>
              <w:top w:val="nil"/>
              <w:left w:val="nil"/>
              <w:bottom w:val="single" w:sz="4" w:space="0" w:color="auto"/>
              <w:right w:val="single" w:sz="4" w:space="0" w:color="auto"/>
            </w:tcBorders>
            <w:noWrap/>
            <w:hideMark/>
          </w:tcPr>
          <w:p w14:paraId="1026E1B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6.1%</w:t>
            </w:r>
          </w:p>
        </w:tc>
        <w:tc>
          <w:tcPr>
            <w:tcW w:w="1276" w:type="dxa"/>
            <w:tcBorders>
              <w:top w:val="nil"/>
              <w:left w:val="nil"/>
              <w:bottom w:val="single" w:sz="4" w:space="0" w:color="auto"/>
              <w:right w:val="single" w:sz="4" w:space="0" w:color="auto"/>
            </w:tcBorders>
            <w:hideMark/>
          </w:tcPr>
          <w:p w14:paraId="3EADC7F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-9.4%</w:t>
            </w:r>
          </w:p>
        </w:tc>
        <w:tc>
          <w:tcPr>
            <w:tcW w:w="1275" w:type="dxa"/>
            <w:tcBorders>
              <w:top w:val="nil"/>
              <w:left w:val="nil"/>
              <w:bottom w:val="single" w:sz="4" w:space="0" w:color="auto"/>
              <w:right w:val="single" w:sz="4" w:space="0" w:color="auto"/>
            </w:tcBorders>
            <w:hideMark/>
          </w:tcPr>
          <w:p w14:paraId="2BDD98E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-4.9%</w:t>
            </w:r>
          </w:p>
        </w:tc>
        <w:tc>
          <w:tcPr>
            <w:tcW w:w="1418" w:type="dxa"/>
            <w:tcBorders>
              <w:top w:val="nil"/>
              <w:left w:val="nil"/>
              <w:bottom w:val="single" w:sz="4" w:space="0" w:color="auto"/>
              <w:right w:val="single" w:sz="4" w:space="0" w:color="auto"/>
            </w:tcBorders>
            <w:hideMark/>
          </w:tcPr>
          <w:p w14:paraId="6F3F18D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20.4%</w:t>
            </w:r>
          </w:p>
        </w:tc>
      </w:tr>
      <w:tr w:rsidR="007B29DD" w14:paraId="4635B0E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160B66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642420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76EB80E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2.2%</w:t>
            </w:r>
          </w:p>
        </w:tc>
        <w:tc>
          <w:tcPr>
            <w:tcW w:w="1419" w:type="dxa"/>
            <w:tcBorders>
              <w:top w:val="nil"/>
              <w:left w:val="nil"/>
              <w:bottom w:val="single" w:sz="4" w:space="0" w:color="auto"/>
              <w:right w:val="single" w:sz="4" w:space="0" w:color="auto"/>
            </w:tcBorders>
            <w:noWrap/>
            <w:hideMark/>
          </w:tcPr>
          <w:p w14:paraId="43BDC60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7.2%</w:t>
            </w:r>
          </w:p>
        </w:tc>
        <w:tc>
          <w:tcPr>
            <w:tcW w:w="1276" w:type="dxa"/>
            <w:tcBorders>
              <w:top w:val="nil"/>
              <w:left w:val="nil"/>
              <w:bottom w:val="single" w:sz="4" w:space="0" w:color="auto"/>
              <w:right w:val="single" w:sz="4" w:space="0" w:color="auto"/>
            </w:tcBorders>
            <w:hideMark/>
          </w:tcPr>
          <w:p w14:paraId="62631B1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-11.3%</w:t>
            </w:r>
          </w:p>
        </w:tc>
        <w:tc>
          <w:tcPr>
            <w:tcW w:w="1275" w:type="dxa"/>
            <w:tcBorders>
              <w:top w:val="nil"/>
              <w:left w:val="nil"/>
              <w:bottom w:val="single" w:sz="4" w:space="0" w:color="auto"/>
              <w:right w:val="single" w:sz="4" w:space="0" w:color="auto"/>
            </w:tcBorders>
            <w:hideMark/>
          </w:tcPr>
          <w:p w14:paraId="0F140B3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-4.1%</w:t>
            </w:r>
          </w:p>
        </w:tc>
        <w:tc>
          <w:tcPr>
            <w:tcW w:w="1418" w:type="dxa"/>
            <w:tcBorders>
              <w:top w:val="nil"/>
              <w:left w:val="nil"/>
              <w:bottom w:val="single" w:sz="4" w:space="0" w:color="auto"/>
              <w:right w:val="single" w:sz="4" w:space="0" w:color="auto"/>
            </w:tcBorders>
            <w:hideMark/>
          </w:tcPr>
          <w:p w14:paraId="0EFE209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19.2%</w:t>
            </w:r>
          </w:p>
        </w:tc>
      </w:tr>
      <w:tr w:rsidR="007B29DD" w14:paraId="096C8705"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4D14D0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Millicent (239)</w:t>
            </w:r>
          </w:p>
        </w:tc>
        <w:tc>
          <w:tcPr>
            <w:tcW w:w="1559" w:type="dxa"/>
            <w:tcBorders>
              <w:top w:val="nil"/>
              <w:left w:val="nil"/>
              <w:bottom w:val="single" w:sz="4" w:space="0" w:color="auto"/>
              <w:right w:val="single" w:sz="4" w:space="0" w:color="auto"/>
            </w:tcBorders>
            <w:shd w:val="clear" w:color="auto" w:fill="D9D9D9"/>
            <w:vAlign w:val="center"/>
            <w:hideMark/>
          </w:tcPr>
          <w:p w14:paraId="3C85436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5F77F79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1.2%</w:t>
            </w:r>
          </w:p>
        </w:tc>
        <w:tc>
          <w:tcPr>
            <w:tcW w:w="1419" w:type="dxa"/>
            <w:tcBorders>
              <w:top w:val="nil"/>
              <w:left w:val="nil"/>
              <w:bottom w:val="single" w:sz="4" w:space="0" w:color="auto"/>
              <w:right w:val="single" w:sz="4" w:space="0" w:color="auto"/>
            </w:tcBorders>
            <w:shd w:val="clear" w:color="auto" w:fill="D9D9D9"/>
            <w:noWrap/>
            <w:hideMark/>
          </w:tcPr>
          <w:p w14:paraId="18637ED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4.9%</w:t>
            </w:r>
          </w:p>
        </w:tc>
        <w:tc>
          <w:tcPr>
            <w:tcW w:w="1276" w:type="dxa"/>
            <w:tcBorders>
              <w:top w:val="nil"/>
              <w:left w:val="nil"/>
              <w:bottom w:val="single" w:sz="4" w:space="0" w:color="auto"/>
              <w:right w:val="single" w:sz="4" w:space="0" w:color="auto"/>
            </w:tcBorders>
            <w:shd w:val="clear" w:color="auto" w:fill="D9D9D9"/>
            <w:hideMark/>
          </w:tcPr>
          <w:p w14:paraId="3C06673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-10.3%</w:t>
            </w:r>
          </w:p>
        </w:tc>
        <w:tc>
          <w:tcPr>
            <w:tcW w:w="1275" w:type="dxa"/>
            <w:tcBorders>
              <w:top w:val="nil"/>
              <w:left w:val="nil"/>
              <w:bottom w:val="single" w:sz="4" w:space="0" w:color="auto"/>
              <w:right w:val="single" w:sz="4" w:space="0" w:color="auto"/>
            </w:tcBorders>
            <w:shd w:val="clear" w:color="auto" w:fill="D9D9D9"/>
            <w:hideMark/>
          </w:tcPr>
          <w:p w14:paraId="5CB2395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-6.1%</w:t>
            </w:r>
          </w:p>
        </w:tc>
        <w:tc>
          <w:tcPr>
            <w:tcW w:w="1418" w:type="dxa"/>
            <w:tcBorders>
              <w:top w:val="nil"/>
              <w:left w:val="nil"/>
              <w:bottom w:val="single" w:sz="4" w:space="0" w:color="auto"/>
              <w:right w:val="single" w:sz="4" w:space="0" w:color="auto"/>
            </w:tcBorders>
            <w:shd w:val="clear" w:color="auto" w:fill="D9D9D9"/>
            <w:hideMark/>
          </w:tcPr>
          <w:p w14:paraId="3C4DA2D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24.1%</w:t>
            </w:r>
          </w:p>
        </w:tc>
      </w:tr>
      <w:tr w:rsidR="007B29DD" w14:paraId="553D7FB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38482C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D9A4D2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138EE63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1.1%</w:t>
            </w:r>
          </w:p>
        </w:tc>
        <w:tc>
          <w:tcPr>
            <w:tcW w:w="1419" w:type="dxa"/>
            <w:tcBorders>
              <w:top w:val="nil"/>
              <w:left w:val="nil"/>
              <w:bottom w:val="single" w:sz="4" w:space="0" w:color="auto"/>
              <w:right w:val="single" w:sz="4" w:space="0" w:color="auto"/>
            </w:tcBorders>
            <w:shd w:val="clear" w:color="auto" w:fill="D9D9D9"/>
            <w:noWrap/>
            <w:hideMark/>
          </w:tcPr>
          <w:p w14:paraId="6C22173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276" w:type="dxa"/>
            <w:tcBorders>
              <w:top w:val="nil"/>
              <w:left w:val="nil"/>
              <w:bottom w:val="single" w:sz="4" w:space="0" w:color="auto"/>
              <w:right w:val="single" w:sz="4" w:space="0" w:color="auto"/>
            </w:tcBorders>
            <w:shd w:val="clear" w:color="auto" w:fill="D9D9D9"/>
            <w:hideMark/>
          </w:tcPr>
          <w:p w14:paraId="72E211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-13.6%</w:t>
            </w:r>
          </w:p>
        </w:tc>
        <w:tc>
          <w:tcPr>
            <w:tcW w:w="1275" w:type="dxa"/>
            <w:tcBorders>
              <w:top w:val="nil"/>
              <w:left w:val="nil"/>
              <w:bottom w:val="single" w:sz="4" w:space="0" w:color="auto"/>
              <w:right w:val="single" w:sz="4" w:space="0" w:color="auto"/>
            </w:tcBorders>
            <w:shd w:val="clear" w:color="auto" w:fill="D9D9D9"/>
            <w:hideMark/>
          </w:tcPr>
          <w:p w14:paraId="65B5A2E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-7.7%</w:t>
            </w:r>
          </w:p>
        </w:tc>
        <w:tc>
          <w:tcPr>
            <w:tcW w:w="1418" w:type="dxa"/>
            <w:tcBorders>
              <w:top w:val="nil"/>
              <w:left w:val="nil"/>
              <w:bottom w:val="single" w:sz="4" w:space="0" w:color="auto"/>
              <w:right w:val="single" w:sz="4" w:space="0" w:color="auto"/>
            </w:tcBorders>
            <w:shd w:val="clear" w:color="auto" w:fill="D9D9D9"/>
            <w:hideMark/>
          </w:tcPr>
          <w:p w14:paraId="043736C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28.6%</w:t>
            </w:r>
          </w:p>
        </w:tc>
      </w:tr>
      <w:tr w:rsidR="007B29DD" w14:paraId="360BBCA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3590F8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AB69B6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A743F3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2.3%</w:t>
            </w:r>
          </w:p>
        </w:tc>
        <w:tc>
          <w:tcPr>
            <w:tcW w:w="1419" w:type="dxa"/>
            <w:tcBorders>
              <w:top w:val="nil"/>
              <w:left w:val="nil"/>
              <w:bottom w:val="single" w:sz="4" w:space="0" w:color="auto"/>
              <w:right w:val="single" w:sz="4" w:space="0" w:color="auto"/>
            </w:tcBorders>
            <w:shd w:val="clear" w:color="auto" w:fill="D9D9D9"/>
            <w:noWrap/>
            <w:hideMark/>
          </w:tcPr>
          <w:p w14:paraId="68AB075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6.0%</w:t>
            </w:r>
          </w:p>
        </w:tc>
        <w:tc>
          <w:tcPr>
            <w:tcW w:w="1276" w:type="dxa"/>
            <w:tcBorders>
              <w:top w:val="nil"/>
              <w:left w:val="nil"/>
              <w:bottom w:val="single" w:sz="4" w:space="0" w:color="auto"/>
              <w:right w:val="single" w:sz="4" w:space="0" w:color="auto"/>
            </w:tcBorders>
            <w:shd w:val="clear" w:color="auto" w:fill="D9D9D9"/>
            <w:hideMark/>
          </w:tcPr>
          <w:p w14:paraId="04464C7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-9.3%</w:t>
            </w:r>
          </w:p>
        </w:tc>
        <w:tc>
          <w:tcPr>
            <w:tcW w:w="1275" w:type="dxa"/>
            <w:tcBorders>
              <w:top w:val="nil"/>
              <w:left w:val="nil"/>
              <w:bottom w:val="single" w:sz="4" w:space="0" w:color="auto"/>
              <w:right w:val="single" w:sz="4" w:space="0" w:color="auto"/>
            </w:tcBorders>
            <w:shd w:val="clear" w:color="auto" w:fill="D9D9D9"/>
            <w:hideMark/>
          </w:tcPr>
          <w:p w14:paraId="17EFFDE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-4.6%</w:t>
            </w:r>
          </w:p>
        </w:tc>
        <w:tc>
          <w:tcPr>
            <w:tcW w:w="1418" w:type="dxa"/>
            <w:tcBorders>
              <w:top w:val="nil"/>
              <w:left w:val="nil"/>
              <w:bottom w:val="single" w:sz="4" w:space="0" w:color="auto"/>
              <w:right w:val="single" w:sz="4" w:space="0" w:color="auto"/>
            </w:tcBorders>
            <w:shd w:val="clear" w:color="auto" w:fill="D9D9D9"/>
            <w:hideMark/>
          </w:tcPr>
          <w:p w14:paraId="6CEC086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24.1%</w:t>
            </w:r>
          </w:p>
        </w:tc>
      </w:tr>
      <w:tr w:rsidR="007B29DD" w14:paraId="596841A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B50122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9D6303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3903E51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2.3%</w:t>
            </w:r>
          </w:p>
        </w:tc>
        <w:tc>
          <w:tcPr>
            <w:tcW w:w="1419" w:type="dxa"/>
            <w:tcBorders>
              <w:top w:val="nil"/>
              <w:left w:val="nil"/>
              <w:bottom w:val="single" w:sz="4" w:space="0" w:color="auto"/>
              <w:right w:val="single" w:sz="4" w:space="0" w:color="auto"/>
            </w:tcBorders>
            <w:shd w:val="clear" w:color="auto" w:fill="D9D9D9"/>
            <w:noWrap/>
            <w:hideMark/>
          </w:tcPr>
          <w:p w14:paraId="6577EDD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6.5%</w:t>
            </w:r>
          </w:p>
        </w:tc>
        <w:tc>
          <w:tcPr>
            <w:tcW w:w="1276" w:type="dxa"/>
            <w:tcBorders>
              <w:top w:val="nil"/>
              <w:left w:val="nil"/>
              <w:bottom w:val="single" w:sz="4" w:space="0" w:color="auto"/>
              <w:right w:val="single" w:sz="4" w:space="0" w:color="auto"/>
            </w:tcBorders>
            <w:shd w:val="clear" w:color="auto" w:fill="D9D9D9"/>
            <w:hideMark/>
          </w:tcPr>
          <w:p w14:paraId="44ECD03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-11.0%</w:t>
            </w:r>
          </w:p>
        </w:tc>
        <w:tc>
          <w:tcPr>
            <w:tcW w:w="1275" w:type="dxa"/>
            <w:tcBorders>
              <w:top w:val="nil"/>
              <w:left w:val="nil"/>
              <w:bottom w:val="single" w:sz="4" w:space="0" w:color="auto"/>
              <w:right w:val="single" w:sz="4" w:space="0" w:color="auto"/>
            </w:tcBorders>
            <w:shd w:val="clear" w:color="auto" w:fill="D9D9D9"/>
            <w:hideMark/>
          </w:tcPr>
          <w:p w14:paraId="4BFD7A4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-4.4%</w:t>
            </w:r>
          </w:p>
        </w:tc>
        <w:tc>
          <w:tcPr>
            <w:tcW w:w="1418" w:type="dxa"/>
            <w:tcBorders>
              <w:top w:val="nil"/>
              <w:left w:val="nil"/>
              <w:bottom w:val="single" w:sz="4" w:space="0" w:color="auto"/>
              <w:right w:val="single" w:sz="4" w:space="0" w:color="auto"/>
            </w:tcBorders>
            <w:shd w:val="clear" w:color="auto" w:fill="D9D9D9"/>
            <w:hideMark/>
          </w:tcPr>
          <w:p w14:paraId="564969A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23.3%</w:t>
            </w:r>
          </w:p>
        </w:tc>
      </w:tr>
      <w:tr w:rsidR="007B29DD" w14:paraId="2DF2821D"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0FAA9C47" w14:textId="77777777" w:rsidR="007B29DD" w:rsidRDefault="007B29DD" w:rsidP="00306AF1">
            <w:pPr>
              <w:keepNext/>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Upper Murray (401)</w:t>
            </w:r>
          </w:p>
        </w:tc>
        <w:tc>
          <w:tcPr>
            <w:tcW w:w="1559" w:type="dxa"/>
            <w:tcBorders>
              <w:top w:val="nil"/>
              <w:left w:val="nil"/>
              <w:bottom w:val="single" w:sz="4" w:space="0" w:color="auto"/>
              <w:right w:val="single" w:sz="4" w:space="0" w:color="auto"/>
            </w:tcBorders>
            <w:vAlign w:val="center"/>
            <w:hideMark/>
          </w:tcPr>
          <w:p w14:paraId="1F39FAA7"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E51AE9D"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7.5%</w:t>
            </w:r>
          </w:p>
        </w:tc>
        <w:tc>
          <w:tcPr>
            <w:tcW w:w="1419" w:type="dxa"/>
            <w:tcBorders>
              <w:top w:val="nil"/>
              <w:left w:val="nil"/>
              <w:bottom w:val="single" w:sz="4" w:space="0" w:color="auto"/>
              <w:right w:val="single" w:sz="4" w:space="0" w:color="auto"/>
            </w:tcBorders>
            <w:noWrap/>
            <w:hideMark/>
          </w:tcPr>
          <w:p w14:paraId="6EA47D9F"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11.1%</w:t>
            </w:r>
          </w:p>
        </w:tc>
        <w:tc>
          <w:tcPr>
            <w:tcW w:w="1276" w:type="dxa"/>
            <w:tcBorders>
              <w:top w:val="nil"/>
              <w:left w:val="nil"/>
              <w:bottom w:val="single" w:sz="4" w:space="0" w:color="auto"/>
              <w:right w:val="single" w:sz="4" w:space="0" w:color="auto"/>
            </w:tcBorders>
            <w:hideMark/>
          </w:tcPr>
          <w:p w14:paraId="37742CA1"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0.6%</w:t>
            </w:r>
          </w:p>
        </w:tc>
        <w:tc>
          <w:tcPr>
            <w:tcW w:w="1275" w:type="dxa"/>
            <w:tcBorders>
              <w:top w:val="nil"/>
              <w:left w:val="nil"/>
              <w:bottom w:val="single" w:sz="4" w:space="0" w:color="auto"/>
              <w:right w:val="single" w:sz="4" w:space="0" w:color="auto"/>
            </w:tcBorders>
            <w:hideMark/>
          </w:tcPr>
          <w:p w14:paraId="7EE0FDAB"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-1.9%</w:t>
            </w:r>
          </w:p>
        </w:tc>
        <w:tc>
          <w:tcPr>
            <w:tcW w:w="1418" w:type="dxa"/>
            <w:tcBorders>
              <w:top w:val="nil"/>
              <w:left w:val="nil"/>
              <w:bottom w:val="single" w:sz="4" w:space="0" w:color="auto"/>
              <w:right w:val="single" w:sz="4" w:space="0" w:color="auto"/>
            </w:tcBorders>
            <w:hideMark/>
          </w:tcPr>
          <w:p w14:paraId="18707984"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25.7%</w:t>
            </w:r>
          </w:p>
        </w:tc>
      </w:tr>
      <w:tr w:rsidR="007B29DD" w14:paraId="28576B2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B765F1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72BA77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0C34D9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8.2%</w:t>
            </w:r>
          </w:p>
        </w:tc>
        <w:tc>
          <w:tcPr>
            <w:tcW w:w="1419" w:type="dxa"/>
            <w:tcBorders>
              <w:top w:val="nil"/>
              <w:left w:val="nil"/>
              <w:bottom w:val="single" w:sz="4" w:space="0" w:color="auto"/>
              <w:right w:val="single" w:sz="4" w:space="0" w:color="auto"/>
            </w:tcBorders>
            <w:noWrap/>
            <w:hideMark/>
          </w:tcPr>
          <w:p w14:paraId="5F84E59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14.9%</w:t>
            </w:r>
          </w:p>
        </w:tc>
        <w:tc>
          <w:tcPr>
            <w:tcW w:w="1276" w:type="dxa"/>
            <w:tcBorders>
              <w:top w:val="nil"/>
              <w:left w:val="nil"/>
              <w:bottom w:val="single" w:sz="4" w:space="0" w:color="auto"/>
              <w:right w:val="single" w:sz="4" w:space="0" w:color="auto"/>
            </w:tcBorders>
            <w:hideMark/>
          </w:tcPr>
          <w:p w14:paraId="086880C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-4.8%</w:t>
            </w:r>
          </w:p>
        </w:tc>
        <w:tc>
          <w:tcPr>
            <w:tcW w:w="1275" w:type="dxa"/>
            <w:tcBorders>
              <w:top w:val="nil"/>
              <w:left w:val="nil"/>
              <w:bottom w:val="single" w:sz="4" w:space="0" w:color="auto"/>
              <w:right w:val="single" w:sz="4" w:space="0" w:color="auto"/>
            </w:tcBorders>
            <w:hideMark/>
          </w:tcPr>
          <w:p w14:paraId="2C2092E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-10.9%</w:t>
            </w:r>
          </w:p>
        </w:tc>
        <w:tc>
          <w:tcPr>
            <w:tcW w:w="1418" w:type="dxa"/>
            <w:tcBorders>
              <w:top w:val="nil"/>
              <w:left w:val="nil"/>
              <w:bottom w:val="single" w:sz="4" w:space="0" w:color="auto"/>
              <w:right w:val="single" w:sz="4" w:space="0" w:color="auto"/>
            </w:tcBorders>
            <w:hideMark/>
          </w:tcPr>
          <w:p w14:paraId="78B08E7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45.0%</w:t>
            </w:r>
          </w:p>
        </w:tc>
      </w:tr>
      <w:tr w:rsidR="007B29DD" w14:paraId="5024A93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CB6F99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29296D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5CB250C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5.5%</w:t>
            </w:r>
          </w:p>
        </w:tc>
        <w:tc>
          <w:tcPr>
            <w:tcW w:w="1419" w:type="dxa"/>
            <w:tcBorders>
              <w:top w:val="nil"/>
              <w:left w:val="nil"/>
              <w:bottom w:val="single" w:sz="4" w:space="0" w:color="auto"/>
              <w:right w:val="single" w:sz="4" w:space="0" w:color="auto"/>
            </w:tcBorders>
            <w:noWrap/>
            <w:hideMark/>
          </w:tcPr>
          <w:p w14:paraId="3FD2FBB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10.4%</w:t>
            </w:r>
          </w:p>
        </w:tc>
        <w:tc>
          <w:tcPr>
            <w:tcW w:w="1276" w:type="dxa"/>
            <w:tcBorders>
              <w:top w:val="nil"/>
              <w:left w:val="nil"/>
              <w:bottom w:val="single" w:sz="4" w:space="0" w:color="auto"/>
              <w:right w:val="single" w:sz="4" w:space="0" w:color="auto"/>
            </w:tcBorders>
            <w:hideMark/>
          </w:tcPr>
          <w:p w14:paraId="1C0EEE7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w:t>
            </w:r>
          </w:p>
        </w:tc>
        <w:tc>
          <w:tcPr>
            <w:tcW w:w="1275" w:type="dxa"/>
            <w:tcBorders>
              <w:top w:val="nil"/>
              <w:left w:val="nil"/>
              <w:bottom w:val="single" w:sz="4" w:space="0" w:color="auto"/>
              <w:right w:val="single" w:sz="4" w:space="0" w:color="auto"/>
            </w:tcBorders>
            <w:hideMark/>
          </w:tcPr>
          <w:p w14:paraId="03DE854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-12.7%</w:t>
            </w:r>
          </w:p>
        </w:tc>
        <w:tc>
          <w:tcPr>
            <w:tcW w:w="1418" w:type="dxa"/>
            <w:tcBorders>
              <w:top w:val="nil"/>
              <w:left w:val="nil"/>
              <w:bottom w:val="single" w:sz="4" w:space="0" w:color="auto"/>
              <w:right w:val="single" w:sz="4" w:space="0" w:color="auto"/>
            </w:tcBorders>
            <w:hideMark/>
          </w:tcPr>
          <w:p w14:paraId="0AAAA9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40.6%</w:t>
            </w:r>
          </w:p>
        </w:tc>
      </w:tr>
      <w:tr w:rsidR="007B29DD" w14:paraId="737B650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97CC47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2895A5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5A5B073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6.6%</w:t>
            </w:r>
          </w:p>
        </w:tc>
        <w:tc>
          <w:tcPr>
            <w:tcW w:w="1419" w:type="dxa"/>
            <w:tcBorders>
              <w:top w:val="nil"/>
              <w:left w:val="nil"/>
              <w:bottom w:val="single" w:sz="4" w:space="0" w:color="auto"/>
              <w:right w:val="single" w:sz="4" w:space="0" w:color="auto"/>
            </w:tcBorders>
            <w:noWrap/>
            <w:hideMark/>
          </w:tcPr>
          <w:p w14:paraId="71313D8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13.0%</w:t>
            </w:r>
          </w:p>
        </w:tc>
        <w:tc>
          <w:tcPr>
            <w:tcW w:w="1276" w:type="dxa"/>
            <w:tcBorders>
              <w:top w:val="nil"/>
              <w:left w:val="nil"/>
              <w:bottom w:val="single" w:sz="4" w:space="0" w:color="auto"/>
              <w:right w:val="single" w:sz="4" w:space="0" w:color="auto"/>
            </w:tcBorders>
            <w:hideMark/>
          </w:tcPr>
          <w:p w14:paraId="0912F8E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-5.7%</w:t>
            </w:r>
          </w:p>
        </w:tc>
        <w:tc>
          <w:tcPr>
            <w:tcW w:w="1275" w:type="dxa"/>
            <w:tcBorders>
              <w:top w:val="nil"/>
              <w:left w:val="nil"/>
              <w:bottom w:val="single" w:sz="4" w:space="0" w:color="auto"/>
              <w:right w:val="single" w:sz="4" w:space="0" w:color="auto"/>
            </w:tcBorders>
            <w:hideMark/>
          </w:tcPr>
          <w:p w14:paraId="37E3960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-2.8%</w:t>
            </w:r>
          </w:p>
        </w:tc>
        <w:tc>
          <w:tcPr>
            <w:tcW w:w="1418" w:type="dxa"/>
            <w:tcBorders>
              <w:top w:val="nil"/>
              <w:left w:val="nil"/>
              <w:bottom w:val="single" w:sz="4" w:space="0" w:color="auto"/>
              <w:right w:val="single" w:sz="4" w:space="0" w:color="auto"/>
            </w:tcBorders>
            <w:hideMark/>
          </w:tcPr>
          <w:p w14:paraId="31004C4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24.8%</w:t>
            </w:r>
          </w:p>
        </w:tc>
      </w:tr>
      <w:tr w:rsidR="007B29DD" w14:paraId="33C3EC20"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5FDEEB6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Kiewa (402)</w:t>
            </w:r>
          </w:p>
        </w:tc>
        <w:tc>
          <w:tcPr>
            <w:tcW w:w="1559" w:type="dxa"/>
            <w:tcBorders>
              <w:top w:val="nil"/>
              <w:left w:val="nil"/>
              <w:bottom w:val="single" w:sz="4" w:space="0" w:color="auto"/>
              <w:right w:val="single" w:sz="4" w:space="0" w:color="auto"/>
            </w:tcBorders>
            <w:shd w:val="clear" w:color="auto" w:fill="D9D9D9"/>
            <w:vAlign w:val="center"/>
            <w:hideMark/>
          </w:tcPr>
          <w:p w14:paraId="05FA651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720477B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5.5%</w:t>
            </w:r>
          </w:p>
        </w:tc>
        <w:tc>
          <w:tcPr>
            <w:tcW w:w="1419" w:type="dxa"/>
            <w:tcBorders>
              <w:top w:val="nil"/>
              <w:left w:val="nil"/>
              <w:bottom w:val="single" w:sz="4" w:space="0" w:color="auto"/>
              <w:right w:val="single" w:sz="4" w:space="0" w:color="auto"/>
            </w:tcBorders>
            <w:shd w:val="clear" w:color="auto" w:fill="D9D9D9"/>
            <w:noWrap/>
            <w:hideMark/>
          </w:tcPr>
          <w:p w14:paraId="3072BF2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9.8%</w:t>
            </w:r>
          </w:p>
        </w:tc>
        <w:tc>
          <w:tcPr>
            <w:tcW w:w="1276" w:type="dxa"/>
            <w:tcBorders>
              <w:top w:val="nil"/>
              <w:left w:val="nil"/>
              <w:bottom w:val="single" w:sz="4" w:space="0" w:color="auto"/>
              <w:right w:val="single" w:sz="4" w:space="0" w:color="auto"/>
            </w:tcBorders>
            <w:shd w:val="clear" w:color="auto" w:fill="D9D9D9"/>
            <w:hideMark/>
          </w:tcPr>
          <w:p w14:paraId="3D1C93F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w:t>
            </w:r>
          </w:p>
        </w:tc>
        <w:tc>
          <w:tcPr>
            <w:tcW w:w="1275" w:type="dxa"/>
            <w:tcBorders>
              <w:top w:val="nil"/>
              <w:left w:val="nil"/>
              <w:bottom w:val="single" w:sz="4" w:space="0" w:color="auto"/>
              <w:right w:val="single" w:sz="4" w:space="0" w:color="auto"/>
            </w:tcBorders>
            <w:shd w:val="clear" w:color="auto" w:fill="D9D9D9"/>
            <w:hideMark/>
          </w:tcPr>
          <w:p w14:paraId="0C64245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-2.2%</w:t>
            </w:r>
          </w:p>
        </w:tc>
        <w:tc>
          <w:tcPr>
            <w:tcW w:w="1418" w:type="dxa"/>
            <w:tcBorders>
              <w:top w:val="nil"/>
              <w:left w:val="nil"/>
              <w:bottom w:val="single" w:sz="4" w:space="0" w:color="auto"/>
              <w:right w:val="single" w:sz="4" w:space="0" w:color="auto"/>
            </w:tcBorders>
            <w:shd w:val="clear" w:color="auto" w:fill="D9D9D9"/>
            <w:hideMark/>
          </w:tcPr>
          <w:p w14:paraId="78D2383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22.1%</w:t>
            </w:r>
          </w:p>
        </w:tc>
      </w:tr>
      <w:tr w:rsidR="007B29DD" w14:paraId="3FE1311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E46668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DD95B1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46890F06"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4.0%</w:t>
            </w:r>
          </w:p>
        </w:tc>
        <w:tc>
          <w:tcPr>
            <w:tcW w:w="1419" w:type="dxa"/>
            <w:tcBorders>
              <w:top w:val="nil"/>
              <w:left w:val="nil"/>
              <w:bottom w:val="single" w:sz="4" w:space="0" w:color="auto"/>
              <w:right w:val="single" w:sz="4" w:space="0" w:color="auto"/>
            </w:tcBorders>
            <w:shd w:val="clear" w:color="auto" w:fill="D9D9D9"/>
            <w:noWrap/>
            <w:hideMark/>
          </w:tcPr>
          <w:p w14:paraId="1312288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10.7%</w:t>
            </w:r>
          </w:p>
        </w:tc>
        <w:tc>
          <w:tcPr>
            <w:tcW w:w="1276" w:type="dxa"/>
            <w:tcBorders>
              <w:top w:val="nil"/>
              <w:left w:val="nil"/>
              <w:bottom w:val="single" w:sz="4" w:space="0" w:color="auto"/>
              <w:right w:val="single" w:sz="4" w:space="0" w:color="auto"/>
            </w:tcBorders>
            <w:shd w:val="clear" w:color="auto" w:fill="D9D9D9"/>
            <w:hideMark/>
          </w:tcPr>
          <w:p w14:paraId="3AA9AA9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-10.5%</w:t>
            </w:r>
          </w:p>
        </w:tc>
        <w:tc>
          <w:tcPr>
            <w:tcW w:w="1275" w:type="dxa"/>
            <w:tcBorders>
              <w:top w:val="nil"/>
              <w:left w:val="nil"/>
              <w:bottom w:val="single" w:sz="4" w:space="0" w:color="auto"/>
              <w:right w:val="single" w:sz="4" w:space="0" w:color="auto"/>
            </w:tcBorders>
            <w:shd w:val="clear" w:color="auto" w:fill="D9D9D9"/>
            <w:hideMark/>
          </w:tcPr>
          <w:p w14:paraId="1A02641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-11.4%</w:t>
            </w:r>
          </w:p>
        </w:tc>
        <w:tc>
          <w:tcPr>
            <w:tcW w:w="1418" w:type="dxa"/>
            <w:tcBorders>
              <w:top w:val="nil"/>
              <w:left w:val="nil"/>
              <w:bottom w:val="single" w:sz="4" w:space="0" w:color="auto"/>
              <w:right w:val="single" w:sz="4" w:space="0" w:color="auto"/>
            </w:tcBorders>
            <w:shd w:val="clear" w:color="auto" w:fill="D9D9D9"/>
            <w:hideMark/>
          </w:tcPr>
          <w:p w14:paraId="68C7464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37.5%</w:t>
            </w:r>
          </w:p>
        </w:tc>
      </w:tr>
      <w:tr w:rsidR="007B29DD" w14:paraId="73982E0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D2645B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04DFE1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B1A569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4.9%</w:t>
            </w:r>
          </w:p>
        </w:tc>
        <w:tc>
          <w:tcPr>
            <w:tcW w:w="1419" w:type="dxa"/>
            <w:tcBorders>
              <w:top w:val="nil"/>
              <w:left w:val="nil"/>
              <w:bottom w:val="single" w:sz="4" w:space="0" w:color="auto"/>
              <w:right w:val="single" w:sz="4" w:space="0" w:color="auto"/>
            </w:tcBorders>
            <w:shd w:val="clear" w:color="auto" w:fill="D9D9D9"/>
            <w:noWrap/>
            <w:hideMark/>
          </w:tcPr>
          <w:p w14:paraId="4C7866E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9.2%</w:t>
            </w:r>
          </w:p>
        </w:tc>
        <w:tc>
          <w:tcPr>
            <w:tcW w:w="1276" w:type="dxa"/>
            <w:tcBorders>
              <w:top w:val="nil"/>
              <w:left w:val="nil"/>
              <w:bottom w:val="single" w:sz="4" w:space="0" w:color="auto"/>
              <w:right w:val="single" w:sz="4" w:space="0" w:color="auto"/>
            </w:tcBorders>
            <w:shd w:val="clear" w:color="auto" w:fill="D9D9D9"/>
            <w:hideMark/>
          </w:tcPr>
          <w:p w14:paraId="420F71F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-4.5%</w:t>
            </w:r>
          </w:p>
        </w:tc>
        <w:tc>
          <w:tcPr>
            <w:tcW w:w="1275" w:type="dxa"/>
            <w:tcBorders>
              <w:top w:val="nil"/>
              <w:left w:val="nil"/>
              <w:bottom w:val="single" w:sz="4" w:space="0" w:color="auto"/>
              <w:right w:val="single" w:sz="4" w:space="0" w:color="auto"/>
            </w:tcBorders>
            <w:shd w:val="clear" w:color="auto" w:fill="D9D9D9"/>
            <w:hideMark/>
          </w:tcPr>
          <w:p w14:paraId="6593313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-11.0%</w:t>
            </w:r>
          </w:p>
        </w:tc>
        <w:tc>
          <w:tcPr>
            <w:tcW w:w="1418" w:type="dxa"/>
            <w:tcBorders>
              <w:top w:val="nil"/>
              <w:left w:val="nil"/>
              <w:bottom w:val="single" w:sz="4" w:space="0" w:color="auto"/>
              <w:right w:val="single" w:sz="4" w:space="0" w:color="auto"/>
            </w:tcBorders>
            <w:shd w:val="clear" w:color="auto" w:fill="D9D9D9"/>
            <w:hideMark/>
          </w:tcPr>
          <w:p w14:paraId="5AD334A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39.5%</w:t>
            </w:r>
          </w:p>
        </w:tc>
      </w:tr>
      <w:tr w:rsidR="007B29DD" w14:paraId="32966DF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029CAC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E56372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5C8E7F60"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4.5%</w:t>
            </w:r>
          </w:p>
        </w:tc>
        <w:tc>
          <w:tcPr>
            <w:tcW w:w="1419" w:type="dxa"/>
            <w:tcBorders>
              <w:top w:val="nil"/>
              <w:left w:val="nil"/>
              <w:bottom w:val="single" w:sz="4" w:space="0" w:color="auto"/>
              <w:right w:val="single" w:sz="4" w:space="0" w:color="auto"/>
            </w:tcBorders>
            <w:shd w:val="clear" w:color="auto" w:fill="D9D9D9"/>
            <w:noWrap/>
            <w:hideMark/>
          </w:tcPr>
          <w:p w14:paraId="61B9662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10.9%</w:t>
            </w:r>
          </w:p>
        </w:tc>
        <w:tc>
          <w:tcPr>
            <w:tcW w:w="1276" w:type="dxa"/>
            <w:tcBorders>
              <w:top w:val="nil"/>
              <w:left w:val="nil"/>
              <w:bottom w:val="single" w:sz="4" w:space="0" w:color="auto"/>
              <w:right w:val="single" w:sz="4" w:space="0" w:color="auto"/>
            </w:tcBorders>
            <w:shd w:val="clear" w:color="auto" w:fill="D9D9D9"/>
            <w:hideMark/>
          </w:tcPr>
          <w:p w14:paraId="2090F60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-9.5%</w:t>
            </w:r>
          </w:p>
        </w:tc>
        <w:tc>
          <w:tcPr>
            <w:tcW w:w="1275" w:type="dxa"/>
            <w:tcBorders>
              <w:top w:val="nil"/>
              <w:left w:val="nil"/>
              <w:bottom w:val="single" w:sz="4" w:space="0" w:color="auto"/>
              <w:right w:val="single" w:sz="4" w:space="0" w:color="auto"/>
            </w:tcBorders>
            <w:shd w:val="clear" w:color="auto" w:fill="D9D9D9"/>
            <w:hideMark/>
          </w:tcPr>
          <w:p w14:paraId="743B612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-3.4%</w:t>
            </w:r>
          </w:p>
        </w:tc>
        <w:tc>
          <w:tcPr>
            <w:tcW w:w="1418" w:type="dxa"/>
            <w:tcBorders>
              <w:top w:val="nil"/>
              <w:left w:val="nil"/>
              <w:bottom w:val="single" w:sz="4" w:space="0" w:color="auto"/>
              <w:right w:val="single" w:sz="4" w:space="0" w:color="auto"/>
            </w:tcBorders>
            <w:shd w:val="clear" w:color="auto" w:fill="D9D9D9"/>
            <w:hideMark/>
          </w:tcPr>
          <w:p w14:paraId="250B039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21.6%</w:t>
            </w:r>
          </w:p>
        </w:tc>
      </w:tr>
      <w:tr w:rsidR="007B29DD" w14:paraId="625D6514"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0062F1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Ovens (403)</w:t>
            </w:r>
          </w:p>
        </w:tc>
        <w:tc>
          <w:tcPr>
            <w:tcW w:w="1559" w:type="dxa"/>
            <w:tcBorders>
              <w:top w:val="nil"/>
              <w:left w:val="nil"/>
              <w:bottom w:val="single" w:sz="4" w:space="0" w:color="auto"/>
              <w:right w:val="single" w:sz="4" w:space="0" w:color="auto"/>
            </w:tcBorders>
            <w:vAlign w:val="center"/>
            <w:hideMark/>
          </w:tcPr>
          <w:p w14:paraId="184A722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7B0B383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5.3%</w:t>
            </w:r>
          </w:p>
        </w:tc>
        <w:tc>
          <w:tcPr>
            <w:tcW w:w="1419" w:type="dxa"/>
            <w:tcBorders>
              <w:top w:val="nil"/>
              <w:left w:val="nil"/>
              <w:bottom w:val="single" w:sz="4" w:space="0" w:color="auto"/>
              <w:right w:val="single" w:sz="4" w:space="0" w:color="auto"/>
            </w:tcBorders>
            <w:noWrap/>
            <w:hideMark/>
          </w:tcPr>
          <w:p w14:paraId="78783FD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9.6%</w:t>
            </w:r>
          </w:p>
        </w:tc>
        <w:tc>
          <w:tcPr>
            <w:tcW w:w="1276" w:type="dxa"/>
            <w:tcBorders>
              <w:top w:val="nil"/>
              <w:left w:val="nil"/>
              <w:bottom w:val="single" w:sz="4" w:space="0" w:color="auto"/>
              <w:right w:val="single" w:sz="4" w:space="0" w:color="auto"/>
            </w:tcBorders>
            <w:hideMark/>
          </w:tcPr>
          <w:p w14:paraId="3836EFC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w:t>
            </w:r>
          </w:p>
        </w:tc>
        <w:tc>
          <w:tcPr>
            <w:tcW w:w="1275" w:type="dxa"/>
            <w:tcBorders>
              <w:top w:val="nil"/>
              <w:left w:val="nil"/>
              <w:bottom w:val="single" w:sz="4" w:space="0" w:color="auto"/>
              <w:right w:val="single" w:sz="4" w:space="0" w:color="auto"/>
            </w:tcBorders>
            <w:hideMark/>
          </w:tcPr>
          <w:p w14:paraId="2E9A88A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w:t>
            </w:r>
          </w:p>
        </w:tc>
        <w:tc>
          <w:tcPr>
            <w:tcW w:w="1418" w:type="dxa"/>
            <w:tcBorders>
              <w:top w:val="nil"/>
              <w:left w:val="nil"/>
              <w:bottom w:val="single" w:sz="4" w:space="0" w:color="auto"/>
              <w:right w:val="single" w:sz="4" w:space="0" w:color="auto"/>
            </w:tcBorders>
            <w:hideMark/>
          </w:tcPr>
          <w:p w14:paraId="797A42B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19.6%</w:t>
            </w:r>
          </w:p>
        </w:tc>
      </w:tr>
      <w:tr w:rsidR="007B29DD" w14:paraId="663C9AC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3FB95F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5B42B0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7BE445C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3.8%</w:t>
            </w:r>
          </w:p>
        </w:tc>
        <w:tc>
          <w:tcPr>
            <w:tcW w:w="1419" w:type="dxa"/>
            <w:tcBorders>
              <w:top w:val="nil"/>
              <w:left w:val="nil"/>
              <w:bottom w:val="single" w:sz="4" w:space="0" w:color="auto"/>
              <w:right w:val="single" w:sz="4" w:space="0" w:color="auto"/>
            </w:tcBorders>
            <w:noWrap/>
            <w:hideMark/>
          </w:tcPr>
          <w:p w14:paraId="7F56862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11.8%</w:t>
            </w:r>
          </w:p>
        </w:tc>
        <w:tc>
          <w:tcPr>
            <w:tcW w:w="1276" w:type="dxa"/>
            <w:tcBorders>
              <w:top w:val="nil"/>
              <w:left w:val="nil"/>
              <w:bottom w:val="single" w:sz="4" w:space="0" w:color="auto"/>
              <w:right w:val="single" w:sz="4" w:space="0" w:color="auto"/>
            </w:tcBorders>
            <w:hideMark/>
          </w:tcPr>
          <w:p w14:paraId="3565D83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-13.1%</w:t>
            </w:r>
          </w:p>
        </w:tc>
        <w:tc>
          <w:tcPr>
            <w:tcW w:w="1275" w:type="dxa"/>
            <w:tcBorders>
              <w:top w:val="nil"/>
              <w:left w:val="nil"/>
              <w:bottom w:val="single" w:sz="4" w:space="0" w:color="auto"/>
              <w:right w:val="single" w:sz="4" w:space="0" w:color="auto"/>
            </w:tcBorders>
            <w:hideMark/>
          </w:tcPr>
          <w:p w14:paraId="1F23AF0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-11.8%</w:t>
            </w:r>
          </w:p>
        </w:tc>
        <w:tc>
          <w:tcPr>
            <w:tcW w:w="1418" w:type="dxa"/>
            <w:tcBorders>
              <w:top w:val="nil"/>
              <w:left w:val="nil"/>
              <w:bottom w:val="single" w:sz="4" w:space="0" w:color="auto"/>
              <w:right w:val="single" w:sz="4" w:space="0" w:color="auto"/>
            </w:tcBorders>
            <w:hideMark/>
          </w:tcPr>
          <w:p w14:paraId="36FEC0F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36.8%</w:t>
            </w:r>
          </w:p>
        </w:tc>
      </w:tr>
      <w:tr w:rsidR="007B29DD" w14:paraId="781B938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E0A3A6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96F5C2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302F431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4.8%</w:t>
            </w:r>
          </w:p>
        </w:tc>
        <w:tc>
          <w:tcPr>
            <w:tcW w:w="1419" w:type="dxa"/>
            <w:tcBorders>
              <w:top w:val="nil"/>
              <w:left w:val="nil"/>
              <w:bottom w:val="single" w:sz="4" w:space="0" w:color="auto"/>
              <w:right w:val="single" w:sz="4" w:space="0" w:color="auto"/>
            </w:tcBorders>
            <w:noWrap/>
            <w:hideMark/>
          </w:tcPr>
          <w:p w14:paraId="202DE46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10.3%</w:t>
            </w:r>
          </w:p>
        </w:tc>
        <w:tc>
          <w:tcPr>
            <w:tcW w:w="1276" w:type="dxa"/>
            <w:tcBorders>
              <w:top w:val="nil"/>
              <w:left w:val="nil"/>
              <w:bottom w:val="single" w:sz="4" w:space="0" w:color="auto"/>
              <w:right w:val="single" w:sz="4" w:space="0" w:color="auto"/>
            </w:tcBorders>
            <w:hideMark/>
          </w:tcPr>
          <w:p w14:paraId="1B9F565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-6.9%</w:t>
            </w:r>
          </w:p>
        </w:tc>
        <w:tc>
          <w:tcPr>
            <w:tcW w:w="1275" w:type="dxa"/>
            <w:tcBorders>
              <w:top w:val="nil"/>
              <w:left w:val="nil"/>
              <w:bottom w:val="single" w:sz="4" w:space="0" w:color="auto"/>
              <w:right w:val="single" w:sz="4" w:space="0" w:color="auto"/>
            </w:tcBorders>
            <w:hideMark/>
          </w:tcPr>
          <w:p w14:paraId="4ABF760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-11.1%</w:t>
            </w:r>
          </w:p>
        </w:tc>
        <w:tc>
          <w:tcPr>
            <w:tcW w:w="1418" w:type="dxa"/>
            <w:tcBorders>
              <w:top w:val="nil"/>
              <w:left w:val="nil"/>
              <w:bottom w:val="single" w:sz="4" w:space="0" w:color="auto"/>
              <w:right w:val="single" w:sz="4" w:space="0" w:color="auto"/>
            </w:tcBorders>
            <w:hideMark/>
          </w:tcPr>
          <w:p w14:paraId="2E1F0BF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38.4%</w:t>
            </w:r>
          </w:p>
        </w:tc>
      </w:tr>
      <w:tr w:rsidR="007B29DD" w14:paraId="63F4BA8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4F822E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E5F9E8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4550A99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4.4%</w:t>
            </w:r>
          </w:p>
        </w:tc>
        <w:tc>
          <w:tcPr>
            <w:tcW w:w="1419" w:type="dxa"/>
            <w:tcBorders>
              <w:top w:val="nil"/>
              <w:left w:val="nil"/>
              <w:bottom w:val="single" w:sz="4" w:space="0" w:color="auto"/>
              <w:right w:val="single" w:sz="4" w:space="0" w:color="auto"/>
            </w:tcBorders>
            <w:noWrap/>
            <w:hideMark/>
          </w:tcPr>
          <w:p w14:paraId="42878AF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11.0%</w:t>
            </w:r>
          </w:p>
        </w:tc>
        <w:tc>
          <w:tcPr>
            <w:tcW w:w="1276" w:type="dxa"/>
            <w:tcBorders>
              <w:top w:val="nil"/>
              <w:left w:val="nil"/>
              <w:bottom w:val="single" w:sz="4" w:space="0" w:color="auto"/>
              <w:right w:val="single" w:sz="4" w:space="0" w:color="auto"/>
            </w:tcBorders>
            <w:hideMark/>
          </w:tcPr>
          <w:p w14:paraId="64EB99B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-9.5%</w:t>
            </w:r>
          </w:p>
        </w:tc>
        <w:tc>
          <w:tcPr>
            <w:tcW w:w="1275" w:type="dxa"/>
            <w:tcBorders>
              <w:top w:val="nil"/>
              <w:left w:val="nil"/>
              <w:bottom w:val="single" w:sz="4" w:space="0" w:color="auto"/>
              <w:right w:val="single" w:sz="4" w:space="0" w:color="auto"/>
            </w:tcBorders>
            <w:hideMark/>
          </w:tcPr>
          <w:p w14:paraId="3D742BB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-3.5%</w:t>
            </w:r>
          </w:p>
        </w:tc>
        <w:tc>
          <w:tcPr>
            <w:tcW w:w="1418" w:type="dxa"/>
            <w:tcBorders>
              <w:top w:val="nil"/>
              <w:left w:val="nil"/>
              <w:bottom w:val="single" w:sz="4" w:space="0" w:color="auto"/>
              <w:right w:val="single" w:sz="4" w:space="0" w:color="auto"/>
            </w:tcBorders>
            <w:hideMark/>
          </w:tcPr>
          <w:p w14:paraId="2CBCD99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21.2%</w:t>
            </w:r>
          </w:p>
        </w:tc>
      </w:tr>
      <w:tr w:rsidR="007B29DD" w14:paraId="664BFEF1"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3EA538E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Broken (404)</w:t>
            </w:r>
          </w:p>
        </w:tc>
        <w:tc>
          <w:tcPr>
            <w:tcW w:w="1559" w:type="dxa"/>
            <w:tcBorders>
              <w:top w:val="nil"/>
              <w:left w:val="nil"/>
              <w:bottom w:val="single" w:sz="4" w:space="0" w:color="auto"/>
              <w:right w:val="single" w:sz="4" w:space="0" w:color="auto"/>
            </w:tcBorders>
            <w:shd w:val="clear" w:color="auto" w:fill="D9D9D9"/>
            <w:vAlign w:val="center"/>
            <w:hideMark/>
          </w:tcPr>
          <w:p w14:paraId="638561B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0F029B3A"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6.0%</w:t>
            </w:r>
          </w:p>
        </w:tc>
        <w:tc>
          <w:tcPr>
            <w:tcW w:w="1419" w:type="dxa"/>
            <w:tcBorders>
              <w:top w:val="nil"/>
              <w:left w:val="nil"/>
              <w:bottom w:val="single" w:sz="4" w:space="0" w:color="auto"/>
              <w:right w:val="single" w:sz="4" w:space="0" w:color="auto"/>
            </w:tcBorders>
            <w:shd w:val="clear" w:color="auto" w:fill="D9D9D9"/>
            <w:noWrap/>
            <w:hideMark/>
          </w:tcPr>
          <w:p w14:paraId="7209A93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10.4%</w:t>
            </w:r>
          </w:p>
        </w:tc>
        <w:tc>
          <w:tcPr>
            <w:tcW w:w="1276" w:type="dxa"/>
            <w:tcBorders>
              <w:top w:val="nil"/>
              <w:left w:val="nil"/>
              <w:bottom w:val="single" w:sz="4" w:space="0" w:color="auto"/>
              <w:right w:val="single" w:sz="4" w:space="0" w:color="auto"/>
            </w:tcBorders>
            <w:shd w:val="clear" w:color="auto" w:fill="D9D9D9"/>
            <w:hideMark/>
          </w:tcPr>
          <w:p w14:paraId="77AD256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-2.3%</w:t>
            </w:r>
          </w:p>
        </w:tc>
        <w:tc>
          <w:tcPr>
            <w:tcW w:w="1275" w:type="dxa"/>
            <w:tcBorders>
              <w:top w:val="nil"/>
              <w:left w:val="nil"/>
              <w:bottom w:val="single" w:sz="4" w:space="0" w:color="auto"/>
              <w:right w:val="single" w:sz="4" w:space="0" w:color="auto"/>
            </w:tcBorders>
            <w:shd w:val="clear" w:color="auto" w:fill="D9D9D9"/>
            <w:hideMark/>
          </w:tcPr>
          <w:p w14:paraId="487FCCE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-4.0%</w:t>
            </w:r>
          </w:p>
        </w:tc>
        <w:tc>
          <w:tcPr>
            <w:tcW w:w="1418" w:type="dxa"/>
            <w:tcBorders>
              <w:top w:val="nil"/>
              <w:left w:val="nil"/>
              <w:bottom w:val="single" w:sz="4" w:space="0" w:color="auto"/>
              <w:right w:val="single" w:sz="4" w:space="0" w:color="auto"/>
            </w:tcBorders>
            <w:shd w:val="clear" w:color="auto" w:fill="D9D9D9"/>
            <w:hideMark/>
          </w:tcPr>
          <w:p w14:paraId="69E3E16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25.0%</w:t>
            </w:r>
          </w:p>
        </w:tc>
      </w:tr>
      <w:tr w:rsidR="007B29DD" w14:paraId="1E734F5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C80566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32800BC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7551BBD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6.8%</w:t>
            </w:r>
          </w:p>
        </w:tc>
        <w:tc>
          <w:tcPr>
            <w:tcW w:w="1419" w:type="dxa"/>
            <w:tcBorders>
              <w:top w:val="nil"/>
              <w:left w:val="nil"/>
              <w:bottom w:val="single" w:sz="4" w:space="0" w:color="auto"/>
              <w:right w:val="single" w:sz="4" w:space="0" w:color="auto"/>
            </w:tcBorders>
            <w:shd w:val="clear" w:color="auto" w:fill="D9D9D9"/>
            <w:noWrap/>
            <w:hideMark/>
          </w:tcPr>
          <w:p w14:paraId="5BA1324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16.8%</w:t>
            </w:r>
          </w:p>
        </w:tc>
        <w:tc>
          <w:tcPr>
            <w:tcW w:w="1276" w:type="dxa"/>
            <w:tcBorders>
              <w:top w:val="nil"/>
              <w:left w:val="nil"/>
              <w:bottom w:val="single" w:sz="4" w:space="0" w:color="auto"/>
              <w:right w:val="single" w:sz="4" w:space="0" w:color="auto"/>
            </w:tcBorders>
            <w:shd w:val="clear" w:color="auto" w:fill="D9D9D9"/>
            <w:hideMark/>
          </w:tcPr>
          <w:p w14:paraId="5212A6B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-12.1%</w:t>
            </w:r>
          </w:p>
        </w:tc>
        <w:tc>
          <w:tcPr>
            <w:tcW w:w="1275" w:type="dxa"/>
            <w:tcBorders>
              <w:top w:val="nil"/>
              <w:left w:val="nil"/>
              <w:bottom w:val="single" w:sz="4" w:space="0" w:color="auto"/>
              <w:right w:val="single" w:sz="4" w:space="0" w:color="auto"/>
            </w:tcBorders>
            <w:shd w:val="clear" w:color="auto" w:fill="D9D9D9"/>
            <w:hideMark/>
          </w:tcPr>
          <w:p w14:paraId="3093451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418" w:type="dxa"/>
            <w:tcBorders>
              <w:top w:val="nil"/>
              <w:left w:val="nil"/>
              <w:bottom w:val="single" w:sz="4" w:space="0" w:color="auto"/>
              <w:right w:val="single" w:sz="4" w:space="0" w:color="auto"/>
            </w:tcBorders>
            <w:shd w:val="clear" w:color="auto" w:fill="D9D9D9"/>
            <w:hideMark/>
          </w:tcPr>
          <w:p w14:paraId="1CCDCE6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30.6%</w:t>
            </w:r>
          </w:p>
        </w:tc>
      </w:tr>
      <w:tr w:rsidR="007B29DD" w14:paraId="546523F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8B73F8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390CFB1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20A0536"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5.2%</w:t>
            </w:r>
          </w:p>
        </w:tc>
        <w:tc>
          <w:tcPr>
            <w:tcW w:w="1419" w:type="dxa"/>
            <w:tcBorders>
              <w:top w:val="nil"/>
              <w:left w:val="nil"/>
              <w:bottom w:val="single" w:sz="4" w:space="0" w:color="auto"/>
              <w:right w:val="single" w:sz="4" w:space="0" w:color="auto"/>
            </w:tcBorders>
            <w:shd w:val="clear" w:color="auto" w:fill="D9D9D9"/>
            <w:noWrap/>
            <w:hideMark/>
          </w:tcPr>
          <w:p w14:paraId="1576D09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12.9%</w:t>
            </w:r>
          </w:p>
        </w:tc>
        <w:tc>
          <w:tcPr>
            <w:tcW w:w="1276" w:type="dxa"/>
            <w:tcBorders>
              <w:top w:val="nil"/>
              <w:left w:val="nil"/>
              <w:bottom w:val="single" w:sz="4" w:space="0" w:color="auto"/>
              <w:right w:val="single" w:sz="4" w:space="0" w:color="auto"/>
            </w:tcBorders>
            <w:shd w:val="clear" w:color="auto" w:fill="D9D9D9"/>
            <w:hideMark/>
          </w:tcPr>
          <w:p w14:paraId="0A2E1BB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-9.4%</w:t>
            </w:r>
          </w:p>
        </w:tc>
        <w:tc>
          <w:tcPr>
            <w:tcW w:w="1275" w:type="dxa"/>
            <w:tcBorders>
              <w:top w:val="nil"/>
              <w:left w:val="nil"/>
              <w:bottom w:val="single" w:sz="4" w:space="0" w:color="auto"/>
              <w:right w:val="single" w:sz="4" w:space="0" w:color="auto"/>
            </w:tcBorders>
            <w:shd w:val="clear" w:color="auto" w:fill="D9D9D9"/>
            <w:hideMark/>
          </w:tcPr>
          <w:p w14:paraId="25EAC91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-12.7%</w:t>
            </w:r>
          </w:p>
        </w:tc>
        <w:tc>
          <w:tcPr>
            <w:tcW w:w="1418" w:type="dxa"/>
            <w:tcBorders>
              <w:top w:val="nil"/>
              <w:left w:val="nil"/>
              <w:bottom w:val="single" w:sz="4" w:space="0" w:color="auto"/>
              <w:right w:val="single" w:sz="4" w:space="0" w:color="auto"/>
            </w:tcBorders>
            <w:shd w:val="clear" w:color="auto" w:fill="D9D9D9"/>
            <w:hideMark/>
          </w:tcPr>
          <w:p w14:paraId="3B30A63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39.1%</w:t>
            </w:r>
          </w:p>
        </w:tc>
      </w:tr>
      <w:tr w:rsidR="007B29DD" w14:paraId="3CC1F54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7214CA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385F2D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24C2E67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4.9%</w:t>
            </w:r>
          </w:p>
        </w:tc>
        <w:tc>
          <w:tcPr>
            <w:tcW w:w="1419" w:type="dxa"/>
            <w:tcBorders>
              <w:top w:val="nil"/>
              <w:left w:val="nil"/>
              <w:bottom w:val="single" w:sz="4" w:space="0" w:color="auto"/>
              <w:right w:val="single" w:sz="4" w:space="0" w:color="auto"/>
            </w:tcBorders>
            <w:shd w:val="clear" w:color="auto" w:fill="D9D9D9"/>
            <w:noWrap/>
            <w:hideMark/>
          </w:tcPr>
          <w:p w14:paraId="64106FC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11.5%</w:t>
            </w:r>
          </w:p>
        </w:tc>
        <w:tc>
          <w:tcPr>
            <w:tcW w:w="1276" w:type="dxa"/>
            <w:tcBorders>
              <w:top w:val="nil"/>
              <w:left w:val="nil"/>
              <w:bottom w:val="single" w:sz="4" w:space="0" w:color="auto"/>
              <w:right w:val="single" w:sz="4" w:space="0" w:color="auto"/>
            </w:tcBorders>
            <w:shd w:val="clear" w:color="auto" w:fill="D9D9D9"/>
            <w:hideMark/>
          </w:tcPr>
          <w:p w14:paraId="659DB5A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-7.6%</w:t>
            </w:r>
          </w:p>
        </w:tc>
        <w:tc>
          <w:tcPr>
            <w:tcW w:w="1275" w:type="dxa"/>
            <w:tcBorders>
              <w:top w:val="nil"/>
              <w:left w:val="nil"/>
              <w:bottom w:val="single" w:sz="4" w:space="0" w:color="auto"/>
              <w:right w:val="single" w:sz="4" w:space="0" w:color="auto"/>
            </w:tcBorders>
            <w:shd w:val="clear" w:color="auto" w:fill="D9D9D9"/>
            <w:hideMark/>
          </w:tcPr>
          <w:p w14:paraId="6E4ED1F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w:t>
            </w:r>
          </w:p>
        </w:tc>
        <w:tc>
          <w:tcPr>
            <w:tcW w:w="1418" w:type="dxa"/>
            <w:tcBorders>
              <w:top w:val="nil"/>
              <w:left w:val="nil"/>
              <w:bottom w:val="single" w:sz="4" w:space="0" w:color="auto"/>
              <w:right w:val="single" w:sz="4" w:space="0" w:color="auto"/>
            </w:tcBorders>
            <w:shd w:val="clear" w:color="auto" w:fill="D9D9D9"/>
            <w:hideMark/>
          </w:tcPr>
          <w:p w14:paraId="60DA963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21.5%</w:t>
            </w:r>
          </w:p>
        </w:tc>
      </w:tr>
      <w:tr w:rsidR="007B29DD" w14:paraId="498D27E3"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77EB8632"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Goulburn (405)</w:t>
            </w:r>
          </w:p>
        </w:tc>
        <w:tc>
          <w:tcPr>
            <w:tcW w:w="1559" w:type="dxa"/>
            <w:tcBorders>
              <w:top w:val="nil"/>
              <w:left w:val="nil"/>
              <w:bottom w:val="single" w:sz="4" w:space="0" w:color="auto"/>
              <w:right w:val="single" w:sz="4" w:space="0" w:color="auto"/>
            </w:tcBorders>
            <w:vAlign w:val="center"/>
            <w:hideMark/>
          </w:tcPr>
          <w:p w14:paraId="2188317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0DE5B1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3.9%</w:t>
            </w:r>
          </w:p>
        </w:tc>
        <w:tc>
          <w:tcPr>
            <w:tcW w:w="1419" w:type="dxa"/>
            <w:tcBorders>
              <w:top w:val="nil"/>
              <w:left w:val="nil"/>
              <w:bottom w:val="single" w:sz="4" w:space="0" w:color="auto"/>
              <w:right w:val="single" w:sz="4" w:space="0" w:color="auto"/>
            </w:tcBorders>
            <w:noWrap/>
            <w:hideMark/>
          </w:tcPr>
          <w:p w14:paraId="6D59C91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8.1%</w:t>
            </w:r>
          </w:p>
        </w:tc>
        <w:tc>
          <w:tcPr>
            <w:tcW w:w="1276" w:type="dxa"/>
            <w:tcBorders>
              <w:top w:val="nil"/>
              <w:left w:val="nil"/>
              <w:bottom w:val="single" w:sz="4" w:space="0" w:color="auto"/>
              <w:right w:val="single" w:sz="4" w:space="0" w:color="auto"/>
            </w:tcBorders>
            <w:hideMark/>
          </w:tcPr>
          <w:p w14:paraId="2885411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-4.8%</w:t>
            </w:r>
          </w:p>
        </w:tc>
        <w:tc>
          <w:tcPr>
            <w:tcW w:w="1275" w:type="dxa"/>
            <w:tcBorders>
              <w:top w:val="nil"/>
              <w:left w:val="nil"/>
              <w:bottom w:val="single" w:sz="4" w:space="0" w:color="auto"/>
              <w:right w:val="single" w:sz="4" w:space="0" w:color="auto"/>
            </w:tcBorders>
            <w:hideMark/>
          </w:tcPr>
          <w:p w14:paraId="1B1FEA5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-4.1%</w:t>
            </w:r>
          </w:p>
        </w:tc>
        <w:tc>
          <w:tcPr>
            <w:tcW w:w="1418" w:type="dxa"/>
            <w:tcBorders>
              <w:top w:val="nil"/>
              <w:left w:val="nil"/>
              <w:bottom w:val="single" w:sz="4" w:space="0" w:color="auto"/>
              <w:right w:val="single" w:sz="4" w:space="0" w:color="auto"/>
            </w:tcBorders>
            <w:hideMark/>
          </w:tcPr>
          <w:p w14:paraId="326E38F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20.5%</w:t>
            </w:r>
          </w:p>
        </w:tc>
      </w:tr>
      <w:tr w:rsidR="007B29DD" w14:paraId="0E91234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740117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FEB18E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79278732"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2.4%</w:t>
            </w:r>
          </w:p>
        </w:tc>
        <w:tc>
          <w:tcPr>
            <w:tcW w:w="1419" w:type="dxa"/>
            <w:tcBorders>
              <w:top w:val="nil"/>
              <w:left w:val="nil"/>
              <w:bottom w:val="single" w:sz="4" w:space="0" w:color="auto"/>
              <w:right w:val="single" w:sz="4" w:space="0" w:color="auto"/>
            </w:tcBorders>
            <w:noWrap/>
            <w:hideMark/>
          </w:tcPr>
          <w:p w14:paraId="7C7A805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12.2%</w:t>
            </w:r>
          </w:p>
        </w:tc>
        <w:tc>
          <w:tcPr>
            <w:tcW w:w="1276" w:type="dxa"/>
            <w:tcBorders>
              <w:top w:val="nil"/>
              <w:left w:val="nil"/>
              <w:bottom w:val="single" w:sz="4" w:space="0" w:color="auto"/>
              <w:right w:val="single" w:sz="4" w:space="0" w:color="auto"/>
            </w:tcBorders>
            <w:hideMark/>
          </w:tcPr>
          <w:p w14:paraId="029BBC6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-17.8%</w:t>
            </w:r>
          </w:p>
        </w:tc>
        <w:tc>
          <w:tcPr>
            <w:tcW w:w="1275" w:type="dxa"/>
            <w:tcBorders>
              <w:top w:val="nil"/>
              <w:left w:val="nil"/>
              <w:bottom w:val="single" w:sz="4" w:space="0" w:color="auto"/>
              <w:right w:val="single" w:sz="4" w:space="0" w:color="auto"/>
            </w:tcBorders>
            <w:hideMark/>
          </w:tcPr>
          <w:p w14:paraId="2B980AB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-6.5%</w:t>
            </w:r>
          </w:p>
        </w:tc>
        <w:tc>
          <w:tcPr>
            <w:tcW w:w="1418" w:type="dxa"/>
            <w:tcBorders>
              <w:top w:val="nil"/>
              <w:left w:val="nil"/>
              <w:bottom w:val="single" w:sz="4" w:space="0" w:color="auto"/>
              <w:right w:val="single" w:sz="4" w:space="0" w:color="auto"/>
            </w:tcBorders>
            <w:hideMark/>
          </w:tcPr>
          <w:p w14:paraId="02E10BD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20.7%</w:t>
            </w:r>
          </w:p>
        </w:tc>
      </w:tr>
      <w:tr w:rsidR="007B29DD" w14:paraId="21DE98C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1026C2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04FAED9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97A0F07"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4.7%</w:t>
            </w:r>
          </w:p>
        </w:tc>
        <w:tc>
          <w:tcPr>
            <w:tcW w:w="1419" w:type="dxa"/>
            <w:tcBorders>
              <w:top w:val="nil"/>
              <w:left w:val="nil"/>
              <w:bottom w:val="single" w:sz="4" w:space="0" w:color="auto"/>
              <w:right w:val="single" w:sz="4" w:space="0" w:color="auto"/>
            </w:tcBorders>
            <w:noWrap/>
            <w:hideMark/>
          </w:tcPr>
          <w:p w14:paraId="4A9F507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10.7%</w:t>
            </w:r>
          </w:p>
        </w:tc>
        <w:tc>
          <w:tcPr>
            <w:tcW w:w="1276" w:type="dxa"/>
            <w:tcBorders>
              <w:top w:val="nil"/>
              <w:left w:val="nil"/>
              <w:bottom w:val="single" w:sz="4" w:space="0" w:color="auto"/>
              <w:right w:val="single" w:sz="4" w:space="0" w:color="auto"/>
            </w:tcBorders>
            <w:hideMark/>
          </w:tcPr>
          <w:p w14:paraId="5CDEC5A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-7.6%</w:t>
            </w:r>
          </w:p>
        </w:tc>
        <w:tc>
          <w:tcPr>
            <w:tcW w:w="1275" w:type="dxa"/>
            <w:tcBorders>
              <w:top w:val="nil"/>
              <w:left w:val="nil"/>
              <w:bottom w:val="single" w:sz="4" w:space="0" w:color="auto"/>
              <w:right w:val="single" w:sz="4" w:space="0" w:color="auto"/>
            </w:tcBorders>
            <w:hideMark/>
          </w:tcPr>
          <w:p w14:paraId="6951DBD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-10.7%</w:t>
            </w:r>
          </w:p>
        </w:tc>
        <w:tc>
          <w:tcPr>
            <w:tcW w:w="1418" w:type="dxa"/>
            <w:tcBorders>
              <w:top w:val="nil"/>
              <w:left w:val="nil"/>
              <w:bottom w:val="single" w:sz="4" w:space="0" w:color="auto"/>
              <w:right w:val="single" w:sz="4" w:space="0" w:color="auto"/>
            </w:tcBorders>
            <w:hideMark/>
          </w:tcPr>
          <w:p w14:paraId="046B426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36.4%</w:t>
            </w:r>
          </w:p>
        </w:tc>
      </w:tr>
      <w:tr w:rsidR="007B29DD" w14:paraId="79AA8A9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39892D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F47107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244E5EB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4.4%</w:t>
            </w:r>
          </w:p>
        </w:tc>
        <w:tc>
          <w:tcPr>
            <w:tcW w:w="1419" w:type="dxa"/>
            <w:tcBorders>
              <w:top w:val="nil"/>
              <w:left w:val="nil"/>
              <w:bottom w:val="single" w:sz="4" w:space="0" w:color="auto"/>
              <w:right w:val="single" w:sz="4" w:space="0" w:color="auto"/>
            </w:tcBorders>
            <w:noWrap/>
            <w:hideMark/>
          </w:tcPr>
          <w:p w14:paraId="6D9598D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11.4%</w:t>
            </w:r>
          </w:p>
        </w:tc>
        <w:tc>
          <w:tcPr>
            <w:tcW w:w="1276" w:type="dxa"/>
            <w:tcBorders>
              <w:top w:val="nil"/>
              <w:left w:val="nil"/>
              <w:bottom w:val="single" w:sz="4" w:space="0" w:color="auto"/>
              <w:right w:val="single" w:sz="4" w:space="0" w:color="auto"/>
            </w:tcBorders>
            <w:hideMark/>
          </w:tcPr>
          <w:p w14:paraId="1F15F0B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-10.1%</w:t>
            </w:r>
          </w:p>
        </w:tc>
        <w:tc>
          <w:tcPr>
            <w:tcW w:w="1275" w:type="dxa"/>
            <w:tcBorders>
              <w:top w:val="nil"/>
              <w:left w:val="nil"/>
              <w:bottom w:val="single" w:sz="4" w:space="0" w:color="auto"/>
              <w:right w:val="single" w:sz="4" w:space="0" w:color="auto"/>
            </w:tcBorders>
            <w:hideMark/>
          </w:tcPr>
          <w:p w14:paraId="27C13AC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w:t>
            </w:r>
          </w:p>
        </w:tc>
        <w:tc>
          <w:tcPr>
            <w:tcW w:w="1418" w:type="dxa"/>
            <w:tcBorders>
              <w:top w:val="nil"/>
              <w:left w:val="nil"/>
              <w:bottom w:val="single" w:sz="4" w:space="0" w:color="auto"/>
              <w:right w:val="single" w:sz="4" w:space="0" w:color="auto"/>
            </w:tcBorders>
            <w:hideMark/>
          </w:tcPr>
          <w:p w14:paraId="3AF8E65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21.5%</w:t>
            </w:r>
          </w:p>
        </w:tc>
      </w:tr>
      <w:tr w:rsidR="007B29DD" w14:paraId="2FA6C708"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E930ED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Campaspe (406)</w:t>
            </w:r>
          </w:p>
        </w:tc>
        <w:tc>
          <w:tcPr>
            <w:tcW w:w="1559" w:type="dxa"/>
            <w:tcBorders>
              <w:top w:val="nil"/>
              <w:left w:val="nil"/>
              <w:bottom w:val="single" w:sz="4" w:space="0" w:color="auto"/>
              <w:right w:val="single" w:sz="4" w:space="0" w:color="auto"/>
            </w:tcBorders>
            <w:shd w:val="clear" w:color="auto" w:fill="D9D9D9"/>
            <w:vAlign w:val="center"/>
            <w:hideMark/>
          </w:tcPr>
          <w:p w14:paraId="0AADBF4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4690BB5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2.4%</w:t>
            </w:r>
          </w:p>
        </w:tc>
        <w:tc>
          <w:tcPr>
            <w:tcW w:w="1419" w:type="dxa"/>
            <w:tcBorders>
              <w:top w:val="nil"/>
              <w:left w:val="nil"/>
              <w:bottom w:val="single" w:sz="4" w:space="0" w:color="auto"/>
              <w:right w:val="single" w:sz="4" w:space="0" w:color="auto"/>
            </w:tcBorders>
            <w:shd w:val="clear" w:color="auto" w:fill="D9D9D9"/>
            <w:noWrap/>
            <w:hideMark/>
          </w:tcPr>
          <w:p w14:paraId="39701F0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6.3%</w:t>
            </w:r>
          </w:p>
        </w:tc>
        <w:tc>
          <w:tcPr>
            <w:tcW w:w="1276" w:type="dxa"/>
            <w:tcBorders>
              <w:top w:val="nil"/>
              <w:left w:val="nil"/>
              <w:bottom w:val="single" w:sz="4" w:space="0" w:color="auto"/>
              <w:right w:val="single" w:sz="4" w:space="0" w:color="auto"/>
            </w:tcBorders>
            <w:shd w:val="clear" w:color="auto" w:fill="D9D9D9"/>
            <w:hideMark/>
          </w:tcPr>
          <w:p w14:paraId="1D62ECE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-5.6%</w:t>
            </w:r>
          </w:p>
        </w:tc>
        <w:tc>
          <w:tcPr>
            <w:tcW w:w="1275" w:type="dxa"/>
            <w:tcBorders>
              <w:top w:val="nil"/>
              <w:left w:val="nil"/>
              <w:bottom w:val="single" w:sz="4" w:space="0" w:color="auto"/>
              <w:right w:val="single" w:sz="4" w:space="0" w:color="auto"/>
            </w:tcBorders>
            <w:shd w:val="clear" w:color="auto" w:fill="D9D9D9"/>
            <w:hideMark/>
          </w:tcPr>
          <w:p w14:paraId="7727AEA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-4.9%</w:t>
            </w:r>
          </w:p>
        </w:tc>
        <w:tc>
          <w:tcPr>
            <w:tcW w:w="1418" w:type="dxa"/>
            <w:tcBorders>
              <w:top w:val="nil"/>
              <w:left w:val="nil"/>
              <w:bottom w:val="single" w:sz="4" w:space="0" w:color="auto"/>
              <w:right w:val="single" w:sz="4" w:space="0" w:color="auto"/>
            </w:tcBorders>
            <w:shd w:val="clear" w:color="auto" w:fill="D9D9D9"/>
            <w:hideMark/>
          </w:tcPr>
          <w:p w14:paraId="4863970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17.5%</w:t>
            </w:r>
          </w:p>
        </w:tc>
      </w:tr>
      <w:tr w:rsidR="007B29DD" w14:paraId="2CB4A91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C2E5AA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959270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3C3A969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2.6%</w:t>
            </w:r>
          </w:p>
        </w:tc>
        <w:tc>
          <w:tcPr>
            <w:tcW w:w="1419" w:type="dxa"/>
            <w:tcBorders>
              <w:top w:val="nil"/>
              <w:left w:val="nil"/>
              <w:bottom w:val="single" w:sz="4" w:space="0" w:color="auto"/>
              <w:right w:val="single" w:sz="4" w:space="0" w:color="auto"/>
            </w:tcBorders>
            <w:shd w:val="clear" w:color="auto" w:fill="D9D9D9"/>
            <w:noWrap/>
            <w:hideMark/>
          </w:tcPr>
          <w:p w14:paraId="2EAF623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11.9%</w:t>
            </w:r>
          </w:p>
        </w:tc>
        <w:tc>
          <w:tcPr>
            <w:tcW w:w="1276" w:type="dxa"/>
            <w:tcBorders>
              <w:top w:val="nil"/>
              <w:left w:val="nil"/>
              <w:bottom w:val="single" w:sz="4" w:space="0" w:color="auto"/>
              <w:right w:val="single" w:sz="4" w:space="0" w:color="auto"/>
            </w:tcBorders>
            <w:shd w:val="clear" w:color="auto" w:fill="D9D9D9"/>
            <w:hideMark/>
          </w:tcPr>
          <w:p w14:paraId="19589A0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-16.4%</w:t>
            </w:r>
          </w:p>
        </w:tc>
        <w:tc>
          <w:tcPr>
            <w:tcW w:w="1275" w:type="dxa"/>
            <w:tcBorders>
              <w:top w:val="nil"/>
              <w:left w:val="nil"/>
              <w:bottom w:val="single" w:sz="4" w:space="0" w:color="auto"/>
              <w:right w:val="single" w:sz="4" w:space="0" w:color="auto"/>
            </w:tcBorders>
            <w:shd w:val="clear" w:color="auto" w:fill="D9D9D9"/>
            <w:hideMark/>
          </w:tcPr>
          <w:p w14:paraId="7719A62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-8.3%</w:t>
            </w:r>
          </w:p>
        </w:tc>
        <w:tc>
          <w:tcPr>
            <w:tcW w:w="1418" w:type="dxa"/>
            <w:tcBorders>
              <w:top w:val="nil"/>
              <w:left w:val="nil"/>
              <w:bottom w:val="single" w:sz="4" w:space="0" w:color="auto"/>
              <w:right w:val="single" w:sz="4" w:space="0" w:color="auto"/>
            </w:tcBorders>
            <w:shd w:val="clear" w:color="auto" w:fill="D9D9D9"/>
            <w:hideMark/>
          </w:tcPr>
          <w:p w14:paraId="2E090FE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25.0%</w:t>
            </w:r>
          </w:p>
        </w:tc>
      </w:tr>
      <w:tr w:rsidR="007B29DD" w14:paraId="2E6F1EE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9C71DA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6C9BB7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42A246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5.1%</w:t>
            </w:r>
          </w:p>
        </w:tc>
        <w:tc>
          <w:tcPr>
            <w:tcW w:w="1419" w:type="dxa"/>
            <w:tcBorders>
              <w:top w:val="nil"/>
              <w:left w:val="nil"/>
              <w:bottom w:val="single" w:sz="4" w:space="0" w:color="auto"/>
              <w:right w:val="single" w:sz="4" w:space="0" w:color="auto"/>
            </w:tcBorders>
            <w:shd w:val="clear" w:color="auto" w:fill="D9D9D9"/>
            <w:noWrap/>
            <w:hideMark/>
          </w:tcPr>
          <w:p w14:paraId="2FC3E25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10.1%</w:t>
            </w:r>
          </w:p>
        </w:tc>
        <w:tc>
          <w:tcPr>
            <w:tcW w:w="1276" w:type="dxa"/>
            <w:tcBorders>
              <w:top w:val="nil"/>
              <w:left w:val="nil"/>
              <w:bottom w:val="single" w:sz="4" w:space="0" w:color="auto"/>
              <w:right w:val="single" w:sz="4" w:space="0" w:color="auto"/>
            </w:tcBorders>
            <w:shd w:val="clear" w:color="auto" w:fill="D9D9D9"/>
            <w:hideMark/>
          </w:tcPr>
          <w:p w14:paraId="08CE98F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-5.2%</w:t>
            </w:r>
          </w:p>
        </w:tc>
        <w:tc>
          <w:tcPr>
            <w:tcW w:w="1275" w:type="dxa"/>
            <w:tcBorders>
              <w:top w:val="nil"/>
              <w:left w:val="nil"/>
              <w:bottom w:val="single" w:sz="4" w:space="0" w:color="auto"/>
              <w:right w:val="single" w:sz="4" w:space="0" w:color="auto"/>
            </w:tcBorders>
            <w:shd w:val="clear" w:color="auto" w:fill="D9D9D9"/>
            <w:hideMark/>
          </w:tcPr>
          <w:p w14:paraId="78CF1D8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-5.8%</w:t>
            </w:r>
          </w:p>
        </w:tc>
        <w:tc>
          <w:tcPr>
            <w:tcW w:w="1418" w:type="dxa"/>
            <w:tcBorders>
              <w:top w:val="nil"/>
              <w:left w:val="nil"/>
              <w:bottom w:val="single" w:sz="4" w:space="0" w:color="auto"/>
              <w:right w:val="single" w:sz="4" w:space="0" w:color="auto"/>
            </w:tcBorders>
            <w:shd w:val="clear" w:color="auto" w:fill="D9D9D9"/>
            <w:hideMark/>
          </w:tcPr>
          <w:p w14:paraId="3CAC060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27.5%</w:t>
            </w:r>
          </w:p>
        </w:tc>
      </w:tr>
      <w:tr w:rsidR="007B29DD" w14:paraId="3552FED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801ECF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CEBD60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7E7DD95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3.8%</w:t>
            </w:r>
          </w:p>
        </w:tc>
        <w:tc>
          <w:tcPr>
            <w:tcW w:w="1419" w:type="dxa"/>
            <w:tcBorders>
              <w:top w:val="nil"/>
              <w:left w:val="nil"/>
              <w:bottom w:val="single" w:sz="4" w:space="0" w:color="auto"/>
              <w:right w:val="single" w:sz="4" w:space="0" w:color="auto"/>
            </w:tcBorders>
            <w:shd w:val="clear" w:color="auto" w:fill="D9D9D9"/>
            <w:noWrap/>
            <w:hideMark/>
          </w:tcPr>
          <w:p w14:paraId="3D0733D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11.2%</w:t>
            </w:r>
          </w:p>
        </w:tc>
        <w:tc>
          <w:tcPr>
            <w:tcW w:w="1276" w:type="dxa"/>
            <w:tcBorders>
              <w:top w:val="nil"/>
              <w:left w:val="nil"/>
              <w:bottom w:val="single" w:sz="4" w:space="0" w:color="auto"/>
              <w:right w:val="single" w:sz="4" w:space="0" w:color="auto"/>
            </w:tcBorders>
            <w:shd w:val="clear" w:color="auto" w:fill="D9D9D9"/>
            <w:hideMark/>
          </w:tcPr>
          <w:p w14:paraId="585BE4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-11.4%</w:t>
            </w:r>
          </w:p>
        </w:tc>
        <w:tc>
          <w:tcPr>
            <w:tcW w:w="1275" w:type="dxa"/>
            <w:tcBorders>
              <w:top w:val="nil"/>
              <w:left w:val="nil"/>
              <w:bottom w:val="single" w:sz="4" w:space="0" w:color="auto"/>
              <w:right w:val="single" w:sz="4" w:space="0" w:color="auto"/>
            </w:tcBorders>
            <w:shd w:val="clear" w:color="auto" w:fill="D9D9D9"/>
            <w:hideMark/>
          </w:tcPr>
          <w:p w14:paraId="584945C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-4.9%</w:t>
            </w:r>
          </w:p>
        </w:tc>
        <w:tc>
          <w:tcPr>
            <w:tcW w:w="1418" w:type="dxa"/>
            <w:tcBorders>
              <w:top w:val="nil"/>
              <w:left w:val="nil"/>
              <w:bottom w:val="single" w:sz="4" w:space="0" w:color="auto"/>
              <w:right w:val="single" w:sz="4" w:space="0" w:color="auto"/>
            </w:tcBorders>
            <w:shd w:val="clear" w:color="auto" w:fill="D9D9D9"/>
            <w:hideMark/>
          </w:tcPr>
          <w:p w14:paraId="0E06C8D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21.6%</w:t>
            </w:r>
          </w:p>
        </w:tc>
      </w:tr>
      <w:tr w:rsidR="007B29DD" w14:paraId="6D9B7870"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4C07AD83"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Loddon (407)</w:t>
            </w:r>
          </w:p>
        </w:tc>
        <w:tc>
          <w:tcPr>
            <w:tcW w:w="1559" w:type="dxa"/>
            <w:tcBorders>
              <w:top w:val="nil"/>
              <w:left w:val="nil"/>
              <w:bottom w:val="single" w:sz="4" w:space="0" w:color="auto"/>
              <w:right w:val="single" w:sz="4" w:space="0" w:color="auto"/>
            </w:tcBorders>
            <w:vAlign w:val="center"/>
            <w:hideMark/>
          </w:tcPr>
          <w:p w14:paraId="5D985CE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930A305"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2.5%</w:t>
            </w:r>
          </w:p>
        </w:tc>
        <w:tc>
          <w:tcPr>
            <w:tcW w:w="1419" w:type="dxa"/>
            <w:tcBorders>
              <w:top w:val="nil"/>
              <w:left w:val="nil"/>
              <w:bottom w:val="single" w:sz="4" w:space="0" w:color="auto"/>
              <w:right w:val="single" w:sz="4" w:space="0" w:color="auto"/>
            </w:tcBorders>
            <w:noWrap/>
            <w:hideMark/>
          </w:tcPr>
          <w:p w14:paraId="19EACAE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7.1%</w:t>
            </w:r>
          </w:p>
        </w:tc>
        <w:tc>
          <w:tcPr>
            <w:tcW w:w="1276" w:type="dxa"/>
            <w:tcBorders>
              <w:top w:val="nil"/>
              <w:left w:val="nil"/>
              <w:bottom w:val="single" w:sz="4" w:space="0" w:color="auto"/>
              <w:right w:val="single" w:sz="4" w:space="0" w:color="auto"/>
            </w:tcBorders>
            <w:hideMark/>
          </w:tcPr>
          <w:p w14:paraId="5F7638A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-6.5%</w:t>
            </w:r>
          </w:p>
        </w:tc>
        <w:tc>
          <w:tcPr>
            <w:tcW w:w="1275" w:type="dxa"/>
            <w:tcBorders>
              <w:top w:val="nil"/>
              <w:left w:val="nil"/>
              <w:bottom w:val="single" w:sz="4" w:space="0" w:color="auto"/>
              <w:right w:val="single" w:sz="4" w:space="0" w:color="auto"/>
            </w:tcBorders>
            <w:hideMark/>
          </w:tcPr>
          <w:p w14:paraId="55688F3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-8.6%</w:t>
            </w:r>
          </w:p>
        </w:tc>
        <w:tc>
          <w:tcPr>
            <w:tcW w:w="1418" w:type="dxa"/>
            <w:tcBorders>
              <w:top w:val="nil"/>
              <w:left w:val="nil"/>
              <w:bottom w:val="single" w:sz="4" w:space="0" w:color="auto"/>
              <w:right w:val="single" w:sz="4" w:space="0" w:color="auto"/>
            </w:tcBorders>
            <w:hideMark/>
          </w:tcPr>
          <w:p w14:paraId="274A6F4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23.9%</w:t>
            </w:r>
          </w:p>
        </w:tc>
      </w:tr>
      <w:tr w:rsidR="007B29DD" w14:paraId="6BFD694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06860B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F541CD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18E2FFF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3.2%</w:t>
            </w:r>
          </w:p>
        </w:tc>
        <w:tc>
          <w:tcPr>
            <w:tcW w:w="1419" w:type="dxa"/>
            <w:tcBorders>
              <w:top w:val="nil"/>
              <w:left w:val="nil"/>
              <w:bottom w:val="single" w:sz="4" w:space="0" w:color="auto"/>
              <w:right w:val="single" w:sz="4" w:space="0" w:color="auto"/>
            </w:tcBorders>
            <w:noWrap/>
            <w:hideMark/>
          </w:tcPr>
          <w:p w14:paraId="578317E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11.0%</w:t>
            </w:r>
          </w:p>
        </w:tc>
        <w:tc>
          <w:tcPr>
            <w:tcW w:w="1276" w:type="dxa"/>
            <w:tcBorders>
              <w:top w:val="nil"/>
              <w:left w:val="nil"/>
              <w:bottom w:val="single" w:sz="4" w:space="0" w:color="auto"/>
              <w:right w:val="single" w:sz="4" w:space="0" w:color="auto"/>
            </w:tcBorders>
            <w:hideMark/>
          </w:tcPr>
          <w:p w14:paraId="5B39AD7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-11.8%</w:t>
            </w:r>
          </w:p>
        </w:tc>
        <w:tc>
          <w:tcPr>
            <w:tcW w:w="1275" w:type="dxa"/>
            <w:tcBorders>
              <w:top w:val="nil"/>
              <w:left w:val="nil"/>
              <w:bottom w:val="single" w:sz="4" w:space="0" w:color="auto"/>
              <w:right w:val="single" w:sz="4" w:space="0" w:color="auto"/>
            </w:tcBorders>
            <w:hideMark/>
          </w:tcPr>
          <w:p w14:paraId="4EC0D4A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-11.6%</w:t>
            </w:r>
          </w:p>
        </w:tc>
        <w:tc>
          <w:tcPr>
            <w:tcW w:w="1418" w:type="dxa"/>
            <w:tcBorders>
              <w:top w:val="nil"/>
              <w:left w:val="nil"/>
              <w:bottom w:val="single" w:sz="4" w:space="0" w:color="auto"/>
              <w:right w:val="single" w:sz="4" w:space="0" w:color="auto"/>
            </w:tcBorders>
            <w:hideMark/>
          </w:tcPr>
          <w:p w14:paraId="56AAA80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31.7%</w:t>
            </w:r>
          </w:p>
        </w:tc>
      </w:tr>
      <w:tr w:rsidR="007B29DD" w14:paraId="510147B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3BC232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39E6EA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4007FFD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5.5%</w:t>
            </w:r>
          </w:p>
        </w:tc>
        <w:tc>
          <w:tcPr>
            <w:tcW w:w="1419" w:type="dxa"/>
            <w:tcBorders>
              <w:top w:val="nil"/>
              <w:left w:val="nil"/>
              <w:bottom w:val="single" w:sz="4" w:space="0" w:color="auto"/>
              <w:right w:val="single" w:sz="4" w:space="0" w:color="auto"/>
            </w:tcBorders>
            <w:noWrap/>
            <w:hideMark/>
          </w:tcPr>
          <w:p w14:paraId="0DEFC38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10.4%</w:t>
            </w:r>
          </w:p>
        </w:tc>
        <w:tc>
          <w:tcPr>
            <w:tcW w:w="1276" w:type="dxa"/>
            <w:tcBorders>
              <w:top w:val="nil"/>
              <w:left w:val="nil"/>
              <w:bottom w:val="single" w:sz="4" w:space="0" w:color="auto"/>
              <w:right w:val="single" w:sz="4" w:space="0" w:color="auto"/>
            </w:tcBorders>
            <w:hideMark/>
          </w:tcPr>
          <w:p w14:paraId="422C469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-4.0%</w:t>
            </w:r>
          </w:p>
        </w:tc>
        <w:tc>
          <w:tcPr>
            <w:tcW w:w="1275" w:type="dxa"/>
            <w:tcBorders>
              <w:top w:val="nil"/>
              <w:left w:val="nil"/>
              <w:bottom w:val="single" w:sz="4" w:space="0" w:color="auto"/>
              <w:right w:val="single" w:sz="4" w:space="0" w:color="auto"/>
            </w:tcBorders>
            <w:hideMark/>
          </w:tcPr>
          <w:p w14:paraId="379CEC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-9.6%</w:t>
            </w:r>
          </w:p>
        </w:tc>
        <w:tc>
          <w:tcPr>
            <w:tcW w:w="1418" w:type="dxa"/>
            <w:tcBorders>
              <w:top w:val="nil"/>
              <w:left w:val="nil"/>
              <w:bottom w:val="single" w:sz="4" w:space="0" w:color="auto"/>
              <w:right w:val="single" w:sz="4" w:space="0" w:color="auto"/>
            </w:tcBorders>
            <w:hideMark/>
          </w:tcPr>
          <w:p w14:paraId="1A19208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34.6%</w:t>
            </w:r>
          </w:p>
        </w:tc>
      </w:tr>
      <w:tr w:rsidR="007B29DD" w14:paraId="4BC4026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928F03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293C19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2977DC96"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4.3%</w:t>
            </w:r>
          </w:p>
        </w:tc>
        <w:tc>
          <w:tcPr>
            <w:tcW w:w="1419" w:type="dxa"/>
            <w:tcBorders>
              <w:top w:val="nil"/>
              <w:left w:val="nil"/>
              <w:bottom w:val="single" w:sz="4" w:space="0" w:color="auto"/>
              <w:right w:val="single" w:sz="4" w:space="0" w:color="auto"/>
            </w:tcBorders>
            <w:noWrap/>
            <w:hideMark/>
          </w:tcPr>
          <w:p w14:paraId="765628A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13.7%</w:t>
            </w:r>
          </w:p>
        </w:tc>
        <w:tc>
          <w:tcPr>
            <w:tcW w:w="1276" w:type="dxa"/>
            <w:tcBorders>
              <w:top w:val="nil"/>
              <w:left w:val="nil"/>
              <w:bottom w:val="single" w:sz="4" w:space="0" w:color="auto"/>
              <w:right w:val="single" w:sz="4" w:space="0" w:color="auto"/>
            </w:tcBorders>
            <w:hideMark/>
          </w:tcPr>
          <w:p w14:paraId="6262776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-13.7%</w:t>
            </w:r>
          </w:p>
        </w:tc>
        <w:tc>
          <w:tcPr>
            <w:tcW w:w="1275" w:type="dxa"/>
            <w:tcBorders>
              <w:top w:val="nil"/>
              <w:left w:val="nil"/>
              <w:bottom w:val="single" w:sz="4" w:space="0" w:color="auto"/>
              <w:right w:val="single" w:sz="4" w:space="0" w:color="auto"/>
            </w:tcBorders>
            <w:hideMark/>
          </w:tcPr>
          <w:p w14:paraId="768C1B4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-4.3%</w:t>
            </w:r>
          </w:p>
        </w:tc>
        <w:tc>
          <w:tcPr>
            <w:tcW w:w="1418" w:type="dxa"/>
            <w:tcBorders>
              <w:top w:val="nil"/>
              <w:left w:val="nil"/>
              <w:bottom w:val="single" w:sz="4" w:space="0" w:color="auto"/>
              <w:right w:val="single" w:sz="4" w:space="0" w:color="auto"/>
            </w:tcBorders>
            <w:hideMark/>
          </w:tcPr>
          <w:p w14:paraId="7800A4E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20.9%</w:t>
            </w:r>
          </w:p>
        </w:tc>
      </w:tr>
      <w:tr w:rsidR="007B29DD" w14:paraId="565E6C2D"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399DB97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Avoca (408)</w:t>
            </w:r>
          </w:p>
        </w:tc>
        <w:tc>
          <w:tcPr>
            <w:tcW w:w="1559" w:type="dxa"/>
            <w:tcBorders>
              <w:top w:val="nil"/>
              <w:left w:val="nil"/>
              <w:bottom w:val="single" w:sz="4" w:space="0" w:color="auto"/>
              <w:right w:val="single" w:sz="4" w:space="0" w:color="auto"/>
            </w:tcBorders>
            <w:shd w:val="clear" w:color="auto" w:fill="D9D9D9"/>
            <w:vAlign w:val="center"/>
            <w:hideMark/>
          </w:tcPr>
          <w:p w14:paraId="72E1922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52AFCBC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4.8%</w:t>
            </w:r>
          </w:p>
        </w:tc>
        <w:tc>
          <w:tcPr>
            <w:tcW w:w="1419" w:type="dxa"/>
            <w:tcBorders>
              <w:top w:val="nil"/>
              <w:left w:val="nil"/>
              <w:bottom w:val="single" w:sz="4" w:space="0" w:color="auto"/>
              <w:right w:val="single" w:sz="4" w:space="0" w:color="auto"/>
            </w:tcBorders>
            <w:shd w:val="clear" w:color="auto" w:fill="D9D9D9"/>
            <w:noWrap/>
            <w:hideMark/>
          </w:tcPr>
          <w:p w14:paraId="3D29C91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9.1%</w:t>
            </w:r>
          </w:p>
        </w:tc>
        <w:tc>
          <w:tcPr>
            <w:tcW w:w="1276" w:type="dxa"/>
            <w:tcBorders>
              <w:top w:val="nil"/>
              <w:left w:val="nil"/>
              <w:bottom w:val="single" w:sz="4" w:space="0" w:color="auto"/>
              <w:right w:val="single" w:sz="4" w:space="0" w:color="auto"/>
            </w:tcBorders>
            <w:shd w:val="clear" w:color="auto" w:fill="D9D9D9"/>
            <w:hideMark/>
          </w:tcPr>
          <w:p w14:paraId="071466D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-3.1%</w:t>
            </w:r>
          </w:p>
        </w:tc>
        <w:tc>
          <w:tcPr>
            <w:tcW w:w="1275" w:type="dxa"/>
            <w:tcBorders>
              <w:top w:val="nil"/>
              <w:left w:val="nil"/>
              <w:bottom w:val="single" w:sz="4" w:space="0" w:color="auto"/>
              <w:right w:val="single" w:sz="4" w:space="0" w:color="auto"/>
            </w:tcBorders>
            <w:shd w:val="clear" w:color="auto" w:fill="D9D9D9"/>
            <w:hideMark/>
          </w:tcPr>
          <w:p w14:paraId="34BA777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-12.5%</w:t>
            </w:r>
          </w:p>
        </w:tc>
        <w:tc>
          <w:tcPr>
            <w:tcW w:w="1418" w:type="dxa"/>
            <w:tcBorders>
              <w:top w:val="nil"/>
              <w:left w:val="nil"/>
              <w:bottom w:val="single" w:sz="4" w:space="0" w:color="auto"/>
              <w:right w:val="single" w:sz="4" w:space="0" w:color="auto"/>
            </w:tcBorders>
            <w:shd w:val="clear" w:color="auto" w:fill="D9D9D9"/>
            <w:hideMark/>
          </w:tcPr>
          <w:p w14:paraId="7085C18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37.0%</w:t>
            </w:r>
          </w:p>
        </w:tc>
      </w:tr>
      <w:tr w:rsidR="007B29DD" w14:paraId="4AF3B68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F68D83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43C401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4674ECA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6.9%</w:t>
            </w:r>
          </w:p>
        </w:tc>
        <w:tc>
          <w:tcPr>
            <w:tcW w:w="1419" w:type="dxa"/>
            <w:tcBorders>
              <w:top w:val="nil"/>
              <w:left w:val="nil"/>
              <w:bottom w:val="single" w:sz="4" w:space="0" w:color="auto"/>
              <w:right w:val="single" w:sz="4" w:space="0" w:color="auto"/>
            </w:tcBorders>
            <w:shd w:val="clear" w:color="auto" w:fill="D9D9D9"/>
            <w:noWrap/>
            <w:hideMark/>
          </w:tcPr>
          <w:p w14:paraId="0EA7CB9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13.8%</w:t>
            </w:r>
          </w:p>
        </w:tc>
        <w:tc>
          <w:tcPr>
            <w:tcW w:w="1276" w:type="dxa"/>
            <w:tcBorders>
              <w:top w:val="nil"/>
              <w:left w:val="nil"/>
              <w:bottom w:val="single" w:sz="4" w:space="0" w:color="auto"/>
              <w:right w:val="single" w:sz="4" w:space="0" w:color="auto"/>
            </w:tcBorders>
            <w:shd w:val="clear" w:color="auto" w:fill="D9D9D9"/>
            <w:hideMark/>
          </w:tcPr>
          <w:p w14:paraId="563927A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-6.0%</w:t>
            </w:r>
          </w:p>
        </w:tc>
        <w:tc>
          <w:tcPr>
            <w:tcW w:w="1275" w:type="dxa"/>
            <w:tcBorders>
              <w:top w:val="nil"/>
              <w:left w:val="nil"/>
              <w:bottom w:val="single" w:sz="4" w:space="0" w:color="auto"/>
              <w:right w:val="single" w:sz="4" w:space="0" w:color="auto"/>
            </w:tcBorders>
            <w:shd w:val="clear" w:color="auto" w:fill="D9D9D9"/>
            <w:hideMark/>
          </w:tcPr>
          <w:p w14:paraId="69B42C4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-7.2%</w:t>
            </w:r>
          </w:p>
        </w:tc>
        <w:tc>
          <w:tcPr>
            <w:tcW w:w="1418" w:type="dxa"/>
            <w:tcBorders>
              <w:top w:val="nil"/>
              <w:left w:val="nil"/>
              <w:bottom w:val="single" w:sz="4" w:space="0" w:color="auto"/>
              <w:right w:val="single" w:sz="4" w:space="0" w:color="auto"/>
            </w:tcBorders>
            <w:shd w:val="clear" w:color="auto" w:fill="D9D9D9"/>
            <w:hideMark/>
          </w:tcPr>
          <w:p w14:paraId="4013997A"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33.1%</w:t>
            </w:r>
          </w:p>
        </w:tc>
      </w:tr>
      <w:tr w:rsidR="007B29DD" w14:paraId="7CF6AF6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2AF729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FCC51F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7C7055C7"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5.5%</w:t>
            </w:r>
          </w:p>
        </w:tc>
        <w:tc>
          <w:tcPr>
            <w:tcW w:w="1419" w:type="dxa"/>
            <w:tcBorders>
              <w:top w:val="nil"/>
              <w:left w:val="nil"/>
              <w:bottom w:val="single" w:sz="4" w:space="0" w:color="auto"/>
              <w:right w:val="single" w:sz="4" w:space="0" w:color="auto"/>
            </w:tcBorders>
            <w:shd w:val="clear" w:color="auto" w:fill="D9D9D9"/>
            <w:noWrap/>
            <w:hideMark/>
          </w:tcPr>
          <w:p w14:paraId="7C97B23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10.6%</w:t>
            </w:r>
          </w:p>
        </w:tc>
        <w:tc>
          <w:tcPr>
            <w:tcW w:w="1276" w:type="dxa"/>
            <w:tcBorders>
              <w:top w:val="nil"/>
              <w:left w:val="nil"/>
              <w:bottom w:val="single" w:sz="4" w:space="0" w:color="auto"/>
              <w:right w:val="single" w:sz="4" w:space="0" w:color="auto"/>
            </w:tcBorders>
            <w:shd w:val="clear" w:color="auto" w:fill="D9D9D9"/>
            <w:hideMark/>
          </w:tcPr>
          <w:p w14:paraId="629D032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-4.0%</w:t>
            </w:r>
          </w:p>
        </w:tc>
        <w:tc>
          <w:tcPr>
            <w:tcW w:w="1275" w:type="dxa"/>
            <w:tcBorders>
              <w:top w:val="nil"/>
              <w:left w:val="nil"/>
              <w:bottom w:val="single" w:sz="4" w:space="0" w:color="auto"/>
              <w:right w:val="single" w:sz="4" w:space="0" w:color="auto"/>
            </w:tcBorders>
            <w:shd w:val="clear" w:color="auto" w:fill="D9D9D9"/>
            <w:hideMark/>
          </w:tcPr>
          <w:p w14:paraId="3C8EF64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-13.6%</w:t>
            </w:r>
          </w:p>
        </w:tc>
        <w:tc>
          <w:tcPr>
            <w:tcW w:w="1418" w:type="dxa"/>
            <w:tcBorders>
              <w:top w:val="nil"/>
              <w:left w:val="nil"/>
              <w:bottom w:val="single" w:sz="4" w:space="0" w:color="auto"/>
              <w:right w:val="single" w:sz="4" w:space="0" w:color="auto"/>
            </w:tcBorders>
            <w:shd w:val="clear" w:color="auto" w:fill="D9D9D9"/>
            <w:hideMark/>
          </w:tcPr>
          <w:p w14:paraId="538A554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41.0%</w:t>
            </w:r>
          </w:p>
        </w:tc>
      </w:tr>
      <w:tr w:rsidR="007B29DD" w14:paraId="0D98511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EB3F31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8825A3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3BCB5F5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6.0%</w:t>
            </w:r>
          </w:p>
        </w:tc>
        <w:tc>
          <w:tcPr>
            <w:tcW w:w="1419" w:type="dxa"/>
            <w:tcBorders>
              <w:top w:val="nil"/>
              <w:left w:val="nil"/>
              <w:bottom w:val="single" w:sz="4" w:space="0" w:color="auto"/>
              <w:right w:val="single" w:sz="4" w:space="0" w:color="auto"/>
            </w:tcBorders>
            <w:shd w:val="clear" w:color="auto" w:fill="D9D9D9"/>
            <w:noWrap/>
            <w:hideMark/>
          </w:tcPr>
          <w:p w14:paraId="0415A6E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17.5%</w:t>
            </w:r>
          </w:p>
        </w:tc>
        <w:tc>
          <w:tcPr>
            <w:tcW w:w="1276" w:type="dxa"/>
            <w:tcBorders>
              <w:top w:val="nil"/>
              <w:left w:val="nil"/>
              <w:bottom w:val="single" w:sz="4" w:space="0" w:color="auto"/>
              <w:right w:val="single" w:sz="4" w:space="0" w:color="auto"/>
            </w:tcBorders>
            <w:shd w:val="clear" w:color="auto" w:fill="D9D9D9"/>
            <w:hideMark/>
          </w:tcPr>
          <w:p w14:paraId="4DB005D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-15.3%</w:t>
            </w:r>
          </w:p>
        </w:tc>
        <w:tc>
          <w:tcPr>
            <w:tcW w:w="1275" w:type="dxa"/>
            <w:tcBorders>
              <w:top w:val="nil"/>
              <w:left w:val="nil"/>
              <w:bottom w:val="single" w:sz="4" w:space="0" w:color="auto"/>
              <w:right w:val="single" w:sz="4" w:space="0" w:color="auto"/>
            </w:tcBorders>
            <w:shd w:val="clear" w:color="auto" w:fill="D9D9D9"/>
            <w:hideMark/>
          </w:tcPr>
          <w:p w14:paraId="74DDE05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-3.8%</w:t>
            </w:r>
          </w:p>
        </w:tc>
        <w:tc>
          <w:tcPr>
            <w:tcW w:w="1418" w:type="dxa"/>
            <w:tcBorders>
              <w:top w:val="nil"/>
              <w:left w:val="nil"/>
              <w:bottom w:val="single" w:sz="4" w:space="0" w:color="auto"/>
              <w:right w:val="single" w:sz="4" w:space="0" w:color="auto"/>
            </w:tcBorders>
            <w:shd w:val="clear" w:color="auto" w:fill="D9D9D9"/>
            <w:hideMark/>
          </w:tcPr>
          <w:p w14:paraId="7EF4BA3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24.2%</w:t>
            </w:r>
          </w:p>
        </w:tc>
      </w:tr>
      <w:tr w:rsidR="007B29DD" w14:paraId="3802A2B1"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276C4829"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Lower Murray (409)</w:t>
            </w:r>
          </w:p>
        </w:tc>
        <w:tc>
          <w:tcPr>
            <w:tcW w:w="1559" w:type="dxa"/>
            <w:tcBorders>
              <w:top w:val="nil"/>
              <w:left w:val="nil"/>
              <w:bottom w:val="single" w:sz="4" w:space="0" w:color="auto"/>
              <w:right w:val="single" w:sz="4" w:space="0" w:color="auto"/>
            </w:tcBorders>
            <w:vAlign w:val="center"/>
            <w:hideMark/>
          </w:tcPr>
          <w:p w14:paraId="00190E1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5C3E168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7.3%</w:t>
            </w:r>
          </w:p>
        </w:tc>
        <w:tc>
          <w:tcPr>
            <w:tcW w:w="1419" w:type="dxa"/>
            <w:tcBorders>
              <w:top w:val="nil"/>
              <w:left w:val="nil"/>
              <w:bottom w:val="single" w:sz="4" w:space="0" w:color="auto"/>
              <w:right w:val="single" w:sz="4" w:space="0" w:color="auto"/>
            </w:tcBorders>
            <w:noWrap/>
            <w:hideMark/>
          </w:tcPr>
          <w:p w14:paraId="54F2AC7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12.2%</w:t>
            </w:r>
          </w:p>
        </w:tc>
        <w:tc>
          <w:tcPr>
            <w:tcW w:w="1276" w:type="dxa"/>
            <w:tcBorders>
              <w:top w:val="nil"/>
              <w:left w:val="nil"/>
              <w:bottom w:val="single" w:sz="4" w:space="0" w:color="auto"/>
              <w:right w:val="single" w:sz="4" w:space="0" w:color="auto"/>
            </w:tcBorders>
            <w:hideMark/>
          </w:tcPr>
          <w:p w14:paraId="7CCED83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-0.8%</w:t>
            </w:r>
          </w:p>
        </w:tc>
        <w:tc>
          <w:tcPr>
            <w:tcW w:w="1275" w:type="dxa"/>
            <w:tcBorders>
              <w:top w:val="nil"/>
              <w:left w:val="nil"/>
              <w:bottom w:val="single" w:sz="4" w:space="0" w:color="auto"/>
              <w:right w:val="single" w:sz="4" w:space="0" w:color="auto"/>
            </w:tcBorders>
            <w:hideMark/>
          </w:tcPr>
          <w:p w14:paraId="2648F23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-8.5%</w:t>
            </w:r>
          </w:p>
        </w:tc>
        <w:tc>
          <w:tcPr>
            <w:tcW w:w="1418" w:type="dxa"/>
            <w:tcBorders>
              <w:top w:val="nil"/>
              <w:left w:val="nil"/>
              <w:bottom w:val="single" w:sz="4" w:space="0" w:color="auto"/>
              <w:right w:val="single" w:sz="4" w:space="0" w:color="auto"/>
            </w:tcBorders>
            <w:hideMark/>
          </w:tcPr>
          <w:p w14:paraId="57822CE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33.2%</w:t>
            </w:r>
          </w:p>
        </w:tc>
      </w:tr>
      <w:tr w:rsidR="007B29DD" w14:paraId="6033720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828404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B36FE2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27C0B22D"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9.1%</w:t>
            </w:r>
          </w:p>
        </w:tc>
        <w:tc>
          <w:tcPr>
            <w:tcW w:w="1419" w:type="dxa"/>
            <w:tcBorders>
              <w:top w:val="nil"/>
              <w:left w:val="nil"/>
              <w:bottom w:val="single" w:sz="4" w:space="0" w:color="auto"/>
              <w:right w:val="single" w:sz="4" w:space="0" w:color="auto"/>
            </w:tcBorders>
            <w:noWrap/>
            <w:hideMark/>
          </w:tcPr>
          <w:p w14:paraId="26802EE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15.9%</w:t>
            </w:r>
          </w:p>
        </w:tc>
        <w:tc>
          <w:tcPr>
            <w:tcW w:w="1276" w:type="dxa"/>
            <w:tcBorders>
              <w:top w:val="nil"/>
              <w:left w:val="nil"/>
              <w:bottom w:val="single" w:sz="4" w:space="0" w:color="auto"/>
              <w:right w:val="single" w:sz="4" w:space="0" w:color="auto"/>
            </w:tcBorders>
            <w:hideMark/>
          </w:tcPr>
          <w:p w14:paraId="1E953E5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-2.1%</w:t>
            </w:r>
          </w:p>
        </w:tc>
        <w:tc>
          <w:tcPr>
            <w:tcW w:w="1275" w:type="dxa"/>
            <w:tcBorders>
              <w:top w:val="nil"/>
              <w:left w:val="nil"/>
              <w:bottom w:val="single" w:sz="4" w:space="0" w:color="auto"/>
              <w:right w:val="single" w:sz="4" w:space="0" w:color="auto"/>
            </w:tcBorders>
            <w:hideMark/>
          </w:tcPr>
          <w:p w14:paraId="5E85A6A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-9.0%</w:t>
            </w:r>
          </w:p>
        </w:tc>
        <w:tc>
          <w:tcPr>
            <w:tcW w:w="1418" w:type="dxa"/>
            <w:tcBorders>
              <w:top w:val="nil"/>
              <w:left w:val="nil"/>
              <w:bottom w:val="single" w:sz="4" w:space="0" w:color="auto"/>
              <w:right w:val="single" w:sz="4" w:space="0" w:color="auto"/>
            </w:tcBorders>
            <w:hideMark/>
          </w:tcPr>
          <w:p w14:paraId="4857826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38.7%</w:t>
            </w:r>
          </w:p>
        </w:tc>
      </w:tr>
      <w:tr w:rsidR="007B29DD" w14:paraId="7901CE9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0AB507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73B973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425D21C"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6.2%</w:t>
            </w:r>
          </w:p>
        </w:tc>
        <w:tc>
          <w:tcPr>
            <w:tcW w:w="1419" w:type="dxa"/>
            <w:tcBorders>
              <w:top w:val="nil"/>
              <w:left w:val="nil"/>
              <w:bottom w:val="single" w:sz="4" w:space="0" w:color="auto"/>
              <w:right w:val="single" w:sz="4" w:space="0" w:color="auto"/>
            </w:tcBorders>
            <w:noWrap/>
            <w:hideMark/>
          </w:tcPr>
          <w:p w14:paraId="39FA329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14.1%</w:t>
            </w:r>
          </w:p>
        </w:tc>
        <w:tc>
          <w:tcPr>
            <w:tcW w:w="1276" w:type="dxa"/>
            <w:tcBorders>
              <w:top w:val="nil"/>
              <w:left w:val="nil"/>
              <w:bottom w:val="single" w:sz="4" w:space="0" w:color="auto"/>
              <w:right w:val="single" w:sz="4" w:space="0" w:color="auto"/>
            </w:tcBorders>
            <w:hideMark/>
          </w:tcPr>
          <w:p w14:paraId="4E72DFE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-6.7%</w:t>
            </w:r>
          </w:p>
        </w:tc>
        <w:tc>
          <w:tcPr>
            <w:tcW w:w="1275" w:type="dxa"/>
            <w:tcBorders>
              <w:top w:val="nil"/>
              <w:left w:val="nil"/>
              <w:bottom w:val="single" w:sz="4" w:space="0" w:color="auto"/>
              <w:right w:val="single" w:sz="4" w:space="0" w:color="auto"/>
            </w:tcBorders>
            <w:hideMark/>
          </w:tcPr>
          <w:p w14:paraId="2805A5F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-15.9%</w:t>
            </w:r>
          </w:p>
        </w:tc>
        <w:tc>
          <w:tcPr>
            <w:tcW w:w="1418" w:type="dxa"/>
            <w:tcBorders>
              <w:top w:val="nil"/>
              <w:left w:val="nil"/>
              <w:bottom w:val="single" w:sz="4" w:space="0" w:color="auto"/>
              <w:right w:val="single" w:sz="4" w:space="0" w:color="auto"/>
            </w:tcBorders>
            <w:hideMark/>
          </w:tcPr>
          <w:p w14:paraId="7BBC11BF"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42.5%</w:t>
            </w:r>
          </w:p>
        </w:tc>
      </w:tr>
      <w:tr w:rsidR="007B29DD" w14:paraId="194B2DE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5602B2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565954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051D5BAE"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7.4%</w:t>
            </w:r>
          </w:p>
        </w:tc>
        <w:tc>
          <w:tcPr>
            <w:tcW w:w="1419" w:type="dxa"/>
            <w:tcBorders>
              <w:top w:val="nil"/>
              <w:left w:val="nil"/>
              <w:bottom w:val="single" w:sz="4" w:space="0" w:color="auto"/>
              <w:right w:val="single" w:sz="4" w:space="0" w:color="auto"/>
            </w:tcBorders>
            <w:noWrap/>
            <w:hideMark/>
          </w:tcPr>
          <w:p w14:paraId="5252D83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15.4%</w:t>
            </w:r>
          </w:p>
        </w:tc>
        <w:tc>
          <w:tcPr>
            <w:tcW w:w="1276" w:type="dxa"/>
            <w:tcBorders>
              <w:top w:val="nil"/>
              <w:left w:val="nil"/>
              <w:bottom w:val="single" w:sz="4" w:space="0" w:color="auto"/>
              <w:right w:val="single" w:sz="4" w:space="0" w:color="auto"/>
            </w:tcBorders>
            <w:hideMark/>
          </w:tcPr>
          <w:p w14:paraId="4F3E4E3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-5.6%</w:t>
            </w:r>
          </w:p>
        </w:tc>
        <w:tc>
          <w:tcPr>
            <w:tcW w:w="1275" w:type="dxa"/>
            <w:tcBorders>
              <w:top w:val="nil"/>
              <w:left w:val="nil"/>
              <w:bottom w:val="single" w:sz="4" w:space="0" w:color="auto"/>
              <w:right w:val="single" w:sz="4" w:space="0" w:color="auto"/>
            </w:tcBorders>
            <w:hideMark/>
          </w:tcPr>
          <w:p w14:paraId="244B545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-4.5%</w:t>
            </w:r>
          </w:p>
        </w:tc>
        <w:tc>
          <w:tcPr>
            <w:tcW w:w="1418" w:type="dxa"/>
            <w:tcBorders>
              <w:top w:val="nil"/>
              <w:left w:val="nil"/>
              <w:bottom w:val="single" w:sz="4" w:space="0" w:color="auto"/>
              <w:right w:val="single" w:sz="4" w:space="0" w:color="auto"/>
            </w:tcBorders>
            <w:hideMark/>
          </w:tcPr>
          <w:p w14:paraId="78EF8EE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26.8%</w:t>
            </w:r>
          </w:p>
        </w:tc>
      </w:tr>
      <w:tr w:rsidR="007B29DD" w14:paraId="54A86CA4"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742DEBD5"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Mallee (414)</w:t>
            </w:r>
          </w:p>
        </w:tc>
        <w:tc>
          <w:tcPr>
            <w:tcW w:w="1559" w:type="dxa"/>
            <w:tcBorders>
              <w:top w:val="nil"/>
              <w:left w:val="nil"/>
              <w:bottom w:val="single" w:sz="4" w:space="0" w:color="auto"/>
              <w:right w:val="single" w:sz="4" w:space="0" w:color="auto"/>
            </w:tcBorders>
            <w:shd w:val="clear" w:color="auto" w:fill="D9D9D9"/>
            <w:vAlign w:val="center"/>
            <w:hideMark/>
          </w:tcPr>
          <w:p w14:paraId="20BD4B8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1908661F"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4.7%</w:t>
            </w:r>
          </w:p>
        </w:tc>
        <w:tc>
          <w:tcPr>
            <w:tcW w:w="1419" w:type="dxa"/>
            <w:tcBorders>
              <w:top w:val="nil"/>
              <w:left w:val="nil"/>
              <w:bottom w:val="single" w:sz="4" w:space="0" w:color="auto"/>
              <w:right w:val="single" w:sz="4" w:space="0" w:color="auto"/>
            </w:tcBorders>
            <w:shd w:val="clear" w:color="auto" w:fill="D9D9D9"/>
            <w:noWrap/>
            <w:hideMark/>
          </w:tcPr>
          <w:p w14:paraId="72427D7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10.6%</w:t>
            </w:r>
          </w:p>
        </w:tc>
        <w:tc>
          <w:tcPr>
            <w:tcW w:w="1276" w:type="dxa"/>
            <w:tcBorders>
              <w:top w:val="nil"/>
              <w:left w:val="nil"/>
              <w:bottom w:val="single" w:sz="4" w:space="0" w:color="auto"/>
              <w:right w:val="single" w:sz="4" w:space="0" w:color="auto"/>
            </w:tcBorders>
            <w:shd w:val="clear" w:color="auto" w:fill="D9D9D9"/>
            <w:hideMark/>
          </w:tcPr>
          <w:p w14:paraId="7BD32B2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-7.1%</w:t>
            </w:r>
          </w:p>
        </w:tc>
        <w:tc>
          <w:tcPr>
            <w:tcW w:w="1275" w:type="dxa"/>
            <w:tcBorders>
              <w:top w:val="nil"/>
              <w:left w:val="nil"/>
              <w:bottom w:val="single" w:sz="4" w:space="0" w:color="auto"/>
              <w:right w:val="single" w:sz="4" w:space="0" w:color="auto"/>
            </w:tcBorders>
            <w:shd w:val="clear" w:color="auto" w:fill="D9D9D9"/>
            <w:hideMark/>
          </w:tcPr>
          <w:p w14:paraId="6F2B153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-14.2%</w:t>
            </w:r>
          </w:p>
        </w:tc>
        <w:tc>
          <w:tcPr>
            <w:tcW w:w="1418" w:type="dxa"/>
            <w:tcBorders>
              <w:top w:val="nil"/>
              <w:left w:val="nil"/>
              <w:bottom w:val="single" w:sz="4" w:space="0" w:color="auto"/>
              <w:right w:val="single" w:sz="4" w:space="0" w:color="auto"/>
            </w:tcBorders>
            <w:shd w:val="clear" w:color="auto" w:fill="D9D9D9"/>
            <w:hideMark/>
          </w:tcPr>
          <w:p w14:paraId="62D9B2A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42.4%</w:t>
            </w:r>
          </w:p>
        </w:tc>
      </w:tr>
      <w:tr w:rsidR="007B29DD" w14:paraId="24A889E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C5CA89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9BCA0F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0478041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6.9%</w:t>
            </w:r>
          </w:p>
        </w:tc>
        <w:tc>
          <w:tcPr>
            <w:tcW w:w="1419" w:type="dxa"/>
            <w:tcBorders>
              <w:top w:val="nil"/>
              <w:left w:val="nil"/>
              <w:bottom w:val="single" w:sz="4" w:space="0" w:color="auto"/>
              <w:right w:val="single" w:sz="4" w:space="0" w:color="auto"/>
            </w:tcBorders>
            <w:shd w:val="clear" w:color="auto" w:fill="D9D9D9"/>
            <w:noWrap/>
            <w:hideMark/>
          </w:tcPr>
          <w:p w14:paraId="0B41B077"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13.0%</w:t>
            </w:r>
          </w:p>
        </w:tc>
        <w:tc>
          <w:tcPr>
            <w:tcW w:w="1276" w:type="dxa"/>
            <w:tcBorders>
              <w:top w:val="nil"/>
              <w:left w:val="nil"/>
              <w:bottom w:val="single" w:sz="4" w:space="0" w:color="auto"/>
              <w:right w:val="single" w:sz="4" w:space="0" w:color="auto"/>
            </w:tcBorders>
            <w:shd w:val="clear" w:color="auto" w:fill="D9D9D9"/>
            <w:hideMark/>
          </w:tcPr>
          <w:p w14:paraId="721B6AF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-5.2%</w:t>
            </w:r>
          </w:p>
        </w:tc>
        <w:tc>
          <w:tcPr>
            <w:tcW w:w="1275" w:type="dxa"/>
            <w:tcBorders>
              <w:top w:val="nil"/>
              <w:left w:val="nil"/>
              <w:bottom w:val="single" w:sz="4" w:space="0" w:color="auto"/>
              <w:right w:val="single" w:sz="4" w:space="0" w:color="auto"/>
            </w:tcBorders>
            <w:shd w:val="clear" w:color="auto" w:fill="D9D9D9"/>
            <w:hideMark/>
          </w:tcPr>
          <w:p w14:paraId="20E48118"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-9.4%</w:t>
            </w:r>
          </w:p>
        </w:tc>
        <w:tc>
          <w:tcPr>
            <w:tcW w:w="1418" w:type="dxa"/>
            <w:tcBorders>
              <w:top w:val="nil"/>
              <w:left w:val="nil"/>
              <w:bottom w:val="single" w:sz="4" w:space="0" w:color="auto"/>
              <w:right w:val="single" w:sz="4" w:space="0" w:color="auto"/>
            </w:tcBorders>
            <w:shd w:val="clear" w:color="auto" w:fill="D9D9D9"/>
            <w:hideMark/>
          </w:tcPr>
          <w:p w14:paraId="7939421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39.4%</w:t>
            </w:r>
          </w:p>
        </w:tc>
      </w:tr>
      <w:tr w:rsidR="007B29DD" w14:paraId="4E09572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0BF22F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FADDCA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7BF630F4"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4.5%</w:t>
            </w:r>
          </w:p>
        </w:tc>
        <w:tc>
          <w:tcPr>
            <w:tcW w:w="1419" w:type="dxa"/>
            <w:tcBorders>
              <w:top w:val="nil"/>
              <w:left w:val="nil"/>
              <w:bottom w:val="single" w:sz="4" w:space="0" w:color="auto"/>
              <w:right w:val="single" w:sz="4" w:space="0" w:color="auto"/>
            </w:tcBorders>
            <w:shd w:val="clear" w:color="auto" w:fill="D9D9D9"/>
            <w:noWrap/>
            <w:hideMark/>
          </w:tcPr>
          <w:p w14:paraId="2EC0F57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10.8%</w:t>
            </w:r>
          </w:p>
        </w:tc>
        <w:tc>
          <w:tcPr>
            <w:tcW w:w="1276" w:type="dxa"/>
            <w:tcBorders>
              <w:top w:val="nil"/>
              <w:left w:val="nil"/>
              <w:bottom w:val="single" w:sz="4" w:space="0" w:color="auto"/>
              <w:right w:val="single" w:sz="4" w:space="0" w:color="auto"/>
            </w:tcBorders>
            <w:shd w:val="clear" w:color="auto" w:fill="D9D9D9"/>
            <w:hideMark/>
          </w:tcPr>
          <w:p w14:paraId="3B9543E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-8.0%</w:t>
            </w:r>
          </w:p>
        </w:tc>
        <w:tc>
          <w:tcPr>
            <w:tcW w:w="1275" w:type="dxa"/>
            <w:tcBorders>
              <w:top w:val="nil"/>
              <w:left w:val="nil"/>
              <w:bottom w:val="single" w:sz="4" w:space="0" w:color="auto"/>
              <w:right w:val="single" w:sz="4" w:space="0" w:color="auto"/>
            </w:tcBorders>
            <w:shd w:val="clear" w:color="auto" w:fill="D9D9D9"/>
            <w:hideMark/>
          </w:tcPr>
          <w:p w14:paraId="6859AEF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-17.5%</w:t>
            </w:r>
          </w:p>
        </w:tc>
        <w:tc>
          <w:tcPr>
            <w:tcW w:w="1418" w:type="dxa"/>
            <w:tcBorders>
              <w:top w:val="nil"/>
              <w:left w:val="nil"/>
              <w:bottom w:val="single" w:sz="4" w:space="0" w:color="auto"/>
              <w:right w:val="single" w:sz="4" w:space="0" w:color="auto"/>
            </w:tcBorders>
            <w:shd w:val="clear" w:color="auto" w:fill="D9D9D9"/>
            <w:hideMark/>
          </w:tcPr>
          <w:p w14:paraId="5399CAE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48.4%</w:t>
            </w:r>
          </w:p>
        </w:tc>
      </w:tr>
      <w:tr w:rsidR="007B29DD" w14:paraId="123037B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617A9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1A7C8C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2CCDFAF8"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7.1%</w:t>
            </w:r>
          </w:p>
        </w:tc>
        <w:tc>
          <w:tcPr>
            <w:tcW w:w="1419" w:type="dxa"/>
            <w:tcBorders>
              <w:top w:val="nil"/>
              <w:left w:val="nil"/>
              <w:bottom w:val="single" w:sz="4" w:space="0" w:color="auto"/>
              <w:right w:val="single" w:sz="4" w:space="0" w:color="auto"/>
            </w:tcBorders>
            <w:shd w:val="clear" w:color="auto" w:fill="D9D9D9"/>
            <w:noWrap/>
            <w:hideMark/>
          </w:tcPr>
          <w:p w14:paraId="7521C7EB"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18.5%</w:t>
            </w:r>
          </w:p>
        </w:tc>
        <w:tc>
          <w:tcPr>
            <w:tcW w:w="1276" w:type="dxa"/>
            <w:tcBorders>
              <w:top w:val="nil"/>
              <w:left w:val="nil"/>
              <w:bottom w:val="single" w:sz="4" w:space="0" w:color="auto"/>
              <w:right w:val="single" w:sz="4" w:space="0" w:color="auto"/>
            </w:tcBorders>
            <w:shd w:val="clear" w:color="auto" w:fill="D9D9D9"/>
            <w:hideMark/>
          </w:tcPr>
          <w:p w14:paraId="2BFF7BA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-15.7%</w:t>
            </w:r>
          </w:p>
        </w:tc>
        <w:tc>
          <w:tcPr>
            <w:tcW w:w="1275" w:type="dxa"/>
            <w:tcBorders>
              <w:top w:val="nil"/>
              <w:left w:val="nil"/>
              <w:bottom w:val="single" w:sz="4" w:space="0" w:color="auto"/>
              <w:right w:val="single" w:sz="4" w:space="0" w:color="auto"/>
            </w:tcBorders>
            <w:shd w:val="clear" w:color="auto" w:fill="D9D9D9"/>
            <w:hideMark/>
          </w:tcPr>
          <w:p w14:paraId="03389F0D"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-2.5%</w:t>
            </w:r>
          </w:p>
        </w:tc>
        <w:tc>
          <w:tcPr>
            <w:tcW w:w="1418" w:type="dxa"/>
            <w:tcBorders>
              <w:top w:val="nil"/>
              <w:left w:val="nil"/>
              <w:bottom w:val="single" w:sz="4" w:space="0" w:color="auto"/>
              <w:right w:val="single" w:sz="4" w:space="0" w:color="auto"/>
            </w:tcBorders>
            <w:shd w:val="clear" w:color="auto" w:fill="D9D9D9"/>
            <w:hideMark/>
          </w:tcPr>
          <w:p w14:paraId="2E3A6B3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26.2%</w:t>
            </w:r>
          </w:p>
        </w:tc>
      </w:tr>
      <w:tr w:rsidR="007B29DD" w14:paraId="0185EAD0"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ED60EF7" w14:textId="77777777" w:rsidR="007B29DD" w:rsidRDefault="007B29DD" w:rsidP="00306AF1">
            <w:pPr>
              <w:keepNext/>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Wimmera (415)</w:t>
            </w:r>
          </w:p>
        </w:tc>
        <w:tc>
          <w:tcPr>
            <w:tcW w:w="1559" w:type="dxa"/>
            <w:tcBorders>
              <w:top w:val="nil"/>
              <w:left w:val="nil"/>
              <w:bottom w:val="single" w:sz="4" w:space="0" w:color="auto"/>
              <w:right w:val="single" w:sz="4" w:space="0" w:color="auto"/>
            </w:tcBorders>
            <w:vAlign w:val="center"/>
            <w:hideMark/>
          </w:tcPr>
          <w:p w14:paraId="55090F5E"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579F69BB" w14:textId="77777777" w:rsidR="007B29DD" w:rsidRPr="004C0028" w:rsidRDefault="007B29DD" w:rsidP="00306AF1">
            <w:pPr>
              <w:keepNext/>
              <w:spacing w:line="240" w:lineRule="auto"/>
              <w:jc w:val="center"/>
              <w:rPr>
                <w:rFonts w:ascii="Calibri" w:hAnsi="Calibri" w:cs="Calibri"/>
                <w:color w:val="000000"/>
                <w:lang w:val="en-US" w:eastAsia="zh-CN"/>
              </w:rPr>
            </w:pPr>
            <w:r w:rsidRPr="004C0028">
              <w:rPr>
                <w:rFonts w:ascii="Calibri" w:hAnsi="Calibri" w:cs="Calibri"/>
              </w:rPr>
              <w:t>2.0%</w:t>
            </w:r>
          </w:p>
        </w:tc>
        <w:tc>
          <w:tcPr>
            <w:tcW w:w="1419" w:type="dxa"/>
            <w:tcBorders>
              <w:top w:val="nil"/>
              <w:left w:val="nil"/>
              <w:bottom w:val="single" w:sz="4" w:space="0" w:color="auto"/>
              <w:right w:val="single" w:sz="4" w:space="0" w:color="auto"/>
            </w:tcBorders>
            <w:noWrap/>
            <w:hideMark/>
          </w:tcPr>
          <w:p w14:paraId="19A809F2"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5.6%</w:t>
            </w:r>
          </w:p>
        </w:tc>
        <w:tc>
          <w:tcPr>
            <w:tcW w:w="1276" w:type="dxa"/>
            <w:tcBorders>
              <w:top w:val="nil"/>
              <w:left w:val="nil"/>
              <w:bottom w:val="single" w:sz="4" w:space="0" w:color="auto"/>
              <w:right w:val="single" w:sz="4" w:space="0" w:color="auto"/>
            </w:tcBorders>
            <w:hideMark/>
          </w:tcPr>
          <w:p w14:paraId="5E9248AD"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-6.0%</w:t>
            </w:r>
          </w:p>
        </w:tc>
        <w:tc>
          <w:tcPr>
            <w:tcW w:w="1275" w:type="dxa"/>
            <w:tcBorders>
              <w:top w:val="nil"/>
              <w:left w:val="nil"/>
              <w:bottom w:val="single" w:sz="4" w:space="0" w:color="auto"/>
              <w:right w:val="single" w:sz="4" w:space="0" w:color="auto"/>
            </w:tcBorders>
            <w:hideMark/>
          </w:tcPr>
          <w:p w14:paraId="2CFB04CB"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-10.0%</w:t>
            </w:r>
          </w:p>
        </w:tc>
        <w:tc>
          <w:tcPr>
            <w:tcW w:w="1418" w:type="dxa"/>
            <w:tcBorders>
              <w:top w:val="nil"/>
              <w:left w:val="nil"/>
              <w:bottom w:val="single" w:sz="4" w:space="0" w:color="auto"/>
              <w:right w:val="single" w:sz="4" w:space="0" w:color="auto"/>
            </w:tcBorders>
            <w:hideMark/>
          </w:tcPr>
          <w:p w14:paraId="34F3A176" w14:textId="77777777" w:rsidR="007B29DD" w:rsidRPr="004C0028" w:rsidRDefault="007B29DD" w:rsidP="00306AF1">
            <w:pPr>
              <w:keepNext/>
              <w:spacing w:line="240" w:lineRule="auto"/>
              <w:jc w:val="center"/>
              <w:rPr>
                <w:rFonts w:ascii="Calibri" w:hAnsi="Calibri" w:cs="Calibri"/>
                <w:lang w:val="en-US" w:eastAsia="zh-CN"/>
              </w:rPr>
            </w:pPr>
            <w:r w:rsidRPr="004C0028">
              <w:rPr>
                <w:rFonts w:ascii="Calibri" w:hAnsi="Calibri" w:cs="Calibri"/>
              </w:rPr>
              <w:t>28.5%</w:t>
            </w:r>
          </w:p>
        </w:tc>
      </w:tr>
      <w:tr w:rsidR="007B29DD" w14:paraId="1E1CEFF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98DD0D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0922A3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226B52D9"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3.9%</w:t>
            </w:r>
          </w:p>
        </w:tc>
        <w:tc>
          <w:tcPr>
            <w:tcW w:w="1419" w:type="dxa"/>
            <w:tcBorders>
              <w:top w:val="nil"/>
              <w:left w:val="nil"/>
              <w:bottom w:val="single" w:sz="4" w:space="0" w:color="auto"/>
              <w:right w:val="single" w:sz="4" w:space="0" w:color="auto"/>
            </w:tcBorders>
            <w:noWrap/>
            <w:hideMark/>
          </w:tcPr>
          <w:p w14:paraId="0A560126"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10.2%</w:t>
            </w:r>
          </w:p>
        </w:tc>
        <w:tc>
          <w:tcPr>
            <w:tcW w:w="1276" w:type="dxa"/>
            <w:tcBorders>
              <w:top w:val="nil"/>
              <w:left w:val="nil"/>
              <w:bottom w:val="single" w:sz="4" w:space="0" w:color="auto"/>
              <w:right w:val="single" w:sz="4" w:space="0" w:color="auto"/>
            </w:tcBorders>
            <w:hideMark/>
          </w:tcPr>
          <w:p w14:paraId="2076D461"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-10.1%</w:t>
            </w:r>
          </w:p>
        </w:tc>
        <w:tc>
          <w:tcPr>
            <w:tcW w:w="1275" w:type="dxa"/>
            <w:tcBorders>
              <w:top w:val="nil"/>
              <w:left w:val="nil"/>
              <w:bottom w:val="single" w:sz="4" w:space="0" w:color="auto"/>
              <w:right w:val="single" w:sz="4" w:space="0" w:color="auto"/>
            </w:tcBorders>
            <w:hideMark/>
          </w:tcPr>
          <w:p w14:paraId="09BE4699"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-8.2%</w:t>
            </w:r>
          </w:p>
        </w:tc>
        <w:tc>
          <w:tcPr>
            <w:tcW w:w="1418" w:type="dxa"/>
            <w:tcBorders>
              <w:top w:val="nil"/>
              <w:left w:val="nil"/>
              <w:bottom w:val="single" w:sz="4" w:space="0" w:color="auto"/>
              <w:right w:val="single" w:sz="4" w:space="0" w:color="auto"/>
            </w:tcBorders>
            <w:hideMark/>
          </w:tcPr>
          <w:p w14:paraId="63A7240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30.5%</w:t>
            </w:r>
          </w:p>
        </w:tc>
      </w:tr>
      <w:tr w:rsidR="007B29DD" w14:paraId="50787F6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2F0F0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3615FA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99E91A3"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4.9%</w:t>
            </w:r>
          </w:p>
        </w:tc>
        <w:tc>
          <w:tcPr>
            <w:tcW w:w="1419" w:type="dxa"/>
            <w:tcBorders>
              <w:top w:val="nil"/>
              <w:left w:val="nil"/>
              <w:bottom w:val="single" w:sz="4" w:space="0" w:color="auto"/>
              <w:right w:val="single" w:sz="4" w:space="0" w:color="auto"/>
            </w:tcBorders>
            <w:noWrap/>
            <w:hideMark/>
          </w:tcPr>
          <w:p w14:paraId="2345CE24"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10.7%</w:t>
            </w:r>
          </w:p>
        </w:tc>
        <w:tc>
          <w:tcPr>
            <w:tcW w:w="1276" w:type="dxa"/>
            <w:tcBorders>
              <w:top w:val="nil"/>
              <w:left w:val="nil"/>
              <w:bottom w:val="single" w:sz="4" w:space="0" w:color="auto"/>
              <w:right w:val="single" w:sz="4" w:space="0" w:color="auto"/>
            </w:tcBorders>
            <w:hideMark/>
          </w:tcPr>
          <w:p w14:paraId="4802103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-7.8%</w:t>
            </w:r>
          </w:p>
        </w:tc>
        <w:tc>
          <w:tcPr>
            <w:tcW w:w="1275" w:type="dxa"/>
            <w:tcBorders>
              <w:top w:val="nil"/>
              <w:left w:val="nil"/>
              <w:bottom w:val="single" w:sz="4" w:space="0" w:color="auto"/>
              <w:right w:val="single" w:sz="4" w:space="0" w:color="auto"/>
            </w:tcBorders>
            <w:hideMark/>
          </w:tcPr>
          <w:p w14:paraId="12343532"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-9.6%</w:t>
            </w:r>
          </w:p>
        </w:tc>
        <w:tc>
          <w:tcPr>
            <w:tcW w:w="1418" w:type="dxa"/>
            <w:tcBorders>
              <w:top w:val="nil"/>
              <w:left w:val="nil"/>
              <w:bottom w:val="single" w:sz="4" w:space="0" w:color="auto"/>
              <w:right w:val="single" w:sz="4" w:space="0" w:color="auto"/>
            </w:tcBorders>
            <w:hideMark/>
          </w:tcPr>
          <w:p w14:paraId="77E96945"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36.8%</w:t>
            </w:r>
          </w:p>
        </w:tc>
      </w:tr>
      <w:tr w:rsidR="007B29DD" w14:paraId="0BF5845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9BCEF6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0384F5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2B48235B" w14:textId="77777777" w:rsidR="007B29DD" w:rsidRPr="004C0028" w:rsidRDefault="007B29DD" w:rsidP="00306AF1">
            <w:pPr>
              <w:spacing w:line="240" w:lineRule="auto"/>
              <w:jc w:val="center"/>
              <w:rPr>
                <w:rFonts w:ascii="Calibri" w:hAnsi="Calibri" w:cs="Calibri"/>
                <w:color w:val="000000"/>
                <w:lang w:val="en-US" w:eastAsia="zh-CN"/>
              </w:rPr>
            </w:pPr>
            <w:r w:rsidRPr="004C0028">
              <w:rPr>
                <w:rFonts w:ascii="Calibri" w:hAnsi="Calibri" w:cs="Calibri"/>
              </w:rPr>
              <w:t>4.2%</w:t>
            </w:r>
          </w:p>
        </w:tc>
        <w:tc>
          <w:tcPr>
            <w:tcW w:w="1419" w:type="dxa"/>
            <w:tcBorders>
              <w:top w:val="nil"/>
              <w:left w:val="nil"/>
              <w:bottom w:val="single" w:sz="4" w:space="0" w:color="auto"/>
              <w:right w:val="single" w:sz="4" w:space="0" w:color="auto"/>
            </w:tcBorders>
            <w:noWrap/>
            <w:hideMark/>
          </w:tcPr>
          <w:p w14:paraId="09812BBC"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13.2%</w:t>
            </w:r>
          </w:p>
        </w:tc>
        <w:tc>
          <w:tcPr>
            <w:tcW w:w="1276" w:type="dxa"/>
            <w:tcBorders>
              <w:top w:val="nil"/>
              <w:left w:val="nil"/>
              <w:bottom w:val="single" w:sz="4" w:space="0" w:color="auto"/>
              <w:right w:val="single" w:sz="4" w:space="0" w:color="auto"/>
            </w:tcBorders>
            <w:hideMark/>
          </w:tcPr>
          <w:p w14:paraId="3B777E53"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-15.6%</w:t>
            </w:r>
          </w:p>
        </w:tc>
        <w:tc>
          <w:tcPr>
            <w:tcW w:w="1275" w:type="dxa"/>
            <w:tcBorders>
              <w:top w:val="nil"/>
              <w:left w:val="nil"/>
              <w:bottom w:val="single" w:sz="4" w:space="0" w:color="auto"/>
              <w:right w:val="single" w:sz="4" w:space="0" w:color="auto"/>
            </w:tcBorders>
            <w:hideMark/>
          </w:tcPr>
          <w:p w14:paraId="72360460"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-4.3%</w:t>
            </w:r>
          </w:p>
        </w:tc>
        <w:tc>
          <w:tcPr>
            <w:tcW w:w="1418" w:type="dxa"/>
            <w:tcBorders>
              <w:top w:val="nil"/>
              <w:left w:val="nil"/>
              <w:bottom w:val="single" w:sz="4" w:space="0" w:color="auto"/>
              <w:right w:val="single" w:sz="4" w:space="0" w:color="auto"/>
            </w:tcBorders>
            <w:hideMark/>
          </w:tcPr>
          <w:p w14:paraId="1D52C8FE" w14:textId="77777777" w:rsidR="007B29DD" w:rsidRPr="004C0028" w:rsidRDefault="007B29DD" w:rsidP="00306AF1">
            <w:pPr>
              <w:spacing w:line="240" w:lineRule="auto"/>
              <w:jc w:val="center"/>
              <w:rPr>
                <w:rFonts w:ascii="Calibri" w:hAnsi="Calibri" w:cs="Calibri"/>
                <w:lang w:val="en-US" w:eastAsia="zh-CN"/>
              </w:rPr>
            </w:pPr>
            <w:r w:rsidRPr="004C0028">
              <w:rPr>
                <w:rFonts w:ascii="Calibri" w:hAnsi="Calibri" w:cs="Calibri"/>
              </w:rPr>
              <w:t>23.0%</w:t>
            </w:r>
          </w:p>
        </w:tc>
      </w:tr>
    </w:tbl>
    <w:p w14:paraId="64E24C00" w14:textId="77777777" w:rsidR="007B29DD" w:rsidRDefault="007B29DD" w:rsidP="007B29DD">
      <w:pPr>
        <w:pStyle w:val="BodyText"/>
        <w:rPr>
          <w:lang w:eastAsia="en-AU"/>
        </w:rPr>
      </w:pPr>
    </w:p>
    <w:p w14:paraId="588A92C3" w14:textId="77777777" w:rsidR="007B29DD" w:rsidRDefault="007B29DD" w:rsidP="007B29DD">
      <w:pPr>
        <w:pStyle w:val="Caption"/>
      </w:pPr>
      <w:bookmarkStart w:id="1032" w:name="_Ref42941221"/>
      <w:bookmarkStart w:id="1033" w:name="_Toc43476566"/>
      <w:bookmarkStart w:id="1034" w:name="_Toc44928811"/>
      <w:bookmarkStart w:id="1035" w:name="_Toc51237474"/>
      <w:bookmarkStart w:id="1036" w:name="_Toc53585989"/>
      <w:bookmarkStart w:id="1037" w:name="_Toc57377240"/>
      <w:r>
        <w:t xml:space="preserve">Table </w:t>
      </w:r>
      <w:r>
        <w:fldChar w:fldCharType="begin"/>
      </w:r>
      <w:r>
        <w:instrText>SEQ Table \* ARABIC</w:instrText>
      </w:r>
      <w:r>
        <w:fldChar w:fldCharType="separate"/>
      </w:r>
      <w:r>
        <w:rPr>
          <w:noProof/>
        </w:rPr>
        <w:t>12</w:t>
      </w:r>
      <w:r>
        <w:fldChar w:fldCharType="end"/>
      </w:r>
      <w:bookmarkEnd w:id="1032"/>
      <w:r>
        <w:t xml:space="preserve"> Range of projected seasonal changes in rainfall for maximum cool season rainfall increase (Sensitivity Test 1) and maximum warm season rainfall increase (Sensitivity Test 2) for the MEDIUM climate change projection</w:t>
      </w:r>
      <w:bookmarkEnd w:id="1033"/>
      <w:bookmarkEnd w:id="1034"/>
      <w:bookmarkEnd w:id="1035"/>
      <w:bookmarkEnd w:id="1036"/>
      <w:bookmarkEnd w:id="1037"/>
    </w:p>
    <w:tbl>
      <w:tblPr>
        <w:tblW w:w="9351" w:type="dxa"/>
        <w:tblLayout w:type="fixed"/>
        <w:tblLook w:val="04A0" w:firstRow="1" w:lastRow="0" w:firstColumn="1" w:lastColumn="0" w:noHBand="0" w:noVBand="1"/>
      </w:tblPr>
      <w:tblGrid>
        <w:gridCol w:w="1217"/>
        <w:gridCol w:w="1559"/>
        <w:gridCol w:w="1187"/>
        <w:gridCol w:w="1419"/>
        <w:gridCol w:w="1276"/>
        <w:gridCol w:w="1275"/>
        <w:gridCol w:w="1418"/>
      </w:tblGrid>
      <w:tr w:rsidR="007B29DD" w14:paraId="4FA0C9CB" w14:textId="77777777" w:rsidTr="00306AF1">
        <w:trPr>
          <w:trHeight w:val="1230"/>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572D18DB"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River basin (and basin number)</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781F777A"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Projection</w:t>
            </w:r>
          </w:p>
        </w:tc>
        <w:tc>
          <w:tcPr>
            <w:tcW w:w="1187" w:type="dxa"/>
            <w:tcBorders>
              <w:top w:val="single" w:sz="4" w:space="0" w:color="auto"/>
              <w:left w:val="nil"/>
              <w:bottom w:val="single" w:sz="4" w:space="0" w:color="auto"/>
              <w:right w:val="nil"/>
            </w:tcBorders>
            <w:vAlign w:val="bottom"/>
            <w:hideMark/>
          </w:tcPr>
          <w:p w14:paraId="6A376F11"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Annual projected change (%) from 1995 baseline</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6BACC0CE"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Maximum projected positive cool season change (%) from 1995 baseline value</w:t>
            </w:r>
          </w:p>
        </w:tc>
        <w:tc>
          <w:tcPr>
            <w:tcW w:w="2693" w:type="dxa"/>
            <w:gridSpan w:val="2"/>
            <w:tcBorders>
              <w:top w:val="single" w:sz="4" w:space="0" w:color="auto"/>
              <w:left w:val="nil"/>
              <w:bottom w:val="single" w:sz="4" w:space="0" w:color="auto"/>
              <w:right w:val="single" w:sz="4" w:space="0" w:color="auto"/>
            </w:tcBorders>
            <w:vAlign w:val="center"/>
            <w:hideMark/>
          </w:tcPr>
          <w:p w14:paraId="5D6D92AC"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Maximum projected positive warm season change (%) from 1995 baseline value</w:t>
            </w:r>
          </w:p>
        </w:tc>
      </w:tr>
      <w:tr w:rsidR="007B29DD" w14:paraId="4E0FEDB6" w14:textId="77777777" w:rsidTr="00306AF1">
        <w:trPr>
          <w:trHeight w:val="315"/>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666A4D81" w14:textId="77777777" w:rsidR="007B29DD" w:rsidRDefault="007B29DD" w:rsidP="00306AF1">
            <w:pPr>
              <w:spacing w:line="256" w:lineRule="auto"/>
              <w:rPr>
                <w:rFonts w:ascii="Calibri" w:hAnsi="Calibri" w:cs="Calibri"/>
                <w:b/>
                <w:bCs/>
                <w:color w:val="000000"/>
                <w:sz w:val="18"/>
                <w:szCs w:val="18"/>
                <w:lang w:val="en-US"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72C4920" w14:textId="77777777" w:rsidR="007B29DD" w:rsidRDefault="007B29DD" w:rsidP="00306AF1">
            <w:pPr>
              <w:spacing w:line="256" w:lineRule="auto"/>
              <w:rPr>
                <w:rFonts w:ascii="Calibri" w:hAnsi="Calibri" w:cs="Calibri"/>
                <w:b/>
                <w:bCs/>
                <w:color w:val="000000"/>
                <w:sz w:val="18"/>
                <w:szCs w:val="18"/>
                <w:lang w:val="en-US" w:eastAsia="zh-CN"/>
              </w:rPr>
            </w:pPr>
          </w:p>
        </w:tc>
        <w:tc>
          <w:tcPr>
            <w:tcW w:w="1187" w:type="dxa"/>
            <w:tcBorders>
              <w:top w:val="nil"/>
              <w:left w:val="nil"/>
              <w:bottom w:val="single" w:sz="4" w:space="0" w:color="auto"/>
              <w:right w:val="single" w:sz="4" w:space="0" w:color="auto"/>
            </w:tcBorders>
            <w:noWrap/>
            <w:vAlign w:val="center"/>
            <w:hideMark/>
          </w:tcPr>
          <w:p w14:paraId="18FDFC63"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Medium</w:t>
            </w:r>
          </w:p>
        </w:tc>
        <w:tc>
          <w:tcPr>
            <w:tcW w:w="1419" w:type="dxa"/>
            <w:tcBorders>
              <w:top w:val="nil"/>
              <w:left w:val="nil"/>
              <w:bottom w:val="single" w:sz="4" w:space="0" w:color="auto"/>
              <w:right w:val="single" w:sz="4" w:space="0" w:color="auto"/>
            </w:tcBorders>
            <w:noWrap/>
            <w:vAlign w:val="center"/>
            <w:hideMark/>
          </w:tcPr>
          <w:p w14:paraId="62C81870"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Cool</w:t>
            </w:r>
          </w:p>
        </w:tc>
        <w:tc>
          <w:tcPr>
            <w:tcW w:w="1276" w:type="dxa"/>
            <w:tcBorders>
              <w:top w:val="nil"/>
              <w:left w:val="nil"/>
              <w:bottom w:val="single" w:sz="4" w:space="0" w:color="auto"/>
              <w:right w:val="single" w:sz="4" w:space="0" w:color="auto"/>
            </w:tcBorders>
            <w:vAlign w:val="center"/>
            <w:hideMark/>
          </w:tcPr>
          <w:p w14:paraId="315E5C8D"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Warm</w:t>
            </w:r>
          </w:p>
        </w:tc>
        <w:tc>
          <w:tcPr>
            <w:tcW w:w="1275" w:type="dxa"/>
            <w:tcBorders>
              <w:top w:val="nil"/>
              <w:left w:val="nil"/>
              <w:bottom w:val="single" w:sz="4" w:space="0" w:color="auto"/>
              <w:right w:val="single" w:sz="4" w:space="0" w:color="auto"/>
            </w:tcBorders>
            <w:vAlign w:val="center"/>
            <w:hideMark/>
          </w:tcPr>
          <w:p w14:paraId="0C115B3A"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Cool</w:t>
            </w:r>
          </w:p>
        </w:tc>
        <w:tc>
          <w:tcPr>
            <w:tcW w:w="1418" w:type="dxa"/>
            <w:tcBorders>
              <w:top w:val="nil"/>
              <w:left w:val="nil"/>
              <w:bottom w:val="single" w:sz="4" w:space="0" w:color="auto"/>
              <w:right w:val="single" w:sz="4" w:space="0" w:color="auto"/>
            </w:tcBorders>
            <w:vAlign w:val="center"/>
            <w:hideMark/>
          </w:tcPr>
          <w:p w14:paraId="10E576EC"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Warm</w:t>
            </w:r>
          </w:p>
        </w:tc>
      </w:tr>
      <w:tr w:rsidR="007B29DD" w14:paraId="446CB160" w14:textId="77777777" w:rsidTr="00306AF1">
        <w:trPr>
          <w:trHeight w:val="315"/>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1F3EE0" w14:textId="77777777" w:rsidR="007B29DD" w:rsidRDefault="007B29DD" w:rsidP="00306AF1">
            <w:pPr>
              <w:keepNext/>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East Gippsland (221)</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4DBBF675"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3EEAD39A"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-1.0%</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51C48067"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6.6%</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7A7ED7DD"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-12.5%</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6F2C416D"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-12.6%</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0FD6F474"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16.6%</w:t>
            </w:r>
          </w:p>
        </w:tc>
      </w:tr>
      <w:tr w:rsidR="007B29DD" w14:paraId="650C1307"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DD824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04DC6FF6"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17BFD562"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1.2%</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3569E01A"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13.2%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39C71492"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-17.0%</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256CF7B0"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-8.8%</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6066DBD3"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16.3%</w:t>
            </w:r>
          </w:p>
        </w:tc>
      </w:tr>
      <w:tr w:rsidR="007B29DD" w14:paraId="0F6C8A0E"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42EA8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712C27F7"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6061049"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-0.7%</w:t>
            </w:r>
          </w:p>
        </w:tc>
        <w:tc>
          <w:tcPr>
            <w:tcW w:w="1419" w:type="dxa"/>
            <w:tcBorders>
              <w:top w:val="nil"/>
              <w:left w:val="nil"/>
              <w:bottom w:val="single" w:sz="4" w:space="0" w:color="auto"/>
              <w:right w:val="single" w:sz="4" w:space="0" w:color="auto"/>
            </w:tcBorders>
            <w:shd w:val="clear" w:color="auto" w:fill="D9D9D9" w:themeFill="background1" w:themeFillShade="D9"/>
            <w:hideMark/>
          </w:tcPr>
          <w:p w14:paraId="71ABAD8A"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3.7%</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22D6BFC"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-7.4%</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03948F46"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-16.2%</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7549130B"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22.8%</w:t>
            </w:r>
          </w:p>
        </w:tc>
      </w:tr>
      <w:tr w:rsidR="007B29DD" w14:paraId="47FF92FD"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F8F4B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56D0916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1A6616F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598C150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9.1%</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E0FFE8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-16.3%</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76A3FEA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-10.6%</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0C6CE0F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13.6%</w:t>
            </w:r>
          </w:p>
        </w:tc>
      </w:tr>
      <w:tr w:rsidR="007B29DD" w14:paraId="28414EFA" w14:textId="77777777" w:rsidTr="00306AF1">
        <w:trPr>
          <w:trHeight w:val="315"/>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32B6C848"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Snowy (222)</w:t>
            </w:r>
          </w:p>
        </w:tc>
        <w:tc>
          <w:tcPr>
            <w:tcW w:w="1559" w:type="dxa"/>
            <w:tcBorders>
              <w:top w:val="nil"/>
              <w:left w:val="nil"/>
              <w:bottom w:val="single" w:sz="4" w:space="0" w:color="auto"/>
              <w:right w:val="single" w:sz="4" w:space="0" w:color="auto"/>
            </w:tcBorders>
            <w:shd w:val="clear" w:color="auto" w:fill="auto"/>
            <w:vAlign w:val="center"/>
            <w:hideMark/>
          </w:tcPr>
          <w:p w14:paraId="292E39D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auto"/>
            <w:hideMark/>
          </w:tcPr>
          <w:p w14:paraId="6D6EA69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w:t>
            </w:r>
          </w:p>
        </w:tc>
        <w:tc>
          <w:tcPr>
            <w:tcW w:w="1419" w:type="dxa"/>
            <w:tcBorders>
              <w:top w:val="nil"/>
              <w:left w:val="nil"/>
              <w:bottom w:val="single" w:sz="4" w:space="0" w:color="auto"/>
              <w:right w:val="single" w:sz="4" w:space="0" w:color="auto"/>
            </w:tcBorders>
            <w:shd w:val="clear" w:color="auto" w:fill="auto"/>
            <w:noWrap/>
            <w:hideMark/>
          </w:tcPr>
          <w:p w14:paraId="48FA618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w:t>
            </w:r>
          </w:p>
        </w:tc>
        <w:tc>
          <w:tcPr>
            <w:tcW w:w="1276" w:type="dxa"/>
            <w:tcBorders>
              <w:top w:val="nil"/>
              <w:left w:val="nil"/>
              <w:bottom w:val="single" w:sz="4" w:space="0" w:color="auto"/>
              <w:right w:val="single" w:sz="4" w:space="0" w:color="auto"/>
            </w:tcBorders>
            <w:shd w:val="clear" w:color="auto" w:fill="auto"/>
            <w:hideMark/>
          </w:tcPr>
          <w:p w14:paraId="487D1E9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-7.4%</w:t>
            </w:r>
          </w:p>
        </w:tc>
        <w:tc>
          <w:tcPr>
            <w:tcW w:w="1275" w:type="dxa"/>
            <w:tcBorders>
              <w:top w:val="nil"/>
              <w:left w:val="nil"/>
              <w:bottom w:val="single" w:sz="4" w:space="0" w:color="auto"/>
              <w:right w:val="single" w:sz="4" w:space="0" w:color="auto"/>
            </w:tcBorders>
            <w:shd w:val="clear" w:color="auto" w:fill="auto"/>
            <w:hideMark/>
          </w:tcPr>
          <w:p w14:paraId="030B3B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shd w:val="clear" w:color="auto" w:fill="auto"/>
            <w:hideMark/>
          </w:tcPr>
          <w:p w14:paraId="60F4BE9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13.0%</w:t>
            </w:r>
          </w:p>
        </w:tc>
      </w:tr>
      <w:tr w:rsidR="007B29DD" w14:paraId="48EA9776"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6C7F914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74F637E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auto"/>
            <w:hideMark/>
          </w:tcPr>
          <w:p w14:paraId="24CC49C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-4.5%</w:t>
            </w:r>
          </w:p>
        </w:tc>
        <w:tc>
          <w:tcPr>
            <w:tcW w:w="1419" w:type="dxa"/>
            <w:tcBorders>
              <w:top w:val="nil"/>
              <w:left w:val="nil"/>
              <w:bottom w:val="single" w:sz="4" w:space="0" w:color="auto"/>
              <w:right w:val="single" w:sz="4" w:space="0" w:color="auto"/>
            </w:tcBorders>
            <w:shd w:val="clear" w:color="auto" w:fill="auto"/>
            <w:noWrap/>
            <w:hideMark/>
          </w:tcPr>
          <w:p w14:paraId="4C381B0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5.1%</w:t>
            </w:r>
          </w:p>
        </w:tc>
        <w:tc>
          <w:tcPr>
            <w:tcW w:w="1276" w:type="dxa"/>
            <w:tcBorders>
              <w:top w:val="nil"/>
              <w:left w:val="nil"/>
              <w:bottom w:val="single" w:sz="4" w:space="0" w:color="auto"/>
              <w:right w:val="single" w:sz="4" w:space="0" w:color="auto"/>
            </w:tcBorders>
            <w:shd w:val="clear" w:color="auto" w:fill="auto"/>
            <w:hideMark/>
          </w:tcPr>
          <w:p w14:paraId="1F72E34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-17.6%</w:t>
            </w:r>
          </w:p>
        </w:tc>
        <w:tc>
          <w:tcPr>
            <w:tcW w:w="1275" w:type="dxa"/>
            <w:tcBorders>
              <w:top w:val="nil"/>
              <w:left w:val="nil"/>
              <w:bottom w:val="single" w:sz="4" w:space="0" w:color="auto"/>
              <w:right w:val="single" w:sz="4" w:space="0" w:color="auto"/>
            </w:tcBorders>
            <w:shd w:val="clear" w:color="auto" w:fill="auto"/>
            <w:hideMark/>
          </w:tcPr>
          <w:p w14:paraId="1585993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-17.1%</w:t>
            </w:r>
          </w:p>
        </w:tc>
        <w:tc>
          <w:tcPr>
            <w:tcW w:w="1418" w:type="dxa"/>
            <w:tcBorders>
              <w:top w:val="nil"/>
              <w:left w:val="nil"/>
              <w:bottom w:val="single" w:sz="4" w:space="0" w:color="auto"/>
              <w:right w:val="single" w:sz="4" w:space="0" w:color="auto"/>
            </w:tcBorders>
            <w:shd w:val="clear" w:color="auto" w:fill="auto"/>
            <w:hideMark/>
          </w:tcPr>
          <w:p w14:paraId="4153DA4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12.7%</w:t>
            </w:r>
          </w:p>
        </w:tc>
      </w:tr>
      <w:tr w:rsidR="007B29DD" w14:paraId="1546474B"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6AC15B6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16DBD6C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auto"/>
            <w:hideMark/>
          </w:tcPr>
          <w:p w14:paraId="0ACB8D2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-0.2%</w:t>
            </w:r>
          </w:p>
        </w:tc>
        <w:tc>
          <w:tcPr>
            <w:tcW w:w="1419" w:type="dxa"/>
            <w:tcBorders>
              <w:top w:val="nil"/>
              <w:left w:val="nil"/>
              <w:bottom w:val="single" w:sz="4" w:space="0" w:color="auto"/>
              <w:right w:val="single" w:sz="4" w:space="0" w:color="auto"/>
            </w:tcBorders>
            <w:shd w:val="clear" w:color="auto" w:fill="auto"/>
            <w:noWrap/>
            <w:hideMark/>
          </w:tcPr>
          <w:p w14:paraId="3DF1CFA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4.3%</w:t>
            </w:r>
          </w:p>
        </w:tc>
        <w:tc>
          <w:tcPr>
            <w:tcW w:w="1276" w:type="dxa"/>
            <w:tcBorders>
              <w:top w:val="nil"/>
              <w:left w:val="nil"/>
              <w:bottom w:val="single" w:sz="4" w:space="0" w:color="auto"/>
              <w:right w:val="single" w:sz="4" w:space="0" w:color="auto"/>
            </w:tcBorders>
            <w:shd w:val="clear" w:color="auto" w:fill="auto"/>
            <w:hideMark/>
          </w:tcPr>
          <w:p w14:paraId="00B726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-6.3%</w:t>
            </w:r>
          </w:p>
        </w:tc>
        <w:tc>
          <w:tcPr>
            <w:tcW w:w="1275" w:type="dxa"/>
            <w:tcBorders>
              <w:top w:val="nil"/>
              <w:left w:val="nil"/>
              <w:bottom w:val="single" w:sz="4" w:space="0" w:color="auto"/>
              <w:right w:val="single" w:sz="4" w:space="0" w:color="auto"/>
            </w:tcBorders>
            <w:shd w:val="clear" w:color="auto" w:fill="auto"/>
            <w:hideMark/>
          </w:tcPr>
          <w:p w14:paraId="0D4D2CF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-18.4%</w:t>
            </w:r>
          </w:p>
        </w:tc>
        <w:tc>
          <w:tcPr>
            <w:tcW w:w="1418" w:type="dxa"/>
            <w:tcBorders>
              <w:top w:val="nil"/>
              <w:left w:val="nil"/>
              <w:bottom w:val="single" w:sz="4" w:space="0" w:color="auto"/>
              <w:right w:val="single" w:sz="4" w:space="0" w:color="auto"/>
            </w:tcBorders>
            <w:shd w:val="clear" w:color="auto" w:fill="auto"/>
            <w:hideMark/>
          </w:tcPr>
          <w:p w14:paraId="64C283C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24.6%</w:t>
            </w:r>
          </w:p>
        </w:tc>
      </w:tr>
      <w:tr w:rsidR="007B29DD" w14:paraId="3A5D550C"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4429C9E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1232C17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auto"/>
            <w:hideMark/>
          </w:tcPr>
          <w:p w14:paraId="4033B37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w:t>
            </w:r>
          </w:p>
        </w:tc>
        <w:tc>
          <w:tcPr>
            <w:tcW w:w="1419" w:type="dxa"/>
            <w:tcBorders>
              <w:top w:val="nil"/>
              <w:left w:val="nil"/>
              <w:bottom w:val="single" w:sz="4" w:space="0" w:color="auto"/>
              <w:right w:val="single" w:sz="4" w:space="0" w:color="auto"/>
            </w:tcBorders>
            <w:shd w:val="clear" w:color="auto" w:fill="auto"/>
            <w:noWrap/>
            <w:hideMark/>
          </w:tcPr>
          <w:p w14:paraId="1A78A48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shd w:val="clear" w:color="auto" w:fill="auto"/>
            <w:hideMark/>
          </w:tcPr>
          <w:p w14:paraId="214D007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-13.7%</w:t>
            </w:r>
          </w:p>
        </w:tc>
        <w:tc>
          <w:tcPr>
            <w:tcW w:w="1275" w:type="dxa"/>
            <w:tcBorders>
              <w:top w:val="nil"/>
              <w:left w:val="nil"/>
              <w:bottom w:val="single" w:sz="4" w:space="0" w:color="auto"/>
              <w:right w:val="single" w:sz="4" w:space="0" w:color="auto"/>
            </w:tcBorders>
            <w:shd w:val="clear" w:color="auto" w:fill="auto"/>
            <w:hideMark/>
          </w:tcPr>
          <w:p w14:paraId="221800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-11.8%</w:t>
            </w:r>
          </w:p>
        </w:tc>
        <w:tc>
          <w:tcPr>
            <w:tcW w:w="1418" w:type="dxa"/>
            <w:tcBorders>
              <w:top w:val="nil"/>
              <w:left w:val="nil"/>
              <w:bottom w:val="single" w:sz="4" w:space="0" w:color="auto"/>
              <w:right w:val="single" w:sz="4" w:space="0" w:color="auto"/>
            </w:tcBorders>
            <w:shd w:val="clear" w:color="auto" w:fill="auto"/>
            <w:hideMark/>
          </w:tcPr>
          <w:p w14:paraId="0DDB8A8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11.6%</w:t>
            </w:r>
          </w:p>
        </w:tc>
      </w:tr>
      <w:tr w:rsidR="007B29DD" w14:paraId="3E72760D"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949390"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Tambo (223)</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43EDCBD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14B29AE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-2.6%</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22EC690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287043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-10.4%</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70B9B2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F0C85B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13.4%</w:t>
            </w:r>
          </w:p>
        </w:tc>
      </w:tr>
      <w:tr w:rsidR="007B29DD" w14:paraId="1DC22ABA"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27AFE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35933EC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6CDD262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-4.5%</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B0E4EC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6EF2398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-22.1%</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5D960A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6022451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r>
      <w:tr w:rsidR="007B29DD" w14:paraId="51A570B8"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EDD61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0B3B3D3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7AA879C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-0.7%</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2C5427A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3382D8D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-5.3%</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3DC4698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-17.2%</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311EC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22.3%</w:t>
            </w:r>
          </w:p>
        </w:tc>
      </w:tr>
      <w:tr w:rsidR="007B29DD" w14:paraId="37445C75"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E220E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4814300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9826F2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2BEF0E6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6.9%</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0D073F3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-14.8%</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6A11A9C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42AB0DF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11.4%</w:t>
            </w:r>
          </w:p>
        </w:tc>
      </w:tr>
      <w:tr w:rsidR="007B29DD" w14:paraId="1A5C0D8D"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549BBB29"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Mitchell (224)</w:t>
            </w:r>
          </w:p>
        </w:tc>
        <w:tc>
          <w:tcPr>
            <w:tcW w:w="1559" w:type="dxa"/>
            <w:tcBorders>
              <w:top w:val="nil"/>
              <w:left w:val="nil"/>
              <w:bottom w:val="single" w:sz="4" w:space="0" w:color="auto"/>
              <w:right w:val="single" w:sz="4" w:space="0" w:color="auto"/>
            </w:tcBorders>
            <w:shd w:val="clear" w:color="auto" w:fill="auto"/>
            <w:vAlign w:val="center"/>
            <w:hideMark/>
          </w:tcPr>
          <w:p w14:paraId="7567F8B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auto"/>
            <w:hideMark/>
          </w:tcPr>
          <w:p w14:paraId="30BEA3F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shd w:val="clear" w:color="auto" w:fill="auto"/>
            <w:noWrap/>
            <w:hideMark/>
          </w:tcPr>
          <w:p w14:paraId="1CA4CF7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w:t>
            </w:r>
          </w:p>
        </w:tc>
        <w:tc>
          <w:tcPr>
            <w:tcW w:w="1276" w:type="dxa"/>
            <w:tcBorders>
              <w:top w:val="nil"/>
              <w:left w:val="nil"/>
              <w:bottom w:val="single" w:sz="4" w:space="0" w:color="auto"/>
              <w:right w:val="single" w:sz="4" w:space="0" w:color="auto"/>
            </w:tcBorders>
            <w:shd w:val="clear" w:color="auto" w:fill="auto"/>
            <w:hideMark/>
          </w:tcPr>
          <w:p w14:paraId="79B8ADF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-10.4%</w:t>
            </w:r>
          </w:p>
        </w:tc>
        <w:tc>
          <w:tcPr>
            <w:tcW w:w="1275" w:type="dxa"/>
            <w:tcBorders>
              <w:top w:val="nil"/>
              <w:left w:val="nil"/>
              <w:bottom w:val="single" w:sz="4" w:space="0" w:color="auto"/>
              <w:right w:val="single" w:sz="4" w:space="0" w:color="auto"/>
            </w:tcBorders>
            <w:shd w:val="clear" w:color="auto" w:fill="auto"/>
            <w:hideMark/>
          </w:tcPr>
          <w:p w14:paraId="3CF61E5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-12.4%</w:t>
            </w:r>
          </w:p>
        </w:tc>
        <w:tc>
          <w:tcPr>
            <w:tcW w:w="1418" w:type="dxa"/>
            <w:tcBorders>
              <w:top w:val="nil"/>
              <w:left w:val="nil"/>
              <w:bottom w:val="single" w:sz="4" w:space="0" w:color="auto"/>
              <w:right w:val="single" w:sz="4" w:space="0" w:color="auto"/>
            </w:tcBorders>
            <w:shd w:val="clear" w:color="auto" w:fill="auto"/>
            <w:hideMark/>
          </w:tcPr>
          <w:p w14:paraId="48F5D79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14.8%</w:t>
            </w:r>
          </w:p>
        </w:tc>
      </w:tr>
      <w:tr w:rsidR="007B29DD" w14:paraId="54B2B332"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5880AA5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5B12EC4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auto"/>
            <w:hideMark/>
          </w:tcPr>
          <w:p w14:paraId="7FFFF7A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-4.8%</w:t>
            </w:r>
          </w:p>
        </w:tc>
        <w:tc>
          <w:tcPr>
            <w:tcW w:w="1419" w:type="dxa"/>
            <w:tcBorders>
              <w:top w:val="nil"/>
              <w:left w:val="nil"/>
              <w:bottom w:val="single" w:sz="4" w:space="0" w:color="auto"/>
              <w:right w:val="single" w:sz="4" w:space="0" w:color="auto"/>
            </w:tcBorders>
            <w:shd w:val="clear" w:color="auto" w:fill="auto"/>
            <w:noWrap/>
            <w:hideMark/>
          </w:tcPr>
          <w:p w14:paraId="19CC858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w:t>
            </w:r>
          </w:p>
        </w:tc>
        <w:tc>
          <w:tcPr>
            <w:tcW w:w="1276" w:type="dxa"/>
            <w:tcBorders>
              <w:top w:val="nil"/>
              <w:left w:val="nil"/>
              <w:bottom w:val="single" w:sz="4" w:space="0" w:color="auto"/>
              <w:right w:val="single" w:sz="4" w:space="0" w:color="auto"/>
            </w:tcBorders>
            <w:shd w:val="clear" w:color="auto" w:fill="auto"/>
            <w:hideMark/>
          </w:tcPr>
          <w:p w14:paraId="562C61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-20.0%</w:t>
            </w:r>
          </w:p>
        </w:tc>
        <w:tc>
          <w:tcPr>
            <w:tcW w:w="1275" w:type="dxa"/>
            <w:tcBorders>
              <w:top w:val="nil"/>
              <w:left w:val="nil"/>
              <w:bottom w:val="single" w:sz="4" w:space="0" w:color="auto"/>
              <w:right w:val="single" w:sz="4" w:space="0" w:color="auto"/>
            </w:tcBorders>
            <w:shd w:val="clear" w:color="auto" w:fill="auto"/>
            <w:hideMark/>
          </w:tcPr>
          <w:p w14:paraId="7FB62DB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-14.8%</w:t>
            </w:r>
          </w:p>
        </w:tc>
        <w:tc>
          <w:tcPr>
            <w:tcW w:w="1418" w:type="dxa"/>
            <w:tcBorders>
              <w:top w:val="nil"/>
              <w:left w:val="nil"/>
              <w:bottom w:val="single" w:sz="4" w:space="0" w:color="auto"/>
              <w:right w:val="single" w:sz="4" w:space="0" w:color="auto"/>
            </w:tcBorders>
            <w:shd w:val="clear" w:color="auto" w:fill="auto"/>
            <w:hideMark/>
          </w:tcPr>
          <w:p w14:paraId="0B04DD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12.1%</w:t>
            </w:r>
          </w:p>
        </w:tc>
      </w:tr>
      <w:tr w:rsidR="007B29DD" w14:paraId="4E4136B6"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66915F6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7204DA6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auto"/>
            <w:hideMark/>
          </w:tcPr>
          <w:p w14:paraId="3F3AF31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w:t>
            </w:r>
          </w:p>
        </w:tc>
        <w:tc>
          <w:tcPr>
            <w:tcW w:w="1419" w:type="dxa"/>
            <w:tcBorders>
              <w:top w:val="nil"/>
              <w:left w:val="nil"/>
              <w:bottom w:val="single" w:sz="4" w:space="0" w:color="auto"/>
              <w:right w:val="single" w:sz="4" w:space="0" w:color="auto"/>
            </w:tcBorders>
            <w:shd w:val="clear" w:color="auto" w:fill="auto"/>
            <w:noWrap/>
            <w:hideMark/>
          </w:tcPr>
          <w:p w14:paraId="538D6F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w:t>
            </w:r>
          </w:p>
        </w:tc>
        <w:tc>
          <w:tcPr>
            <w:tcW w:w="1276" w:type="dxa"/>
            <w:tcBorders>
              <w:top w:val="nil"/>
              <w:left w:val="nil"/>
              <w:bottom w:val="single" w:sz="4" w:space="0" w:color="auto"/>
              <w:right w:val="single" w:sz="4" w:space="0" w:color="auto"/>
            </w:tcBorders>
            <w:shd w:val="clear" w:color="auto" w:fill="auto"/>
            <w:hideMark/>
          </w:tcPr>
          <w:p w14:paraId="74063A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-8.3%</w:t>
            </w:r>
          </w:p>
        </w:tc>
        <w:tc>
          <w:tcPr>
            <w:tcW w:w="1275" w:type="dxa"/>
            <w:tcBorders>
              <w:top w:val="nil"/>
              <w:left w:val="nil"/>
              <w:bottom w:val="single" w:sz="4" w:space="0" w:color="auto"/>
              <w:right w:val="single" w:sz="4" w:space="0" w:color="auto"/>
            </w:tcBorders>
            <w:shd w:val="clear" w:color="auto" w:fill="auto"/>
            <w:hideMark/>
          </w:tcPr>
          <w:p w14:paraId="2DEFC73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-18.5%</w:t>
            </w:r>
          </w:p>
        </w:tc>
        <w:tc>
          <w:tcPr>
            <w:tcW w:w="1418" w:type="dxa"/>
            <w:tcBorders>
              <w:top w:val="nil"/>
              <w:left w:val="nil"/>
              <w:bottom w:val="single" w:sz="4" w:space="0" w:color="auto"/>
              <w:right w:val="single" w:sz="4" w:space="0" w:color="auto"/>
            </w:tcBorders>
            <w:shd w:val="clear" w:color="auto" w:fill="auto"/>
            <w:hideMark/>
          </w:tcPr>
          <w:p w14:paraId="62BB80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26.7%</w:t>
            </w:r>
          </w:p>
        </w:tc>
      </w:tr>
      <w:tr w:rsidR="007B29DD" w14:paraId="68FBA26E"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36DCC8B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4F0E1F0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auto"/>
            <w:hideMark/>
          </w:tcPr>
          <w:p w14:paraId="6BCA237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-3.6%</w:t>
            </w:r>
          </w:p>
        </w:tc>
        <w:tc>
          <w:tcPr>
            <w:tcW w:w="1419" w:type="dxa"/>
            <w:tcBorders>
              <w:top w:val="nil"/>
              <w:left w:val="nil"/>
              <w:bottom w:val="single" w:sz="4" w:space="0" w:color="auto"/>
              <w:right w:val="single" w:sz="4" w:space="0" w:color="auto"/>
            </w:tcBorders>
            <w:shd w:val="clear" w:color="auto" w:fill="auto"/>
            <w:noWrap/>
            <w:hideMark/>
          </w:tcPr>
          <w:p w14:paraId="44C0769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4.4%</w:t>
            </w:r>
          </w:p>
        </w:tc>
        <w:tc>
          <w:tcPr>
            <w:tcW w:w="1276" w:type="dxa"/>
            <w:tcBorders>
              <w:top w:val="nil"/>
              <w:left w:val="nil"/>
              <w:bottom w:val="single" w:sz="4" w:space="0" w:color="auto"/>
              <w:right w:val="single" w:sz="4" w:space="0" w:color="auto"/>
            </w:tcBorders>
            <w:shd w:val="clear" w:color="auto" w:fill="auto"/>
            <w:hideMark/>
          </w:tcPr>
          <w:p w14:paraId="26921BD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-17.2%</w:t>
            </w:r>
          </w:p>
        </w:tc>
        <w:tc>
          <w:tcPr>
            <w:tcW w:w="1275" w:type="dxa"/>
            <w:tcBorders>
              <w:top w:val="nil"/>
              <w:left w:val="nil"/>
              <w:bottom w:val="single" w:sz="4" w:space="0" w:color="auto"/>
              <w:right w:val="single" w:sz="4" w:space="0" w:color="auto"/>
            </w:tcBorders>
            <w:shd w:val="clear" w:color="auto" w:fill="auto"/>
            <w:hideMark/>
          </w:tcPr>
          <w:p w14:paraId="4E435F5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-12.5%</w:t>
            </w:r>
          </w:p>
        </w:tc>
        <w:tc>
          <w:tcPr>
            <w:tcW w:w="1418" w:type="dxa"/>
            <w:tcBorders>
              <w:top w:val="nil"/>
              <w:left w:val="nil"/>
              <w:bottom w:val="single" w:sz="4" w:space="0" w:color="auto"/>
              <w:right w:val="single" w:sz="4" w:space="0" w:color="auto"/>
            </w:tcBorders>
            <w:shd w:val="clear" w:color="auto" w:fill="auto"/>
            <w:hideMark/>
          </w:tcPr>
          <w:p w14:paraId="09ADBB6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11.5%</w:t>
            </w:r>
          </w:p>
        </w:tc>
      </w:tr>
      <w:tr w:rsidR="007B29DD" w14:paraId="40ED3759"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933665"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Thomson (225)</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629A91C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5ED6D43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-2.0%</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297E47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3.1%</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4823D88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-10.7%</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2236C1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-11.6%</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29AF30B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r>
      <w:tr w:rsidR="007B29DD" w14:paraId="3B640C98"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711AC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791C84F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5626585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-4.1%</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818D73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6.0%</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0C04C38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-21.2%</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2DCED40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-14.0%</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72A83E1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12.5%</w:t>
            </w:r>
          </w:p>
        </w:tc>
      </w:tr>
      <w:tr w:rsidR="007B29DD" w14:paraId="67A35A8E"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43FB4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330AFD3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7A1634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56A600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2CF2C0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77BFFA2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AEBEB0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27.2%</w:t>
            </w:r>
          </w:p>
        </w:tc>
      </w:tr>
      <w:tr w:rsidR="007B29DD" w14:paraId="34FFCADC"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D5E79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29220B7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1A1F4B0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-3.0%</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3D8ED6C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2BD250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-16.9%</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3E5788E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-11.4%</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F2CCEA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11.2%</w:t>
            </w:r>
          </w:p>
        </w:tc>
      </w:tr>
      <w:tr w:rsidR="007B29DD" w14:paraId="4EC9C1E1"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41621A1"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Latrobe (226)</w:t>
            </w:r>
          </w:p>
        </w:tc>
        <w:tc>
          <w:tcPr>
            <w:tcW w:w="1559" w:type="dxa"/>
            <w:tcBorders>
              <w:top w:val="nil"/>
              <w:left w:val="nil"/>
              <w:bottom w:val="single" w:sz="4" w:space="0" w:color="auto"/>
              <w:right w:val="single" w:sz="4" w:space="0" w:color="auto"/>
            </w:tcBorders>
            <w:vAlign w:val="center"/>
            <w:hideMark/>
          </w:tcPr>
          <w:p w14:paraId="7014F0C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6E670E7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-4.0%</w:t>
            </w:r>
          </w:p>
        </w:tc>
        <w:tc>
          <w:tcPr>
            <w:tcW w:w="1419" w:type="dxa"/>
            <w:tcBorders>
              <w:top w:val="nil"/>
              <w:left w:val="nil"/>
              <w:bottom w:val="single" w:sz="4" w:space="0" w:color="auto"/>
              <w:right w:val="single" w:sz="4" w:space="0" w:color="auto"/>
            </w:tcBorders>
            <w:noWrap/>
            <w:hideMark/>
          </w:tcPr>
          <w:p w14:paraId="02A1C56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w:t>
            </w:r>
          </w:p>
        </w:tc>
        <w:tc>
          <w:tcPr>
            <w:tcW w:w="1276" w:type="dxa"/>
            <w:tcBorders>
              <w:top w:val="nil"/>
              <w:left w:val="nil"/>
              <w:bottom w:val="single" w:sz="4" w:space="0" w:color="auto"/>
              <w:right w:val="single" w:sz="4" w:space="0" w:color="auto"/>
            </w:tcBorders>
            <w:hideMark/>
          </w:tcPr>
          <w:p w14:paraId="131F4E8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-13.2%</w:t>
            </w:r>
          </w:p>
        </w:tc>
        <w:tc>
          <w:tcPr>
            <w:tcW w:w="1275" w:type="dxa"/>
            <w:tcBorders>
              <w:top w:val="nil"/>
              <w:left w:val="nil"/>
              <w:bottom w:val="single" w:sz="4" w:space="0" w:color="auto"/>
              <w:right w:val="single" w:sz="4" w:space="0" w:color="auto"/>
            </w:tcBorders>
            <w:hideMark/>
          </w:tcPr>
          <w:p w14:paraId="33151EF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-13.0%</w:t>
            </w:r>
          </w:p>
        </w:tc>
        <w:tc>
          <w:tcPr>
            <w:tcW w:w="1418" w:type="dxa"/>
            <w:tcBorders>
              <w:top w:val="nil"/>
              <w:left w:val="nil"/>
              <w:bottom w:val="single" w:sz="4" w:space="0" w:color="auto"/>
              <w:right w:val="single" w:sz="4" w:space="0" w:color="auto"/>
            </w:tcBorders>
            <w:hideMark/>
          </w:tcPr>
          <w:p w14:paraId="4C50B20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12.2%</w:t>
            </w:r>
          </w:p>
        </w:tc>
      </w:tr>
      <w:tr w:rsidR="007B29DD" w14:paraId="2D3A573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D1FB5B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48A492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38252EB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-4.5%</w:t>
            </w:r>
          </w:p>
        </w:tc>
        <w:tc>
          <w:tcPr>
            <w:tcW w:w="1419" w:type="dxa"/>
            <w:tcBorders>
              <w:top w:val="nil"/>
              <w:left w:val="nil"/>
              <w:bottom w:val="single" w:sz="4" w:space="0" w:color="auto"/>
              <w:right w:val="single" w:sz="4" w:space="0" w:color="auto"/>
            </w:tcBorders>
            <w:noWrap/>
            <w:hideMark/>
          </w:tcPr>
          <w:p w14:paraId="057D07C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hideMark/>
          </w:tcPr>
          <w:p w14:paraId="289F4D9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-24.8%</w:t>
            </w:r>
          </w:p>
        </w:tc>
        <w:tc>
          <w:tcPr>
            <w:tcW w:w="1275" w:type="dxa"/>
            <w:tcBorders>
              <w:top w:val="nil"/>
              <w:left w:val="nil"/>
              <w:bottom w:val="single" w:sz="4" w:space="0" w:color="auto"/>
              <w:right w:val="single" w:sz="4" w:space="0" w:color="auto"/>
            </w:tcBorders>
            <w:hideMark/>
          </w:tcPr>
          <w:p w14:paraId="0270182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-13.3%</w:t>
            </w:r>
          </w:p>
        </w:tc>
        <w:tc>
          <w:tcPr>
            <w:tcW w:w="1418" w:type="dxa"/>
            <w:tcBorders>
              <w:top w:val="nil"/>
              <w:left w:val="nil"/>
              <w:bottom w:val="single" w:sz="4" w:space="0" w:color="auto"/>
              <w:right w:val="single" w:sz="4" w:space="0" w:color="auto"/>
            </w:tcBorders>
            <w:hideMark/>
          </w:tcPr>
          <w:p w14:paraId="215AA36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r>
      <w:tr w:rsidR="007B29DD" w14:paraId="6EF636B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231CD4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B9DCC6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FB7658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w:t>
            </w:r>
          </w:p>
        </w:tc>
        <w:tc>
          <w:tcPr>
            <w:tcW w:w="1419" w:type="dxa"/>
            <w:tcBorders>
              <w:top w:val="nil"/>
              <w:left w:val="nil"/>
              <w:bottom w:val="single" w:sz="4" w:space="0" w:color="auto"/>
              <w:right w:val="single" w:sz="4" w:space="0" w:color="auto"/>
            </w:tcBorders>
            <w:noWrap/>
            <w:hideMark/>
          </w:tcPr>
          <w:p w14:paraId="29BFE62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4.4%</w:t>
            </w:r>
          </w:p>
        </w:tc>
        <w:tc>
          <w:tcPr>
            <w:tcW w:w="1276" w:type="dxa"/>
            <w:tcBorders>
              <w:top w:val="nil"/>
              <w:left w:val="nil"/>
              <w:bottom w:val="single" w:sz="4" w:space="0" w:color="auto"/>
              <w:right w:val="single" w:sz="4" w:space="0" w:color="auto"/>
            </w:tcBorders>
            <w:hideMark/>
          </w:tcPr>
          <w:p w14:paraId="41EC6F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-11.5%</w:t>
            </w:r>
          </w:p>
        </w:tc>
        <w:tc>
          <w:tcPr>
            <w:tcW w:w="1275" w:type="dxa"/>
            <w:tcBorders>
              <w:top w:val="nil"/>
              <w:left w:val="nil"/>
              <w:bottom w:val="single" w:sz="4" w:space="0" w:color="auto"/>
              <w:right w:val="single" w:sz="4" w:space="0" w:color="auto"/>
            </w:tcBorders>
            <w:hideMark/>
          </w:tcPr>
          <w:p w14:paraId="267506B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-13.9%</w:t>
            </w:r>
          </w:p>
        </w:tc>
        <w:tc>
          <w:tcPr>
            <w:tcW w:w="1418" w:type="dxa"/>
            <w:tcBorders>
              <w:top w:val="nil"/>
              <w:left w:val="nil"/>
              <w:bottom w:val="single" w:sz="4" w:space="0" w:color="auto"/>
              <w:right w:val="single" w:sz="4" w:space="0" w:color="auto"/>
            </w:tcBorders>
            <w:hideMark/>
          </w:tcPr>
          <w:p w14:paraId="728EE50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21.4%</w:t>
            </w:r>
          </w:p>
        </w:tc>
      </w:tr>
      <w:tr w:rsidR="007B29DD" w14:paraId="523C00A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69E8C7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B7F4D5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DC66DD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-3.9%</w:t>
            </w:r>
          </w:p>
        </w:tc>
        <w:tc>
          <w:tcPr>
            <w:tcW w:w="1419" w:type="dxa"/>
            <w:tcBorders>
              <w:top w:val="nil"/>
              <w:left w:val="nil"/>
              <w:bottom w:val="single" w:sz="4" w:space="0" w:color="auto"/>
              <w:right w:val="single" w:sz="4" w:space="0" w:color="auto"/>
            </w:tcBorders>
            <w:noWrap/>
            <w:hideMark/>
          </w:tcPr>
          <w:p w14:paraId="607111F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w:t>
            </w:r>
          </w:p>
        </w:tc>
        <w:tc>
          <w:tcPr>
            <w:tcW w:w="1276" w:type="dxa"/>
            <w:tcBorders>
              <w:top w:val="nil"/>
              <w:left w:val="nil"/>
              <w:bottom w:val="single" w:sz="4" w:space="0" w:color="auto"/>
              <w:right w:val="single" w:sz="4" w:space="0" w:color="auto"/>
            </w:tcBorders>
            <w:hideMark/>
          </w:tcPr>
          <w:p w14:paraId="6CCB45C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-18.5%</w:t>
            </w:r>
          </w:p>
        </w:tc>
        <w:tc>
          <w:tcPr>
            <w:tcW w:w="1275" w:type="dxa"/>
            <w:tcBorders>
              <w:top w:val="nil"/>
              <w:left w:val="nil"/>
              <w:bottom w:val="single" w:sz="4" w:space="0" w:color="auto"/>
              <w:right w:val="single" w:sz="4" w:space="0" w:color="auto"/>
            </w:tcBorders>
            <w:hideMark/>
          </w:tcPr>
          <w:p w14:paraId="4D402E8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hideMark/>
          </w:tcPr>
          <w:p w14:paraId="3246692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r>
      <w:tr w:rsidR="007B29DD" w14:paraId="39CE2180"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62F14B66"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South Gippsland (227)</w:t>
            </w:r>
          </w:p>
        </w:tc>
        <w:tc>
          <w:tcPr>
            <w:tcW w:w="1559" w:type="dxa"/>
            <w:tcBorders>
              <w:top w:val="nil"/>
              <w:left w:val="nil"/>
              <w:bottom w:val="single" w:sz="4" w:space="0" w:color="auto"/>
              <w:right w:val="single" w:sz="4" w:space="0" w:color="auto"/>
            </w:tcBorders>
            <w:shd w:val="clear" w:color="auto" w:fill="D9D9D9"/>
            <w:vAlign w:val="center"/>
            <w:hideMark/>
          </w:tcPr>
          <w:p w14:paraId="5DE66E4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6C20AA8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-4.5%</w:t>
            </w:r>
          </w:p>
        </w:tc>
        <w:tc>
          <w:tcPr>
            <w:tcW w:w="1419" w:type="dxa"/>
            <w:tcBorders>
              <w:top w:val="nil"/>
              <w:left w:val="nil"/>
              <w:bottom w:val="single" w:sz="4" w:space="0" w:color="auto"/>
              <w:right w:val="single" w:sz="4" w:space="0" w:color="auto"/>
            </w:tcBorders>
            <w:shd w:val="clear" w:color="auto" w:fill="D9D9D9"/>
            <w:noWrap/>
            <w:hideMark/>
          </w:tcPr>
          <w:p w14:paraId="3C3ABA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w:t>
            </w:r>
          </w:p>
        </w:tc>
        <w:tc>
          <w:tcPr>
            <w:tcW w:w="1276" w:type="dxa"/>
            <w:tcBorders>
              <w:top w:val="nil"/>
              <w:left w:val="nil"/>
              <w:bottom w:val="single" w:sz="4" w:space="0" w:color="auto"/>
              <w:right w:val="single" w:sz="4" w:space="0" w:color="auto"/>
            </w:tcBorders>
            <w:shd w:val="clear" w:color="auto" w:fill="D9D9D9"/>
            <w:hideMark/>
          </w:tcPr>
          <w:p w14:paraId="3416BEA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-15.5%</w:t>
            </w:r>
          </w:p>
        </w:tc>
        <w:tc>
          <w:tcPr>
            <w:tcW w:w="1275" w:type="dxa"/>
            <w:tcBorders>
              <w:top w:val="nil"/>
              <w:left w:val="nil"/>
              <w:bottom w:val="single" w:sz="4" w:space="0" w:color="auto"/>
              <w:right w:val="single" w:sz="4" w:space="0" w:color="auto"/>
            </w:tcBorders>
            <w:shd w:val="clear" w:color="auto" w:fill="D9D9D9"/>
            <w:hideMark/>
          </w:tcPr>
          <w:p w14:paraId="679DED4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-13.4%</w:t>
            </w:r>
          </w:p>
        </w:tc>
        <w:tc>
          <w:tcPr>
            <w:tcW w:w="1418" w:type="dxa"/>
            <w:tcBorders>
              <w:top w:val="nil"/>
              <w:left w:val="nil"/>
              <w:bottom w:val="single" w:sz="4" w:space="0" w:color="auto"/>
              <w:right w:val="single" w:sz="4" w:space="0" w:color="auto"/>
            </w:tcBorders>
            <w:shd w:val="clear" w:color="auto" w:fill="D9D9D9"/>
            <w:hideMark/>
          </w:tcPr>
          <w:p w14:paraId="30A4B55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13.1%</w:t>
            </w:r>
          </w:p>
        </w:tc>
      </w:tr>
      <w:tr w:rsidR="007B29DD" w14:paraId="58D8892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3E8033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6D12FE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0227643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-4.4%</w:t>
            </w:r>
          </w:p>
        </w:tc>
        <w:tc>
          <w:tcPr>
            <w:tcW w:w="1419" w:type="dxa"/>
            <w:tcBorders>
              <w:top w:val="nil"/>
              <w:left w:val="nil"/>
              <w:bottom w:val="single" w:sz="4" w:space="0" w:color="auto"/>
              <w:right w:val="single" w:sz="4" w:space="0" w:color="auto"/>
            </w:tcBorders>
            <w:shd w:val="clear" w:color="auto" w:fill="D9D9D9"/>
            <w:noWrap/>
            <w:hideMark/>
          </w:tcPr>
          <w:p w14:paraId="3C3D889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shd w:val="clear" w:color="auto" w:fill="D9D9D9"/>
            <w:hideMark/>
          </w:tcPr>
          <w:p w14:paraId="1FAF1D6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-26.1%</w:t>
            </w:r>
          </w:p>
        </w:tc>
        <w:tc>
          <w:tcPr>
            <w:tcW w:w="1275" w:type="dxa"/>
            <w:tcBorders>
              <w:top w:val="nil"/>
              <w:left w:val="nil"/>
              <w:bottom w:val="single" w:sz="4" w:space="0" w:color="auto"/>
              <w:right w:val="single" w:sz="4" w:space="0" w:color="auto"/>
            </w:tcBorders>
            <w:shd w:val="clear" w:color="auto" w:fill="D9D9D9"/>
            <w:hideMark/>
          </w:tcPr>
          <w:p w14:paraId="1C07902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-12.7%</w:t>
            </w:r>
          </w:p>
        </w:tc>
        <w:tc>
          <w:tcPr>
            <w:tcW w:w="1418" w:type="dxa"/>
            <w:tcBorders>
              <w:top w:val="nil"/>
              <w:left w:val="nil"/>
              <w:bottom w:val="single" w:sz="4" w:space="0" w:color="auto"/>
              <w:right w:val="single" w:sz="4" w:space="0" w:color="auto"/>
            </w:tcBorders>
            <w:shd w:val="clear" w:color="auto" w:fill="D9D9D9"/>
            <w:hideMark/>
          </w:tcPr>
          <w:p w14:paraId="6932B1B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11.8%</w:t>
            </w:r>
          </w:p>
        </w:tc>
      </w:tr>
      <w:tr w:rsidR="007B29DD" w14:paraId="3EB4867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611940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B69812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98B90A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w:t>
            </w:r>
          </w:p>
        </w:tc>
        <w:tc>
          <w:tcPr>
            <w:tcW w:w="1419" w:type="dxa"/>
            <w:tcBorders>
              <w:top w:val="nil"/>
              <w:left w:val="nil"/>
              <w:bottom w:val="single" w:sz="4" w:space="0" w:color="auto"/>
              <w:right w:val="single" w:sz="4" w:space="0" w:color="auto"/>
            </w:tcBorders>
            <w:shd w:val="clear" w:color="auto" w:fill="D9D9D9"/>
            <w:noWrap/>
            <w:hideMark/>
          </w:tcPr>
          <w:p w14:paraId="0A38287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w:t>
            </w:r>
          </w:p>
        </w:tc>
        <w:tc>
          <w:tcPr>
            <w:tcW w:w="1276" w:type="dxa"/>
            <w:tcBorders>
              <w:top w:val="nil"/>
              <w:left w:val="nil"/>
              <w:bottom w:val="single" w:sz="4" w:space="0" w:color="auto"/>
              <w:right w:val="single" w:sz="4" w:space="0" w:color="auto"/>
            </w:tcBorders>
            <w:shd w:val="clear" w:color="auto" w:fill="D9D9D9"/>
            <w:hideMark/>
          </w:tcPr>
          <w:p w14:paraId="277504A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c>
          <w:tcPr>
            <w:tcW w:w="1275" w:type="dxa"/>
            <w:tcBorders>
              <w:top w:val="nil"/>
              <w:left w:val="nil"/>
              <w:bottom w:val="single" w:sz="4" w:space="0" w:color="auto"/>
              <w:right w:val="single" w:sz="4" w:space="0" w:color="auto"/>
            </w:tcBorders>
            <w:shd w:val="clear" w:color="auto" w:fill="D9D9D9"/>
            <w:hideMark/>
          </w:tcPr>
          <w:p w14:paraId="4F3FF63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-8.0%</w:t>
            </w:r>
          </w:p>
        </w:tc>
        <w:tc>
          <w:tcPr>
            <w:tcW w:w="1418" w:type="dxa"/>
            <w:tcBorders>
              <w:top w:val="nil"/>
              <w:left w:val="nil"/>
              <w:bottom w:val="single" w:sz="4" w:space="0" w:color="auto"/>
              <w:right w:val="single" w:sz="4" w:space="0" w:color="auto"/>
            </w:tcBorders>
            <w:shd w:val="clear" w:color="auto" w:fill="D9D9D9"/>
            <w:hideMark/>
          </w:tcPr>
          <w:p w14:paraId="63D6B39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r>
      <w:tr w:rsidR="007B29DD" w14:paraId="671CD86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E98530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4B744A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25D0E10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-4.7%</w:t>
            </w:r>
          </w:p>
        </w:tc>
        <w:tc>
          <w:tcPr>
            <w:tcW w:w="1419" w:type="dxa"/>
            <w:tcBorders>
              <w:top w:val="nil"/>
              <w:left w:val="nil"/>
              <w:bottom w:val="single" w:sz="4" w:space="0" w:color="auto"/>
              <w:right w:val="single" w:sz="4" w:space="0" w:color="auto"/>
            </w:tcBorders>
            <w:shd w:val="clear" w:color="auto" w:fill="D9D9D9"/>
            <w:noWrap/>
            <w:hideMark/>
          </w:tcPr>
          <w:p w14:paraId="5956A6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3.1%</w:t>
            </w:r>
          </w:p>
        </w:tc>
        <w:tc>
          <w:tcPr>
            <w:tcW w:w="1276" w:type="dxa"/>
            <w:tcBorders>
              <w:top w:val="nil"/>
              <w:left w:val="nil"/>
              <w:bottom w:val="single" w:sz="4" w:space="0" w:color="auto"/>
              <w:right w:val="single" w:sz="4" w:space="0" w:color="auto"/>
            </w:tcBorders>
            <w:shd w:val="clear" w:color="auto" w:fill="D9D9D9"/>
            <w:hideMark/>
          </w:tcPr>
          <w:p w14:paraId="6C4378C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-19.9%</w:t>
            </w:r>
          </w:p>
        </w:tc>
        <w:tc>
          <w:tcPr>
            <w:tcW w:w="1275" w:type="dxa"/>
            <w:tcBorders>
              <w:top w:val="nil"/>
              <w:left w:val="nil"/>
              <w:bottom w:val="single" w:sz="4" w:space="0" w:color="auto"/>
              <w:right w:val="single" w:sz="4" w:space="0" w:color="auto"/>
            </w:tcBorders>
            <w:shd w:val="clear" w:color="auto" w:fill="D9D9D9"/>
            <w:hideMark/>
          </w:tcPr>
          <w:p w14:paraId="737E5C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-11.8%</w:t>
            </w:r>
          </w:p>
        </w:tc>
        <w:tc>
          <w:tcPr>
            <w:tcW w:w="1418" w:type="dxa"/>
            <w:tcBorders>
              <w:top w:val="nil"/>
              <w:left w:val="nil"/>
              <w:bottom w:val="single" w:sz="4" w:space="0" w:color="auto"/>
              <w:right w:val="single" w:sz="4" w:space="0" w:color="auto"/>
            </w:tcBorders>
            <w:shd w:val="clear" w:color="auto" w:fill="D9D9D9"/>
            <w:hideMark/>
          </w:tcPr>
          <w:p w14:paraId="51AFFA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r>
      <w:tr w:rsidR="007B29DD" w14:paraId="21AB19FC"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8A5C0C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Bunyip (228)</w:t>
            </w:r>
          </w:p>
        </w:tc>
        <w:tc>
          <w:tcPr>
            <w:tcW w:w="1559" w:type="dxa"/>
            <w:tcBorders>
              <w:top w:val="nil"/>
              <w:left w:val="nil"/>
              <w:bottom w:val="single" w:sz="4" w:space="0" w:color="auto"/>
              <w:right w:val="single" w:sz="4" w:space="0" w:color="auto"/>
            </w:tcBorders>
            <w:vAlign w:val="center"/>
            <w:hideMark/>
          </w:tcPr>
          <w:p w14:paraId="69E16D5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82C23F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-3.9%</w:t>
            </w:r>
          </w:p>
        </w:tc>
        <w:tc>
          <w:tcPr>
            <w:tcW w:w="1419" w:type="dxa"/>
            <w:tcBorders>
              <w:top w:val="nil"/>
              <w:left w:val="nil"/>
              <w:bottom w:val="single" w:sz="4" w:space="0" w:color="auto"/>
              <w:right w:val="single" w:sz="4" w:space="0" w:color="auto"/>
            </w:tcBorders>
            <w:noWrap/>
            <w:hideMark/>
          </w:tcPr>
          <w:p w14:paraId="206C2BD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w:t>
            </w:r>
          </w:p>
        </w:tc>
        <w:tc>
          <w:tcPr>
            <w:tcW w:w="1276" w:type="dxa"/>
            <w:tcBorders>
              <w:top w:val="nil"/>
              <w:left w:val="nil"/>
              <w:bottom w:val="single" w:sz="4" w:space="0" w:color="auto"/>
              <w:right w:val="single" w:sz="4" w:space="0" w:color="auto"/>
            </w:tcBorders>
            <w:hideMark/>
          </w:tcPr>
          <w:p w14:paraId="70D9EB8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-13.2%</w:t>
            </w:r>
          </w:p>
        </w:tc>
        <w:tc>
          <w:tcPr>
            <w:tcW w:w="1275" w:type="dxa"/>
            <w:tcBorders>
              <w:top w:val="nil"/>
              <w:left w:val="nil"/>
              <w:bottom w:val="single" w:sz="4" w:space="0" w:color="auto"/>
              <w:right w:val="single" w:sz="4" w:space="0" w:color="auto"/>
            </w:tcBorders>
            <w:hideMark/>
          </w:tcPr>
          <w:p w14:paraId="732CBA5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-13.0%</w:t>
            </w:r>
          </w:p>
        </w:tc>
        <w:tc>
          <w:tcPr>
            <w:tcW w:w="1418" w:type="dxa"/>
            <w:tcBorders>
              <w:top w:val="nil"/>
              <w:left w:val="nil"/>
              <w:bottom w:val="single" w:sz="4" w:space="0" w:color="auto"/>
              <w:right w:val="single" w:sz="4" w:space="0" w:color="auto"/>
            </w:tcBorders>
            <w:hideMark/>
          </w:tcPr>
          <w:p w14:paraId="15F6371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13.2%</w:t>
            </w:r>
          </w:p>
        </w:tc>
      </w:tr>
      <w:tr w:rsidR="007B29DD" w14:paraId="330F2F9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C10A2B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53F8CA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5204407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-5.0%</w:t>
            </w:r>
          </w:p>
        </w:tc>
        <w:tc>
          <w:tcPr>
            <w:tcW w:w="1419" w:type="dxa"/>
            <w:tcBorders>
              <w:top w:val="nil"/>
              <w:left w:val="nil"/>
              <w:bottom w:val="single" w:sz="4" w:space="0" w:color="auto"/>
              <w:right w:val="single" w:sz="4" w:space="0" w:color="auto"/>
            </w:tcBorders>
            <w:noWrap/>
            <w:hideMark/>
          </w:tcPr>
          <w:p w14:paraId="082995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7.4%</w:t>
            </w:r>
          </w:p>
        </w:tc>
        <w:tc>
          <w:tcPr>
            <w:tcW w:w="1276" w:type="dxa"/>
            <w:tcBorders>
              <w:top w:val="nil"/>
              <w:left w:val="nil"/>
              <w:bottom w:val="single" w:sz="4" w:space="0" w:color="auto"/>
              <w:right w:val="single" w:sz="4" w:space="0" w:color="auto"/>
            </w:tcBorders>
            <w:hideMark/>
          </w:tcPr>
          <w:p w14:paraId="3E4BF26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-28.3%</w:t>
            </w:r>
          </w:p>
        </w:tc>
        <w:tc>
          <w:tcPr>
            <w:tcW w:w="1275" w:type="dxa"/>
            <w:tcBorders>
              <w:top w:val="nil"/>
              <w:left w:val="nil"/>
              <w:bottom w:val="single" w:sz="4" w:space="0" w:color="auto"/>
              <w:right w:val="single" w:sz="4" w:space="0" w:color="auto"/>
            </w:tcBorders>
            <w:hideMark/>
          </w:tcPr>
          <w:p w14:paraId="029F2F3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-14.0%</w:t>
            </w:r>
          </w:p>
        </w:tc>
        <w:tc>
          <w:tcPr>
            <w:tcW w:w="1418" w:type="dxa"/>
            <w:tcBorders>
              <w:top w:val="nil"/>
              <w:left w:val="nil"/>
              <w:bottom w:val="single" w:sz="4" w:space="0" w:color="auto"/>
              <w:right w:val="single" w:sz="4" w:space="0" w:color="auto"/>
            </w:tcBorders>
            <w:hideMark/>
          </w:tcPr>
          <w:p w14:paraId="2FE303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r>
      <w:tr w:rsidR="007B29DD" w14:paraId="580510D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8A1F7F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8B1BFF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461DC09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w:t>
            </w:r>
          </w:p>
        </w:tc>
        <w:tc>
          <w:tcPr>
            <w:tcW w:w="1419" w:type="dxa"/>
            <w:tcBorders>
              <w:top w:val="nil"/>
              <w:left w:val="nil"/>
              <w:bottom w:val="single" w:sz="4" w:space="0" w:color="auto"/>
              <w:right w:val="single" w:sz="4" w:space="0" w:color="auto"/>
            </w:tcBorders>
            <w:noWrap/>
            <w:hideMark/>
          </w:tcPr>
          <w:p w14:paraId="7E724F9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5.8%</w:t>
            </w:r>
          </w:p>
        </w:tc>
        <w:tc>
          <w:tcPr>
            <w:tcW w:w="1276" w:type="dxa"/>
            <w:tcBorders>
              <w:top w:val="nil"/>
              <w:left w:val="nil"/>
              <w:bottom w:val="single" w:sz="4" w:space="0" w:color="auto"/>
              <w:right w:val="single" w:sz="4" w:space="0" w:color="auto"/>
            </w:tcBorders>
            <w:hideMark/>
          </w:tcPr>
          <w:p w14:paraId="02648C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-14.5%</w:t>
            </w:r>
          </w:p>
        </w:tc>
        <w:tc>
          <w:tcPr>
            <w:tcW w:w="1275" w:type="dxa"/>
            <w:tcBorders>
              <w:top w:val="nil"/>
              <w:left w:val="nil"/>
              <w:bottom w:val="single" w:sz="4" w:space="0" w:color="auto"/>
              <w:right w:val="single" w:sz="4" w:space="0" w:color="auto"/>
            </w:tcBorders>
            <w:hideMark/>
          </w:tcPr>
          <w:p w14:paraId="6665743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-12.6%</w:t>
            </w:r>
          </w:p>
        </w:tc>
        <w:tc>
          <w:tcPr>
            <w:tcW w:w="1418" w:type="dxa"/>
            <w:tcBorders>
              <w:top w:val="nil"/>
              <w:left w:val="nil"/>
              <w:bottom w:val="single" w:sz="4" w:space="0" w:color="auto"/>
              <w:right w:val="single" w:sz="4" w:space="0" w:color="auto"/>
            </w:tcBorders>
            <w:hideMark/>
          </w:tcPr>
          <w:p w14:paraId="5D27B9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20.4%</w:t>
            </w:r>
          </w:p>
        </w:tc>
      </w:tr>
      <w:tr w:rsidR="007B29DD" w14:paraId="611FCF6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564B73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3D4A28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5F6BD2B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-4.3%</w:t>
            </w:r>
          </w:p>
        </w:tc>
        <w:tc>
          <w:tcPr>
            <w:tcW w:w="1419" w:type="dxa"/>
            <w:tcBorders>
              <w:top w:val="nil"/>
              <w:left w:val="nil"/>
              <w:bottom w:val="single" w:sz="4" w:space="0" w:color="auto"/>
              <w:right w:val="single" w:sz="4" w:space="0" w:color="auto"/>
            </w:tcBorders>
            <w:noWrap/>
            <w:hideMark/>
          </w:tcPr>
          <w:p w14:paraId="467F566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w:t>
            </w:r>
          </w:p>
        </w:tc>
        <w:tc>
          <w:tcPr>
            <w:tcW w:w="1276" w:type="dxa"/>
            <w:tcBorders>
              <w:top w:val="nil"/>
              <w:left w:val="nil"/>
              <w:bottom w:val="single" w:sz="4" w:space="0" w:color="auto"/>
              <w:right w:val="single" w:sz="4" w:space="0" w:color="auto"/>
            </w:tcBorders>
            <w:hideMark/>
          </w:tcPr>
          <w:p w14:paraId="1E226F6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-19.3%</w:t>
            </w:r>
          </w:p>
        </w:tc>
        <w:tc>
          <w:tcPr>
            <w:tcW w:w="1275" w:type="dxa"/>
            <w:tcBorders>
              <w:top w:val="nil"/>
              <w:left w:val="nil"/>
              <w:bottom w:val="single" w:sz="4" w:space="0" w:color="auto"/>
              <w:right w:val="single" w:sz="4" w:space="0" w:color="auto"/>
            </w:tcBorders>
            <w:hideMark/>
          </w:tcPr>
          <w:p w14:paraId="2A19A9C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-11.6%</w:t>
            </w:r>
          </w:p>
        </w:tc>
        <w:tc>
          <w:tcPr>
            <w:tcW w:w="1418" w:type="dxa"/>
            <w:tcBorders>
              <w:top w:val="nil"/>
              <w:left w:val="nil"/>
              <w:bottom w:val="single" w:sz="4" w:space="0" w:color="auto"/>
              <w:right w:val="single" w:sz="4" w:space="0" w:color="auto"/>
            </w:tcBorders>
            <w:hideMark/>
          </w:tcPr>
          <w:p w14:paraId="3592F07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9.4%</w:t>
            </w:r>
          </w:p>
        </w:tc>
      </w:tr>
      <w:tr w:rsidR="007B29DD" w14:paraId="2CFE0CE4"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C64C23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Yarra (229)</w:t>
            </w:r>
          </w:p>
        </w:tc>
        <w:tc>
          <w:tcPr>
            <w:tcW w:w="1559" w:type="dxa"/>
            <w:tcBorders>
              <w:top w:val="nil"/>
              <w:left w:val="nil"/>
              <w:bottom w:val="single" w:sz="4" w:space="0" w:color="auto"/>
              <w:right w:val="single" w:sz="4" w:space="0" w:color="auto"/>
            </w:tcBorders>
            <w:shd w:val="clear" w:color="auto" w:fill="D9D9D9"/>
            <w:vAlign w:val="center"/>
            <w:hideMark/>
          </w:tcPr>
          <w:p w14:paraId="607C88D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249B2C9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-2.7%</w:t>
            </w:r>
          </w:p>
        </w:tc>
        <w:tc>
          <w:tcPr>
            <w:tcW w:w="1419" w:type="dxa"/>
            <w:tcBorders>
              <w:top w:val="nil"/>
              <w:left w:val="nil"/>
              <w:bottom w:val="single" w:sz="4" w:space="0" w:color="auto"/>
              <w:right w:val="single" w:sz="4" w:space="0" w:color="auto"/>
            </w:tcBorders>
            <w:shd w:val="clear" w:color="auto" w:fill="D9D9D9"/>
            <w:noWrap/>
            <w:hideMark/>
          </w:tcPr>
          <w:p w14:paraId="7009D64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w:t>
            </w:r>
          </w:p>
        </w:tc>
        <w:tc>
          <w:tcPr>
            <w:tcW w:w="1276" w:type="dxa"/>
            <w:tcBorders>
              <w:top w:val="nil"/>
              <w:left w:val="nil"/>
              <w:bottom w:val="single" w:sz="4" w:space="0" w:color="auto"/>
              <w:right w:val="single" w:sz="4" w:space="0" w:color="auto"/>
            </w:tcBorders>
            <w:shd w:val="clear" w:color="auto" w:fill="D9D9D9"/>
            <w:hideMark/>
          </w:tcPr>
          <w:p w14:paraId="446E113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c>
          <w:tcPr>
            <w:tcW w:w="1275" w:type="dxa"/>
            <w:tcBorders>
              <w:top w:val="nil"/>
              <w:left w:val="nil"/>
              <w:bottom w:val="single" w:sz="4" w:space="0" w:color="auto"/>
              <w:right w:val="single" w:sz="4" w:space="0" w:color="auto"/>
            </w:tcBorders>
            <w:shd w:val="clear" w:color="auto" w:fill="D9D9D9"/>
            <w:hideMark/>
          </w:tcPr>
          <w:p w14:paraId="4D9790C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shd w:val="clear" w:color="auto" w:fill="D9D9D9"/>
            <w:hideMark/>
          </w:tcPr>
          <w:p w14:paraId="4A9ABAD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14.8%</w:t>
            </w:r>
          </w:p>
        </w:tc>
      </w:tr>
      <w:tr w:rsidR="007B29DD" w14:paraId="0614673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941514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9D90C4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26B9E68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-4.3%</w:t>
            </w:r>
          </w:p>
        </w:tc>
        <w:tc>
          <w:tcPr>
            <w:tcW w:w="1419" w:type="dxa"/>
            <w:tcBorders>
              <w:top w:val="nil"/>
              <w:left w:val="nil"/>
              <w:bottom w:val="single" w:sz="4" w:space="0" w:color="auto"/>
              <w:right w:val="single" w:sz="4" w:space="0" w:color="auto"/>
            </w:tcBorders>
            <w:shd w:val="clear" w:color="auto" w:fill="D9D9D9"/>
            <w:noWrap/>
            <w:hideMark/>
          </w:tcPr>
          <w:p w14:paraId="44CE7D5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7.8%</w:t>
            </w:r>
          </w:p>
        </w:tc>
        <w:tc>
          <w:tcPr>
            <w:tcW w:w="1276" w:type="dxa"/>
            <w:tcBorders>
              <w:top w:val="nil"/>
              <w:left w:val="nil"/>
              <w:bottom w:val="single" w:sz="4" w:space="0" w:color="auto"/>
              <w:right w:val="single" w:sz="4" w:space="0" w:color="auto"/>
            </w:tcBorders>
            <w:shd w:val="clear" w:color="auto" w:fill="D9D9D9"/>
            <w:hideMark/>
          </w:tcPr>
          <w:p w14:paraId="40AC90A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-27.0%</w:t>
            </w:r>
          </w:p>
        </w:tc>
        <w:tc>
          <w:tcPr>
            <w:tcW w:w="1275" w:type="dxa"/>
            <w:tcBorders>
              <w:top w:val="nil"/>
              <w:left w:val="nil"/>
              <w:bottom w:val="single" w:sz="4" w:space="0" w:color="auto"/>
              <w:right w:val="single" w:sz="4" w:space="0" w:color="auto"/>
            </w:tcBorders>
            <w:shd w:val="clear" w:color="auto" w:fill="D9D9D9"/>
            <w:hideMark/>
          </w:tcPr>
          <w:p w14:paraId="3736737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-13.3%</w:t>
            </w:r>
          </w:p>
        </w:tc>
        <w:tc>
          <w:tcPr>
            <w:tcW w:w="1418" w:type="dxa"/>
            <w:tcBorders>
              <w:top w:val="nil"/>
              <w:left w:val="nil"/>
              <w:bottom w:val="single" w:sz="4" w:space="0" w:color="auto"/>
              <w:right w:val="single" w:sz="4" w:space="0" w:color="auto"/>
            </w:tcBorders>
            <w:shd w:val="clear" w:color="auto" w:fill="D9D9D9"/>
            <w:hideMark/>
          </w:tcPr>
          <w:p w14:paraId="3EF9894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12.6%</w:t>
            </w:r>
          </w:p>
        </w:tc>
      </w:tr>
      <w:tr w:rsidR="007B29DD" w14:paraId="126969A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C7D36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80652B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59FFBB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w:t>
            </w:r>
          </w:p>
        </w:tc>
        <w:tc>
          <w:tcPr>
            <w:tcW w:w="1419" w:type="dxa"/>
            <w:tcBorders>
              <w:top w:val="nil"/>
              <w:left w:val="nil"/>
              <w:bottom w:val="single" w:sz="4" w:space="0" w:color="auto"/>
              <w:right w:val="single" w:sz="4" w:space="0" w:color="auto"/>
            </w:tcBorders>
            <w:shd w:val="clear" w:color="auto" w:fill="D9D9D9"/>
            <w:noWrap/>
            <w:hideMark/>
          </w:tcPr>
          <w:p w14:paraId="35886F0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4.9%</w:t>
            </w:r>
          </w:p>
        </w:tc>
        <w:tc>
          <w:tcPr>
            <w:tcW w:w="1276" w:type="dxa"/>
            <w:tcBorders>
              <w:top w:val="nil"/>
              <w:left w:val="nil"/>
              <w:bottom w:val="single" w:sz="4" w:space="0" w:color="auto"/>
              <w:right w:val="single" w:sz="4" w:space="0" w:color="auto"/>
            </w:tcBorders>
            <w:shd w:val="clear" w:color="auto" w:fill="D9D9D9"/>
            <w:hideMark/>
          </w:tcPr>
          <w:p w14:paraId="4E18275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-13.5%</w:t>
            </w:r>
          </w:p>
        </w:tc>
        <w:tc>
          <w:tcPr>
            <w:tcW w:w="1275" w:type="dxa"/>
            <w:tcBorders>
              <w:top w:val="nil"/>
              <w:left w:val="nil"/>
              <w:bottom w:val="single" w:sz="4" w:space="0" w:color="auto"/>
              <w:right w:val="single" w:sz="4" w:space="0" w:color="auto"/>
            </w:tcBorders>
            <w:shd w:val="clear" w:color="auto" w:fill="D9D9D9"/>
            <w:hideMark/>
          </w:tcPr>
          <w:p w14:paraId="0FA9757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-17.2%</w:t>
            </w:r>
          </w:p>
        </w:tc>
        <w:tc>
          <w:tcPr>
            <w:tcW w:w="1418" w:type="dxa"/>
            <w:tcBorders>
              <w:top w:val="nil"/>
              <w:left w:val="nil"/>
              <w:bottom w:val="single" w:sz="4" w:space="0" w:color="auto"/>
              <w:right w:val="single" w:sz="4" w:space="0" w:color="auto"/>
            </w:tcBorders>
            <w:shd w:val="clear" w:color="auto" w:fill="D9D9D9"/>
            <w:hideMark/>
          </w:tcPr>
          <w:p w14:paraId="730B452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28.1%</w:t>
            </w:r>
          </w:p>
        </w:tc>
      </w:tr>
      <w:tr w:rsidR="007B29DD" w14:paraId="67F0B41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106D5D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E46F02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7277C7A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w:t>
            </w:r>
          </w:p>
        </w:tc>
        <w:tc>
          <w:tcPr>
            <w:tcW w:w="1419" w:type="dxa"/>
            <w:tcBorders>
              <w:top w:val="nil"/>
              <w:left w:val="nil"/>
              <w:bottom w:val="single" w:sz="4" w:space="0" w:color="auto"/>
              <w:right w:val="single" w:sz="4" w:space="0" w:color="auto"/>
            </w:tcBorders>
            <w:shd w:val="clear" w:color="auto" w:fill="D9D9D9"/>
            <w:noWrap/>
            <w:hideMark/>
          </w:tcPr>
          <w:p w14:paraId="783265E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5.1%</w:t>
            </w:r>
          </w:p>
        </w:tc>
        <w:tc>
          <w:tcPr>
            <w:tcW w:w="1276" w:type="dxa"/>
            <w:tcBorders>
              <w:top w:val="nil"/>
              <w:left w:val="nil"/>
              <w:bottom w:val="single" w:sz="4" w:space="0" w:color="auto"/>
              <w:right w:val="single" w:sz="4" w:space="0" w:color="auto"/>
            </w:tcBorders>
            <w:shd w:val="clear" w:color="auto" w:fill="D9D9D9"/>
            <w:hideMark/>
          </w:tcPr>
          <w:p w14:paraId="407CE11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-15.9%</w:t>
            </w:r>
          </w:p>
        </w:tc>
        <w:tc>
          <w:tcPr>
            <w:tcW w:w="1275" w:type="dxa"/>
            <w:tcBorders>
              <w:top w:val="nil"/>
              <w:left w:val="nil"/>
              <w:bottom w:val="single" w:sz="4" w:space="0" w:color="auto"/>
              <w:right w:val="single" w:sz="4" w:space="0" w:color="auto"/>
            </w:tcBorders>
            <w:shd w:val="clear" w:color="auto" w:fill="D9D9D9"/>
            <w:hideMark/>
          </w:tcPr>
          <w:p w14:paraId="11D3AE1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-10.2%</w:t>
            </w:r>
          </w:p>
        </w:tc>
        <w:tc>
          <w:tcPr>
            <w:tcW w:w="1418" w:type="dxa"/>
            <w:tcBorders>
              <w:top w:val="nil"/>
              <w:left w:val="nil"/>
              <w:bottom w:val="single" w:sz="4" w:space="0" w:color="auto"/>
              <w:right w:val="single" w:sz="4" w:space="0" w:color="auto"/>
            </w:tcBorders>
            <w:shd w:val="clear" w:color="auto" w:fill="D9D9D9"/>
            <w:hideMark/>
          </w:tcPr>
          <w:p w14:paraId="00CA321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12.9%</w:t>
            </w:r>
          </w:p>
        </w:tc>
      </w:tr>
      <w:tr w:rsidR="007B29DD" w14:paraId="07266DE1"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1839830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Maribyrnong (230)</w:t>
            </w:r>
          </w:p>
        </w:tc>
        <w:tc>
          <w:tcPr>
            <w:tcW w:w="1559" w:type="dxa"/>
            <w:tcBorders>
              <w:top w:val="nil"/>
              <w:left w:val="nil"/>
              <w:bottom w:val="single" w:sz="4" w:space="0" w:color="auto"/>
              <w:right w:val="single" w:sz="4" w:space="0" w:color="auto"/>
            </w:tcBorders>
            <w:vAlign w:val="center"/>
            <w:hideMark/>
          </w:tcPr>
          <w:p w14:paraId="7163F94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235F2E4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-2.4%</w:t>
            </w:r>
          </w:p>
        </w:tc>
        <w:tc>
          <w:tcPr>
            <w:tcW w:w="1419" w:type="dxa"/>
            <w:tcBorders>
              <w:top w:val="nil"/>
              <w:left w:val="nil"/>
              <w:bottom w:val="single" w:sz="4" w:space="0" w:color="auto"/>
              <w:right w:val="single" w:sz="4" w:space="0" w:color="auto"/>
            </w:tcBorders>
            <w:noWrap/>
            <w:hideMark/>
          </w:tcPr>
          <w:p w14:paraId="157F1BA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w:t>
            </w:r>
          </w:p>
        </w:tc>
        <w:tc>
          <w:tcPr>
            <w:tcW w:w="1276" w:type="dxa"/>
            <w:tcBorders>
              <w:top w:val="nil"/>
              <w:left w:val="nil"/>
              <w:bottom w:val="single" w:sz="4" w:space="0" w:color="auto"/>
              <w:right w:val="single" w:sz="4" w:space="0" w:color="auto"/>
            </w:tcBorders>
            <w:hideMark/>
          </w:tcPr>
          <w:p w14:paraId="4854C8E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-10.9%</w:t>
            </w:r>
          </w:p>
        </w:tc>
        <w:tc>
          <w:tcPr>
            <w:tcW w:w="1275" w:type="dxa"/>
            <w:tcBorders>
              <w:top w:val="nil"/>
              <w:left w:val="nil"/>
              <w:bottom w:val="single" w:sz="4" w:space="0" w:color="auto"/>
              <w:right w:val="single" w:sz="4" w:space="0" w:color="auto"/>
            </w:tcBorders>
            <w:hideMark/>
          </w:tcPr>
          <w:p w14:paraId="77AC540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c>
          <w:tcPr>
            <w:tcW w:w="1418" w:type="dxa"/>
            <w:tcBorders>
              <w:top w:val="nil"/>
              <w:left w:val="nil"/>
              <w:bottom w:val="single" w:sz="4" w:space="0" w:color="auto"/>
              <w:right w:val="single" w:sz="4" w:space="0" w:color="auto"/>
            </w:tcBorders>
            <w:hideMark/>
          </w:tcPr>
          <w:p w14:paraId="29218CE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13.2%</w:t>
            </w:r>
          </w:p>
        </w:tc>
      </w:tr>
      <w:tr w:rsidR="007B29DD" w14:paraId="3F9225B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85217E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06C81A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4DB6404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-5.5%</w:t>
            </w:r>
          </w:p>
        </w:tc>
        <w:tc>
          <w:tcPr>
            <w:tcW w:w="1419" w:type="dxa"/>
            <w:tcBorders>
              <w:top w:val="nil"/>
              <w:left w:val="nil"/>
              <w:bottom w:val="single" w:sz="4" w:space="0" w:color="auto"/>
              <w:right w:val="single" w:sz="4" w:space="0" w:color="auto"/>
            </w:tcBorders>
            <w:noWrap/>
            <w:hideMark/>
          </w:tcPr>
          <w:p w14:paraId="63CDAE0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6.5%</w:t>
            </w:r>
          </w:p>
        </w:tc>
        <w:tc>
          <w:tcPr>
            <w:tcW w:w="1276" w:type="dxa"/>
            <w:tcBorders>
              <w:top w:val="nil"/>
              <w:left w:val="nil"/>
              <w:bottom w:val="single" w:sz="4" w:space="0" w:color="auto"/>
              <w:right w:val="single" w:sz="4" w:space="0" w:color="auto"/>
            </w:tcBorders>
            <w:hideMark/>
          </w:tcPr>
          <w:p w14:paraId="649922A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-26.6%</w:t>
            </w:r>
          </w:p>
        </w:tc>
        <w:tc>
          <w:tcPr>
            <w:tcW w:w="1275" w:type="dxa"/>
            <w:tcBorders>
              <w:top w:val="nil"/>
              <w:left w:val="nil"/>
              <w:bottom w:val="single" w:sz="4" w:space="0" w:color="auto"/>
              <w:right w:val="single" w:sz="4" w:space="0" w:color="auto"/>
            </w:tcBorders>
            <w:hideMark/>
          </w:tcPr>
          <w:p w14:paraId="61D2FC5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-15.5%</w:t>
            </w:r>
          </w:p>
        </w:tc>
        <w:tc>
          <w:tcPr>
            <w:tcW w:w="1418" w:type="dxa"/>
            <w:tcBorders>
              <w:top w:val="nil"/>
              <w:left w:val="nil"/>
              <w:bottom w:val="single" w:sz="4" w:space="0" w:color="auto"/>
              <w:right w:val="single" w:sz="4" w:space="0" w:color="auto"/>
            </w:tcBorders>
            <w:hideMark/>
          </w:tcPr>
          <w:p w14:paraId="76268A3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12.1%</w:t>
            </w:r>
          </w:p>
        </w:tc>
      </w:tr>
      <w:tr w:rsidR="007B29DD" w14:paraId="5A94C9F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4BCE7E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E19FC6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5F614E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w:t>
            </w:r>
          </w:p>
        </w:tc>
        <w:tc>
          <w:tcPr>
            <w:tcW w:w="1419" w:type="dxa"/>
            <w:tcBorders>
              <w:top w:val="nil"/>
              <w:left w:val="nil"/>
              <w:bottom w:val="single" w:sz="4" w:space="0" w:color="auto"/>
              <w:right w:val="single" w:sz="4" w:space="0" w:color="auto"/>
            </w:tcBorders>
            <w:noWrap/>
            <w:hideMark/>
          </w:tcPr>
          <w:p w14:paraId="4C8CAEF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4.6%</w:t>
            </w:r>
          </w:p>
        </w:tc>
        <w:tc>
          <w:tcPr>
            <w:tcW w:w="1276" w:type="dxa"/>
            <w:tcBorders>
              <w:top w:val="nil"/>
              <w:left w:val="nil"/>
              <w:bottom w:val="single" w:sz="4" w:space="0" w:color="auto"/>
              <w:right w:val="single" w:sz="4" w:space="0" w:color="auto"/>
            </w:tcBorders>
            <w:hideMark/>
          </w:tcPr>
          <w:p w14:paraId="4C20494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-11.4%</w:t>
            </w:r>
          </w:p>
        </w:tc>
        <w:tc>
          <w:tcPr>
            <w:tcW w:w="1275" w:type="dxa"/>
            <w:tcBorders>
              <w:top w:val="nil"/>
              <w:left w:val="nil"/>
              <w:bottom w:val="single" w:sz="4" w:space="0" w:color="auto"/>
              <w:right w:val="single" w:sz="4" w:space="0" w:color="auto"/>
            </w:tcBorders>
            <w:hideMark/>
          </w:tcPr>
          <w:p w14:paraId="0DA776E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-12.7%</w:t>
            </w:r>
          </w:p>
        </w:tc>
        <w:tc>
          <w:tcPr>
            <w:tcW w:w="1418" w:type="dxa"/>
            <w:tcBorders>
              <w:top w:val="nil"/>
              <w:left w:val="nil"/>
              <w:bottom w:val="single" w:sz="4" w:space="0" w:color="auto"/>
              <w:right w:val="single" w:sz="4" w:space="0" w:color="auto"/>
            </w:tcBorders>
            <w:hideMark/>
          </w:tcPr>
          <w:p w14:paraId="6C88E3B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19.0%</w:t>
            </w:r>
          </w:p>
        </w:tc>
      </w:tr>
      <w:tr w:rsidR="007B29DD" w14:paraId="40C9903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9158E9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B0CA3C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5EF3F07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-3.3%</w:t>
            </w:r>
          </w:p>
        </w:tc>
        <w:tc>
          <w:tcPr>
            <w:tcW w:w="1419" w:type="dxa"/>
            <w:tcBorders>
              <w:top w:val="nil"/>
              <w:left w:val="nil"/>
              <w:bottom w:val="single" w:sz="4" w:space="0" w:color="auto"/>
              <w:right w:val="single" w:sz="4" w:space="0" w:color="auto"/>
            </w:tcBorders>
            <w:noWrap/>
            <w:hideMark/>
          </w:tcPr>
          <w:p w14:paraId="4F5D0A1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4.4%</w:t>
            </w:r>
          </w:p>
        </w:tc>
        <w:tc>
          <w:tcPr>
            <w:tcW w:w="1276" w:type="dxa"/>
            <w:tcBorders>
              <w:top w:val="nil"/>
              <w:left w:val="nil"/>
              <w:bottom w:val="single" w:sz="4" w:space="0" w:color="auto"/>
              <w:right w:val="single" w:sz="4" w:space="0" w:color="auto"/>
            </w:tcBorders>
            <w:hideMark/>
          </w:tcPr>
          <w:p w14:paraId="3F587CF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-16.8%</w:t>
            </w:r>
          </w:p>
        </w:tc>
        <w:tc>
          <w:tcPr>
            <w:tcW w:w="1275" w:type="dxa"/>
            <w:tcBorders>
              <w:top w:val="nil"/>
              <w:left w:val="nil"/>
              <w:bottom w:val="single" w:sz="4" w:space="0" w:color="auto"/>
              <w:right w:val="single" w:sz="4" w:space="0" w:color="auto"/>
            </w:tcBorders>
            <w:hideMark/>
          </w:tcPr>
          <w:p w14:paraId="40BF693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-12.9%</w:t>
            </w:r>
          </w:p>
        </w:tc>
        <w:tc>
          <w:tcPr>
            <w:tcW w:w="1418" w:type="dxa"/>
            <w:tcBorders>
              <w:top w:val="nil"/>
              <w:left w:val="nil"/>
              <w:bottom w:val="single" w:sz="4" w:space="0" w:color="auto"/>
              <w:right w:val="single" w:sz="4" w:space="0" w:color="auto"/>
            </w:tcBorders>
            <w:hideMark/>
          </w:tcPr>
          <w:p w14:paraId="0A357B5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13.5%</w:t>
            </w:r>
          </w:p>
        </w:tc>
      </w:tr>
      <w:tr w:rsidR="007B29DD" w14:paraId="1D1F2030"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0FADB4F8"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Werribee (231)</w:t>
            </w:r>
          </w:p>
        </w:tc>
        <w:tc>
          <w:tcPr>
            <w:tcW w:w="1559" w:type="dxa"/>
            <w:tcBorders>
              <w:top w:val="nil"/>
              <w:left w:val="nil"/>
              <w:bottom w:val="single" w:sz="4" w:space="0" w:color="auto"/>
              <w:right w:val="single" w:sz="4" w:space="0" w:color="auto"/>
            </w:tcBorders>
            <w:shd w:val="clear" w:color="auto" w:fill="D9D9D9"/>
            <w:vAlign w:val="center"/>
            <w:hideMark/>
          </w:tcPr>
          <w:p w14:paraId="160449A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D8AC1B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-2.7%</w:t>
            </w:r>
          </w:p>
        </w:tc>
        <w:tc>
          <w:tcPr>
            <w:tcW w:w="1419" w:type="dxa"/>
            <w:tcBorders>
              <w:top w:val="nil"/>
              <w:left w:val="nil"/>
              <w:bottom w:val="single" w:sz="4" w:space="0" w:color="auto"/>
              <w:right w:val="single" w:sz="4" w:space="0" w:color="auto"/>
            </w:tcBorders>
            <w:shd w:val="clear" w:color="auto" w:fill="D9D9D9"/>
            <w:noWrap/>
            <w:hideMark/>
          </w:tcPr>
          <w:p w14:paraId="0F377EB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w:t>
            </w:r>
          </w:p>
        </w:tc>
        <w:tc>
          <w:tcPr>
            <w:tcW w:w="1276" w:type="dxa"/>
            <w:tcBorders>
              <w:top w:val="nil"/>
              <w:left w:val="nil"/>
              <w:bottom w:val="single" w:sz="4" w:space="0" w:color="auto"/>
              <w:right w:val="single" w:sz="4" w:space="0" w:color="auto"/>
            </w:tcBorders>
            <w:shd w:val="clear" w:color="auto" w:fill="D9D9D9"/>
            <w:hideMark/>
          </w:tcPr>
          <w:p w14:paraId="5F04695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-11.0%</w:t>
            </w:r>
          </w:p>
        </w:tc>
        <w:tc>
          <w:tcPr>
            <w:tcW w:w="1275" w:type="dxa"/>
            <w:tcBorders>
              <w:top w:val="nil"/>
              <w:left w:val="nil"/>
              <w:bottom w:val="single" w:sz="4" w:space="0" w:color="auto"/>
              <w:right w:val="single" w:sz="4" w:space="0" w:color="auto"/>
            </w:tcBorders>
            <w:shd w:val="clear" w:color="auto" w:fill="D9D9D9"/>
            <w:hideMark/>
          </w:tcPr>
          <w:p w14:paraId="474A70B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-12.1%</w:t>
            </w:r>
          </w:p>
        </w:tc>
        <w:tc>
          <w:tcPr>
            <w:tcW w:w="1418" w:type="dxa"/>
            <w:tcBorders>
              <w:top w:val="nil"/>
              <w:left w:val="nil"/>
              <w:bottom w:val="single" w:sz="4" w:space="0" w:color="auto"/>
              <w:right w:val="single" w:sz="4" w:space="0" w:color="auto"/>
            </w:tcBorders>
            <w:shd w:val="clear" w:color="auto" w:fill="D9D9D9"/>
            <w:hideMark/>
          </w:tcPr>
          <w:p w14:paraId="0DD41B1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12.8%</w:t>
            </w:r>
          </w:p>
        </w:tc>
      </w:tr>
      <w:tr w:rsidR="007B29DD" w14:paraId="08E8F04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E22901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EFE236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16A14C5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-6.2%</w:t>
            </w:r>
          </w:p>
        </w:tc>
        <w:tc>
          <w:tcPr>
            <w:tcW w:w="1419" w:type="dxa"/>
            <w:tcBorders>
              <w:top w:val="nil"/>
              <w:left w:val="nil"/>
              <w:bottom w:val="single" w:sz="4" w:space="0" w:color="auto"/>
              <w:right w:val="single" w:sz="4" w:space="0" w:color="auto"/>
            </w:tcBorders>
            <w:shd w:val="clear" w:color="auto" w:fill="D9D9D9"/>
            <w:noWrap/>
            <w:hideMark/>
          </w:tcPr>
          <w:p w14:paraId="44F9526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shd w:val="clear" w:color="auto" w:fill="D9D9D9"/>
            <w:hideMark/>
          </w:tcPr>
          <w:p w14:paraId="2BDA51B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-27.4%</w:t>
            </w:r>
          </w:p>
        </w:tc>
        <w:tc>
          <w:tcPr>
            <w:tcW w:w="1275" w:type="dxa"/>
            <w:tcBorders>
              <w:top w:val="nil"/>
              <w:left w:val="nil"/>
              <w:bottom w:val="single" w:sz="4" w:space="0" w:color="auto"/>
              <w:right w:val="single" w:sz="4" w:space="0" w:color="auto"/>
            </w:tcBorders>
            <w:shd w:val="clear" w:color="auto" w:fill="D9D9D9"/>
            <w:hideMark/>
          </w:tcPr>
          <w:p w14:paraId="717DCAB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-17.1%</w:t>
            </w:r>
          </w:p>
        </w:tc>
        <w:tc>
          <w:tcPr>
            <w:tcW w:w="1418" w:type="dxa"/>
            <w:tcBorders>
              <w:top w:val="nil"/>
              <w:left w:val="nil"/>
              <w:bottom w:val="single" w:sz="4" w:space="0" w:color="auto"/>
              <w:right w:val="single" w:sz="4" w:space="0" w:color="auto"/>
            </w:tcBorders>
            <w:shd w:val="clear" w:color="auto" w:fill="D9D9D9"/>
            <w:hideMark/>
          </w:tcPr>
          <w:p w14:paraId="01D5FA1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11.8%</w:t>
            </w:r>
          </w:p>
        </w:tc>
      </w:tr>
      <w:tr w:rsidR="007B29DD" w14:paraId="288CF72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B574B3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EED188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38D3779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w:t>
            </w:r>
          </w:p>
        </w:tc>
        <w:tc>
          <w:tcPr>
            <w:tcW w:w="1419" w:type="dxa"/>
            <w:tcBorders>
              <w:top w:val="nil"/>
              <w:left w:val="nil"/>
              <w:bottom w:val="single" w:sz="4" w:space="0" w:color="auto"/>
              <w:right w:val="single" w:sz="4" w:space="0" w:color="auto"/>
            </w:tcBorders>
            <w:shd w:val="clear" w:color="auto" w:fill="D9D9D9"/>
            <w:noWrap/>
            <w:hideMark/>
          </w:tcPr>
          <w:p w14:paraId="239EE52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4.3%</w:t>
            </w:r>
          </w:p>
        </w:tc>
        <w:tc>
          <w:tcPr>
            <w:tcW w:w="1276" w:type="dxa"/>
            <w:tcBorders>
              <w:top w:val="nil"/>
              <w:left w:val="nil"/>
              <w:bottom w:val="single" w:sz="4" w:space="0" w:color="auto"/>
              <w:right w:val="single" w:sz="4" w:space="0" w:color="auto"/>
            </w:tcBorders>
            <w:shd w:val="clear" w:color="auto" w:fill="D9D9D9"/>
            <w:hideMark/>
          </w:tcPr>
          <w:p w14:paraId="21CA874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c>
          <w:tcPr>
            <w:tcW w:w="1275" w:type="dxa"/>
            <w:tcBorders>
              <w:top w:val="nil"/>
              <w:left w:val="nil"/>
              <w:bottom w:val="single" w:sz="4" w:space="0" w:color="auto"/>
              <w:right w:val="single" w:sz="4" w:space="0" w:color="auto"/>
            </w:tcBorders>
            <w:shd w:val="clear" w:color="auto" w:fill="D9D9D9"/>
            <w:hideMark/>
          </w:tcPr>
          <w:p w14:paraId="71B379E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-8.6%</w:t>
            </w:r>
          </w:p>
        </w:tc>
        <w:tc>
          <w:tcPr>
            <w:tcW w:w="1418" w:type="dxa"/>
            <w:tcBorders>
              <w:top w:val="nil"/>
              <w:left w:val="nil"/>
              <w:bottom w:val="single" w:sz="4" w:space="0" w:color="auto"/>
              <w:right w:val="single" w:sz="4" w:space="0" w:color="auto"/>
            </w:tcBorders>
            <w:shd w:val="clear" w:color="auto" w:fill="D9D9D9"/>
            <w:hideMark/>
          </w:tcPr>
          <w:p w14:paraId="0D58F3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9.9%</w:t>
            </w:r>
          </w:p>
        </w:tc>
      </w:tr>
      <w:tr w:rsidR="007B29DD" w14:paraId="15D18FF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2F36A0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F37E2A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DFF763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-3.4%</w:t>
            </w:r>
          </w:p>
        </w:tc>
        <w:tc>
          <w:tcPr>
            <w:tcW w:w="1419" w:type="dxa"/>
            <w:tcBorders>
              <w:top w:val="nil"/>
              <w:left w:val="nil"/>
              <w:bottom w:val="single" w:sz="4" w:space="0" w:color="auto"/>
              <w:right w:val="single" w:sz="4" w:space="0" w:color="auto"/>
            </w:tcBorders>
            <w:shd w:val="clear" w:color="auto" w:fill="D9D9D9"/>
            <w:noWrap/>
            <w:hideMark/>
          </w:tcPr>
          <w:p w14:paraId="7C66E9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5.3%</w:t>
            </w:r>
          </w:p>
        </w:tc>
        <w:tc>
          <w:tcPr>
            <w:tcW w:w="1276" w:type="dxa"/>
            <w:tcBorders>
              <w:top w:val="nil"/>
              <w:left w:val="nil"/>
              <w:bottom w:val="single" w:sz="4" w:space="0" w:color="auto"/>
              <w:right w:val="single" w:sz="4" w:space="0" w:color="auto"/>
            </w:tcBorders>
            <w:shd w:val="clear" w:color="auto" w:fill="D9D9D9"/>
            <w:hideMark/>
          </w:tcPr>
          <w:p w14:paraId="1314208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-17.7%</w:t>
            </w:r>
          </w:p>
        </w:tc>
        <w:tc>
          <w:tcPr>
            <w:tcW w:w="1275" w:type="dxa"/>
            <w:tcBorders>
              <w:top w:val="nil"/>
              <w:left w:val="nil"/>
              <w:bottom w:val="single" w:sz="4" w:space="0" w:color="auto"/>
              <w:right w:val="single" w:sz="4" w:space="0" w:color="auto"/>
            </w:tcBorders>
            <w:shd w:val="clear" w:color="auto" w:fill="D9D9D9"/>
            <w:hideMark/>
          </w:tcPr>
          <w:p w14:paraId="062FCED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c>
          <w:tcPr>
            <w:tcW w:w="1418" w:type="dxa"/>
            <w:tcBorders>
              <w:top w:val="nil"/>
              <w:left w:val="nil"/>
              <w:bottom w:val="single" w:sz="4" w:space="0" w:color="auto"/>
              <w:right w:val="single" w:sz="4" w:space="0" w:color="auto"/>
            </w:tcBorders>
            <w:shd w:val="clear" w:color="auto" w:fill="D9D9D9"/>
            <w:hideMark/>
          </w:tcPr>
          <w:p w14:paraId="731F60C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10.2%</w:t>
            </w:r>
          </w:p>
        </w:tc>
      </w:tr>
      <w:tr w:rsidR="007B29DD" w14:paraId="3610B77E"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238D8599"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Moorabool (232)</w:t>
            </w:r>
          </w:p>
        </w:tc>
        <w:tc>
          <w:tcPr>
            <w:tcW w:w="1559" w:type="dxa"/>
            <w:tcBorders>
              <w:top w:val="nil"/>
              <w:left w:val="nil"/>
              <w:bottom w:val="single" w:sz="4" w:space="0" w:color="auto"/>
              <w:right w:val="single" w:sz="4" w:space="0" w:color="auto"/>
            </w:tcBorders>
            <w:vAlign w:val="center"/>
            <w:hideMark/>
          </w:tcPr>
          <w:p w14:paraId="074B0A4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64D5715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-3.4%</w:t>
            </w:r>
          </w:p>
        </w:tc>
        <w:tc>
          <w:tcPr>
            <w:tcW w:w="1419" w:type="dxa"/>
            <w:tcBorders>
              <w:top w:val="nil"/>
              <w:left w:val="nil"/>
              <w:bottom w:val="single" w:sz="4" w:space="0" w:color="auto"/>
              <w:right w:val="single" w:sz="4" w:space="0" w:color="auto"/>
            </w:tcBorders>
            <w:noWrap/>
            <w:hideMark/>
          </w:tcPr>
          <w:p w14:paraId="6B6A485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w:t>
            </w:r>
          </w:p>
        </w:tc>
        <w:tc>
          <w:tcPr>
            <w:tcW w:w="1276" w:type="dxa"/>
            <w:tcBorders>
              <w:top w:val="nil"/>
              <w:left w:val="nil"/>
              <w:bottom w:val="single" w:sz="4" w:space="0" w:color="auto"/>
              <w:right w:val="single" w:sz="4" w:space="0" w:color="auto"/>
            </w:tcBorders>
            <w:hideMark/>
          </w:tcPr>
          <w:p w14:paraId="6765DF6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-12.8%</w:t>
            </w:r>
          </w:p>
        </w:tc>
        <w:tc>
          <w:tcPr>
            <w:tcW w:w="1275" w:type="dxa"/>
            <w:tcBorders>
              <w:top w:val="nil"/>
              <w:left w:val="nil"/>
              <w:bottom w:val="single" w:sz="4" w:space="0" w:color="auto"/>
              <w:right w:val="single" w:sz="4" w:space="0" w:color="auto"/>
            </w:tcBorders>
            <w:hideMark/>
          </w:tcPr>
          <w:p w14:paraId="4A37B23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-12.7%</w:t>
            </w:r>
          </w:p>
        </w:tc>
        <w:tc>
          <w:tcPr>
            <w:tcW w:w="1418" w:type="dxa"/>
            <w:tcBorders>
              <w:top w:val="nil"/>
              <w:left w:val="nil"/>
              <w:bottom w:val="single" w:sz="4" w:space="0" w:color="auto"/>
              <w:right w:val="single" w:sz="4" w:space="0" w:color="auto"/>
            </w:tcBorders>
            <w:hideMark/>
          </w:tcPr>
          <w:p w14:paraId="55BC5B8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12.1%</w:t>
            </w:r>
          </w:p>
        </w:tc>
      </w:tr>
      <w:tr w:rsidR="007B29DD" w14:paraId="6C2C120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A5C280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C776FE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D0DAE7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-5.9%</w:t>
            </w:r>
          </w:p>
        </w:tc>
        <w:tc>
          <w:tcPr>
            <w:tcW w:w="1419" w:type="dxa"/>
            <w:tcBorders>
              <w:top w:val="nil"/>
              <w:left w:val="nil"/>
              <w:bottom w:val="single" w:sz="4" w:space="0" w:color="auto"/>
              <w:right w:val="single" w:sz="4" w:space="0" w:color="auto"/>
            </w:tcBorders>
            <w:noWrap/>
            <w:hideMark/>
          </w:tcPr>
          <w:p w14:paraId="60EADD4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6.2%</w:t>
            </w:r>
          </w:p>
        </w:tc>
        <w:tc>
          <w:tcPr>
            <w:tcW w:w="1276" w:type="dxa"/>
            <w:tcBorders>
              <w:top w:val="nil"/>
              <w:left w:val="nil"/>
              <w:bottom w:val="single" w:sz="4" w:space="0" w:color="auto"/>
              <w:right w:val="single" w:sz="4" w:space="0" w:color="auto"/>
            </w:tcBorders>
            <w:hideMark/>
          </w:tcPr>
          <w:p w14:paraId="2D37C2A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-26.1%</w:t>
            </w:r>
          </w:p>
        </w:tc>
        <w:tc>
          <w:tcPr>
            <w:tcW w:w="1275" w:type="dxa"/>
            <w:tcBorders>
              <w:top w:val="nil"/>
              <w:left w:val="nil"/>
              <w:bottom w:val="single" w:sz="4" w:space="0" w:color="auto"/>
              <w:right w:val="single" w:sz="4" w:space="0" w:color="auto"/>
            </w:tcBorders>
            <w:hideMark/>
          </w:tcPr>
          <w:p w14:paraId="4F33AD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-17.3%</w:t>
            </w:r>
          </w:p>
        </w:tc>
        <w:tc>
          <w:tcPr>
            <w:tcW w:w="1418" w:type="dxa"/>
            <w:tcBorders>
              <w:top w:val="nil"/>
              <w:left w:val="nil"/>
              <w:bottom w:val="single" w:sz="4" w:space="0" w:color="auto"/>
              <w:right w:val="single" w:sz="4" w:space="0" w:color="auto"/>
            </w:tcBorders>
            <w:hideMark/>
          </w:tcPr>
          <w:p w14:paraId="0C8F2FD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13.1%</w:t>
            </w:r>
          </w:p>
        </w:tc>
      </w:tr>
      <w:tr w:rsidR="007B29DD" w14:paraId="5D331C2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1BC106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6CDF71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368D05B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w:t>
            </w:r>
          </w:p>
        </w:tc>
        <w:tc>
          <w:tcPr>
            <w:tcW w:w="1419" w:type="dxa"/>
            <w:tcBorders>
              <w:top w:val="nil"/>
              <w:left w:val="nil"/>
              <w:bottom w:val="single" w:sz="4" w:space="0" w:color="auto"/>
              <w:right w:val="single" w:sz="4" w:space="0" w:color="auto"/>
            </w:tcBorders>
            <w:noWrap/>
            <w:hideMark/>
          </w:tcPr>
          <w:p w14:paraId="5B205D6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4.4%</w:t>
            </w:r>
          </w:p>
        </w:tc>
        <w:tc>
          <w:tcPr>
            <w:tcW w:w="1276" w:type="dxa"/>
            <w:tcBorders>
              <w:top w:val="nil"/>
              <w:left w:val="nil"/>
              <w:bottom w:val="single" w:sz="4" w:space="0" w:color="auto"/>
              <w:right w:val="single" w:sz="4" w:space="0" w:color="auto"/>
            </w:tcBorders>
            <w:hideMark/>
          </w:tcPr>
          <w:p w14:paraId="03ACD75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-11.0%</w:t>
            </w:r>
          </w:p>
        </w:tc>
        <w:tc>
          <w:tcPr>
            <w:tcW w:w="1275" w:type="dxa"/>
            <w:tcBorders>
              <w:top w:val="nil"/>
              <w:left w:val="nil"/>
              <w:bottom w:val="single" w:sz="4" w:space="0" w:color="auto"/>
              <w:right w:val="single" w:sz="4" w:space="0" w:color="auto"/>
            </w:tcBorders>
            <w:hideMark/>
          </w:tcPr>
          <w:p w14:paraId="18CD2B8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-9.1%</w:t>
            </w:r>
          </w:p>
        </w:tc>
        <w:tc>
          <w:tcPr>
            <w:tcW w:w="1418" w:type="dxa"/>
            <w:tcBorders>
              <w:top w:val="nil"/>
              <w:left w:val="nil"/>
              <w:bottom w:val="single" w:sz="4" w:space="0" w:color="auto"/>
              <w:right w:val="single" w:sz="4" w:space="0" w:color="auto"/>
            </w:tcBorders>
            <w:hideMark/>
          </w:tcPr>
          <w:p w14:paraId="120B792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r>
      <w:tr w:rsidR="007B29DD" w14:paraId="15B7254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CCC590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680B00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61EE86E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-3.2%</w:t>
            </w:r>
          </w:p>
        </w:tc>
        <w:tc>
          <w:tcPr>
            <w:tcW w:w="1419" w:type="dxa"/>
            <w:tcBorders>
              <w:top w:val="nil"/>
              <w:left w:val="nil"/>
              <w:bottom w:val="single" w:sz="4" w:space="0" w:color="auto"/>
              <w:right w:val="single" w:sz="4" w:space="0" w:color="auto"/>
            </w:tcBorders>
            <w:noWrap/>
            <w:hideMark/>
          </w:tcPr>
          <w:p w14:paraId="16BA8E9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5.6%</w:t>
            </w:r>
          </w:p>
        </w:tc>
        <w:tc>
          <w:tcPr>
            <w:tcW w:w="1276" w:type="dxa"/>
            <w:tcBorders>
              <w:top w:val="nil"/>
              <w:left w:val="nil"/>
              <w:bottom w:val="single" w:sz="4" w:space="0" w:color="auto"/>
              <w:right w:val="single" w:sz="4" w:space="0" w:color="auto"/>
            </w:tcBorders>
            <w:hideMark/>
          </w:tcPr>
          <w:p w14:paraId="0DFCC03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-17.8%</w:t>
            </w:r>
          </w:p>
        </w:tc>
        <w:tc>
          <w:tcPr>
            <w:tcW w:w="1275" w:type="dxa"/>
            <w:tcBorders>
              <w:top w:val="nil"/>
              <w:left w:val="nil"/>
              <w:bottom w:val="single" w:sz="4" w:space="0" w:color="auto"/>
              <w:right w:val="single" w:sz="4" w:space="0" w:color="auto"/>
            </w:tcBorders>
            <w:hideMark/>
          </w:tcPr>
          <w:p w14:paraId="3467193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c>
          <w:tcPr>
            <w:tcW w:w="1418" w:type="dxa"/>
            <w:tcBorders>
              <w:top w:val="nil"/>
              <w:left w:val="nil"/>
              <w:bottom w:val="single" w:sz="4" w:space="0" w:color="auto"/>
              <w:right w:val="single" w:sz="4" w:space="0" w:color="auto"/>
            </w:tcBorders>
            <w:hideMark/>
          </w:tcPr>
          <w:p w14:paraId="723FD40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r>
      <w:tr w:rsidR="007B29DD" w14:paraId="073BBD6C"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2E1F03D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Barwon (233)</w:t>
            </w:r>
          </w:p>
        </w:tc>
        <w:tc>
          <w:tcPr>
            <w:tcW w:w="1559" w:type="dxa"/>
            <w:tcBorders>
              <w:top w:val="nil"/>
              <w:left w:val="nil"/>
              <w:bottom w:val="single" w:sz="4" w:space="0" w:color="auto"/>
              <w:right w:val="single" w:sz="4" w:space="0" w:color="auto"/>
            </w:tcBorders>
            <w:shd w:val="clear" w:color="auto" w:fill="D9D9D9"/>
            <w:vAlign w:val="center"/>
            <w:hideMark/>
          </w:tcPr>
          <w:p w14:paraId="76E4300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2B12F78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-3.0%</w:t>
            </w:r>
          </w:p>
        </w:tc>
        <w:tc>
          <w:tcPr>
            <w:tcW w:w="1419" w:type="dxa"/>
            <w:tcBorders>
              <w:top w:val="nil"/>
              <w:left w:val="nil"/>
              <w:bottom w:val="single" w:sz="4" w:space="0" w:color="auto"/>
              <w:right w:val="single" w:sz="4" w:space="0" w:color="auto"/>
            </w:tcBorders>
            <w:shd w:val="clear" w:color="auto" w:fill="D9D9D9"/>
            <w:noWrap/>
            <w:hideMark/>
          </w:tcPr>
          <w:p w14:paraId="11AEA31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w:t>
            </w:r>
          </w:p>
        </w:tc>
        <w:tc>
          <w:tcPr>
            <w:tcW w:w="1276" w:type="dxa"/>
            <w:tcBorders>
              <w:top w:val="nil"/>
              <w:left w:val="nil"/>
              <w:bottom w:val="single" w:sz="4" w:space="0" w:color="auto"/>
              <w:right w:val="single" w:sz="4" w:space="0" w:color="auto"/>
            </w:tcBorders>
            <w:shd w:val="clear" w:color="auto" w:fill="D9D9D9"/>
            <w:hideMark/>
          </w:tcPr>
          <w:p w14:paraId="73B2F01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-11.4%</w:t>
            </w:r>
          </w:p>
        </w:tc>
        <w:tc>
          <w:tcPr>
            <w:tcW w:w="1275" w:type="dxa"/>
            <w:tcBorders>
              <w:top w:val="nil"/>
              <w:left w:val="nil"/>
              <w:bottom w:val="single" w:sz="4" w:space="0" w:color="auto"/>
              <w:right w:val="single" w:sz="4" w:space="0" w:color="auto"/>
            </w:tcBorders>
            <w:shd w:val="clear" w:color="auto" w:fill="D9D9D9"/>
            <w:hideMark/>
          </w:tcPr>
          <w:p w14:paraId="32B244B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-9.4%</w:t>
            </w:r>
          </w:p>
        </w:tc>
        <w:tc>
          <w:tcPr>
            <w:tcW w:w="1418" w:type="dxa"/>
            <w:tcBorders>
              <w:top w:val="nil"/>
              <w:left w:val="nil"/>
              <w:bottom w:val="single" w:sz="4" w:space="0" w:color="auto"/>
              <w:right w:val="single" w:sz="4" w:space="0" w:color="auto"/>
            </w:tcBorders>
            <w:shd w:val="clear" w:color="auto" w:fill="D9D9D9"/>
            <w:hideMark/>
          </w:tcPr>
          <w:p w14:paraId="7C0281D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r>
      <w:tr w:rsidR="007B29DD" w14:paraId="1ABC3C1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9DE813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81028E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6EFDB41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-5.2%</w:t>
            </w:r>
          </w:p>
        </w:tc>
        <w:tc>
          <w:tcPr>
            <w:tcW w:w="1419" w:type="dxa"/>
            <w:tcBorders>
              <w:top w:val="nil"/>
              <w:left w:val="nil"/>
              <w:bottom w:val="single" w:sz="4" w:space="0" w:color="auto"/>
              <w:right w:val="single" w:sz="4" w:space="0" w:color="auto"/>
            </w:tcBorders>
            <w:shd w:val="clear" w:color="auto" w:fill="D9D9D9"/>
            <w:noWrap/>
            <w:hideMark/>
          </w:tcPr>
          <w:p w14:paraId="15F249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4.9%</w:t>
            </w:r>
          </w:p>
        </w:tc>
        <w:tc>
          <w:tcPr>
            <w:tcW w:w="1276" w:type="dxa"/>
            <w:tcBorders>
              <w:top w:val="nil"/>
              <w:left w:val="nil"/>
              <w:bottom w:val="single" w:sz="4" w:space="0" w:color="auto"/>
              <w:right w:val="single" w:sz="4" w:space="0" w:color="auto"/>
            </w:tcBorders>
            <w:shd w:val="clear" w:color="auto" w:fill="D9D9D9"/>
            <w:hideMark/>
          </w:tcPr>
          <w:p w14:paraId="0B04D0A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-25.0%</w:t>
            </w:r>
          </w:p>
        </w:tc>
        <w:tc>
          <w:tcPr>
            <w:tcW w:w="1275" w:type="dxa"/>
            <w:tcBorders>
              <w:top w:val="nil"/>
              <w:left w:val="nil"/>
              <w:bottom w:val="single" w:sz="4" w:space="0" w:color="auto"/>
              <w:right w:val="single" w:sz="4" w:space="0" w:color="auto"/>
            </w:tcBorders>
            <w:shd w:val="clear" w:color="auto" w:fill="D9D9D9"/>
            <w:hideMark/>
          </w:tcPr>
          <w:p w14:paraId="52C45D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shd w:val="clear" w:color="auto" w:fill="D9D9D9"/>
            <w:hideMark/>
          </w:tcPr>
          <w:p w14:paraId="5247776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8.3%</w:t>
            </w:r>
          </w:p>
        </w:tc>
      </w:tr>
      <w:tr w:rsidR="007B29DD" w14:paraId="21AF32A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25A863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5DAC9F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5583ADA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-0.9%</w:t>
            </w:r>
          </w:p>
        </w:tc>
        <w:tc>
          <w:tcPr>
            <w:tcW w:w="1419" w:type="dxa"/>
            <w:tcBorders>
              <w:top w:val="nil"/>
              <w:left w:val="nil"/>
              <w:bottom w:val="single" w:sz="4" w:space="0" w:color="auto"/>
              <w:right w:val="single" w:sz="4" w:space="0" w:color="auto"/>
            </w:tcBorders>
            <w:shd w:val="clear" w:color="auto" w:fill="D9D9D9"/>
            <w:noWrap/>
            <w:hideMark/>
          </w:tcPr>
          <w:p w14:paraId="37A8AE3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w:t>
            </w:r>
          </w:p>
        </w:tc>
        <w:tc>
          <w:tcPr>
            <w:tcW w:w="1276" w:type="dxa"/>
            <w:tcBorders>
              <w:top w:val="nil"/>
              <w:left w:val="nil"/>
              <w:bottom w:val="single" w:sz="4" w:space="0" w:color="auto"/>
              <w:right w:val="single" w:sz="4" w:space="0" w:color="auto"/>
            </w:tcBorders>
            <w:shd w:val="clear" w:color="auto" w:fill="D9D9D9"/>
            <w:hideMark/>
          </w:tcPr>
          <w:p w14:paraId="5D312F3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-10.9%</w:t>
            </w:r>
          </w:p>
        </w:tc>
        <w:tc>
          <w:tcPr>
            <w:tcW w:w="1275" w:type="dxa"/>
            <w:tcBorders>
              <w:top w:val="nil"/>
              <w:left w:val="nil"/>
              <w:bottom w:val="single" w:sz="4" w:space="0" w:color="auto"/>
              <w:right w:val="single" w:sz="4" w:space="0" w:color="auto"/>
            </w:tcBorders>
            <w:shd w:val="clear" w:color="auto" w:fill="D9D9D9"/>
            <w:hideMark/>
          </w:tcPr>
          <w:p w14:paraId="42ECBDF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-7.5%</w:t>
            </w:r>
          </w:p>
        </w:tc>
        <w:tc>
          <w:tcPr>
            <w:tcW w:w="1418" w:type="dxa"/>
            <w:tcBorders>
              <w:top w:val="nil"/>
              <w:left w:val="nil"/>
              <w:bottom w:val="single" w:sz="4" w:space="0" w:color="auto"/>
              <w:right w:val="single" w:sz="4" w:space="0" w:color="auto"/>
            </w:tcBorders>
            <w:shd w:val="clear" w:color="auto" w:fill="D9D9D9"/>
            <w:hideMark/>
          </w:tcPr>
          <w:p w14:paraId="0F3FE7E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r>
      <w:tr w:rsidR="007B29DD" w14:paraId="7BCF030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935EB1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4885EF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7EB1125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-3.6%</w:t>
            </w:r>
          </w:p>
        </w:tc>
        <w:tc>
          <w:tcPr>
            <w:tcW w:w="1419" w:type="dxa"/>
            <w:tcBorders>
              <w:top w:val="nil"/>
              <w:left w:val="nil"/>
              <w:bottom w:val="single" w:sz="4" w:space="0" w:color="auto"/>
              <w:right w:val="single" w:sz="4" w:space="0" w:color="auto"/>
            </w:tcBorders>
            <w:shd w:val="clear" w:color="auto" w:fill="D9D9D9"/>
            <w:noWrap/>
            <w:hideMark/>
          </w:tcPr>
          <w:p w14:paraId="6A1A365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w:t>
            </w:r>
          </w:p>
        </w:tc>
        <w:tc>
          <w:tcPr>
            <w:tcW w:w="1276" w:type="dxa"/>
            <w:tcBorders>
              <w:top w:val="nil"/>
              <w:left w:val="nil"/>
              <w:bottom w:val="single" w:sz="4" w:space="0" w:color="auto"/>
              <w:right w:val="single" w:sz="4" w:space="0" w:color="auto"/>
            </w:tcBorders>
            <w:shd w:val="clear" w:color="auto" w:fill="D9D9D9"/>
            <w:hideMark/>
          </w:tcPr>
          <w:p w14:paraId="0AA3055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-17.2%</w:t>
            </w:r>
          </w:p>
        </w:tc>
        <w:tc>
          <w:tcPr>
            <w:tcW w:w="1275" w:type="dxa"/>
            <w:tcBorders>
              <w:top w:val="nil"/>
              <w:left w:val="nil"/>
              <w:bottom w:val="single" w:sz="4" w:space="0" w:color="auto"/>
              <w:right w:val="single" w:sz="4" w:space="0" w:color="auto"/>
            </w:tcBorders>
            <w:shd w:val="clear" w:color="auto" w:fill="D9D9D9"/>
            <w:hideMark/>
          </w:tcPr>
          <w:p w14:paraId="2B119A4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c>
          <w:tcPr>
            <w:tcW w:w="1418" w:type="dxa"/>
            <w:tcBorders>
              <w:top w:val="nil"/>
              <w:left w:val="nil"/>
              <w:bottom w:val="single" w:sz="4" w:space="0" w:color="auto"/>
              <w:right w:val="single" w:sz="4" w:space="0" w:color="auto"/>
            </w:tcBorders>
            <w:shd w:val="clear" w:color="auto" w:fill="D9D9D9"/>
            <w:hideMark/>
          </w:tcPr>
          <w:p w14:paraId="5D575E7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7.6%</w:t>
            </w:r>
          </w:p>
        </w:tc>
      </w:tr>
      <w:tr w:rsidR="007B29DD" w14:paraId="2601E9CA"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4FB4AFB6"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Lake Corangamite (234)</w:t>
            </w:r>
          </w:p>
        </w:tc>
        <w:tc>
          <w:tcPr>
            <w:tcW w:w="1559" w:type="dxa"/>
            <w:tcBorders>
              <w:top w:val="nil"/>
              <w:left w:val="nil"/>
              <w:bottom w:val="single" w:sz="4" w:space="0" w:color="auto"/>
              <w:right w:val="single" w:sz="4" w:space="0" w:color="auto"/>
            </w:tcBorders>
            <w:vAlign w:val="center"/>
            <w:hideMark/>
          </w:tcPr>
          <w:p w14:paraId="61C5B68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78F92C7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-3.9%</w:t>
            </w:r>
          </w:p>
        </w:tc>
        <w:tc>
          <w:tcPr>
            <w:tcW w:w="1419" w:type="dxa"/>
            <w:tcBorders>
              <w:top w:val="nil"/>
              <w:left w:val="nil"/>
              <w:bottom w:val="single" w:sz="4" w:space="0" w:color="auto"/>
              <w:right w:val="single" w:sz="4" w:space="0" w:color="auto"/>
            </w:tcBorders>
            <w:noWrap/>
            <w:hideMark/>
          </w:tcPr>
          <w:p w14:paraId="0A2BCAF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0.2%</w:t>
            </w:r>
          </w:p>
        </w:tc>
        <w:tc>
          <w:tcPr>
            <w:tcW w:w="1276" w:type="dxa"/>
            <w:tcBorders>
              <w:top w:val="nil"/>
              <w:left w:val="nil"/>
              <w:bottom w:val="single" w:sz="4" w:space="0" w:color="auto"/>
              <w:right w:val="single" w:sz="4" w:space="0" w:color="auto"/>
            </w:tcBorders>
            <w:hideMark/>
          </w:tcPr>
          <w:p w14:paraId="4D172C3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-12.4%</w:t>
            </w:r>
          </w:p>
        </w:tc>
        <w:tc>
          <w:tcPr>
            <w:tcW w:w="1275" w:type="dxa"/>
            <w:tcBorders>
              <w:top w:val="nil"/>
              <w:left w:val="nil"/>
              <w:bottom w:val="single" w:sz="4" w:space="0" w:color="auto"/>
              <w:right w:val="single" w:sz="4" w:space="0" w:color="auto"/>
            </w:tcBorders>
            <w:hideMark/>
          </w:tcPr>
          <w:p w14:paraId="0D073D4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-10.0%</w:t>
            </w:r>
          </w:p>
        </w:tc>
        <w:tc>
          <w:tcPr>
            <w:tcW w:w="1418" w:type="dxa"/>
            <w:tcBorders>
              <w:top w:val="nil"/>
              <w:left w:val="nil"/>
              <w:bottom w:val="single" w:sz="4" w:space="0" w:color="auto"/>
              <w:right w:val="single" w:sz="4" w:space="0" w:color="auto"/>
            </w:tcBorders>
            <w:hideMark/>
          </w:tcPr>
          <w:p w14:paraId="69C7833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8.6%</w:t>
            </w:r>
          </w:p>
        </w:tc>
      </w:tr>
      <w:tr w:rsidR="007B29DD" w14:paraId="65208C6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272BA2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65D61B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777A454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-5.3%</w:t>
            </w:r>
          </w:p>
        </w:tc>
        <w:tc>
          <w:tcPr>
            <w:tcW w:w="1419" w:type="dxa"/>
            <w:tcBorders>
              <w:top w:val="nil"/>
              <w:left w:val="nil"/>
              <w:bottom w:val="single" w:sz="4" w:space="0" w:color="auto"/>
              <w:right w:val="single" w:sz="4" w:space="0" w:color="auto"/>
            </w:tcBorders>
            <w:noWrap/>
            <w:hideMark/>
          </w:tcPr>
          <w:p w14:paraId="28C09D9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w:t>
            </w:r>
          </w:p>
        </w:tc>
        <w:tc>
          <w:tcPr>
            <w:tcW w:w="1276" w:type="dxa"/>
            <w:tcBorders>
              <w:top w:val="nil"/>
              <w:left w:val="nil"/>
              <w:bottom w:val="single" w:sz="4" w:space="0" w:color="auto"/>
              <w:right w:val="single" w:sz="4" w:space="0" w:color="auto"/>
            </w:tcBorders>
            <w:hideMark/>
          </w:tcPr>
          <w:p w14:paraId="006B94B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-22.2%</w:t>
            </w:r>
          </w:p>
        </w:tc>
        <w:tc>
          <w:tcPr>
            <w:tcW w:w="1275" w:type="dxa"/>
            <w:tcBorders>
              <w:top w:val="nil"/>
              <w:left w:val="nil"/>
              <w:bottom w:val="single" w:sz="4" w:space="0" w:color="auto"/>
              <w:right w:val="single" w:sz="4" w:space="0" w:color="auto"/>
            </w:tcBorders>
            <w:hideMark/>
          </w:tcPr>
          <w:p w14:paraId="3A35BE1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hideMark/>
          </w:tcPr>
          <w:p w14:paraId="3AC9A73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8.5%</w:t>
            </w:r>
          </w:p>
        </w:tc>
      </w:tr>
      <w:tr w:rsidR="007B29DD" w14:paraId="40E1197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CB7E1D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560412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78AFA67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w:t>
            </w:r>
          </w:p>
        </w:tc>
        <w:tc>
          <w:tcPr>
            <w:tcW w:w="1419" w:type="dxa"/>
            <w:tcBorders>
              <w:top w:val="nil"/>
              <w:left w:val="nil"/>
              <w:bottom w:val="single" w:sz="4" w:space="0" w:color="auto"/>
              <w:right w:val="single" w:sz="4" w:space="0" w:color="auto"/>
            </w:tcBorders>
            <w:noWrap/>
            <w:hideMark/>
          </w:tcPr>
          <w:p w14:paraId="059314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w:t>
            </w:r>
          </w:p>
        </w:tc>
        <w:tc>
          <w:tcPr>
            <w:tcW w:w="1276" w:type="dxa"/>
            <w:tcBorders>
              <w:top w:val="nil"/>
              <w:left w:val="nil"/>
              <w:bottom w:val="single" w:sz="4" w:space="0" w:color="auto"/>
              <w:right w:val="single" w:sz="4" w:space="0" w:color="auto"/>
            </w:tcBorders>
            <w:hideMark/>
          </w:tcPr>
          <w:p w14:paraId="767CCB6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-11.5%</w:t>
            </w:r>
          </w:p>
        </w:tc>
        <w:tc>
          <w:tcPr>
            <w:tcW w:w="1275" w:type="dxa"/>
            <w:tcBorders>
              <w:top w:val="nil"/>
              <w:left w:val="nil"/>
              <w:bottom w:val="single" w:sz="4" w:space="0" w:color="auto"/>
              <w:right w:val="single" w:sz="4" w:space="0" w:color="auto"/>
            </w:tcBorders>
            <w:hideMark/>
          </w:tcPr>
          <w:p w14:paraId="2C949E7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-8.0%</w:t>
            </w:r>
          </w:p>
        </w:tc>
        <w:tc>
          <w:tcPr>
            <w:tcW w:w="1418" w:type="dxa"/>
            <w:tcBorders>
              <w:top w:val="nil"/>
              <w:left w:val="nil"/>
              <w:bottom w:val="single" w:sz="4" w:space="0" w:color="auto"/>
              <w:right w:val="single" w:sz="4" w:space="0" w:color="auto"/>
            </w:tcBorders>
            <w:hideMark/>
          </w:tcPr>
          <w:p w14:paraId="5C90FA5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12.4%</w:t>
            </w:r>
          </w:p>
        </w:tc>
      </w:tr>
      <w:tr w:rsidR="007B29DD" w14:paraId="43896D3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69B1B7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778616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403E158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-3.9%</w:t>
            </w:r>
          </w:p>
        </w:tc>
        <w:tc>
          <w:tcPr>
            <w:tcW w:w="1419" w:type="dxa"/>
            <w:tcBorders>
              <w:top w:val="nil"/>
              <w:left w:val="nil"/>
              <w:bottom w:val="single" w:sz="4" w:space="0" w:color="auto"/>
              <w:right w:val="single" w:sz="4" w:space="0" w:color="auto"/>
            </w:tcBorders>
            <w:noWrap/>
            <w:hideMark/>
          </w:tcPr>
          <w:p w14:paraId="28CC6C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w:t>
            </w:r>
          </w:p>
        </w:tc>
        <w:tc>
          <w:tcPr>
            <w:tcW w:w="1276" w:type="dxa"/>
            <w:tcBorders>
              <w:top w:val="nil"/>
              <w:left w:val="nil"/>
              <w:bottom w:val="single" w:sz="4" w:space="0" w:color="auto"/>
              <w:right w:val="single" w:sz="4" w:space="0" w:color="auto"/>
            </w:tcBorders>
            <w:hideMark/>
          </w:tcPr>
          <w:p w14:paraId="45668FA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-17.6%</w:t>
            </w:r>
          </w:p>
        </w:tc>
        <w:tc>
          <w:tcPr>
            <w:tcW w:w="1275" w:type="dxa"/>
            <w:tcBorders>
              <w:top w:val="nil"/>
              <w:left w:val="nil"/>
              <w:bottom w:val="single" w:sz="4" w:space="0" w:color="auto"/>
              <w:right w:val="single" w:sz="4" w:space="0" w:color="auto"/>
            </w:tcBorders>
            <w:hideMark/>
          </w:tcPr>
          <w:p w14:paraId="0AA16E9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-9.8%</w:t>
            </w:r>
          </w:p>
        </w:tc>
        <w:tc>
          <w:tcPr>
            <w:tcW w:w="1418" w:type="dxa"/>
            <w:tcBorders>
              <w:top w:val="nil"/>
              <w:left w:val="nil"/>
              <w:bottom w:val="single" w:sz="4" w:space="0" w:color="auto"/>
              <w:right w:val="single" w:sz="4" w:space="0" w:color="auto"/>
            </w:tcBorders>
            <w:hideMark/>
          </w:tcPr>
          <w:p w14:paraId="6E1C02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8.1%</w:t>
            </w:r>
          </w:p>
        </w:tc>
      </w:tr>
      <w:tr w:rsidR="007B29DD" w14:paraId="318A4F1A"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0A2FEC2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Otway Coast (235)</w:t>
            </w:r>
          </w:p>
        </w:tc>
        <w:tc>
          <w:tcPr>
            <w:tcW w:w="1559" w:type="dxa"/>
            <w:tcBorders>
              <w:top w:val="nil"/>
              <w:left w:val="nil"/>
              <w:bottom w:val="single" w:sz="4" w:space="0" w:color="auto"/>
              <w:right w:val="single" w:sz="4" w:space="0" w:color="auto"/>
            </w:tcBorders>
            <w:shd w:val="clear" w:color="auto" w:fill="D9D9D9"/>
            <w:vAlign w:val="center"/>
            <w:hideMark/>
          </w:tcPr>
          <w:p w14:paraId="6B83D38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B57052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-3.6%</w:t>
            </w:r>
          </w:p>
        </w:tc>
        <w:tc>
          <w:tcPr>
            <w:tcW w:w="1419" w:type="dxa"/>
            <w:tcBorders>
              <w:top w:val="nil"/>
              <w:left w:val="nil"/>
              <w:bottom w:val="single" w:sz="4" w:space="0" w:color="auto"/>
              <w:right w:val="single" w:sz="4" w:space="0" w:color="auto"/>
            </w:tcBorders>
            <w:shd w:val="clear" w:color="auto" w:fill="D9D9D9"/>
            <w:noWrap/>
            <w:hideMark/>
          </w:tcPr>
          <w:p w14:paraId="146DE05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0.8%</w:t>
            </w:r>
          </w:p>
        </w:tc>
        <w:tc>
          <w:tcPr>
            <w:tcW w:w="1276" w:type="dxa"/>
            <w:tcBorders>
              <w:top w:val="nil"/>
              <w:left w:val="nil"/>
              <w:bottom w:val="single" w:sz="4" w:space="0" w:color="auto"/>
              <w:right w:val="single" w:sz="4" w:space="0" w:color="auto"/>
            </w:tcBorders>
            <w:shd w:val="clear" w:color="auto" w:fill="D9D9D9"/>
            <w:hideMark/>
          </w:tcPr>
          <w:p w14:paraId="564554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-14.3%</w:t>
            </w:r>
          </w:p>
        </w:tc>
        <w:tc>
          <w:tcPr>
            <w:tcW w:w="1275" w:type="dxa"/>
            <w:tcBorders>
              <w:top w:val="nil"/>
              <w:left w:val="nil"/>
              <w:bottom w:val="single" w:sz="4" w:space="0" w:color="auto"/>
              <w:right w:val="single" w:sz="4" w:space="0" w:color="auto"/>
            </w:tcBorders>
            <w:shd w:val="clear" w:color="auto" w:fill="D9D9D9"/>
            <w:hideMark/>
          </w:tcPr>
          <w:p w14:paraId="3CBE473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-8.7%</w:t>
            </w:r>
          </w:p>
        </w:tc>
        <w:tc>
          <w:tcPr>
            <w:tcW w:w="1418" w:type="dxa"/>
            <w:tcBorders>
              <w:top w:val="nil"/>
              <w:left w:val="nil"/>
              <w:bottom w:val="single" w:sz="4" w:space="0" w:color="auto"/>
              <w:right w:val="single" w:sz="4" w:space="0" w:color="auto"/>
            </w:tcBorders>
            <w:shd w:val="clear" w:color="auto" w:fill="D9D9D9"/>
            <w:hideMark/>
          </w:tcPr>
          <w:p w14:paraId="6ABEB74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8.7%</w:t>
            </w:r>
          </w:p>
        </w:tc>
      </w:tr>
      <w:tr w:rsidR="007B29DD" w14:paraId="63FB053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2095B4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BFFB3E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7BA530C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-5.8%</w:t>
            </w:r>
          </w:p>
        </w:tc>
        <w:tc>
          <w:tcPr>
            <w:tcW w:w="1419" w:type="dxa"/>
            <w:tcBorders>
              <w:top w:val="nil"/>
              <w:left w:val="nil"/>
              <w:bottom w:val="single" w:sz="4" w:space="0" w:color="auto"/>
              <w:right w:val="single" w:sz="4" w:space="0" w:color="auto"/>
            </w:tcBorders>
            <w:shd w:val="clear" w:color="auto" w:fill="D9D9D9"/>
            <w:noWrap/>
            <w:hideMark/>
          </w:tcPr>
          <w:p w14:paraId="0B4C50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w:t>
            </w:r>
          </w:p>
        </w:tc>
        <w:tc>
          <w:tcPr>
            <w:tcW w:w="1276" w:type="dxa"/>
            <w:tcBorders>
              <w:top w:val="nil"/>
              <w:left w:val="nil"/>
              <w:bottom w:val="single" w:sz="4" w:space="0" w:color="auto"/>
              <w:right w:val="single" w:sz="4" w:space="0" w:color="auto"/>
            </w:tcBorders>
            <w:shd w:val="clear" w:color="auto" w:fill="D9D9D9"/>
            <w:hideMark/>
          </w:tcPr>
          <w:p w14:paraId="09C3B51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-23.7%</w:t>
            </w:r>
          </w:p>
        </w:tc>
        <w:tc>
          <w:tcPr>
            <w:tcW w:w="1275" w:type="dxa"/>
            <w:tcBorders>
              <w:top w:val="nil"/>
              <w:left w:val="nil"/>
              <w:bottom w:val="single" w:sz="4" w:space="0" w:color="auto"/>
              <w:right w:val="single" w:sz="4" w:space="0" w:color="auto"/>
            </w:tcBorders>
            <w:shd w:val="clear" w:color="auto" w:fill="D9D9D9"/>
            <w:hideMark/>
          </w:tcPr>
          <w:p w14:paraId="3407022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-11.4%</w:t>
            </w:r>
          </w:p>
        </w:tc>
        <w:tc>
          <w:tcPr>
            <w:tcW w:w="1418" w:type="dxa"/>
            <w:tcBorders>
              <w:top w:val="nil"/>
              <w:left w:val="nil"/>
              <w:bottom w:val="single" w:sz="4" w:space="0" w:color="auto"/>
              <w:right w:val="single" w:sz="4" w:space="0" w:color="auto"/>
            </w:tcBorders>
            <w:shd w:val="clear" w:color="auto" w:fill="D9D9D9"/>
            <w:hideMark/>
          </w:tcPr>
          <w:p w14:paraId="0BEB7BD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7.8%</w:t>
            </w:r>
          </w:p>
        </w:tc>
      </w:tr>
      <w:tr w:rsidR="007B29DD" w14:paraId="77F9DAA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0037FC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149874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CD7790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-0.8%</w:t>
            </w:r>
          </w:p>
        </w:tc>
        <w:tc>
          <w:tcPr>
            <w:tcW w:w="1419" w:type="dxa"/>
            <w:tcBorders>
              <w:top w:val="nil"/>
              <w:left w:val="nil"/>
              <w:bottom w:val="single" w:sz="4" w:space="0" w:color="auto"/>
              <w:right w:val="single" w:sz="4" w:space="0" w:color="auto"/>
            </w:tcBorders>
            <w:shd w:val="clear" w:color="auto" w:fill="D9D9D9"/>
            <w:noWrap/>
            <w:hideMark/>
          </w:tcPr>
          <w:p w14:paraId="014B9B6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w:t>
            </w:r>
          </w:p>
        </w:tc>
        <w:tc>
          <w:tcPr>
            <w:tcW w:w="1276" w:type="dxa"/>
            <w:tcBorders>
              <w:top w:val="nil"/>
              <w:left w:val="nil"/>
              <w:bottom w:val="single" w:sz="4" w:space="0" w:color="auto"/>
              <w:right w:val="single" w:sz="4" w:space="0" w:color="auto"/>
            </w:tcBorders>
            <w:shd w:val="clear" w:color="auto" w:fill="D9D9D9"/>
            <w:hideMark/>
          </w:tcPr>
          <w:p w14:paraId="4C9664D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-10.7%</w:t>
            </w:r>
          </w:p>
        </w:tc>
        <w:tc>
          <w:tcPr>
            <w:tcW w:w="1275" w:type="dxa"/>
            <w:tcBorders>
              <w:top w:val="nil"/>
              <w:left w:val="nil"/>
              <w:bottom w:val="single" w:sz="4" w:space="0" w:color="auto"/>
              <w:right w:val="single" w:sz="4" w:space="0" w:color="auto"/>
            </w:tcBorders>
            <w:shd w:val="clear" w:color="auto" w:fill="D9D9D9"/>
            <w:hideMark/>
          </w:tcPr>
          <w:p w14:paraId="40A64C9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-6.8%</w:t>
            </w:r>
          </w:p>
        </w:tc>
        <w:tc>
          <w:tcPr>
            <w:tcW w:w="1418" w:type="dxa"/>
            <w:tcBorders>
              <w:top w:val="nil"/>
              <w:left w:val="nil"/>
              <w:bottom w:val="single" w:sz="4" w:space="0" w:color="auto"/>
              <w:right w:val="single" w:sz="4" w:space="0" w:color="auto"/>
            </w:tcBorders>
            <w:shd w:val="clear" w:color="auto" w:fill="D9D9D9"/>
            <w:hideMark/>
          </w:tcPr>
          <w:p w14:paraId="46D517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13.6%</w:t>
            </w:r>
          </w:p>
        </w:tc>
      </w:tr>
      <w:tr w:rsidR="007B29DD" w14:paraId="331CFC1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746293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9A7CFD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5DE238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-4.7%</w:t>
            </w:r>
          </w:p>
        </w:tc>
        <w:tc>
          <w:tcPr>
            <w:tcW w:w="1419" w:type="dxa"/>
            <w:tcBorders>
              <w:top w:val="nil"/>
              <w:left w:val="nil"/>
              <w:bottom w:val="single" w:sz="4" w:space="0" w:color="auto"/>
              <w:right w:val="single" w:sz="4" w:space="0" w:color="auto"/>
            </w:tcBorders>
            <w:shd w:val="clear" w:color="auto" w:fill="D9D9D9"/>
            <w:noWrap/>
            <w:hideMark/>
          </w:tcPr>
          <w:p w14:paraId="1606E9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0.4%</w:t>
            </w:r>
          </w:p>
        </w:tc>
        <w:tc>
          <w:tcPr>
            <w:tcW w:w="1276" w:type="dxa"/>
            <w:tcBorders>
              <w:top w:val="nil"/>
              <w:left w:val="nil"/>
              <w:bottom w:val="single" w:sz="4" w:space="0" w:color="auto"/>
              <w:right w:val="single" w:sz="4" w:space="0" w:color="auto"/>
            </w:tcBorders>
            <w:shd w:val="clear" w:color="auto" w:fill="D9D9D9"/>
            <w:hideMark/>
          </w:tcPr>
          <w:p w14:paraId="2233420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-17.1%</w:t>
            </w:r>
          </w:p>
        </w:tc>
        <w:tc>
          <w:tcPr>
            <w:tcW w:w="1275" w:type="dxa"/>
            <w:tcBorders>
              <w:top w:val="nil"/>
              <w:left w:val="nil"/>
              <w:bottom w:val="single" w:sz="4" w:space="0" w:color="auto"/>
              <w:right w:val="single" w:sz="4" w:space="0" w:color="auto"/>
            </w:tcBorders>
            <w:shd w:val="clear" w:color="auto" w:fill="D9D9D9"/>
            <w:hideMark/>
          </w:tcPr>
          <w:p w14:paraId="23796EB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c>
          <w:tcPr>
            <w:tcW w:w="1418" w:type="dxa"/>
            <w:tcBorders>
              <w:top w:val="nil"/>
              <w:left w:val="nil"/>
              <w:bottom w:val="single" w:sz="4" w:space="0" w:color="auto"/>
              <w:right w:val="single" w:sz="4" w:space="0" w:color="auto"/>
            </w:tcBorders>
            <w:shd w:val="clear" w:color="auto" w:fill="D9D9D9"/>
            <w:hideMark/>
          </w:tcPr>
          <w:p w14:paraId="049A6B8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6.4%</w:t>
            </w:r>
          </w:p>
        </w:tc>
      </w:tr>
      <w:tr w:rsidR="007B29DD" w14:paraId="2B588BDA"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79FF6EC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Hopkins (236)</w:t>
            </w:r>
          </w:p>
        </w:tc>
        <w:tc>
          <w:tcPr>
            <w:tcW w:w="1559" w:type="dxa"/>
            <w:tcBorders>
              <w:top w:val="nil"/>
              <w:left w:val="nil"/>
              <w:bottom w:val="single" w:sz="4" w:space="0" w:color="auto"/>
              <w:right w:val="single" w:sz="4" w:space="0" w:color="auto"/>
            </w:tcBorders>
            <w:vAlign w:val="center"/>
            <w:hideMark/>
          </w:tcPr>
          <w:p w14:paraId="57495DC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4A03A0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-4.4%</w:t>
            </w:r>
          </w:p>
        </w:tc>
        <w:tc>
          <w:tcPr>
            <w:tcW w:w="1419" w:type="dxa"/>
            <w:tcBorders>
              <w:top w:val="nil"/>
              <w:left w:val="nil"/>
              <w:bottom w:val="single" w:sz="4" w:space="0" w:color="auto"/>
              <w:right w:val="single" w:sz="4" w:space="0" w:color="auto"/>
            </w:tcBorders>
            <w:noWrap/>
            <w:hideMark/>
          </w:tcPr>
          <w:p w14:paraId="01DF97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c>
          <w:tcPr>
            <w:tcW w:w="1276" w:type="dxa"/>
            <w:tcBorders>
              <w:top w:val="nil"/>
              <w:left w:val="nil"/>
              <w:bottom w:val="single" w:sz="4" w:space="0" w:color="auto"/>
              <w:right w:val="single" w:sz="4" w:space="0" w:color="auto"/>
            </w:tcBorders>
            <w:hideMark/>
          </w:tcPr>
          <w:p w14:paraId="79B6A73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-14.6%</w:t>
            </w:r>
          </w:p>
        </w:tc>
        <w:tc>
          <w:tcPr>
            <w:tcW w:w="1275" w:type="dxa"/>
            <w:tcBorders>
              <w:top w:val="nil"/>
              <w:left w:val="nil"/>
              <w:bottom w:val="single" w:sz="4" w:space="0" w:color="auto"/>
              <w:right w:val="single" w:sz="4" w:space="0" w:color="auto"/>
            </w:tcBorders>
            <w:hideMark/>
          </w:tcPr>
          <w:p w14:paraId="6F3A6A2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-11.6%</w:t>
            </w:r>
          </w:p>
        </w:tc>
        <w:tc>
          <w:tcPr>
            <w:tcW w:w="1418" w:type="dxa"/>
            <w:tcBorders>
              <w:top w:val="nil"/>
              <w:left w:val="nil"/>
              <w:bottom w:val="single" w:sz="4" w:space="0" w:color="auto"/>
              <w:right w:val="single" w:sz="4" w:space="0" w:color="auto"/>
            </w:tcBorders>
            <w:hideMark/>
          </w:tcPr>
          <w:p w14:paraId="2F069A4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r>
      <w:tr w:rsidR="007B29DD" w14:paraId="0E0A12D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EF9F4A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62C597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7E70916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-5.7%</w:t>
            </w:r>
          </w:p>
        </w:tc>
        <w:tc>
          <w:tcPr>
            <w:tcW w:w="1419" w:type="dxa"/>
            <w:tcBorders>
              <w:top w:val="nil"/>
              <w:left w:val="nil"/>
              <w:bottom w:val="single" w:sz="4" w:space="0" w:color="auto"/>
              <w:right w:val="single" w:sz="4" w:space="0" w:color="auto"/>
            </w:tcBorders>
            <w:noWrap/>
            <w:hideMark/>
          </w:tcPr>
          <w:p w14:paraId="3F87FE1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w:t>
            </w:r>
          </w:p>
        </w:tc>
        <w:tc>
          <w:tcPr>
            <w:tcW w:w="1276" w:type="dxa"/>
            <w:tcBorders>
              <w:top w:val="nil"/>
              <w:left w:val="nil"/>
              <w:bottom w:val="single" w:sz="4" w:space="0" w:color="auto"/>
              <w:right w:val="single" w:sz="4" w:space="0" w:color="auto"/>
            </w:tcBorders>
            <w:hideMark/>
          </w:tcPr>
          <w:p w14:paraId="5F2B2C4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-20.8%</w:t>
            </w:r>
          </w:p>
        </w:tc>
        <w:tc>
          <w:tcPr>
            <w:tcW w:w="1275" w:type="dxa"/>
            <w:tcBorders>
              <w:top w:val="nil"/>
              <w:left w:val="nil"/>
              <w:bottom w:val="single" w:sz="4" w:space="0" w:color="auto"/>
              <w:right w:val="single" w:sz="4" w:space="0" w:color="auto"/>
            </w:tcBorders>
            <w:hideMark/>
          </w:tcPr>
          <w:p w14:paraId="164F09B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-14.3%</w:t>
            </w:r>
          </w:p>
        </w:tc>
        <w:tc>
          <w:tcPr>
            <w:tcW w:w="1418" w:type="dxa"/>
            <w:tcBorders>
              <w:top w:val="nil"/>
              <w:left w:val="nil"/>
              <w:bottom w:val="single" w:sz="4" w:space="0" w:color="auto"/>
              <w:right w:val="single" w:sz="4" w:space="0" w:color="auto"/>
            </w:tcBorders>
            <w:hideMark/>
          </w:tcPr>
          <w:p w14:paraId="7134B4D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13.0%</w:t>
            </w:r>
          </w:p>
        </w:tc>
      </w:tr>
      <w:tr w:rsidR="007B29DD" w14:paraId="6B76D4D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380A1A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8C7948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4B9A1D1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-2.1%</w:t>
            </w:r>
          </w:p>
        </w:tc>
        <w:tc>
          <w:tcPr>
            <w:tcW w:w="1419" w:type="dxa"/>
            <w:tcBorders>
              <w:top w:val="nil"/>
              <w:left w:val="nil"/>
              <w:bottom w:val="single" w:sz="4" w:space="0" w:color="auto"/>
              <w:right w:val="single" w:sz="4" w:space="0" w:color="auto"/>
            </w:tcBorders>
            <w:noWrap/>
            <w:hideMark/>
          </w:tcPr>
          <w:p w14:paraId="7259F21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w:t>
            </w:r>
          </w:p>
        </w:tc>
        <w:tc>
          <w:tcPr>
            <w:tcW w:w="1276" w:type="dxa"/>
            <w:tcBorders>
              <w:top w:val="nil"/>
              <w:left w:val="nil"/>
              <w:bottom w:val="single" w:sz="4" w:space="0" w:color="auto"/>
              <w:right w:val="single" w:sz="4" w:space="0" w:color="auto"/>
            </w:tcBorders>
            <w:hideMark/>
          </w:tcPr>
          <w:p w14:paraId="7FA918D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-13.5%</w:t>
            </w:r>
          </w:p>
        </w:tc>
        <w:tc>
          <w:tcPr>
            <w:tcW w:w="1275" w:type="dxa"/>
            <w:tcBorders>
              <w:top w:val="nil"/>
              <w:left w:val="nil"/>
              <w:bottom w:val="single" w:sz="4" w:space="0" w:color="auto"/>
              <w:right w:val="single" w:sz="4" w:space="0" w:color="auto"/>
            </w:tcBorders>
            <w:hideMark/>
          </w:tcPr>
          <w:p w14:paraId="152A209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c>
          <w:tcPr>
            <w:tcW w:w="1418" w:type="dxa"/>
            <w:tcBorders>
              <w:top w:val="nil"/>
              <w:left w:val="nil"/>
              <w:bottom w:val="single" w:sz="4" w:space="0" w:color="auto"/>
              <w:right w:val="single" w:sz="4" w:space="0" w:color="auto"/>
            </w:tcBorders>
            <w:hideMark/>
          </w:tcPr>
          <w:p w14:paraId="0C31BE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13.5%</w:t>
            </w:r>
          </w:p>
        </w:tc>
      </w:tr>
      <w:tr w:rsidR="007B29DD" w14:paraId="1F7FF00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8D09CF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06228D9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769FB0B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-4.9%</w:t>
            </w:r>
          </w:p>
        </w:tc>
        <w:tc>
          <w:tcPr>
            <w:tcW w:w="1419" w:type="dxa"/>
            <w:tcBorders>
              <w:top w:val="nil"/>
              <w:left w:val="nil"/>
              <w:bottom w:val="single" w:sz="4" w:space="0" w:color="auto"/>
              <w:right w:val="single" w:sz="4" w:space="0" w:color="auto"/>
            </w:tcBorders>
            <w:noWrap/>
            <w:hideMark/>
          </w:tcPr>
          <w:p w14:paraId="674BB09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w:t>
            </w:r>
          </w:p>
        </w:tc>
        <w:tc>
          <w:tcPr>
            <w:tcW w:w="1276" w:type="dxa"/>
            <w:tcBorders>
              <w:top w:val="nil"/>
              <w:left w:val="nil"/>
              <w:bottom w:val="single" w:sz="4" w:space="0" w:color="auto"/>
              <w:right w:val="single" w:sz="4" w:space="0" w:color="auto"/>
            </w:tcBorders>
            <w:hideMark/>
          </w:tcPr>
          <w:p w14:paraId="5DC2E67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-20.6%</w:t>
            </w:r>
          </w:p>
        </w:tc>
        <w:tc>
          <w:tcPr>
            <w:tcW w:w="1275" w:type="dxa"/>
            <w:tcBorders>
              <w:top w:val="nil"/>
              <w:left w:val="nil"/>
              <w:bottom w:val="single" w:sz="4" w:space="0" w:color="auto"/>
              <w:right w:val="single" w:sz="4" w:space="0" w:color="auto"/>
            </w:tcBorders>
            <w:hideMark/>
          </w:tcPr>
          <w:p w14:paraId="1910AAB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hideMark/>
          </w:tcPr>
          <w:p w14:paraId="2F71100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10.5%</w:t>
            </w:r>
          </w:p>
        </w:tc>
      </w:tr>
      <w:tr w:rsidR="007B29DD" w14:paraId="35661535"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0A28D59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Portland Coast (237)</w:t>
            </w:r>
          </w:p>
        </w:tc>
        <w:tc>
          <w:tcPr>
            <w:tcW w:w="1559" w:type="dxa"/>
            <w:tcBorders>
              <w:top w:val="nil"/>
              <w:left w:val="nil"/>
              <w:bottom w:val="single" w:sz="4" w:space="0" w:color="auto"/>
              <w:right w:val="single" w:sz="4" w:space="0" w:color="auto"/>
            </w:tcBorders>
            <w:shd w:val="clear" w:color="auto" w:fill="D9D9D9"/>
            <w:vAlign w:val="center"/>
            <w:hideMark/>
          </w:tcPr>
          <w:p w14:paraId="5B97353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52E212C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-4.6%</w:t>
            </w:r>
          </w:p>
        </w:tc>
        <w:tc>
          <w:tcPr>
            <w:tcW w:w="1419" w:type="dxa"/>
            <w:tcBorders>
              <w:top w:val="nil"/>
              <w:left w:val="nil"/>
              <w:bottom w:val="single" w:sz="4" w:space="0" w:color="auto"/>
              <w:right w:val="single" w:sz="4" w:space="0" w:color="auto"/>
            </w:tcBorders>
            <w:shd w:val="clear" w:color="auto" w:fill="D9D9D9"/>
            <w:noWrap/>
            <w:hideMark/>
          </w:tcPr>
          <w:p w14:paraId="45F7C0F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w:t>
            </w:r>
          </w:p>
        </w:tc>
        <w:tc>
          <w:tcPr>
            <w:tcW w:w="1276" w:type="dxa"/>
            <w:tcBorders>
              <w:top w:val="nil"/>
              <w:left w:val="nil"/>
              <w:bottom w:val="single" w:sz="4" w:space="0" w:color="auto"/>
              <w:right w:val="single" w:sz="4" w:space="0" w:color="auto"/>
            </w:tcBorders>
            <w:shd w:val="clear" w:color="auto" w:fill="D9D9D9"/>
            <w:hideMark/>
          </w:tcPr>
          <w:p w14:paraId="4CB2F86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-13.1%</w:t>
            </w:r>
          </w:p>
        </w:tc>
        <w:tc>
          <w:tcPr>
            <w:tcW w:w="1275" w:type="dxa"/>
            <w:tcBorders>
              <w:top w:val="nil"/>
              <w:left w:val="nil"/>
              <w:bottom w:val="single" w:sz="4" w:space="0" w:color="auto"/>
              <w:right w:val="single" w:sz="4" w:space="0" w:color="auto"/>
            </w:tcBorders>
            <w:shd w:val="clear" w:color="auto" w:fill="D9D9D9"/>
            <w:hideMark/>
          </w:tcPr>
          <w:p w14:paraId="08EF9EF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-9.6%</w:t>
            </w:r>
          </w:p>
        </w:tc>
        <w:tc>
          <w:tcPr>
            <w:tcW w:w="1418" w:type="dxa"/>
            <w:tcBorders>
              <w:top w:val="nil"/>
              <w:left w:val="nil"/>
              <w:bottom w:val="single" w:sz="4" w:space="0" w:color="auto"/>
              <w:right w:val="single" w:sz="4" w:space="0" w:color="auto"/>
            </w:tcBorders>
            <w:shd w:val="clear" w:color="auto" w:fill="D9D9D9"/>
            <w:hideMark/>
          </w:tcPr>
          <w:p w14:paraId="6BB261F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8.9%</w:t>
            </w:r>
          </w:p>
        </w:tc>
      </w:tr>
      <w:tr w:rsidR="007B29DD" w14:paraId="1845235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848541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9CFCFC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3462C6B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-8.4%</w:t>
            </w:r>
          </w:p>
        </w:tc>
        <w:tc>
          <w:tcPr>
            <w:tcW w:w="1419" w:type="dxa"/>
            <w:tcBorders>
              <w:top w:val="nil"/>
              <w:left w:val="nil"/>
              <w:bottom w:val="single" w:sz="4" w:space="0" w:color="auto"/>
              <w:right w:val="single" w:sz="4" w:space="0" w:color="auto"/>
            </w:tcBorders>
            <w:shd w:val="clear" w:color="auto" w:fill="D9D9D9"/>
            <w:noWrap/>
            <w:hideMark/>
          </w:tcPr>
          <w:p w14:paraId="4C6DD7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w:t>
            </w:r>
          </w:p>
        </w:tc>
        <w:tc>
          <w:tcPr>
            <w:tcW w:w="1276" w:type="dxa"/>
            <w:tcBorders>
              <w:top w:val="nil"/>
              <w:left w:val="nil"/>
              <w:bottom w:val="single" w:sz="4" w:space="0" w:color="auto"/>
              <w:right w:val="single" w:sz="4" w:space="0" w:color="auto"/>
            </w:tcBorders>
            <w:shd w:val="clear" w:color="auto" w:fill="D9D9D9"/>
            <w:hideMark/>
          </w:tcPr>
          <w:p w14:paraId="2CE7E01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-25.8%</w:t>
            </w:r>
          </w:p>
        </w:tc>
        <w:tc>
          <w:tcPr>
            <w:tcW w:w="1275" w:type="dxa"/>
            <w:tcBorders>
              <w:top w:val="nil"/>
              <w:left w:val="nil"/>
              <w:bottom w:val="single" w:sz="4" w:space="0" w:color="auto"/>
              <w:right w:val="single" w:sz="4" w:space="0" w:color="auto"/>
            </w:tcBorders>
            <w:shd w:val="clear" w:color="auto" w:fill="D9D9D9"/>
            <w:hideMark/>
          </w:tcPr>
          <w:p w14:paraId="568C6F0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-15.2%</w:t>
            </w:r>
          </w:p>
        </w:tc>
        <w:tc>
          <w:tcPr>
            <w:tcW w:w="1418" w:type="dxa"/>
            <w:tcBorders>
              <w:top w:val="nil"/>
              <w:left w:val="nil"/>
              <w:bottom w:val="single" w:sz="4" w:space="0" w:color="auto"/>
              <w:right w:val="single" w:sz="4" w:space="0" w:color="auto"/>
            </w:tcBorders>
            <w:shd w:val="clear" w:color="auto" w:fill="D9D9D9"/>
            <w:hideMark/>
          </w:tcPr>
          <w:p w14:paraId="648D35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10.1%</w:t>
            </w:r>
          </w:p>
        </w:tc>
      </w:tr>
      <w:tr w:rsidR="007B29DD" w14:paraId="6BCDAC5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F6A031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106846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212D3A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w:t>
            </w:r>
          </w:p>
        </w:tc>
        <w:tc>
          <w:tcPr>
            <w:tcW w:w="1419" w:type="dxa"/>
            <w:tcBorders>
              <w:top w:val="nil"/>
              <w:left w:val="nil"/>
              <w:bottom w:val="single" w:sz="4" w:space="0" w:color="auto"/>
              <w:right w:val="single" w:sz="4" w:space="0" w:color="auto"/>
            </w:tcBorders>
            <w:shd w:val="clear" w:color="auto" w:fill="D9D9D9"/>
            <w:noWrap/>
            <w:hideMark/>
          </w:tcPr>
          <w:p w14:paraId="674DFB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w:t>
            </w:r>
          </w:p>
        </w:tc>
        <w:tc>
          <w:tcPr>
            <w:tcW w:w="1276" w:type="dxa"/>
            <w:tcBorders>
              <w:top w:val="nil"/>
              <w:left w:val="nil"/>
              <w:bottom w:val="single" w:sz="4" w:space="0" w:color="auto"/>
              <w:right w:val="single" w:sz="4" w:space="0" w:color="auto"/>
            </w:tcBorders>
            <w:shd w:val="clear" w:color="auto" w:fill="D9D9D9"/>
            <w:hideMark/>
          </w:tcPr>
          <w:p w14:paraId="35A68A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-16.7%</w:t>
            </w:r>
          </w:p>
        </w:tc>
        <w:tc>
          <w:tcPr>
            <w:tcW w:w="1275" w:type="dxa"/>
            <w:tcBorders>
              <w:top w:val="nil"/>
              <w:left w:val="nil"/>
              <w:bottom w:val="single" w:sz="4" w:space="0" w:color="auto"/>
              <w:right w:val="single" w:sz="4" w:space="0" w:color="auto"/>
            </w:tcBorders>
            <w:shd w:val="clear" w:color="auto" w:fill="D9D9D9"/>
            <w:hideMark/>
          </w:tcPr>
          <w:p w14:paraId="5112C4D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-8.2%</w:t>
            </w:r>
          </w:p>
        </w:tc>
        <w:tc>
          <w:tcPr>
            <w:tcW w:w="1418" w:type="dxa"/>
            <w:tcBorders>
              <w:top w:val="nil"/>
              <w:left w:val="nil"/>
              <w:bottom w:val="single" w:sz="4" w:space="0" w:color="auto"/>
              <w:right w:val="single" w:sz="4" w:space="0" w:color="auto"/>
            </w:tcBorders>
            <w:shd w:val="clear" w:color="auto" w:fill="D9D9D9"/>
            <w:hideMark/>
          </w:tcPr>
          <w:p w14:paraId="5816552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r>
      <w:tr w:rsidR="007B29DD" w14:paraId="32B7505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C5919B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13B427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29728F2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-5.5%</w:t>
            </w:r>
          </w:p>
        </w:tc>
        <w:tc>
          <w:tcPr>
            <w:tcW w:w="1419" w:type="dxa"/>
            <w:tcBorders>
              <w:top w:val="nil"/>
              <w:left w:val="nil"/>
              <w:bottom w:val="single" w:sz="4" w:space="0" w:color="auto"/>
              <w:right w:val="single" w:sz="4" w:space="0" w:color="auto"/>
            </w:tcBorders>
            <w:shd w:val="clear" w:color="auto" w:fill="D9D9D9"/>
            <w:noWrap/>
            <w:hideMark/>
          </w:tcPr>
          <w:p w14:paraId="2AEB7C0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-0.6%</w:t>
            </w:r>
          </w:p>
        </w:tc>
        <w:tc>
          <w:tcPr>
            <w:tcW w:w="1276" w:type="dxa"/>
            <w:tcBorders>
              <w:top w:val="nil"/>
              <w:left w:val="nil"/>
              <w:bottom w:val="single" w:sz="4" w:space="0" w:color="auto"/>
              <w:right w:val="single" w:sz="4" w:space="0" w:color="auto"/>
            </w:tcBorders>
            <w:shd w:val="clear" w:color="auto" w:fill="D9D9D9"/>
            <w:hideMark/>
          </w:tcPr>
          <w:p w14:paraId="2702DC3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-18.7%</w:t>
            </w:r>
          </w:p>
        </w:tc>
        <w:tc>
          <w:tcPr>
            <w:tcW w:w="1275" w:type="dxa"/>
            <w:tcBorders>
              <w:top w:val="nil"/>
              <w:left w:val="nil"/>
              <w:bottom w:val="single" w:sz="4" w:space="0" w:color="auto"/>
              <w:right w:val="single" w:sz="4" w:space="0" w:color="auto"/>
            </w:tcBorders>
            <w:shd w:val="clear" w:color="auto" w:fill="D9D9D9"/>
            <w:hideMark/>
          </w:tcPr>
          <w:p w14:paraId="33C7B7A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-10.4%</w:t>
            </w:r>
          </w:p>
        </w:tc>
        <w:tc>
          <w:tcPr>
            <w:tcW w:w="1418" w:type="dxa"/>
            <w:tcBorders>
              <w:top w:val="nil"/>
              <w:left w:val="nil"/>
              <w:bottom w:val="single" w:sz="4" w:space="0" w:color="auto"/>
              <w:right w:val="single" w:sz="4" w:space="0" w:color="auto"/>
            </w:tcBorders>
            <w:shd w:val="clear" w:color="auto" w:fill="D9D9D9"/>
            <w:hideMark/>
          </w:tcPr>
          <w:p w14:paraId="0FDD2A9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7.8%</w:t>
            </w:r>
          </w:p>
        </w:tc>
      </w:tr>
      <w:tr w:rsidR="007B29DD" w14:paraId="65F6A0B5"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D92455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Glenelg (238)</w:t>
            </w:r>
          </w:p>
        </w:tc>
        <w:tc>
          <w:tcPr>
            <w:tcW w:w="1559" w:type="dxa"/>
            <w:tcBorders>
              <w:top w:val="nil"/>
              <w:left w:val="nil"/>
              <w:bottom w:val="single" w:sz="4" w:space="0" w:color="auto"/>
              <w:right w:val="single" w:sz="4" w:space="0" w:color="auto"/>
            </w:tcBorders>
            <w:vAlign w:val="center"/>
            <w:hideMark/>
          </w:tcPr>
          <w:p w14:paraId="2F7B00B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1CD7F5E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-5.0%</w:t>
            </w:r>
          </w:p>
        </w:tc>
        <w:tc>
          <w:tcPr>
            <w:tcW w:w="1419" w:type="dxa"/>
            <w:tcBorders>
              <w:top w:val="nil"/>
              <w:left w:val="nil"/>
              <w:bottom w:val="single" w:sz="4" w:space="0" w:color="auto"/>
              <w:right w:val="single" w:sz="4" w:space="0" w:color="auto"/>
            </w:tcBorders>
            <w:noWrap/>
            <w:hideMark/>
          </w:tcPr>
          <w:p w14:paraId="24007A7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-0.4%</w:t>
            </w:r>
          </w:p>
        </w:tc>
        <w:tc>
          <w:tcPr>
            <w:tcW w:w="1276" w:type="dxa"/>
            <w:tcBorders>
              <w:top w:val="nil"/>
              <w:left w:val="nil"/>
              <w:bottom w:val="single" w:sz="4" w:space="0" w:color="auto"/>
              <w:right w:val="single" w:sz="4" w:space="0" w:color="auto"/>
            </w:tcBorders>
            <w:hideMark/>
          </w:tcPr>
          <w:p w14:paraId="4166731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c>
          <w:tcPr>
            <w:tcW w:w="1275" w:type="dxa"/>
            <w:tcBorders>
              <w:top w:val="nil"/>
              <w:left w:val="nil"/>
              <w:bottom w:val="single" w:sz="4" w:space="0" w:color="auto"/>
              <w:right w:val="single" w:sz="4" w:space="0" w:color="auto"/>
            </w:tcBorders>
            <w:hideMark/>
          </w:tcPr>
          <w:p w14:paraId="1259B64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c>
          <w:tcPr>
            <w:tcW w:w="1418" w:type="dxa"/>
            <w:tcBorders>
              <w:top w:val="nil"/>
              <w:left w:val="nil"/>
              <w:bottom w:val="single" w:sz="4" w:space="0" w:color="auto"/>
              <w:right w:val="single" w:sz="4" w:space="0" w:color="auto"/>
            </w:tcBorders>
            <w:hideMark/>
          </w:tcPr>
          <w:p w14:paraId="16B2D73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13.8%</w:t>
            </w:r>
          </w:p>
        </w:tc>
      </w:tr>
      <w:tr w:rsidR="007B29DD" w14:paraId="34082F7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180302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DC3E6F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F805E4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-8.4%</w:t>
            </w:r>
          </w:p>
        </w:tc>
        <w:tc>
          <w:tcPr>
            <w:tcW w:w="1419" w:type="dxa"/>
            <w:tcBorders>
              <w:top w:val="nil"/>
              <w:left w:val="nil"/>
              <w:bottom w:val="single" w:sz="4" w:space="0" w:color="auto"/>
              <w:right w:val="single" w:sz="4" w:space="0" w:color="auto"/>
            </w:tcBorders>
            <w:noWrap/>
            <w:hideMark/>
          </w:tcPr>
          <w:p w14:paraId="4AAEC8C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-3.8%</w:t>
            </w:r>
          </w:p>
        </w:tc>
        <w:tc>
          <w:tcPr>
            <w:tcW w:w="1276" w:type="dxa"/>
            <w:tcBorders>
              <w:top w:val="nil"/>
              <w:left w:val="nil"/>
              <w:bottom w:val="single" w:sz="4" w:space="0" w:color="auto"/>
              <w:right w:val="single" w:sz="4" w:space="0" w:color="auto"/>
            </w:tcBorders>
            <w:hideMark/>
          </w:tcPr>
          <w:p w14:paraId="2E58559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-20.9%</w:t>
            </w:r>
          </w:p>
        </w:tc>
        <w:tc>
          <w:tcPr>
            <w:tcW w:w="1275" w:type="dxa"/>
            <w:tcBorders>
              <w:top w:val="nil"/>
              <w:left w:val="nil"/>
              <w:bottom w:val="single" w:sz="4" w:space="0" w:color="auto"/>
              <w:right w:val="single" w:sz="4" w:space="0" w:color="auto"/>
            </w:tcBorders>
            <w:hideMark/>
          </w:tcPr>
          <w:p w14:paraId="0DD8C55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-17.6%</w:t>
            </w:r>
          </w:p>
        </w:tc>
        <w:tc>
          <w:tcPr>
            <w:tcW w:w="1418" w:type="dxa"/>
            <w:tcBorders>
              <w:top w:val="nil"/>
              <w:left w:val="nil"/>
              <w:bottom w:val="single" w:sz="4" w:space="0" w:color="auto"/>
              <w:right w:val="single" w:sz="4" w:space="0" w:color="auto"/>
            </w:tcBorders>
            <w:hideMark/>
          </w:tcPr>
          <w:p w14:paraId="501796F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16.6%</w:t>
            </w:r>
          </w:p>
        </w:tc>
      </w:tr>
      <w:tr w:rsidR="007B29DD" w14:paraId="01EB178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911D3F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BFDFF4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5A3812E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noWrap/>
            <w:hideMark/>
          </w:tcPr>
          <w:p w14:paraId="3438F66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w:t>
            </w:r>
          </w:p>
        </w:tc>
        <w:tc>
          <w:tcPr>
            <w:tcW w:w="1276" w:type="dxa"/>
            <w:tcBorders>
              <w:top w:val="nil"/>
              <w:left w:val="nil"/>
              <w:bottom w:val="single" w:sz="4" w:space="0" w:color="auto"/>
              <w:right w:val="single" w:sz="4" w:space="0" w:color="auto"/>
            </w:tcBorders>
            <w:hideMark/>
          </w:tcPr>
          <w:p w14:paraId="08520E9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-13.6%</w:t>
            </w:r>
          </w:p>
        </w:tc>
        <w:tc>
          <w:tcPr>
            <w:tcW w:w="1275" w:type="dxa"/>
            <w:tcBorders>
              <w:top w:val="nil"/>
              <w:left w:val="nil"/>
              <w:bottom w:val="single" w:sz="4" w:space="0" w:color="auto"/>
              <w:right w:val="single" w:sz="4" w:space="0" w:color="auto"/>
            </w:tcBorders>
            <w:hideMark/>
          </w:tcPr>
          <w:p w14:paraId="4F064E4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-9.1%</w:t>
            </w:r>
          </w:p>
        </w:tc>
        <w:tc>
          <w:tcPr>
            <w:tcW w:w="1418" w:type="dxa"/>
            <w:tcBorders>
              <w:top w:val="nil"/>
              <w:left w:val="nil"/>
              <w:bottom w:val="single" w:sz="4" w:space="0" w:color="auto"/>
              <w:right w:val="single" w:sz="4" w:space="0" w:color="auto"/>
            </w:tcBorders>
            <w:hideMark/>
          </w:tcPr>
          <w:p w14:paraId="3FF700E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16.2%</w:t>
            </w:r>
          </w:p>
        </w:tc>
      </w:tr>
      <w:tr w:rsidR="007B29DD" w14:paraId="56EAA20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2F18B6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77EAD1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51C329B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-4.7%</w:t>
            </w:r>
          </w:p>
        </w:tc>
        <w:tc>
          <w:tcPr>
            <w:tcW w:w="1419" w:type="dxa"/>
            <w:tcBorders>
              <w:top w:val="nil"/>
              <w:left w:val="nil"/>
              <w:bottom w:val="single" w:sz="4" w:space="0" w:color="auto"/>
              <w:right w:val="single" w:sz="4" w:space="0" w:color="auto"/>
            </w:tcBorders>
            <w:noWrap/>
            <w:hideMark/>
          </w:tcPr>
          <w:p w14:paraId="4723392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c>
          <w:tcPr>
            <w:tcW w:w="1276" w:type="dxa"/>
            <w:tcBorders>
              <w:top w:val="nil"/>
              <w:left w:val="nil"/>
              <w:bottom w:val="single" w:sz="4" w:space="0" w:color="auto"/>
              <w:right w:val="single" w:sz="4" w:space="0" w:color="auto"/>
            </w:tcBorders>
            <w:hideMark/>
          </w:tcPr>
          <w:p w14:paraId="2D545C7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-18.2%</w:t>
            </w:r>
          </w:p>
        </w:tc>
        <w:tc>
          <w:tcPr>
            <w:tcW w:w="1275" w:type="dxa"/>
            <w:tcBorders>
              <w:top w:val="nil"/>
              <w:left w:val="nil"/>
              <w:bottom w:val="single" w:sz="4" w:space="0" w:color="auto"/>
              <w:right w:val="single" w:sz="4" w:space="0" w:color="auto"/>
            </w:tcBorders>
            <w:hideMark/>
          </w:tcPr>
          <w:p w14:paraId="186B3BA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-11.0%</w:t>
            </w:r>
          </w:p>
        </w:tc>
        <w:tc>
          <w:tcPr>
            <w:tcW w:w="1418" w:type="dxa"/>
            <w:tcBorders>
              <w:top w:val="nil"/>
              <w:left w:val="nil"/>
              <w:bottom w:val="single" w:sz="4" w:space="0" w:color="auto"/>
              <w:right w:val="single" w:sz="4" w:space="0" w:color="auto"/>
            </w:tcBorders>
            <w:hideMark/>
          </w:tcPr>
          <w:p w14:paraId="64DB94D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12.3%</w:t>
            </w:r>
          </w:p>
        </w:tc>
      </w:tr>
      <w:tr w:rsidR="007B29DD" w14:paraId="4C0D20D5"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0257964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Millicent (239)</w:t>
            </w:r>
          </w:p>
        </w:tc>
        <w:tc>
          <w:tcPr>
            <w:tcW w:w="1559" w:type="dxa"/>
            <w:tcBorders>
              <w:top w:val="nil"/>
              <w:left w:val="nil"/>
              <w:bottom w:val="single" w:sz="4" w:space="0" w:color="auto"/>
              <w:right w:val="single" w:sz="4" w:space="0" w:color="auto"/>
            </w:tcBorders>
            <w:shd w:val="clear" w:color="auto" w:fill="D9D9D9"/>
            <w:vAlign w:val="center"/>
            <w:hideMark/>
          </w:tcPr>
          <w:p w14:paraId="752DF00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7E5EE1A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-5.5%</w:t>
            </w:r>
          </w:p>
        </w:tc>
        <w:tc>
          <w:tcPr>
            <w:tcW w:w="1419" w:type="dxa"/>
            <w:tcBorders>
              <w:top w:val="nil"/>
              <w:left w:val="nil"/>
              <w:bottom w:val="single" w:sz="4" w:space="0" w:color="auto"/>
              <w:right w:val="single" w:sz="4" w:space="0" w:color="auto"/>
            </w:tcBorders>
            <w:shd w:val="clear" w:color="auto" w:fill="D9D9D9"/>
            <w:noWrap/>
            <w:hideMark/>
          </w:tcPr>
          <w:p w14:paraId="1904177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w:t>
            </w:r>
          </w:p>
        </w:tc>
        <w:tc>
          <w:tcPr>
            <w:tcW w:w="1276" w:type="dxa"/>
            <w:tcBorders>
              <w:top w:val="nil"/>
              <w:left w:val="nil"/>
              <w:bottom w:val="single" w:sz="4" w:space="0" w:color="auto"/>
              <w:right w:val="single" w:sz="4" w:space="0" w:color="auto"/>
            </w:tcBorders>
            <w:shd w:val="clear" w:color="auto" w:fill="D9D9D9"/>
            <w:hideMark/>
          </w:tcPr>
          <w:p w14:paraId="4D06036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-17.0%</w:t>
            </w:r>
          </w:p>
        </w:tc>
        <w:tc>
          <w:tcPr>
            <w:tcW w:w="1275" w:type="dxa"/>
            <w:tcBorders>
              <w:top w:val="nil"/>
              <w:left w:val="nil"/>
              <w:bottom w:val="single" w:sz="4" w:space="0" w:color="auto"/>
              <w:right w:val="single" w:sz="4" w:space="0" w:color="auto"/>
            </w:tcBorders>
            <w:shd w:val="clear" w:color="auto" w:fill="D9D9D9"/>
            <w:hideMark/>
          </w:tcPr>
          <w:p w14:paraId="7ABE77D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-12.8%</w:t>
            </w:r>
          </w:p>
        </w:tc>
        <w:tc>
          <w:tcPr>
            <w:tcW w:w="1418" w:type="dxa"/>
            <w:tcBorders>
              <w:top w:val="nil"/>
              <w:left w:val="nil"/>
              <w:bottom w:val="single" w:sz="4" w:space="0" w:color="auto"/>
              <w:right w:val="single" w:sz="4" w:space="0" w:color="auto"/>
            </w:tcBorders>
            <w:shd w:val="clear" w:color="auto" w:fill="D9D9D9"/>
            <w:hideMark/>
          </w:tcPr>
          <w:p w14:paraId="7807532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17.4%</w:t>
            </w:r>
          </w:p>
        </w:tc>
      </w:tr>
      <w:tr w:rsidR="007B29DD" w14:paraId="6EEB9A6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EB1715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856921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5C2E602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-8.5%</w:t>
            </w:r>
          </w:p>
        </w:tc>
        <w:tc>
          <w:tcPr>
            <w:tcW w:w="1419" w:type="dxa"/>
            <w:tcBorders>
              <w:top w:val="nil"/>
              <w:left w:val="nil"/>
              <w:bottom w:val="single" w:sz="4" w:space="0" w:color="auto"/>
              <w:right w:val="single" w:sz="4" w:space="0" w:color="auto"/>
            </w:tcBorders>
            <w:shd w:val="clear" w:color="auto" w:fill="D9D9D9"/>
            <w:noWrap/>
            <w:hideMark/>
          </w:tcPr>
          <w:p w14:paraId="7A2AB68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-3.8%</w:t>
            </w:r>
          </w:p>
        </w:tc>
        <w:tc>
          <w:tcPr>
            <w:tcW w:w="1276" w:type="dxa"/>
            <w:tcBorders>
              <w:top w:val="nil"/>
              <w:left w:val="nil"/>
              <w:bottom w:val="single" w:sz="4" w:space="0" w:color="auto"/>
              <w:right w:val="single" w:sz="4" w:space="0" w:color="auto"/>
            </w:tcBorders>
            <w:shd w:val="clear" w:color="auto" w:fill="D9D9D9"/>
            <w:hideMark/>
          </w:tcPr>
          <w:p w14:paraId="53A9C33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-23.2%</w:t>
            </w:r>
          </w:p>
        </w:tc>
        <w:tc>
          <w:tcPr>
            <w:tcW w:w="1275" w:type="dxa"/>
            <w:tcBorders>
              <w:top w:val="nil"/>
              <w:left w:val="nil"/>
              <w:bottom w:val="single" w:sz="4" w:space="0" w:color="auto"/>
              <w:right w:val="single" w:sz="4" w:space="0" w:color="auto"/>
            </w:tcBorders>
            <w:shd w:val="clear" w:color="auto" w:fill="D9D9D9"/>
            <w:hideMark/>
          </w:tcPr>
          <w:p w14:paraId="32B220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-17.3%</w:t>
            </w:r>
          </w:p>
        </w:tc>
        <w:tc>
          <w:tcPr>
            <w:tcW w:w="1418" w:type="dxa"/>
            <w:tcBorders>
              <w:top w:val="nil"/>
              <w:left w:val="nil"/>
              <w:bottom w:val="single" w:sz="4" w:space="0" w:color="auto"/>
              <w:right w:val="single" w:sz="4" w:space="0" w:color="auto"/>
            </w:tcBorders>
            <w:shd w:val="clear" w:color="auto" w:fill="D9D9D9"/>
            <w:hideMark/>
          </w:tcPr>
          <w:p w14:paraId="769FE39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19.0%</w:t>
            </w:r>
          </w:p>
        </w:tc>
      </w:tr>
      <w:tr w:rsidR="007B29DD" w14:paraId="17F9C30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F90682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1F91D5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0CE7D67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-2.9%</w:t>
            </w:r>
          </w:p>
        </w:tc>
        <w:tc>
          <w:tcPr>
            <w:tcW w:w="1419" w:type="dxa"/>
            <w:tcBorders>
              <w:top w:val="nil"/>
              <w:left w:val="nil"/>
              <w:bottom w:val="single" w:sz="4" w:space="0" w:color="auto"/>
              <w:right w:val="single" w:sz="4" w:space="0" w:color="auto"/>
            </w:tcBorders>
            <w:shd w:val="clear" w:color="auto" w:fill="D9D9D9"/>
            <w:noWrap/>
            <w:hideMark/>
          </w:tcPr>
          <w:p w14:paraId="351B8C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0.8%</w:t>
            </w:r>
          </w:p>
        </w:tc>
        <w:tc>
          <w:tcPr>
            <w:tcW w:w="1276" w:type="dxa"/>
            <w:tcBorders>
              <w:top w:val="nil"/>
              <w:left w:val="nil"/>
              <w:bottom w:val="single" w:sz="4" w:space="0" w:color="auto"/>
              <w:right w:val="single" w:sz="4" w:space="0" w:color="auto"/>
            </w:tcBorders>
            <w:shd w:val="clear" w:color="auto" w:fill="D9D9D9"/>
            <w:hideMark/>
          </w:tcPr>
          <w:p w14:paraId="7CDA27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-14.5%</w:t>
            </w:r>
          </w:p>
        </w:tc>
        <w:tc>
          <w:tcPr>
            <w:tcW w:w="1275" w:type="dxa"/>
            <w:tcBorders>
              <w:top w:val="nil"/>
              <w:left w:val="nil"/>
              <w:bottom w:val="single" w:sz="4" w:space="0" w:color="auto"/>
              <w:right w:val="single" w:sz="4" w:space="0" w:color="auto"/>
            </w:tcBorders>
            <w:shd w:val="clear" w:color="auto" w:fill="D9D9D9"/>
            <w:hideMark/>
          </w:tcPr>
          <w:p w14:paraId="5830B8B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-9.8%</w:t>
            </w:r>
          </w:p>
        </w:tc>
        <w:tc>
          <w:tcPr>
            <w:tcW w:w="1418" w:type="dxa"/>
            <w:tcBorders>
              <w:top w:val="nil"/>
              <w:left w:val="nil"/>
              <w:bottom w:val="single" w:sz="4" w:space="0" w:color="auto"/>
              <w:right w:val="single" w:sz="4" w:space="0" w:color="auto"/>
            </w:tcBorders>
            <w:shd w:val="clear" w:color="auto" w:fill="D9D9D9"/>
            <w:hideMark/>
          </w:tcPr>
          <w:p w14:paraId="602C20F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18.9%</w:t>
            </w:r>
          </w:p>
        </w:tc>
      </w:tr>
      <w:tr w:rsidR="007B29DD" w14:paraId="7A21551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3BBC3D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35545F2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00D32B6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-4.9%</w:t>
            </w:r>
          </w:p>
        </w:tc>
        <w:tc>
          <w:tcPr>
            <w:tcW w:w="1419" w:type="dxa"/>
            <w:tcBorders>
              <w:top w:val="nil"/>
              <w:left w:val="nil"/>
              <w:bottom w:val="single" w:sz="4" w:space="0" w:color="auto"/>
              <w:right w:val="single" w:sz="4" w:space="0" w:color="auto"/>
            </w:tcBorders>
            <w:shd w:val="clear" w:color="auto" w:fill="D9D9D9"/>
            <w:noWrap/>
            <w:hideMark/>
          </w:tcPr>
          <w:p w14:paraId="40356FF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-0.7%</w:t>
            </w:r>
          </w:p>
        </w:tc>
        <w:tc>
          <w:tcPr>
            <w:tcW w:w="1276" w:type="dxa"/>
            <w:tcBorders>
              <w:top w:val="nil"/>
              <w:left w:val="nil"/>
              <w:bottom w:val="single" w:sz="4" w:space="0" w:color="auto"/>
              <w:right w:val="single" w:sz="4" w:space="0" w:color="auto"/>
            </w:tcBorders>
            <w:shd w:val="clear" w:color="auto" w:fill="D9D9D9"/>
            <w:hideMark/>
          </w:tcPr>
          <w:p w14:paraId="5D14B37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-18.2%</w:t>
            </w:r>
          </w:p>
        </w:tc>
        <w:tc>
          <w:tcPr>
            <w:tcW w:w="1275" w:type="dxa"/>
            <w:tcBorders>
              <w:top w:val="nil"/>
              <w:left w:val="nil"/>
              <w:bottom w:val="single" w:sz="4" w:space="0" w:color="auto"/>
              <w:right w:val="single" w:sz="4" w:space="0" w:color="auto"/>
            </w:tcBorders>
            <w:shd w:val="clear" w:color="auto" w:fill="D9D9D9"/>
            <w:hideMark/>
          </w:tcPr>
          <w:p w14:paraId="7E34C62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-11.6%</w:t>
            </w:r>
          </w:p>
        </w:tc>
        <w:tc>
          <w:tcPr>
            <w:tcW w:w="1418" w:type="dxa"/>
            <w:tcBorders>
              <w:top w:val="nil"/>
              <w:left w:val="nil"/>
              <w:bottom w:val="single" w:sz="4" w:space="0" w:color="auto"/>
              <w:right w:val="single" w:sz="4" w:space="0" w:color="auto"/>
            </w:tcBorders>
            <w:shd w:val="clear" w:color="auto" w:fill="D9D9D9"/>
            <w:hideMark/>
          </w:tcPr>
          <w:p w14:paraId="49A2805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16.1%</w:t>
            </w:r>
          </w:p>
        </w:tc>
      </w:tr>
      <w:tr w:rsidR="007B29DD" w14:paraId="71C4F5A8"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6BCAB0B1"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Upper Murray (401)</w:t>
            </w:r>
          </w:p>
        </w:tc>
        <w:tc>
          <w:tcPr>
            <w:tcW w:w="1559" w:type="dxa"/>
            <w:tcBorders>
              <w:top w:val="nil"/>
              <w:left w:val="nil"/>
              <w:bottom w:val="single" w:sz="4" w:space="0" w:color="auto"/>
              <w:right w:val="single" w:sz="4" w:space="0" w:color="auto"/>
            </w:tcBorders>
            <w:vAlign w:val="center"/>
            <w:hideMark/>
          </w:tcPr>
          <w:p w14:paraId="59E9660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69FBA10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-0.7%</w:t>
            </w:r>
          </w:p>
        </w:tc>
        <w:tc>
          <w:tcPr>
            <w:tcW w:w="1419" w:type="dxa"/>
            <w:tcBorders>
              <w:top w:val="nil"/>
              <w:left w:val="nil"/>
              <w:bottom w:val="single" w:sz="4" w:space="0" w:color="auto"/>
              <w:right w:val="single" w:sz="4" w:space="0" w:color="auto"/>
            </w:tcBorders>
            <w:noWrap/>
            <w:hideMark/>
          </w:tcPr>
          <w:p w14:paraId="755EB51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w:t>
            </w:r>
          </w:p>
        </w:tc>
        <w:tc>
          <w:tcPr>
            <w:tcW w:w="1276" w:type="dxa"/>
            <w:tcBorders>
              <w:top w:val="nil"/>
              <w:left w:val="nil"/>
              <w:bottom w:val="single" w:sz="4" w:space="0" w:color="auto"/>
              <w:right w:val="single" w:sz="4" w:space="0" w:color="auto"/>
            </w:tcBorders>
            <w:hideMark/>
          </w:tcPr>
          <w:p w14:paraId="4D55D16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-7.6%</w:t>
            </w:r>
          </w:p>
        </w:tc>
        <w:tc>
          <w:tcPr>
            <w:tcW w:w="1275" w:type="dxa"/>
            <w:tcBorders>
              <w:top w:val="nil"/>
              <w:left w:val="nil"/>
              <w:bottom w:val="single" w:sz="4" w:space="0" w:color="auto"/>
              <w:right w:val="single" w:sz="4" w:space="0" w:color="auto"/>
            </w:tcBorders>
            <w:hideMark/>
          </w:tcPr>
          <w:p w14:paraId="704F301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-10.1%</w:t>
            </w:r>
          </w:p>
        </w:tc>
        <w:tc>
          <w:tcPr>
            <w:tcW w:w="1418" w:type="dxa"/>
            <w:tcBorders>
              <w:top w:val="nil"/>
              <w:left w:val="nil"/>
              <w:bottom w:val="single" w:sz="4" w:space="0" w:color="auto"/>
              <w:right w:val="single" w:sz="4" w:space="0" w:color="auto"/>
            </w:tcBorders>
            <w:hideMark/>
          </w:tcPr>
          <w:p w14:paraId="28F59E4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r>
      <w:tr w:rsidR="007B29DD" w14:paraId="6DD47FE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C112A4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98F2C7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74A9F98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-2.6%</w:t>
            </w:r>
          </w:p>
        </w:tc>
        <w:tc>
          <w:tcPr>
            <w:tcW w:w="1419" w:type="dxa"/>
            <w:tcBorders>
              <w:top w:val="nil"/>
              <w:left w:val="nil"/>
              <w:bottom w:val="single" w:sz="4" w:space="0" w:color="auto"/>
              <w:right w:val="single" w:sz="4" w:space="0" w:color="auto"/>
            </w:tcBorders>
            <w:noWrap/>
            <w:hideMark/>
          </w:tcPr>
          <w:p w14:paraId="37D63BC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w:t>
            </w:r>
          </w:p>
        </w:tc>
        <w:tc>
          <w:tcPr>
            <w:tcW w:w="1276" w:type="dxa"/>
            <w:tcBorders>
              <w:top w:val="nil"/>
              <w:left w:val="nil"/>
              <w:bottom w:val="single" w:sz="4" w:space="0" w:color="auto"/>
              <w:right w:val="single" w:sz="4" w:space="0" w:color="auto"/>
            </w:tcBorders>
            <w:hideMark/>
          </w:tcPr>
          <w:p w14:paraId="30C13B9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-15.6%</w:t>
            </w:r>
          </w:p>
        </w:tc>
        <w:tc>
          <w:tcPr>
            <w:tcW w:w="1275" w:type="dxa"/>
            <w:tcBorders>
              <w:top w:val="nil"/>
              <w:left w:val="nil"/>
              <w:bottom w:val="single" w:sz="4" w:space="0" w:color="auto"/>
              <w:right w:val="single" w:sz="4" w:space="0" w:color="auto"/>
            </w:tcBorders>
            <w:hideMark/>
          </w:tcPr>
          <w:p w14:paraId="001887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-21.7%</w:t>
            </w:r>
          </w:p>
        </w:tc>
        <w:tc>
          <w:tcPr>
            <w:tcW w:w="1418" w:type="dxa"/>
            <w:tcBorders>
              <w:top w:val="nil"/>
              <w:left w:val="nil"/>
              <w:bottom w:val="single" w:sz="4" w:space="0" w:color="auto"/>
              <w:right w:val="single" w:sz="4" w:space="0" w:color="auto"/>
            </w:tcBorders>
            <w:hideMark/>
          </w:tcPr>
          <w:p w14:paraId="4804739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34.2%</w:t>
            </w:r>
          </w:p>
        </w:tc>
      </w:tr>
      <w:tr w:rsidR="007B29DD" w14:paraId="36DAF3A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C3C23B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A3369D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16F493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-0.2%</w:t>
            </w:r>
          </w:p>
        </w:tc>
        <w:tc>
          <w:tcPr>
            <w:tcW w:w="1419" w:type="dxa"/>
            <w:tcBorders>
              <w:top w:val="nil"/>
              <w:left w:val="nil"/>
              <w:bottom w:val="single" w:sz="4" w:space="0" w:color="auto"/>
              <w:right w:val="single" w:sz="4" w:space="0" w:color="auto"/>
            </w:tcBorders>
            <w:noWrap/>
            <w:hideMark/>
          </w:tcPr>
          <w:p w14:paraId="4557EE1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4.7%</w:t>
            </w:r>
          </w:p>
        </w:tc>
        <w:tc>
          <w:tcPr>
            <w:tcW w:w="1276" w:type="dxa"/>
            <w:tcBorders>
              <w:top w:val="nil"/>
              <w:left w:val="nil"/>
              <w:bottom w:val="single" w:sz="4" w:space="0" w:color="auto"/>
              <w:right w:val="single" w:sz="4" w:space="0" w:color="auto"/>
            </w:tcBorders>
            <w:hideMark/>
          </w:tcPr>
          <w:p w14:paraId="5955A38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-9.6%</w:t>
            </w:r>
          </w:p>
        </w:tc>
        <w:tc>
          <w:tcPr>
            <w:tcW w:w="1275" w:type="dxa"/>
            <w:tcBorders>
              <w:top w:val="nil"/>
              <w:left w:val="nil"/>
              <w:bottom w:val="single" w:sz="4" w:space="0" w:color="auto"/>
              <w:right w:val="single" w:sz="4" w:space="0" w:color="auto"/>
            </w:tcBorders>
            <w:hideMark/>
          </w:tcPr>
          <w:p w14:paraId="45701EB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-18.4%</w:t>
            </w:r>
          </w:p>
        </w:tc>
        <w:tc>
          <w:tcPr>
            <w:tcW w:w="1418" w:type="dxa"/>
            <w:tcBorders>
              <w:top w:val="nil"/>
              <w:left w:val="nil"/>
              <w:bottom w:val="single" w:sz="4" w:space="0" w:color="auto"/>
              <w:right w:val="single" w:sz="4" w:space="0" w:color="auto"/>
            </w:tcBorders>
            <w:hideMark/>
          </w:tcPr>
          <w:p w14:paraId="7957C2D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34.9%</w:t>
            </w:r>
          </w:p>
        </w:tc>
      </w:tr>
      <w:tr w:rsidR="007B29DD" w14:paraId="49FCFCB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8C1E1A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0FB706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91509D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-0.7%</w:t>
            </w:r>
          </w:p>
        </w:tc>
        <w:tc>
          <w:tcPr>
            <w:tcW w:w="1419" w:type="dxa"/>
            <w:tcBorders>
              <w:top w:val="nil"/>
              <w:left w:val="nil"/>
              <w:bottom w:val="single" w:sz="4" w:space="0" w:color="auto"/>
              <w:right w:val="single" w:sz="4" w:space="0" w:color="auto"/>
            </w:tcBorders>
            <w:noWrap/>
            <w:hideMark/>
          </w:tcPr>
          <w:p w14:paraId="572794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5.7%</w:t>
            </w:r>
          </w:p>
        </w:tc>
        <w:tc>
          <w:tcPr>
            <w:tcW w:w="1276" w:type="dxa"/>
            <w:tcBorders>
              <w:top w:val="nil"/>
              <w:left w:val="nil"/>
              <w:bottom w:val="single" w:sz="4" w:space="0" w:color="auto"/>
              <w:right w:val="single" w:sz="4" w:space="0" w:color="auto"/>
            </w:tcBorders>
            <w:hideMark/>
          </w:tcPr>
          <w:p w14:paraId="246BC9E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-13.0%</w:t>
            </w:r>
          </w:p>
        </w:tc>
        <w:tc>
          <w:tcPr>
            <w:tcW w:w="1275" w:type="dxa"/>
            <w:tcBorders>
              <w:top w:val="nil"/>
              <w:left w:val="nil"/>
              <w:bottom w:val="single" w:sz="4" w:space="0" w:color="auto"/>
              <w:right w:val="single" w:sz="4" w:space="0" w:color="auto"/>
            </w:tcBorders>
            <w:hideMark/>
          </w:tcPr>
          <w:p w14:paraId="562E6B8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-10.1%</w:t>
            </w:r>
          </w:p>
        </w:tc>
        <w:tc>
          <w:tcPr>
            <w:tcW w:w="1418" w:type="dxa"/>
            <w:tcBorders>
              <w:top w:val="nil"/>
              <w:left w:val="nil"/>
              <w:bottom w:val="single" w:sz="4" w:space="0" w:color="auto"/>
              <w:right w:val="single" w:sz="4" w:space="0" w:color="auto"/>
            </w:tcBorders>
            <w:hideMark/>
          </w:tcPr>
          <w:p w14:paraId="4DE0F3F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r>
      <w:tr w:rsidR="007B29DD" w14:paraId="3211D28E"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0978B19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Kiewa (402)</w:t>
            </w:r>
          </w:p>
        </w:tc>
        <w:tc>
          <w:tcPr>
            <w:tcW w:w="1559" w:type="dxa"/>
            <w:tcBorders>
              <w:top w:val="nil"/>
              <w:left w:val="nil"/>
              <w:bottom w:val="single" w:sz="4" w:space="0" w:color="auto"/>
              <w:right w:val="single" w:sz="4" w:space="0" w:color="auto"/>
            </w:tcBorders>
            <w:shd w:val="clear" w:color="auto" w:fill="D9D9D9"/>
            <w:vAlign w:val="center"/>
            <w:hideMark/>
          </w:tcPr>
          <w:p w14:paraId="7642641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6C05DB6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-2.5%</w:t>
            </w:r>
          </w:p>
        </w:tc>
        <w:tc>
          <w:tcPr>
            <w:tcW w:w="1419" w:type="dxa"/>
            <w:tcBorders>
              <w:top w:val="nil"/>
              <w:left w:val="nil"/>
              <w:bottom w:val="single" w:sz="4" w:space="0" w:color="auto"/>
              <w:right w:val="single" w:sz="4" w:space="0" w:color="auto"/>
            </w:tcBorders>
            <w:shd w:val="clear" w:color="auto" w:fill="D9D9D9"/>
            <w:noWrap/>
            <w:hideMark/>
          </w:tcPr>
          <w:p w14:paraId="37C003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w:t>
            </w:r>
          </w:p>
        </w:tc>
        <w:tc>
          <w:tcPr>
            <w:tcW w:w="1276" w:type="dxa"/>
            <w:tcBorders>
              <w:top w:val="nil"/>
              <w:left w:val="nil"/>
              <w:bottom w:val="single" w:sz="4" w:space="0" w:color="auto"/>
              <w:right w:val="single" w:sz="4" w:space="0" w:color="auto"/>
            </w:tcBorders>
            <w:shd w:val="clear" w:color="auto" w:fill="D9D9D9"/>
            <w:hideMark/>
          </w:tcPr>
          <w:p w14:paraId="5C53E93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c>
          <w:tcPr>
            <w:tcW w:w="1275" w:type="dxa"/>
            <w:tcBorders>
              <w:top w:val="nil"/>
              <w:left w:val="nil"/>
              <w:bottom w:val="single" w:sz="4" w:space="0" w:color="auto"/>
              <w:right w:val="single" w:sz="4" w:space="0" w:color="auto"/>
            </w:tcBorders>
            <w:shd w:val="clear" w:color="auto" w:fill="D9D9D9"/>
            <w:hideMark/>
          </w:tcPr>
          <w:p w14:paraId="1A2601E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-10.2%</w:t>
            </w:r>
          </w:p>
        </w:tc>
        <w:tc>
          <w:tcPr>
            <w:tcW w:w="1418" w:type="dxa"/>
            <w:tcBorders>
              <w:top w:val="nil"/>
              <w:left w:val="nil"/>
              <w:bottom w:val="single" w:sz="4" w:space="0" w:color="auto"/>
              <w:right w:val="single" w:sz="4" w:space="0" w:color="auto"/>
            </w:tcBorders>
            <w:shd w:val="clear" w:color="auto" w:fill="D9D9D9"/>
            <w:hideMark/>
          </w:tcPr>
          <w:p w14:paraId="3F22B8A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r>
      <w:tr w:rsidR="007B29DD" w14:paraId="09019CA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0C751C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999F28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11F8E7D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-2.1%</w:t>
            </w:r>
          </w:p>
        </w:tc>
        <w:tc>
          <w:tcPr>
            <w:tcW w:w="1419" w:type="dxa"/>
            <w:tcBorders>
              <w:top w:val="nil"/>
              <w:left w:val="nil"/>
              <w:bottom w:val="single" w:sz="4" w:space="0" w:color="auto"/>
              <w:right w:val="single" w:sz="4" w:space="0" w:color="auto"/>
            </w:tcBorders>
            <w:shd w:val="clear" w:color="auto" w:fill="D9D9D9"/>
            <w:noWrap/>
            <w:hideMark/>
          </w:tcPr>
          <w:p w14:paraId="14E3576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4.6%</w:t>
            </w:r>
          </w:p>
        </w:tc>
        <w:tc>
          <w:tcPr>
            <w:tcW w:w="1276" w:type="dxa"/>
            <w:tcBorders>
              <w:top w:val="nil"/>
              <w:left w:val="nil"/>
              <w:bottom w:val="single" w:sz="4" w:space="0" w:color="auto"/>
              <w:right w:val="single" w:sz="4" w:space="0" w:color="auto"/>
            </w:tcBorders>
            <w:shd w:val="clear" w:color="auto" w:fill="D9D9D9"/>
            <w:hideMark/>
          </w:tcPr>
          <w:p w14:paraId="709C257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-16.6%</w:t>
            </w:r>
          </w:p>
        </w:tc>
        <w:tc>
          <w:tcPr>
            <w:tcW w:w="1275" w:type="dxa"/>
            <w:tcBorders>
              <w:top w:val="nil"/>
              <w:left w:val="nil"/>
              <w:bottom w:val="single" w:sz="4" w:space="0" w:color="auto"/>
              <w:right w:val="single" w:sz="4" w:space="0" w:color="auto"/>
            </w:tcBorders>
            <w:shd w:val="clear" w:color="auto" w:fill="D9D9D9"/>
            <w:hideMark/>
          </w:tcPr>
          <w:p w14:paraId="315712E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c>
          <w:tcPr>
            <w:tcW w:w="1418" w:type="dxa"/>
            <w:tcBorders>
              <w:top w:val="nil"/>
              <w:left w:val="nil"/>
              <w:bottom w:val="single" w:sz="4" w:space="0" w:color="auto"/>
              <w:right w:val="single" w:sz="4" w:space="0" w:color="auto"/>
            </w:tcBorders>
            <w:shd w:val="clear" w:color="auto" w:fill="D9D9D9"/>
            <w:hideMark/>
          </w:tcPr>
          <w:p w14:paraId="747D611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31.4%</w:t>
            </w:r>
          </w:p>
        </w:tc>
      </w:tr>
      <w:tr w:rsidR="007B29DD" w14:paraId="2148B70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DE34D4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3418160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B12BD3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w:t>
            </w:r>
          </w:p>
        </w:tc>
        <w:tc>
          <w:tcPr>
            <w:tcW w:w="1419" w:type="dxa"/>
            <w:tcBorders>
              <w:top w:val="nil"/>
              <w:left w:val="nil"/>
              <w:bottom w:val="single" w:sz="4" w:space="0" w:color="auto"/>
              <w:right w:val="single" w:sz="4" w:space="0" w:color="auto"/>
            </w:tcBorders>
            <w:shd w:val="clear" w:color="auto" w:fill="D9D9D9"/>
            <w:noWrap/>
            <w:hideMark/>
          </w:tcPr>
          <w:p w14:paraId="38F21F0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w:t>
            </w:r>
          </w:p>
        </w:tc>
        <w:tc>
          <w:tcPr>
            <w:tcW w:w="1276" w:type="dxa"/>
            <w:tcBorders>
              <w:top w:val="nil"/>
              <w:left w:val="nil"/>
              <w:bottom w:val="single" w:sz="4" w:space="0" w:color="auto"/>
              <w:right w:val="single" w:sz="4" w:space="0" w:color="auto"/>
            </w:tcBorders>
            <w:shd w:val="clear" w:color="auto" w:fill="D9D9D9"/>
            <w:hideMark/>
          </w:tcPr>
          <w:p w14:paraId="3B9C476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c>
          <w:tcPr>
            <w:tcW w:w="1275" w:type="dxa"/>
            <w:tcBorders>
              <w:top w:val="nil"/>
              <w:left w:val="nil"/>
              <w:bottom w:val="single" w:sz="4" w:space="0" w:color="auto"/>
              <w:right w:val="single" w:sz="4" w:space="0" w:color="auto"/>
            </w:tcBorders>
            <w:shd w:val="clear" w:color="auto" w:fill="D9D9D9"/>
            <w:hideMark/>
          </w:tcPr>
          <w:p w14:paraId="756BEC5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-17.3%</w:t>
            </w:r>
          </w:p>
        </w:tc>
        <w:tc>
          <w:tcPr>
            <w:tcW w:w="1418" w:type="dxa"/>
            <w:tcBorders>
              <w:top w:val="nil"/>
              <w:left w:val="nil"/>
              <w:bottom w:val="single" w:sz="4" w:space="0" w:color="auto"/>
              <w:right w:val="single" w:sz="4" w:space="0" w:color="auto"/>
            </w:tcBorders>
            <w:shd w:val="clear" w:color="auto" w:fill="D9D9D9"/>
            <w:hideMark/>
          </w:tcPr>
          <w:p w14:paraId="4855DE9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33.2%</w:t>
            </w:r>
          </w:p>
        </w:tc>
      </w:tr>
      <w:tr w:rsidR="007B29DD" w14:paraId="1BE0CF9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DA314A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45D68C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3E8A314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shd w:val="clear" w:color="auto" w:fill="D9D9D9"/>
            <w:noWrap/>
            <w:hideMark/>
          </w:tcPr>
          <w:p w14:paraId="569047A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w:t>
            </w:r>
          </w:p>
        </w:tc>
        <w:tc>
          <w:tcPr>
            <w:tcW w:w="1276" w:type="dxa"/>
            <w:tcBorders>
              <w:top w:val="nil"/>
              <w:left w:val="nil"/>
              <w:bottom w:val="single" w:sz="4" w:space="0" w:color="auto"/>
              <w:right w:val="single" w:sz="4" w:space="0" w:color="auto"/>
            </w:tcBorders>
            <w:shd w:val="clear" w:color="auto" w:fill="D9D9D9"/>
            <w:hideMark/>
          </w:tcPr>
          <w:p w14:paraId="781AB97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-16.3%</w:t>
            </w:r>
          </w:p>
        </w:tc>
        <w:tc>
          <w:tcPr>
            <w:tcW w:w="1275" w:type="dxa"/>
            <w:tcBorders>
              <w:top w:val="nil"/>
              <w:left w:val="nil"/>
              <w:bottom w:val="single" w:sz="4" w:space="0" w:color="auto"/>
              <w:right w:val="single" w:sz="4" w:space="0" w:color="auto"/>
            </w:tcBorders>
            <w:shd w:val="clear" w:color="auto" w:fill="D9D9D9"/>
            <w:hideMark/>
          </w:tcPr>
          <w:p w14:paraId="344A39F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-10.2%</w:t>
            </w:r>
          </w:p>
        </w:tc>
        <w:tc>
          <w:tcPr>
            <w:tcW w:w="1418" w:type="dxa"/>
            <w:tcBorders>
              <w:top w:val="nil"/>
              <w:left w:val="nil"/>
              <w:bottom w:val="single" w:sz="4" w:space="0" w:color="auto"/>
              <w:right w:val="single" w:sz="4" w:space="0" w:color="auto"/>
            </w:tcBorders>
            <w:shd w:val="clear" w:color="auto" w:fill="D9D9D9"/>
            <w:hideMark/>
          </w:tcPr>
          <w:p w14:paraId="1E9D841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14.8%</w:t>
            </w:r>
          </w:p>
        </w:tc>
      </w:tr>
      <w:tr w:rsidR="007B29DD" w14:paraId="6178011A"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1A88323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Ovens (403)</w:t>
            </w:r>
          </w:p>
        </w:tc>
        <w:tc>
          <w:tcPr>
            <w:tcW w:w="1559" w:type="dxa"/>
            <w:tcBorders>
              <w:top w:val="nil"/>
              <w:left w:val="nil"/>
              <w:bottom w:val="single" w:sz="4" w:space="0" w:color="auto"/>
              <w:right w:val="single" w:sz="4" w:space="0" w:color="auto"/>
            </w:tcBorders>
            <w:vAlign w:val="center"/>
            <w:hideMark/>
          </w:tcPr>
          <w:p w14:paraId="75FB2C7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FE5ABD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-3.4%</w:t>
            </w:r>
          </w:p>
        </w:tc>
        <w:tc>
          <w:tcPr>
            <w:tcW w:w="1419" w:type="dxa"/>
            <w:tcBorders>
              <w:top w:val="nil"/>
              <w:left w:val="nil"/>
              <w:bottom w:val="single" w:sz="4" w:space="0" w:color="auto"/>
              <w:right w:val="single" w:sz="4" w:space="0" w:color="auto"/>
            </w:tcBorders>
            <w:noWrap/>
            <w:hideMark/>
          </w:tcPr>
          <w:p w14:paraId="68FD61F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0.9%</w:t>
            </w:r>
          </w:p>
        </w:tc>
        <w:tc>
          <w:tcPr>
            <w:tcW w:w="1276" w:type="dxa"/>
            <w:tcBorders>
              <w:top w:val="nil"/>
              <w:left w:val="nil"/>
              <w:bottom w:val="single" w:sz="4" w:space="0" w:color="auto"/>
              <w:right w:val="single" w:sz="4" w:space="0" w:color="auto"/>
            </w:tcBorders>
            <w:hideMark/>
          </w:tcPr>
          <w:p w14:paraId="5BA52A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-12.6%</w:t>
            </w:r>
          </w:p>
        </w:tc>
        <w:tc>
          <w:tcPr>
            <w:tcW w:w="1275" w:type="dxa"/>
            <w:tcBorders>
              <w:top w:val="nil"/>
              <w:left w:val="nil"/>
              <w:bottom w:val="single" w:sz="4" w:space="0" w:color="auto"/>
              <w:right w:val="single" w:sz="4" w:space="0" w:color="auto"/>
            </w:tcBorders>
            <w:hideMark/>
          </w:tcPr>
          <w:p w14:paraId="6A672ED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-10.2%</w:t>
            </w:r>
          </w:p>
        </w:tc>
        <w:tc>
          <w:tcPr>
            <w:tcW w:w="1418" w:type="dxa"/>
            <w:tcBorders>
              <w:top w:val="nil"/>
              <w:left w:val="nil"/>
              <w:bottom w:val="single" w:sz="4" w:space="0" w:color="auto"/>
              <w:right w:val="single" w:sz="4" w:space="0" w:color="auto"/>
            </w:tcBorders>
            <w:hideMark/>
          </w:tcPr>
          <w:p w14:paraId="137DF04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10.9%</w:t>
            </w:r>
          </w:p>
        </w:tc>
      </w:tr>
      <w:tr w:rsidR="007B29DD" w14:paraId="3461A21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3CF217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C43454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4BC531A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-3.7%</w:t>
            </w:r>
          </w:p>
        </w:tc>
        <w:tc>
          <w:tcPr>
            <w:tcW w:w="1419" w:type="dxa"/>
            <w:tcBorders>
              <w:top w:val="nil"/>
              <w:left w:val="nil"/>
              <w:bottom w:val="single" w:sz="4" w:space="0" w:color="auto"/>
              <w:right w:val="single" w:sz="4" w:space="0" w:color="auto"/>
            </w:tcBorders>
            <w:noWrap/>
            <w:hideMark/>
          </w:tcPr>
          <w:p w14:paraId="670E6F0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4.3%</w:t>
            </w:r>
          </w:p>
        </w:tc>
        <w:tc>
          <w:tcPr>
            <w:tcW w:w="1276" w:type="dxa"/>
            <w:tcBorders>
              <w:top w:val="nil"/>
              <w:left w:val="nil"/>
              <w:bottom w:val="single" w:sz="4" w:space="0" w:color="auto"/>
              <w:right w:val="single" w:sz="4" w:space="0" w:color="auto"/>
            </w:tcBorders>
            <w:hideMark/>
          </w:tcPr>
          <w:p w14:paraId="2FC5D1C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-20.6%</w:t>
            </w:r>
          </w:p>
        </w:tc>
        <w:tc>
          <w:tcPr>
            <w:tcW w:w="1275" w:type="dxa"/>
            <w:tcBorders>
              <w:top w:val="nil"/>
              <w:left w:val="nil"/>
              <w:bottom w:val="single" w:sz="4" w:space="0" w:color="auto"/>
              <w:right w:val="single" w:sz="4" w:space="0" w:color="auto"/>
            </w:tcBorders>
            <w:hideMark/>
          </w:tcPr>
          <w:p w14:paraId="530CC92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-19.3%</w:t>
            </w:r>
          </w:p>
        </w:tc>
        <w:tc>
          <w:tcPr>
            <w:tcW w:w="1418" w:type="dxa"/>
            <w:tcBorders>
              <w:top w:val="nil"/>
              <w:left w:val="nil"/>
              <w:bottom w:val="single" w:sz="4" w:space="0" w:color="auto"/>
              <w:right w:val="single" w:sz="4" w:space="0" w:color="auto"/>
            </w:tcBorders>
            <w:hideMark/>
          </w:tcPr>
          <w:p w14:paraId="2C8CE60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29.3%</w:t>
            </w:r>
          </w:p>
        </w:tc>
      </w:tr>
      <w:tr w:rsidR="007B29DD" w14:paraId="0839C55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094166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C2B991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5F9E2D3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w:t>
            </w:r>
          </w:p>
        </w:tc>
        <w:tc>
          <w:tcPr>
            <w:tcW w:w="1419" w:type="dxa"/>
            <w:tcBorders>
              <w:top w:val="nil"/>
              <w:left w:val="nil"/>
              <w:bottom w:val="single" w:sz="4" w:space="0" w:color="auto"/>
              <w:right w:val="single" w:sz="4" w:space="0" w:color="auto"/>
            </w:tcBorders>
            <w:noWrap/>
            <w:hideMark/>
          </w:tcPr>
          <w:p w14:paraId="5238EF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w:t>
            </w:r>
          </w:p>
        </w:tc>
        <w:tc>
          <w:tcPr>
            <w:tcW w:w="1276" w:type="dxa"/>
            <w:tcBorders>
              <w:top w:val="nil"/>
              <w:left w:val="nil"/>
              <w:bottom w:val="single" w:sz="4" w:space="0" w:color="auto"/>
              <w:right w:val="single" w:sz="4" w:space="0" w:color="auto"/>
            </w:tcBorders>
            <w:hideMark/>
          </w:tcPr>
          <w:p w14:paraId="6D59D86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-13.2%</w:t>
            </w:r>
          </w:p>
        </w:tc>
        <w:tc>
          <w:tcPr>
            <w:tcW w:w="1275" w:type="dxa"/>
            <w:tcBorders>
              <w:top w:val="nil"/>
              <w:left w:val="nil"/>
              <w:bottom w:val="single" w:sz="4" w:space="0" w:color="auto"/>
              <w:right w:val="single" w:sz="4" w:space="0" w:color="auto"/>
            </w:tcBorders>
            <w:hideMark/>
          </w:tcPr>
          <w:p w14:paraId="2ACFB7D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-17.4%</w:t>
            </w:r>
          </w:p>
        </w:tc>
        <w:tc>
          <w:tcPr>
            <w:tcW w:w="1418" w:type="dxa"/>
            <w:tcBorders>
              <w:top w:val="nil"/>
              <w:left w:val="nil"/>
              <w:bottom w:val="single" w:sz="4" w:space="0" w:color="auto"/>
              <w:right w:val="single" w:sz="4" w:space="0" w:color="auto"/>
            </w:tcBorders>
            <w:hideMark/>
          </w:tcPr>
          <w:p w14:paraId="7DCBA30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32.1%</w:t>
            </w:r>
          </w:p>
        </w:tc>
      </w:tr>
      <w:tr w:rsidR="007B29DD" w14:paraId="6611329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B54823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414F34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2C6404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-2.8%</w:t>
            </w:r>
          </w:p>
        </w:tc>
        <w:tc>
          <w:tcPr>
            <w:tcW w:w="1419" w:type="dxa"/>
            <w:tcBorders>
              <w:top w:val="nil"/>
              <w:left w:val="nil"/>
              <w:bottom w:val="single" w:sz="4" w:space="0" w:color="auto"/>
              <w:right w:val="single" w:sz="4" w:space="0" w:color="auto"/>
            </w:tcBorders>
            <w:noWrap/>
            <w:hideMark/>
          </w:tcPr>
          <w:p w14:paraId="5A9C372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3.8%</w:t>
            </w:r>
          </w:p>
        </w:tc>
        <w:tc>
          <w:tcPr>
            <w:tcW w:w="1276" w:type="dxa"/>
            <w:tcBorders>
              <w:top w:val="nil"/>
              <w:left w:val="nil"/>
              <w:bottom w:val="single" w:sz="4" w:space="0" w:color="auto"/>
              <w:right w:val="single" w:sz="4" w:space="0" w:color="auto"/>
            </w:tcBorders>
            <w:hideMark/>
          </w:tcPr>
          <w:p w14:paraId="35FC09A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-16.7%</w:t>
            </w:r>
          </w:p>
        </w:tc>
        <w:tc>
          <w:tcPr>
            <w:tcW w:w="1275" w:type="dxa"/>
            <w:tcBorders>
              <w:top w:val="nil"/>
              <w:left w:val="nil"/>
              <w:bottom w:val="single" w:sz="4" w:space="0" w:color="auto"/>
              <w:right w:val="single" w:sz="4" w:space="0" w:color="auto"/>
            </w:tcBorders>
            <w:hideMark/>
          </w:tcPr>
          <w:p w14:paraId="210B915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-10.7%</w:t>
            </w:r>
          </w:p>
        </w:tc>
        <w:tc>
          <w:tcPr>
            <w:tcW w:w="1418" w:type="dxa"/>
            <w:tcBorders>
              <w:top w:val="nil"/>
              <w:left w:val="nil"/>
              <w:bottom w:val="single" w:sz="4" w:space="0" w:color="auto"/>
              <w:right w:val="single" w:sz="4" w:space="0" w:color="auto"/>
            </w:tcBorders>
            <w:hideMark/>
          </w:tcPr>
          <w:p w14:paraId="53D323C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14.0%</w:t>
            </w:r>
          </w:p>
        </w:tc>
      </w:tr>
      <w:tr w:rsidR="007B29DD" w14:paraId="124245D5"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3CCF5AE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Broken (404)</w:t>
            </w:r>
          </w:p>
        </w:tc>
        <w:tc>
          <w:tcPr>
            <w:tcW w:w="1559" w:type="dxa"/>
            <w:tcBorders>
              <w:top w:val="nil"/>
              <w:left w:val="nil"/>
              <w:bottom w:val="single" w:sz="4" w:space="0" w:color="auto"/>
              <w:right w:val="single" w:sz="4" w:space="0" w:color="auto"/>
            </w:tcBorders>
            <w:shd w:val="clear" w:color="auto" w:fill="D9D9D9"/>
            <w:vAlign w:val="center"/>
            <w:hideMark/>
          </w:tcPr>
          <w:p w14:paraId="79DFD7D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1B673CB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-3.7%</w:t>
            </w:r>
          </w:p>
        </w:tc>
        <w:tc>
          <w:tcPr>
            <w:tcW w:w="1419" w:type="dxa"/>
            <w:tcBorders>
              <w:top w:val="nil"/>
              <w:left w:val="nil"/>
              <w:bottom w:val="single" w:sz="4" w:space="0" w:color="auto"/>
              <w:right w:val="single" w:sz="4" w:space="0" w:color="auto"/>
            </w:tcBorders>
            <w:shd w:val="clear" w:color="auto" w:fill="D9D9D9"/>
            <w:noWrap/>
            <w:hideMark/>
          </w:tcPr>
          <w:p w14:paraId="6291704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0.7%</w:t>
            </w:r>
          </w:p>
        </w:tc>
        <w:tc>
          <w:tcPr>
            <w:tcW w:w="1276" w:type="dxa"/>
            <w:tcBorders>
              <w:top w:val="nil"/>
              <w:left w:val="nil"/>
              <w:bottom w:val="single" w:sz="4" w:space="0" w:color="auto"/>
              <w:right w:val="single" w:sz="4" w:space="0" w:color="auto"/>
            </w:tcBorders>
            <w:shd w:val="clear" w:color="auto" w:fill="D9D9D9"/>
            <w:hideMark/>
          </w:tcPr>
          <w:p w14:paraId="008D434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275" w:type="dxa"/>
            <w:tcBorders>
              <w:top w:val="nil"/>
              <w:left w:val="nil"/>
              <w:bottom w:val="single" w:sz="4" w:space="0" w:color="auto"/>
              <w:right w:val="single" w:sz="4" w:space="0" w:color="auto"/>
            </w:tcBorders>
            <w:shd w:val="clear" w:color="auto" w:fill="D9D9D9"/>
            <w:hideMark/>
          </w:tcPr>
          <w:p w14:paraId="465B2C2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-13.7%</w:t>
            </w:r>
          </w:p>
        </w:tc>
        <w:tc>
          <w:tcPr>
            <w:tcW w:w="1418" w:type="dxa"/>
            <w:tcBorders>
              <w:top w:val="nil"/>
              <w:left w:val="nil"/>
              <w:bottom w:val="single" w:sz="4" w:space="0" w:color="auto"/>
              <w:right w:val="single" w:sz="4" w:space="0" w:color="auto"/>
            </w:tcBorders>
            <w:shd w:val="clear" w:color="auto" w:fill="D9D9D9"/>
            <w:hideMark/>
          </w:tcPr>
          <w:p w14:paraId="32B9857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15.3%</w:t>
            </w:r>
          </w:p>
        </w:tc>
      </w:tr>
      <w:tr w:rsidR="007B29DD" w14:paraId="55FC1F6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37DABD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734FD3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26E2F8B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-3.5%</w:t>
            </w:r>
          </w:p>
        </w:tc>
        <w:tc>
          <w:tcPr>
            <w:tcW w:w="1419" w:type="dxa"/>
            <w:tcBorders>
              <w:top w:val="nil"/>
              <w:left w:val="nil"/>
              <w:bottom w:val="single" w:sz="4" w:space="0" w:color="auto"/>
              <w:right w:val="single" w:sz="4" w:space="0" w:color="auto"/>
            </w:tcBorders>
            <w:shd w:val="clear" w:color="auto" w:fill="D9D9D9"/>
            <w:noWrap/>
            <w:hideMark/>
          </w:tcPr>
          <w:p w14:paraId="6C6CD7E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6.5%</w:t>
            </w:r>
          </w:p>
        </w:tc>
        <w:tc>
          <w:tcPr>
            <w:tcW w:w="1276" w:type="dxa"/>
            <w:tcBorders>
              <w:top w:val="nil"/>
              <w:left w:val="nil"/>
              <w:bottom w:val="single" w:sz="4" w:space="0" w:color="auto"/>
              <w:right w:val="single" w:sz="4" w:space="0" w:color="auto"/>
            </w:tcBorders>
            <w:shd w:val="clear" w:color="auto" w:fill="D9D9D9"/>
            <w:hideMark/>
          </w:tcPr>
          <w:p w14:paraId="26A48F9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-22.4%</w:t>
            </w:r>
          </w:p>
        </w:tc>
        <w:tc>
          <w:tcPr>
            <w:tcW w:w="1275" w:type="dxa"/>
            <w:tcBorders>
              <w:top w:val="nil"/>
              <w:left w:val="nil"/>
              <w:bottom w:val="single" w:sz="4" w:space="0" w:color="auto"/>
              <w:right w:val="single" w:sz="4" w:space="0" w:color="auto"/>
            </w:tcBorders>
            <w:shd w:val="clear" w:color="auto" w:fill="D9D9D9"/>
            <w:hideMark/>
          </w:tcPr>
          <w:p w14:paraId="122479E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-16.1%</w:t>
            </w:r>
          </w:p>
        </w:tc>
        <w:tc>
          <w:tcPr>
            <w:tcW w:w="1418" w:type="dxa"/>
            <w:tcBorders>
              <w:top w:val="nil"/>
              <w:left w:val="nil"/>
              <w:bottom w:val="single" w:sz="4" w:space="0" w:color="auto"/>
              <w:right w:val="single" w:sz="4" w:space="0" w:color="auto"/>
            </w:tcBorders>
            <w:shd w:val="clear" w:color="auto" w:fill="D9D9D9"/>
            <w:hideMark/>
          </w:tcPr>
          <w:p w14:paraId="1C647C2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20.3%</w:t>
            </w:r>
          </w:p>
        </w:tc>
      </w:tr>
      <w:tr w:rsidR="007B29DD" w14:paraId="6E1FE4D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44DFC4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ED3F04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23B6C93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w:t>
            </w:r>
          </w:p>
        </w:tc>
        <w:tc>
          <w:tcPr>
            <w:tcW w:w="1419" w:type="dxa"/>
            <w:tcBorders>
              <w:top w:val="nil"/>
              <w:left w:val="nil"/>
              <w:bottom w:val="single" w:sz="4" w:space="0" w:color="auto"/>
              <w:right w:val="single" w:sz="4" w:space="0" w:color="auto"/>
            </w:tcBorders>
            <w:shd w:val="clear" w:color="auto" w:fill="D9D9D9"/>
            <w:noWrap/>
            <w:hideMark/>
          </w:tcPr>
          <w:p w14:paraId="3652E80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6.5%</w:t>
            </w:r>
          </w:p>
        </w:tc>
        <w:tc>
          <w:tcPr>
            <w:tcW w:w="1276" w:type="dxa"/>
            <w:tcBorders>
              <w:top w:val="nil"/>
              <w:left w:val="nil"/>
              <w:bottom w:val="single" w:sz="4" w:space="0" w:color="auto"/>
              <w:right w:val="single" w:sz="4" w:space="0" w:color="auto"/>
            </w:tcBorders>
            <w:shd w:val="clear" w:color="auto" w:fill="D9D9D9"/>
            <w:hideMark/>
          </w:tcPr>
          <w:p w14:paraId="259C173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-15.8%</w:t>
            </w:r>
          </w:p>
        </w:tc>
        <w:tc>
          <w:tcPr>
            <w:tcW w:w="1275" w:type="dxa"/>
            <w:tcBorders>
              <w:top w:val="nil"/>
              <w:left w:val="nil"/>
              <w:bottom w:val="single" w:sz="4" w:space="0" w:color="auto"/>
              <w:right w:val="single" w:sz="4" w:space="0" w:color="auto"/>
            </w:tcBorders>
            <w:shd w:val="clear" w:color="auto" w:fill="D9D9D9"/>
            <w:hideMark/>
          </w:tcPr>
          <w:p w14:paraId="7033FF3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-19.1%</w:t>
            </w:r>
          </w:p>
        </w:tc>
        <w:tc>
          <w:tcPr>
            <w:tcW w:w="1418" w:type="dxa"/>
            <w:tcBorders>
              <w:top w:val="nil"/>
              <w:left w:val="nil"/>
              <w:bottom w:val="single" w:sz="4" w:space="0" w:color="auto"/>
              <w:right w:val="single" w:sz="4" w:space="0" w:color="auto"/>
            </w:tcBorders>
            <w:shd w:val="clear" w:color="auto" w:fill="D9D9D9"/>
            <w:hideMark/>
          </w:tcPr>
          <w:p w14:paraId="15D3819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32.7%</w:t>
            </w:r>
          </w:p>
        </w:tc>
      </w:tr>
      <w:tr w:rsidR="007B29DD" w14:paraId="6E78A6A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89BA5A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6301BC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5EA6FFD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-2.0%</w:t>
            </w:r>
          </w:p>
        </w:tc>
        <w:tc>
          <w:tcPr>
            <w:tcW w:w="1419" w:type="dxa"/>
            <w:tcBorders>
              <w:top w:val="nil"/>
              <w:left w:val="nil"/>
              <w:bottom w:val="single" w:sz="4" w:space="0" w:color="auto"/>
              <w:right w:val="single" w:sz="4" w:space="0" w:color="auto"/>
            </w:tcBorders>
            <w:shd w:val="clear" w:color="auto" w:fill="D9D9D9"/>
            <w:noWrap/>
            <w:hideMark/>
          </w:tcPr>
          <w:p w14:paraId="47B153F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4.6%</w:t>
            </w:r>
          </w:p>
        </w:tc>
        <w:tc>
          <w:tcPr>
            <w:tcW w:w="1276" w:type="dxa"/>
            <w:tcBorders>
              <w:top w:val="nil"/>
              <w:left w:val="nil"/>
              <w:bottom w:val="single" w:sz="4" w:space="0" w:color="auto"/>
              <w:right w:val="single" w:sz="4" w:space="0" w:color="auto"/>
            </w:tcBorders>
            <w:shd w:val="clear" w:color="auto" w:fill="D9D9D9"/>
            <w:hideMark/>
          </w:tcPr>
          <w:p w14:paraId="78EFE0E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-14.5%</w:t>
            </w:r>
          </w:p>
        </w:tc>
        <w:tc>
          <w:tcPr>
            <w:tcW w:w="1275" w:type="dxa"/>
            <w:tcBorders>
              <w:top w:val="nil"/>
              <w:left w:val="nil"/>
              <w:bottom w:val="single" w:sz="4" w:space="0" w:color="auto"/>
              <w:right w:val="single" w:sz="4" w:space="0" w:color="auto"/>
            </w:tcBorders>
            <w:shd w:val="clear" w:color="auto" w:fill="D9D9D9"/>
            <w:hideMark/>
          </w:tcPr>
          <w:p w14:paraId="25950A5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c>
          <w:tcPr>
            <w:tcW w:w="1418" w:type="dxa"/>
            <w:tcBorders>
              <w:top w:val="nil"/>
              <w:left w:val="nil"/>
              <w:bottom w:val="single" w:sz="4" w:space="0" w:color="auto"/>
              <w:right w:val="single" w:sz="4" w:space="0" w:color="auto"/>
            </w:tcBorders>
            <w:shd w:val="clear" w:color="auto" w:fill="D9D9D9"/>
            <w:hideMark/>
          </w:tcPr>
          <w:p w14:paraId="61BB6E0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14.6%</w:t>
            </w:r>
          </w:p>
        </w:tc>
      </w:tr>
      <w:tr w:rsidR="007B29DD" w14:paraId="1CF7312C"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259E6A01"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Goulburn (405)</w:t>
            </w:r>
          </w:p>
        </w:tc>
        <w:tc>
          <w:tcPr>
            <w:tcW w:w="1559" w:type="dxa"/>
            <w:tcBorders>
              <w:top w:val="nil"/>
              <w:left w:val="nil"/>
              <w:bottom w:val="single" w:sz="4" w:space="0" w:color="auto"/>
              <w:right w:val="single" w:sz="4" w:space="0" w:color="auto"/>
            </w:tcBorders>
            <w:vAlign w:val="center"/>
            <w:hideMark/>
          </w:tcPr>
          <w:p w14:paraId="49555C4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6AC2580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-2.5%</w:t>
            </w:r>
          </w:p>
        </w:tc>
        <w:tc>
          <w:tcPr>
            <w:tcW w:w="1419" w:type="dxa"/>
            <w:tcBorders>
              <w:top w:val="nil"/>
              <w:left w:val="nil"/>
              <w:bottom w:val="single" w:sz="4" w:space="0" w:color="auto"/>
              <w:right w:val="single" w:sz="4" w:space="0" w:color="auto"/>
            </w:tcBorders>
            <w:noWrap/>
            <w:hideMark/>
          </w:tcPr>
          <w:p w14:paraId="3CB6DF0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w:t>
            </w:r>
          </w:p>
        </w:tc>
        <w:tc>
          <w:tcPr>
            <w:tcW w:w="1276" w:type="dxa"/>
            <w:tcBorders>
              <w:top w:val="nil"/>
              <w:left w:val="nil"/>
              <w:bottom w:val="single" w:sz="4" w:space="0" w:color="auto"/>
              <w:right w:val="single" w:sz="4" w:space="0" w:color="auto"/>
            </w:tcBorders>
            <w:hideMark/>
          </w:tcPr>
          <w:p w14:paraId="4E96E00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-11.2%</w:t>
            </w:r>
          </w:p>
        </w:tc>
        <w:tc>
          <w:tcPr>
            <w:tcW w:w="1275" w:type="dxa"/>
            <w:tcBorders>
              <w:top w:val="nil"/>
              <w:left w:val="nil"/>
              <w:bottom w:val="single" w:sz="4" w:space="0" w:color="auto"/>
              <w:right w:val="single" w:sz="4" w:space="0" w:color="auto"/>
            </w:tcBorders>
            <w:hideMark/>
          </w:tcPr>
          <w:p w14:paraId="0D1CD67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-10.5%</w:t>
            </w:r>
          </w:p>
        </w:tc>
        <w:tc>
          <w:tcPr>
            <w:tcW w:w="1418" w:type="dxa"/>
            <w:tcBorders>
              <w:top w:val="nil"/>
              <w:left w:val="nil"/>
              <w:bottom w:val="single" w:sz="4" w:space="0" w:color="auto"/>
              <w:right w:val="single" w:sz="4" w:space="0" w:color="auto"/>
            </w:tcBorders>
            <w:hideMark/>
          </w:tcPr>
          <w:p w14:paraId="265B707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r>
      <w:tr w:rsidR="007B29DD" w14:paraId="19FABFD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2261C9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B23516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34F79F8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-4.0%</w:t>
            </w:r>
          </w:p>
        </w:tc>
        <w:tc>
          <w:tcPr>
            <w:tcW w:w="1419" w:type="dxa"/>
            <w:tcBorders>
              <w:top w:val="nil"/>
              <w:left w:val="nil"/>
              <w:bottom w:val="single" w:sz="4" w:space="0" w:color="auto"/>
              <w:right w:val="single" w:sz="4" w:space="0" w:color="auto"/>
            </w:tcBorders>
            <w:noWrap/>
            <w:hideMark/>
          </w:tcPr>
          <w:p w14:paraId="1AAF210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5.8%</w:t>
            </w:r>
          </w:p>
        </w:tc>
        <w:tc>
          <w:tcPr>
            <w:tcW w:w="1276" w:type="dxa"/>
            <w:tcBorders>
              <w:top w:val="nil"/>
              <w:left w:val="nil"/>
              <w:bottom w:val="single" w:sz="4" w:space="0" w:color="auto"/>
              <w:right w:val="single" w:sz="4" w:space="0" w:color="auto"/>
            </w:tcBorders>
            <w:hideMark/>
          </w:tcPr>
          <w:p w14:paraId="4B94065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-24.2%</w:t>
            </w:r>
          </w:p>
        </w:tc>
        <w:tc>
          <w:tcPr>
            <w:tcW w:w="1275" w:type="dxa"/>
            <w:tcBorders>
              <w:top w:val="nil"/>
              <w:left w:val="nil"/>
              <w:bottom w:val="single" w:sz="4" w:space="0" w:color="auto"/>
              <w:right w:val="single" w:sz="4" w:space="0" w:color="auto"/>
            </w:tcBorders>
            <w:hideMark/>
          </w:tcPr>
          <w:p w14:paraId="08C3A21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-12.9%</w:t>
            </w:r>
          </w:p>
        </w:tc>
        <w:tc>
          <w:tcPr>
            <w:tcW w:w="1418" w:type="dxa"/>
            <w:tcBorders>
              <w:top w:val="nil"/>
              <w:left w:val="nil"/>
              <w:bottom w:val="single" w:sz="4" w:space="0" w:color="auto"/>
              <w:right w:val="single" w:sz="4" w:space="0" w:color="auto"/>
            </w:tcBorders>
            <w:hideMark/>
          </w:tcPr>
          <w:p w14:paraId="542E944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14.3%</w:t>
            </w:r>
          </w:p>
        </w:tc>
      </w:tr>
      <w:tr w:rsidR="007B29DD" w14:paraId="5F3F017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39F158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909447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393749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-1.8%</w:t>
            </w:r>
          </w:p>
        </w:tc>
        <w:tc>
          <w:tcPr>
            <w:tcW w:w="1419" w:type="dxa"/>
            <w:tcBorders>
              <w:top w:val="nil"/>
              <w:left w:val="nil"/>
              <w:bottom w:val="single" w:sz="4" w:space="0" w:color="auto"/>
              <w:right w:val="single" w:sz="4" w:space="0" w:color="auto"/>
            </w:tcBorders>
            <w:noWrap/>
            <w:hideMark/>
          </w:tcPr>
          <w:p w14:paraId="4AEBF6D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w:t>
            </w:r>
          </w:p>
        </w:tc>
        <w:tc>
          <w:tcPr>
            <w:tcW w:w="1276" w:type="dxa"/>
            <w:tcBorders>
              <w:top w:val="nil"/>
              <w:left w:val="nil"/>
              <w:bottom w:val="single" w:sz="4" w:space="0" w:color="auto"/>
              <w:right w:val="single" w:sz="4" w:space="0" w:color="auto"/>
            </w:tcBorders>
            <w:hideMark/>
          </w:tcPr>
          <w:p w14:paraId="596A060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c>
          <w:tcPr>
            <w:tcW w:w="1275" w:type="dxa"/>
            <w:tcBorders>
              <w:top w:val="nil"/>
              <w:left w:val="nil"/>
              <w:bottom w:val="single" w:sz="4" w:space="0" w:color="auto"/>
              <w:right w:val="single" w:sz="4" w:space="0" w:color="auto"/>
            </w:tcBorders>
            <w:hideMark/>
          </w:tcPr>
          <w:p w14:paraId="5376058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-17.2%</w:t>
            </w:r>
          </w:p>
        </w:tc>
        <w:tc>
          <w:tcPr>
            <w:tcW w:w="1418" w:type="dxa"/>
            <w:tcBorders>
              <w:top w:val="nil"/>
              <w:left w:val="nil"/>
              <w:bottom w:val="single" w:sz="4" w:space="0" w:color="auto"/>
              <w:right w:val="single" w:sz="4" w:space="0" w:color="auto"/>
            </w:tcBorders>
            <w:hideMark/>
          </w:tcPr>
          <w:p w14:paraId="71BF9EE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29.9%</w:t>
            </w:r>
          </w:p>
        </w:tc>
      </w:tr>
      <w:tr w:rsidR="007B29DD" w14:paraId="4EF9428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F28297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2CAAD8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046F762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-2.4%</w:t>
            </w:r>
          </w:p>
        </w:tc>
        <w:tc>
          <w:tcPr>
            <w:tcW w:w="1419" w:type="dxa"/>
            <w:tcBorders>
              <w:top w:val="nil"/>
              <w:left w:val="nil"/>
              <w:bottom w:val="single" w:sz="4" w:space="0" w:color="auto"/>
              <w:right w:val="single" w:sz="4" w:space="0" w:color="auto"/>
            </w:tcBorders>
            <w:noWrap/>
            <w:hideMark/>
          </w:tcPr>
          <w:p w14:paraId="4314577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4.6%</w:t>
            </w:r>
          </w:p>
        </w:tc>
        <w:tc>
          <w:tcPr>
            <w:tcW w:w="1276" w:type="dxa"/>
            <w:tcBorders>
              <w:top w:val="nil"/>
              <w:left w:val="nil"/>
              <w:bottom w:val="single" w:sz="4" w:space="0" w:color="auto"/>
              <w:right w:val="single" w:sz="4" w:space="0" w:color="auto"/>
            </w:tcBorders>
            <w:hideMark/>
          </w:tcPr>
          <w:p w14:paraId="7E6B300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-16.9%</w:t>
            </w:r>
          </w:p>
        </w:tc>
        <w:tc>
          <w:tcPr>
            <w:tcW w:w="1275" w:type="dxa"/>
            <w:tcBorders>
              <w:top w:val="nil"/>
              <w:left w:val="nil"/>
              <w:bottom w:val="single" w:sz="4" w:space="0" w:color="auto"/>
              <w:right w:val="single" w:sz="4" w:space="0" w:color="auto"/>
            </w:tcBorders>
            <w:hideMark/>
          </w:tcPr>
          <w:p w14:paraId="711ECCF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-10.7%</w:t>
            </w:r>
          </w:p>
        </w:tc>
        <w:tc>
          <w:tcPr>
            <w:tcW w:w="1418" w:type="dxa"/>
            <w:tcBorders>
              <w:top w:val="nil"/>
              <w:left w:val="nil"/>
              <w:bottom w:val="single" w:sz="4" w:space="0" w:color="auto"/>
              <w:right w:val="single" w:sz="4" w:space="0" w:color="auto"/>
            </w:tcBorders>
            <w:hideMark/>
          </w:tcPr>
          <w:p w14:paraId="45AB12B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14.7%</w:t>
            </w:r>
          </w:p>
        </w:tc>
      </w:tr>
      <w:tr w:rsidR="007B29DD" w14:paraId="2CDB9E81"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4B7B2025"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Campaspe (406)</w:t>
            </w:r>
          </w:p>
        </w:tc>
        <w:tc>
          <w:tcPr>
            <w:tcW w:w="1559" w:type="dxa"/>
            <w:tcBorders>
              <w:top w:val="nil"/>
              <w:left w:val="nil"/>
              <w:bottom w:val="single" w:sz="4" w:space="0" w:color="auto"/>
              <w:right w:val="single" w:sz="4" w:space="0" w:color="auto"/>
            </w:tcBorders>
            <w:shd w:val="clear" w:color="auto" w:fill="D9D9D9"/>
            <w:vAlign w:val="center"/>
            <w:hideMark/>
          </w:tcPr>
          <w:p w14:paraId="4D8D0E1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7639D9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w:t>
            </w:r>
          </w:p>
        </w:tc>
        <w:tc>
          <w:tcPr>
            <w:tcW w:w="1419" w:type="dxa"/>
            <w:tcBorders>
              <w:top w:val="nil"/>
              <w:left w:val="nil"/>
              <w:bottom w:val="single" w:sz="4" w:space="0" w:color="auto"/>
              <w:right w:val="single" w:sz="4" w:space="0" w:color="auto"/>
            </w:tcBorders>
            <w:shd w:val="clear" w:color="auto" w:fill="D9D9D9"/>
            <w:noWrap/>
            <w:hideMark/>
          </w:tcPr>
          <w:p w14:paraId="03A0A98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w:t>
            </w:r>
          </w:p>
        </w:tc>
        <w:tc>
          <w:tcPr>
            <w:tcW w:w="1276" w:type="dxa"/>
            <w:tcBorders>
              <w:top w:val="nil"/>
              <w:left w:val="nil"/>
              <w:bottom w:val="single" w:sz="4" w:space="0" w:color="auto"/>
              <w:right w:val="single" w:sz="4" w:space="0" w:color="auto"/>
            </w:tcBorders>
            <w:shd w:val="clear" w:color="auto" w:fill="D9D9D9"/>
            <w:hideMark/>
          </w:tcPr>
          <w:p w14:paraId="45938DE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-10.2%</w:t>
            </w:r>
          </w:p>
        </w:tc>
        <w:tc>
          <w:tcPr>
            <w:tcW w:w="1275" w:type="dxa"/>
            <w:tcBorders>
              <w:top w:val="nil"/>
              <w:left w:val="nil"/>
              <w:bottom w:val="single" w:sz="4" w:space="0" w:color="auto"/>
              <w:right w:val="single" w:sz="4" w:space="0" w:color="auto"/>
            </w:tcBorders>
            <w:shd w:val="clear" w:color="auto" w:fill="D9D9D9"/>
            <w:hideMark/>
          </w:tcPr>
          <w:p w14:paraId="48B8DC0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c>
          <w:tcPr>
            <w:tcW w:w="1418" w:type="dxa"/>
            <w:tcBorders>
              <w:top w:val="nil"/>
              <w:left w:val="nil"/>
              <w:bottom w:val="single" w:sz="4" w:space="0" w:color="auto"/>
              <w:right w:val="single" w:sz="4" w:space="0" w:color="auto"/>
            </w:tcBorders>
            <w:shd w:val="clear" w:color="auto" w:fill="D9D9D9"/>
            <w:hideMark/>
          </w:tcPr>
          <w:p w14:paraId="76DD8F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12.9%</w:t>
            </w:r>
          </w:p>
        </w:tc>
      </w:tr>
      <w:tr w:rsidR="007B29DD" w14:paraId="12ABEE4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05C895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90CA2B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74CB52D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-6.1%</w:t>
            </w:r>
          </w:p>
        </w:tc>
        <w:tc>
          <w:tcPr>
            <w:tcW w:w="1419" w:type="dxa"/>
            <w:tcBorders>
              <w:top w:val="nil"/>
              <w:left w:val="nil"/>
              <w:bottom w:val="single" w:sz="4" w:space="0" w:color="auto"/>
              <w:right w:val="single" w:sz="4" w:space="0" w:color="auto"/>
            </w:tcBorders>
            <w:shd w:val="clear" w:color="auto" w:fill="D9D9D9"/>
            <w:noWrap/>
            <w:hideMark/>
          </w:tcPr>
          <w:p w14:paraId="373532C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w:t>
            </w:r>
          </w:p>
        </w:tc>
        <w:tc>
          <w:tcPr>
            <w:tcW w:w="1276" w:type="dxa"/>
            <w:tcBorders>
              <w:top w:val="nil"/>
              <w:left w:val="nil"/>
              <w:bottom w:val="single" w:sz="4" w:space="0" w:color="auto"/>
              <w:right w:val="single" w:sz="4" w:space="0" w:color="auto"/>
            </w:tcBorders>
            <w:shd w:val="clear" w:color="auto" w:fill="D9D9D9"/>
            <w:hideMark/>
          </w:tcPr>
          <w:p w14:paraId="0EE908A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-25.1%</w:t>
            </w:r>
          </w:p>
        </w:tc>
        <w:tc>
          <w:tcPr>
            <w:tcW w:w="1275" w:type="dxa"/>
            <w:tcBorders>
              <w:top w:val="nil"/>
              <w:left w:val="nil"/>
              <w:bottom w:val="single" w:sz="4" w:space="0" w:color="auto"/>
              <w:right w:val="single" w:sz="4" w:space="0" w:color="auto"/>
            </w:tcBorders>
            <w:shd w:val="clear" w:color="auto" w:fill="D9D9D9"/>
            <w:hideMark/>
          </w:tcPr>
          <w:p w14:paraId="1CFECAA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-17.0%</w:t>
            </w:r>
          </w:p>
        </w:tc>
        <w:tc>
          <w:tcPr>
            <w:tcW w:w="1418" w:type="dxa"/>
            <w:tcBorders>
              <w:top w:val="nil"/>
              <w:left w:val="nil"/>
              <w:bottom w:val="single" w:sz="4" w:space="0" w:color="auto"/>
              <w:right w:val="single" w:sz="4" w:space="0" w:color="auto"/>
            </w:tcBorders>
            <w:shd w:val="clear" w:color="auto" w:fill="D9D9D9"/>
            <w:hideMark/>
          </w:tcPr>
          <w:p w14:paraId="75B0975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16.3%</w:t>
            </w:r>
          </w:p>
        </w:tc>
      </w:tr>
      <w:tr w:rsidR="007B29DD" w14:paraId="7BCB069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8E100D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AE948C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02993DD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w:t>
            </w:r>
          </w:p>
        </w:tc>
        <w:tc>
          <w:tcPr>
            <w:tcW w:w="1419" w:type="dxa"/>
            <w:tcBorders>
              <w:top w:val="nil"/>
              <w:left w:val="nil"/>
              <w:bottom w:val="single" w:sz="4" w:space="0" w:color="auto"/>
              <w:right w:val="single" w:sz="4" w:space="0" w:color="auto"/>
            </w:tcBorders>
            <w:shd w:val="clear" w:color="auto" w:fill="D9D9D9"/>
            <w:noWrap/>
            <w:hideMark/>
          </w:tcPr>
          <w:p w14:paraId="4BE5B17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w:t>
            </w:r>
          </w:p>
        </w:tc>
        <w:tc>
          <w:tcPr>
            <w:tcW w:w="1276" w:type="dxa"/>
            <w:tcBorders>
              <w:top w:val="nil"/>
              <w:left w:val="nil"/>
              <w:bottom w:val="single" w:sz="4" w:space="0" w:color="auto"/>
              <w:right w:val="single" w:sz="4" w:space="0" w:color="auto"/>
            </w:tcBorders>
            <w:shd w:val="clear" w:color="auto" w:fill="D9D9D9"/>
            <w:hideMark/>
          </w:tcPr>
          <w:p w14:paraId="45D574E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c>
          <w:tcPr>
            <w:tcW w:w="1275" w:type="dxa"/>
            <w:tcBorders>
              <w:top w:val="nil"/>
              <w:left w:val="nil"/>
              <w:bottom w:val="single" w:sz="4" w:space="0" w:color="auto"/>
              <w:right w:val="single" w:sz="4" w:space="0" w:color="auto"/>
            </w:tcBorders>
            <w:shd w:val="clear" w:color="auto" w:fill="D9D9D9"/>
            <w:hideMark/>
          </w:tcPr>
          <w:p w14:paraId="28F290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-12.5%</w:t>
            </w:r>
          </w:p>
        </w:tc>
        <w:tc>
          <w:tcPr>
            <w:tcW w:w="1418" w:type="dxa"/>
            <w:tcBorders>
              <w:top w:val="nil"/>
              <w:left w:val="nil"/>
              <w:bottom w:val="single" w:sz="4" w:space="0" w:color="auto"/>
              <w:right w:val="single" w:sz="4" w:space="0" w:color="auto"/>
            </w:tcBorders>
            <w:shd w:val="clear" w:color="auto" w:fill="D9D9D9"/>
            <w:hideMark/>
          </w:tcPr>
          <w:p w14:paraId="7C9F068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20.8%</w:t>
            </w:r>
          </w:p>
        </w:tc>
      </w:tr>
      <w:tr w:rsidR="007B29DD" w14:paraId="693C999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6C8D80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21534A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1292B56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-3.3%</w:t>
            </w:r>
          </w:p>
        </w:tc>
        <w:tc>
          <w:tcPr>
            <w:tcW w:w="1419" w:type="dxa"/>
            <w:tcBorders>
              <w:top w:val="nil"/>
              <w:left w:val="nil"/>
              <w:bottom w:val="single" w:sz="4" w:space="0" w:color="auto"/>
              <w:right w:val="single" w:sz="4" w:space="0" w:color="auto"/>
            </w:tcBorders>
            <w:shd w:val="clear" w:color="auto" w:fill="D9D9D9"/>
            <w:noWrap/>
            <w:hideMark/>
          </w:tcPr>
          <w:p w14:paraId="2146011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w:t>
            </w:r>
          </w:p>
        </w:tc>
        <w:tc>
          <w:tcPr>
            <w:tcW w:w="1276" w:type="dxa"/>
            <w:tcBorders>
              <w:top w:val="nil"/>
              <w:left w:val="nil"/>
              <w:bottom w:val="single" w:sz="4" w:space="0" w:color="auto"/>
              <w:right w:val="single" w:sz="4" w:space="0" w:color="auto"/>
            </w:tcBorders>
            <w:shd w:val="clear" w:color="auto" w:fill="D9D9D9"/>
            <w:hideMark/>
          </w:tcPr>
          <w:p w14:paraId="15A5A76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-18.5%</w:t>
            </w:r>
          </w:p>
        </w:tc>
        <w:tc>
          <w:tcPr>
            <w:tcW w:w="1275" w:type="dxa"/>
            <w:tcBorders>
              <w:top w:val="nil"/>
              <w:left w:val="nil"/>
              <w:bottom w:val="single" w:sz="4" w:space="0" w:color="auto"/>
              <w:right w:val="single" w:sz="4" w:space="0" w:color="auto"/>
            </w:tcBorders>
            <w:shd w:val="clear" w:color="auto" w:fill="D9D9D9"/>
            <w:hideMark/>
          </w:tcPr>
          <w:p w14:paraId="0F14DE0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-12.0%</w:t>
            </w:r>
          </w:p>
        </w:tc>
        <w:tc>
          <w:tcPr>
            <w:tcW w:w="1418" w:type="dxa"/>
            <w:tcBorders>
              <w:top w:val="nil"/>
              <w:left w:val="nil"/>
              <w:bottom w:val="single" w:sz="4" w:space="0" w:color="auto"/>
              <w:right w:val="single" w:sz="4" w:space="0" w:color="auto"/>
            </w:tcBorders>
            <w:shd w:val="clear" w:color="auto" w:fill="D9D9D9"/>
            <w:hideMark/>
          </w:tcPr>
          <w:p w14:paraId="2E96C62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14.5%</w:t>
            </w:r>
          </w:p>
        </w:tc>
      </w:tr>
      <w:tr w:rsidR="007B29DD" w14:paraId="73A9E311"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4DC0985"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Loddon (407)</w:t>
            </w:r>
          </w:p>
        </w:tc>
        <w:tc>
          <w:tcPr>
            <w:tcW w:w="1559" w:type="dxa"/>
            <w:tcBorders>
              <w:top w:val="nil"/>
              <w:left w:val="nil"/>
              <w:bottom w:val="single" w:sz="4" w:space="0" w:color="auto"/>
              <w:right w:val="single" w:sz="4" w:space="0" w:color="auto"/>
            </w:tcBorders>
            <w:vAlign w:val="center"/>
            <w:hideMark/>
          </w:tcPr>
          <w:p w14:paraId="186615D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1F60FA3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-2.8%</w:t>
            </w:r>
          </w:p>
        </w:tc>
        <w:tc>
          <w:tcPr>
            <w:tcW w:w="1419" w:type="dxa"/>
            <w:tcBorders>
              <w:top w:val="nil"/>
              <w:left w:val="nil"/>
              <w:bottom w:val="single" w:sz="4" w:space="0" w:color="auto"/>
              <w:right w:val="single" w:sz="4" w:space="0" w:color="auto"/>
            </w:tcBorders>
            <w:noWrap/>
            <w:hideMark/>
          </w:tcPr>
          <w:p w14:paraId="666B64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w:t>
            </w:r>
          </w:p>
        </w:tc>
        <w:tc>
          <w:tcPr>
            <w:tcW w:w="1276" w:type="dxa"/>
            <w:tcBorders>
              <w:top w:val="nil"/>
              <w:left w:val="nil"/>
              <w:bottom w:val="single" w:sz="4" w:space="0" w:color="auto"/>
              <w:right w:val="single" w:sz="4" w:space="0" w:color="auto"/>
            </w:tcBorders>
            <w:hideMark/>
          </w:tcPr>
          <w:p w14:paraId="40FF14E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-11.8%</w:t>
            </w:r>
          </w:p>
        </w:tc>
        <w:tc>
          <w:tcPr>
            <w:tcW w:w="1275" w:type="dxa"/>
            <w:tcBorders>
              <w:top w:val="nil"/>
              <w:left w:val="nil"/>
              <w:bottom w:val="single" w:sz="4" w:space="0" w:color="auto"/>
              <w:right w:val="single" w:sz="4" w:space="0" w:color="auto"/>
            </w:tcBorders>
            <w:hideMark/>
          </w:tcPr>
          <w:p w14:paraId="14D1BB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-13.9%</w:t>
            </w:r>
          </w:p>
        </w:tc>
        <w:tc>
          <w:tcPr>
            <w:tcW w:w="1418" w:type="dxa"/>
            <w:tcBorders>
              <w:top w:val="nil"/>
              <w:left w:val="nil"/>
              <w:bottom w:val="single" w:sz="4" w:space="0" w:color="auto"/>
              <w:right w:val="single" w:sz="4" w:space="0" w:color="auto"/>
            </w:tcBorders>
            <w:hideMark/>
          </w:tcPr>
          <w:p w14:paraId="4D05D42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18.6%</w:t>
            </w:r>
          </w:p>
        </w:tc>
      </w:tr>
      <w:tr w:rsidR="007B29DD" w14:paraId="6B77AB8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78F4C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652EB2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4613285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-5.6%</w:t>
            </w:r>
          </w:p>
        </w:tc>
        <w:tc>
          <w:tcPr>
            <w:tcW w:w="1419" w:type="dxa"/>
            <w:tcBorders>
              <w:top w:val="nil"/>
              <w:left w:val="nil"/>
              <w:bottom w:val="single" w:sz="4" w:space="0" w:color="auto"/>
              <w:right w:val="single" w:sz="4" w:space="0" w:color="auto"/>
            </w:tcBorders>
            <w:noWrap/>
            <w:hideMark/>
          </w:tcPr>
          <w:p w14:paraId="67FFFCF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w:t>
            </w:r>
          </w:p>
        </w:tc>
        <w:tc>
          <w:tcPr>
            <w:tcW w:w="1276" w:type="dxa"/>
            <w:tcBorders>
              <w:top w:val="nil"/>
              <w:left w:val="nil"/>
              <w:bottom w:val="single" w:sz="4" w:space="0" w:color="auto"/>
              <w:right w:val="single" w:sz="4" w:space="0" w:color="auto"/>
            </w:tcBorders>
            <w:hideMark/>
          </w:tcPr>
          <w:p w14:paraId="62980AE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-20.6%</w:t>
            </w:r>
          </w:p>
        </w:tc>
        <w:tc>
          <w:tcPr>
            <w:tcW w:w="1275" w:type="dxa"/>
            <w:tcBorders>
              <w:top w:val="nil"/>
              <w:left w:val="nil"/>
              <w:bottom w:val="single" w:sz="4" w:space="0" w:color="auto"/>
              <w:right w:val="single" w:sz="4" w:space="0" w:color="auto"/>
            </w:tcBorders>
            <w:hideMark/>
          </w:tcPr>
          <w:p w14:paraId="7DE85B0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-20.4%</w:t>
            </w:r>
          </w:p>
        </w:tc>
        <w:tc>
          <w:tcPr>
            <w:tcW w:w="1418" w:type="dxa"/>
            <w:tcBorders>
              <w:top w:val="nil"/>
              <w:left w:val="nil"/>
              <w:bottom w:val="single" w:sz="4" w:space="0" w:color="auto"/>
              <w:right w:val="single" w:sz="4" w:space="0" w:color="auto"/>
            </w:tcBorders>
            <w:hideMark/>
          </w:tcPr>
          <w:p w14:paraId="55F9CE9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22.9%</w:t>
            </w:r>
          </w:p>
        </w:tc>
      </w:tr>
      <w:tr w:rsidR="007B29DD" w14:paraId="1A0627A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8FB719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141A64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1E94549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-2.9%</w:t>
            </w:r>
          </w:p>
        </w:tc>
        <w:tc>
          <w:tcPr>
            <w:tcW w:w="1419" w:type="dxa"/>
            <w:tcBorders>
              <w:top w:val="nil"/>
              <w:left w:val="nil"/>
              <w:bottom w:val="single" w:sz="4" w:space="0" w:color="auto"/>
              <w:right w:val="single" w:sz="4" w:space="0" w:color="auto"/>
            </w:tcBorders>
            <w:noWrap/>
            <w:hideMark/>
          </w:tcPr>
          <w:p w14:paraId="3B7D450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w:t>
            </w:r>
          </w:p>
        </w:tc>
        <w:tc>
          <w:tcPr>
            <w:tcW w:w="1276" w:type="dxa"/>
            <w:tcBorders>
              <w:top w:val="nil"/>
              <w:left w:val="nil"/>
              <w:bottom w:val="single" w:sz="4" w:space="0" w:color="auto"/>
              <w:right w:val="single" w:sz="4" w:space="0" w:color="auto"/>
            </w:tcBorders>
            <w:hideMark/>
          </w:tcPr>
          <w:p w14:paraId="4FCDC4C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-12.4%</w:t>
            </w:r>
          </w:p>
        </w:tc>
        <w:tc>
          <w:tcPr>
            <w:tcW w:w="1275" w:type="dxa"/>
            <w:tcBorders>
              <w:top w:val="nil"/>
              <w:left w:val="nil"/>
              <w:bottom w:val="single" w:sz="4" w:space="0" w:color="auto"/>
              <w:right w:val="single" w:sz="4" w:space="0" w:color="auto"/>
            </w:tcBorders>
            <w:hideMark/>
          </w:tcPr>
          <w:p w14:paraId="2403F39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-18.0%</w:t>
            </w:r>
          </w:p>
        </w:tc>
        <w:tc>
          <w:tcPr>
            <w:tcW w:w="1418" w:type="dxa"/>
            <w:tcBorders>
              <w:top w:val="nil"/>
              <w:left w:val="nil"/>
              <w:bottom w:val="single" w:sz="4" w:space="0" w:color="auto"/>
              <w:right w:val="single" w:sz="4" w:space="0" w:color="auto"/>
            </w:tcBorders>
            <w:hideMark/>
          </w:tcPr>
          <w:p w14:paraId="46A3EE9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26.2%</w:t>
            </w:r>
          </w:p>
        </w:tc>
      </w:tr>
      <w:tr w:rsidR="007B29DD" w14:paraId="5AC31E0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92BD5A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1AF88E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662328A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-3.1%</w:t>
            </w:r>
          </w:p>
        </w:tc>
        <w:tc>
          <w:tcPr>
            <w:tcW w:w="1419" w:type="dxa"/>
            <w:tcBorders>
              <w:top w:val="nil"/>
              <w:left w:val="nil"/>
              <w:bottom w:val="single" w:sz="4" w:space="0" w:color="auto"/>
              <w:right w:val="single" w:sz="4" w:space="0" w:color="auto"/>
            </w:tcBorders>
            <w:noWrap/>
            <w:hideMark/>
          </w:tcPr>
          <w:p w14:paraId="6DDAA33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6.3%</w:t>
            </w:r>
          </w:p>
        </w:tc>
        <w:tc>
          <w:tcPr>
            <w:tcW w:w="1276" w:type="dxa"/>
            <w:tcBorders>
              <w:top w:val="nil"/>
              <w:left w:val="nil"/>
              <w:bottom w:val="single" w:sz="4" w:space="0" w:color="auto"/>
              <w:right w:val="single" w:sz="4" w:space="0" w:color="auto"/>
            </w:tcBorders>
            <w:hideMark/>
          </w:tcPr>
          <w:p w14:paraId="77B4896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-21.1%</w:t>
            </w:r>
          </w:p>
        </w:tc>
        <w:tc>
          <w:tcPr>
            <w:tcW w:w="1275" w:type="dxa"/>
            <w:tcBorders>
              <w:top w:val="nil"/>
              <w:left w:val="nil"/>
              <w:bottom w:val="single" w:sz="4" w:space="0" w:color="auto"/>
              <w:right w:val="single" w:sz="4" w:space="0" w:color="auto"/>
            </w:tcBorders>
            <w:hideMark/>
          </w:tcPr>
          <w:p w14:paraId="64087AE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c>
          <w:tcPr>
            <w:tcW w:w="1418" w:type="dxa"/>
            <w:tcBorders>
              <w:top w:val="nil"/>
              <w:left w:val="nil"/>
              <w:bottom w:val="single" w:sz="4" w:space="0" w:color="auto"/>
              <w:right w:val="single" w:sz="4" w:space="0" w:color="auto"/>
            </w:tcBorders>
            <w:hideMark/>
          </w:tcPr>
          <w:p w14:paraId="345FD03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13.5%</w:t>
            </w:r>
          </w:p>
        </w:tc>
      </w:tr>
      <w:tr w:rsidR="007B29DD" w14:paraId="5B5BB949"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0A63C2C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lastRenderedPageBreak/>
              <w:t>Avoca (408)</w:t>
            </w:r>
          </w:p>
        </w:tc>
        <w:tc>
          <w:tcPr>
            <w:tcW w:w="1559" w:type="dxa"/>
            <w:tcBorders>
              <w:top w:val="nil"/>
              <w:left w:val="nil"/>
              <w:bottom w:val="single" w:sz="4" w:space="0" w:color="auto"/>
              <w:right w:val="single" w:sz="4" w:space="0" w:color="auto"/>
            </w:tcBorders>
            <w:shd w:val="clear" w:color="auto" w:fill="D9D9D9"/>
            <w:vAlign w:val="center"/>
            <w:hideMark/>
          </w:tcPr>
          <w:p w14:paraId="3034ADD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6FFD6DD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-3.8%</w:t>
            </w:r>
          </w:p>
        </w:tc>
        <w:tc>
          <w:tcPr>
            <w:tcW w:w="1419" w:type="dxa"/>
            <w:tcBorders>
              <w:top w:val="nil"/>
              <w:left w:val="nil"/>
              <w:bottom w:val="single" w:sz="4" w:space="0" w:color="auto"/>
              <w:right w:val="single" w:sz="4" w:space="0" w:color="auto"/>
            </w:tcBorders>
            <w:shd w:val="clear" w:color="auto" w:fill="D9D9D9"/>
            <w:noWrap/>
            <w:hideMark/>
          </w:tcPr>
          <w:p w14:paraId="686AAF8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0.5%</w:t>
            </w:r>
          </w:p>
        </w:tc>
        <w:tc>
          <w:tcPr>
            <w:tcW w:w="1276" w:type="dxa"/>
            <w:tcBorders>
              <w:top w:val="nil"/>
              <w:left w:val="nil"/>
              <w:bottom w:val="single" w:sz="4" w:space="0" w:color="auto"/>
              <w:right w:val="single" w:sz="4" w:space="0" w:color="auto"/>
            </w:tcBorders>
            <w:shd w:val="clear" w:color="auto" w:fill="D9D9D9"/>
            <w:hideMark/>
          </w:tcPr>
          <w:p w14:paraId="5FDDE97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c>
          <w:tcPr>
            <w:tcW w:w="1275" w:type="dxa"/>
            <w:tcBorders>
              <w:top w:val="nil"/>
              <w:left w:val="nil"/>
              <w:bottom w:val="single" w:sz="4" w:space="0" w:color="auto"/>
              <w:right w:val="single" w:sz="4" w:space="0" w:color="auto"/>
            </w:tcBorders>
            <w:shd w:val="clear" w:color="auto" w:fill="D9D9D9"/>
            <w:hideMark/>
          </w:tcPr>
          <w:p w14:paraId="5F52AFB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-21.1%</w:t>
            </w:r>
          </w:p>
        </w:tc>
        <w:tc>
          <w:tcPr>
            <w:tcW w:w="1418" w:type="dxa"/>
            <w:tcBorders>
              <w:top w:val="nil"/>
              <w:left w:val="nil"/>
              <w:bottom w:val="single" w:sz="4" w:space="0" w:color="auto"/>
              <w:right w:val="single" w:sz="4" w:space="0" w:color="auto"/>
            </w:tcBorders>
            <w:shd w:val="clear" w:color="auto" w:fill="D9D9D9"/>
            <w:hideMark/>
          </w:tcPr>
          <w:p w14:paraId="022B8A0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28.4%</w:t>
            </w:r>
          </w:p>
        </w:tc>
      </w:tr>
      <w:tr w:rsidR="007B29DD" w14:paraId="4415822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8E017E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8032AA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2C891C8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-3.4%</w:t>
            </w:r>
          </w:p>
        </w:tc>
        <w:tc>
          <w:tcPr>
            <w:tcW w:w="1419" w:type="dxa"/>
            <w:tcBorders>
              <w:top w:val="nil"/>
              <w:left w:val="nil"/>
              <w:bottom w:val="single" w:sz="4" w:space="0" w:color="auto"/>
              <w:right w:val="single" w:sz="4" w:space="0" w:color="auto"/>
            </w:tcBorders>
            <w:shd w:val="clear" w:color="auto" w:fill="D9D9D9"/>
            <w:noWrap/>
            <w:hideMark/>
          </w:tcPr>
          <w:p w14:paraId="2318D75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3.5%</w:t>
            </w:r>
          </w:p>
        </w:tc>
        <w:tc>
          <w:tcPr>
            <w:tcW w:w="1276" w:type="dxa"/>
            <w:tcBorders>
              <w:top w:val="nil"/>
              <w:left w:val="nil"/>
              <w:bottom w:val="single" w:sz="4" w:space="0" w:color="auto"/>
              <w:right w:val="single" w:sz="4" w:space="0" w:color="auto"/>
            </w:tcBorders>
            <w:shd w:val="clear" w:color="auto" w:fill="D9D9D9"/>
            <w:hideMark/>
          </w:tcPr>
          <w:p w14:paraId="0B09EC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-16.3%</w:t>
            </w:r>
          </w:p>
        </w:tc>
        <w:tc>
          <w:tcPr>
            <w:tcW w:w="1275" w:type="dxa"/>
            <w:tcBorders>
              <w:top w:val="nil"/>
              <w:left w:val="nil"/>
              <w:bottom w:val="single" w:sz="4" w:space="0" w:color="auto"/>
              <w:right w:val="single" w:sz="4" w:space="0" w:color="auto"/>
            </w:tcBorders>
            <w:shd w:val="clear" w:color="auto" w:fill="D9D9D9"/>
            <w:hideMark/>
          </w:tcPr>
          <w:p w14:paraId="16B2ECC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c>
          <w:tcPr>
            <w:tcW w:w="1418" w:type="dxa"/>
            <w:tcBorders>
              <w:top w:val="nil"/>
              <w:left w:val="nil"/>
              <w:bottom w:val="single" w:sz="4" w:space="0" w:color="auto"/>
              <w:right w:val="single" w:sz="4" w:space="0" w:color="auto"/>
            </w:tcBorders>
            <w:shd w:val="clear" w:color="auto" w:fill="D9D9D9"/>
            <w:hideMark/>
          </w:tcPr>
          <w:p w14:paraId="6932272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22.8%</w:t>
            </w:r>
          </w:p>
        </w:tc>
      </w:tr>
      <w:tr w:rsidR="007B29DD" w14:paraId="09ACB0E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82ECA5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616347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CE79B8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shd w:val="clear" w:color="auto" w:fill="D9D9D9"/>
            <w:noWrap/>
            <w:hideMark/>
          </w:tcPr>
          <w:p w14:paraId="7C46BC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w:t>
            </w:r>
          </w:p>
        </w:tc>
        <w:tc>
          <w:tcPr>
            <w:tcW w:w="1276" w:type="dxa"/>
            <w:tcBorders>
              <w:top w:val="nil"/>
              <w:left w:val="nil"/>
              <w:bottom w:val="single" w:sz="4" w:space="0" w:color="auto"/>
              <w:right w:val="single" w:sz="4" w:space="0" w:color="auto"/>
            </w:tcBorders>
            <w:shd w:val="clear" w:color="auto" w:fill="D9D9D9"/>
            <w:hideMark/>
          </w:tcPr>
          <w:p w14:paraId="40BE0DA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-11.8%</w:t>
            </w:r>
          </w:p>
        </w:tc>
        <w:tc>
          <w:tcPr>
            <w:tcW w:w="1275" w:type="dxa"/>
            <w:tcBorders>
              <w:top w:val="nil"/>
              <w:left w:val="nil"/>
              <w:bottom w:val="single" w:sz="4" w:space="0" w:color="auto"/>
              <w:right w:val="single" w:sz="4" w:space="0" w:color="auto"/>
            </w:tcBorders>
            <w:shd w:val="clear" w:color="auto" w:fill="D9D9D9"/>
            <w:hideMark/>
          </w:tcPr>
          <w:p w14:paraId="561E920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-21.4%</w:t>
            </w:r>
          </w:p>
        </w:tc>
        <w:tc>
          <w:tcPr>
            <w:tcW w:w="1418" w:type="dxa"/>
            <w:tcBorders>
              <w:top w:val="nil"/>
              <w:left w:val="nil"/>
              <w:bottom w:val="single" w:sz="4" w:space="0" w:color="auto"/>
              <w:right w:val="single" w:sz="4" w:space="0" w:color="auto"/>
            </w:tcBorders>
            <w:shd w:val="clear" w:color="auto" w:fill="D9D9D9"/>
            <w:hideMark/>
          </w:tcPr>
          <w:p w14:paraId="6DD46ED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33.2%</w:t>
            </w:r>
          </w:p>
        </w:tc>
      </w:tr>
      <w:tr w:rsidR="007B29DD" w14:paraId="49178F7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10A76F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981AEC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0F1BD19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w:t>
            </w:r>
          </w:p>
        </w:tc>
        <w:tc>
          <w:tcPr>
            <w:tcW w:w="1419" w:type="dxa"/>
            <w:tcBorders>
              <w:top w:val="nil"/>
              <w:left w:val="nil"/>
              <w:bottom w:val="single" w:sz="4" w:space="0" w:color="auto"/>
              <w:right w:val="single" w:sz="4" w:space="0" w:color="auto"/>
            </w:tcBorders>
            <w:shd w:val="clear" w:color="auto" w:fill="D9D9D9"/>
            <w:noWrap/>
            <w:hideMark/>
          </w:tcPr>
          <w:p w14:paraId="3944E6B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10.1%</w:t>
            </w:r>
          </w:p>
        </w:tc>
        <w:tc>
          <w:tcPr>
            <w:tcW w:w="1276" w:type="dxa"/>
            <w:tcBorders>
              <w:top w:val="nil"/>
              <w:left w:val="nil"/>
              <w:bottom w:val="single" w:sz="4" w:space="0" w:color="auto"/>
              <w:right w:val="single" w:sz="4" w:space="0" w:color="auto"/>
            </w:tcBorders>
            <w:shd w:val="clear" w:color="auto" w:fill="D9D9D9"/>
            <w:hideMark/>
          </w:tcPr>
          <w:p w14:paraId="23532E2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-22.7%</w:t>
            </w:r>
          </w:p>
        </w:tc>
        <w:tc>
          <w:tcPr>
            <w:tcW w:w="1275" w:type="dxa"/>
            <w:tcBorders>
              <w:top w:val="nil"/>
              <w:left w:val="nil"/>
              <w:bottom w:val="single" w:sz="4" w:space="0" w:color="auto"/>
              <w:right w:val="single" w:sz="4" w:space="0" w:color="auto"/>
            </w:tcBorders>
            <w:shd w:val="clear" w:color="auto" w:fill="D9D9D9"/>
            <w:hideMark/>
          </w:tcPr>
          <w:p w14:paraId="491D7E4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-11.2%</w:t>
            </w:r>
          </w:p>
        </w:tc>
        <w:tc>
          <w:tcPr>
            <w:tcW w:w="1418" w:type="dxa"/>
            <w:tcBorders>
              <w:top w:val="nil"/>
              <w:left w:val="nil"/>
              <w:bottom w:val="single" w:sz="4" w:space="0" w:color="auto"/>
              <w:right w:val="single" w:sz="4" w:space="0" w:color="auto"/>
            </w:tcBorders>
            <w:shd w:val="clear" w:color="auto" w:fill="D9D9D9"/>
            <w:hideMark/>
          </w:tcPr>
          <w:p w14:paraId="0B8359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16.8%</w:t>
            </w:r>
          </w:p>
        </w:tc>
      </w:tr>
      <w:tr w:rsidR="007B29DD" w14:paraId="6B4B1767"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27E7AB36"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Lower Murray (409)</w:t>
            </w:r>
          </w:p>
        </w:tc>
        <w:tc>
          <w:tcPr>
            <w:tcW w:w="1559" w:type="dxa"/>
            <w:tcBorders>
              <w:top w:val="nil"/>
              <w:left w:val="nil"/>
              <w:bottom w:val="single" w:sz="4" w:space="0" w:color="auto"/>
              <w:right w:val="single" w:sz="4" w:space="0" w:color="auto"/>
            </w:tcBorders>
            <w:vAlign w:val="center"/>
            <w:hideMark/>
          </w:tcPr>
          <w:p w14:paraId="7DA00E6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0568DA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-3.8%</w:t>
            </w:r>
          </w:p>
        </w:tc>
        <w:tc>
          <w:tcPr>
            <w:tcW w:w="1419" w:type="dxa"/>
            <w:tcBorders>
              <w:top w:val="nil"/>
              <w:left w:val="nil"/>
              <w:bottom w:val="single" w:sz="4" w:space="0" w:color="auto"/>
              <w:right w:val="single" w:sz="4" w:space="0" w:color="auto"/>
            </w:tcBorders>
            <w:noWrap/>
            <w:hideMark/>
          </w:tcPr>
          <w:p w14:paraId="1385AEC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w:t>
            </w:r>
          </w:p>
        </w:tc>
        <w:tc>
          <w:tcPr>
            <w:tcW w:w="1276" w:type="dxa"/>
            <w:tcBorders>
              <w:top w:val="nil"/>
              <w:left w:val="nil"/>
              <w:bottom w:val="single" w:sz="4" w:space="0" w:color="auto"/>
              <w:right w:val="single" w:sz="4" w:space="0" w:color="auto"/>
            </w:tcBorders>
            <w:hideMark/>
          </w:tcPr>
          <w:p w14:paraId="0A8E604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c>
          <w:tcPr>
            <w:tcW w:w="1275" w:type="dxa"/>
            <w:tcBorders>
              <w:top w:val="nil"/>
              <w:left w:val="nil"/>
              <w:bottom w:val="single" w:sz="4" w:space="0" w:color="auto"/>
              <w:right w:val="single" w:sz="4" w:space="0" w:color="auto"/>
            </w:tcBorders>
            <w:hideMark/>
          </w:tcPr>
          <w:p w14:paraId="1310928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-19.6%</w:t>
            </w:r>
          </w:p>
        </w:tc>
        <w:tc>
          <w:tcPr>
            <w:tcW w:w="1418" w:type="dxa"/>
            <w:tcBorders>
              <w:top w:val="nil"/>
              <w:left w:val="nil"/>
              <w:bottom w:val="single" w:sz="4" w:space="0" w:color="auto"/>
              <w:right w:val="single" w:sz="4" w:space="0" w:color="auto"/>
            </w:tcBorders>
            <w:hideMark/>
          </w:tcPr>
          <w:p w14:paraId="7DD18E4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22.1%</w:t>
            </w:r>
          </w:p>
        </w:tc>
      </w:tr>
      <w:tr w:rsidR="007B29DD" w14:paraId="43F41CA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ACDBAE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018762A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41E1098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noWrap/>
            <w:hideMark/>
          </w:tcPr>
          <w:p w14:paraId="7138080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4.5%</w:t>
            </w:r>
          </w:p>
        </w:tc>
        <w:tc>
          <w:tcPr>
            <w:tcW w:w="1276" w:type="dxa"/>
            <w:tcBorders>
              <w:top w:val="nil"/>
              <w:left w:val="nil"/>
              <w:bottom w:val="single" w:sz="4" w:space="0" w:color="auto"/>
              <w:right w:val="single" w:sz="4" w:space="0" w:color="auto"/>
            </w:tcBorders>
            <w:hideMark/>
          </w:tcPr>
          <w:p w14:paraId="0D9863B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-13.5%</w:t>
            </w:r>
          </w:p>
        </w:tc>
        <w:tc>
          <w:tcPr>
            <w:tcW w:w="1275" w:type="dxa"/>
            <w:tcBorders>
              <w:top w:val="nil"/>
              <w:left w:val="nil"/>
              <w:bottom w:val="single" w:sz="4" w:space="0" w:color="auto"/>
              <w:right w:val="single" w:sz="4" w:space="0" w:color="auto"/>
            </w:tcBorders>
            <w:hideMark/>
          </w:tcPr>
          <w:p w14:paraId="2A350F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-20.4%</w:t>
            </w:r>
          </w:p>
        </w:tc>
        <w:tc>
          <w:tcPr>
            <w:tcW w:w="1418" w:type="dxa"/>
            <w:tcBorders>
              <w:top w:val="nil"/>
              <w:left w:val="nil"/>
              <w:bottom w:val="single" w:sz="4" w:space="0" w:color="auto"/>
              <w:right w:val="single" w:sz="4" w:space="0" w:color="auto"/>
            </w:tcBorders>
            <w:hideMark/>
          </w:tcPr>
          <w:p w14:paraId="50A0CD6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27.3%</w:t>
            </w:r>
          </w:p>
        </w:tc>
      </w:tr>
      <w:tr w:rsidR="007B29DD" w14:paraId="63DAD2B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6FC8D7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1CBAA5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1D5236C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-1.8%</w:t>
            </w:r>
          </w:p>
        </w:tc>
        <w:tc>
          <w:tcPr>
            <w:tcW w:w="1419" w:type="dxa"/>
            <w:tcBorders>
              <w:top w:val="nil"/>
              <w:left w:val="nil"/>
              <w:bottom w:val="single" w:sz="4" w:space="0" w:color="auto"/>
              <w:right w:val="single" w:sz="4" w:space="0" w:color="auto"/>
            </w:tcBorders>
            <w:noWrap/>
            <w:hideMark/>
          </w:tcPr>
          <w:p w14:paraId="760C37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6.1%</w:t>
            </w:r>
          </w:p>
        </w:tc>
        <w:tc>
          <w:tcPr>
            <w:tcW w:w="1276" w:type="dxa"/>
            <w:tcBorders>
              <w:top w:val="nil"/>
              <w:left w:val="nil"/>
              <w:bottom w:val="single" w:sz="4" w:space="0" w:color="auto"/>
              <w:right w:val="single" w:sz="4" w:space="0" w:color="auto"/>
            </w:tcBorders>
            <w:hideMark/>
          </w:tcPr>
          <w:p w14:paraId="4DAAACD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-14.7%</w:t>
            </w:r>
          </w:p>
        </w:tc>
        <w:tc>
          <w:tcPr>
            <w:tcW w:w="1275" w:type="dxa"/>
            <w:tcBorders>
              <w:top w:val="nil"/>
              <w:left w:val="nil"/>
              <w:bottom w:val="single" w:sz="4" w:space="0" w:color="auto"/>
              <w:right w:val="single" w:sz="4" w:space="0" w:color="auto"/>
            </w:tcBorders>
            <w:hideMark/>
          </w:tcPr>
          <w:p w14:paraId="27B6CB5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-23.9%</w:t>
            </w:r>
          </w:p>
        </w:tc>
        <w:tc>
          <w:tcPr>
            <w:tcW w:w="1418" w:type="dxa"/>
            <w:tcBorders>
              <w:top w:val="nil"/>
              <w:left w:val="nil"/>
              <w:bottom w:val="single" w:sz="4" w:space="0" w:color="auto"/>
              <w:right w:val="single" w:sz="4" w:space="0" w:color="auto"/>
            </w:tcBorders>
            <w:hideMark/>
          </w:tcPr>
          <w:p w14:paraId="2AA3AAC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34.5%</w:t>
            </w:r>
          </w:p>
        </w:tc>
      </w:tr>
      <w:tr w:rsidR="007B29DD" w14:paraId="672BFF1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CD32C3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C553E5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5D452DB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-0.8%</w:t>
            </w:r>
          </w:p>
        </w:tc>
        <w:tc>
          <w:tcPr>
            <w:tcW w:w="1419" w:type="dxa"/>
            <w:tcBorders>
              <w:top w:val="nil"/>
              <w:left w:val="nil"/>
              <w:bottom w:val="single" w:sz="4" w:space="0" w:color="auto"/>
              <w:right w:val="single" w:sz="4" w:space="0" w:color="auto"/>
            </w:tcBorders>
            <w:noWrap/>
            <w:hideMark/>
          </w:tcPr>
          <w:p w14:paraId="41F813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7.2%</w:t>
            </w:r>
          </w:p>
        </w:tc>
        <w:tc>
          <w:tcPr>
            <w:tcW w:w="1276" w:type="dxa"/>
            <w:tcBorders>
              <w:top w:val="nil"/>
              <w:left w:val="nil"/>
              <w:bottom w:val="single" w:sz="4" w:space="0" w:color="auto"/>
              <w:right w:val="single" w:sz="4" w:space="0" w:color="auto"/>
            </w:tcBorders>
            <w:hideMark/>
          </w:tcPr>
          <w:p w14:paraId="6503D6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-13.8%</w:t>
            </w:r>
          </w:p>
        </w:tc>
        <w:tc>
          <w:tcPr>
            <w:tcW w:w="1275" w:type="dxa"/>
            <w:tcBorders>
              <w:top w:val="nil"/>
              <w:left w:val="nil"/>
              <w:bottom w:val="single" w:sz="4" w:space="0" w:color="auto"/>
              <w:right w:val="single" w:sz="4" w:space="0" w:color="auto"/>
            </w:tcBorders>
            <w:hideMark/>
          </w:tcPr>
          <w:p w14:paraId="5F49A93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-12.7%</w:t>
            </w:r>
          </w:p>
        </w:tc>
        <w:tc>
          <w:tcPr>
            <w:tcW w:w="1418" w:type="dxa"/>
            <w:tcBorders>
              <w:top w:val="nil"/>
              <w:left w:val="nil"/>
              <w:bottom w:val="single" w:sz="4" w:space="0" w:color="auto"/>
              <w:right w:val="single" w:sz="4" w:space="0" w:color="auto"/>
            </w:tcBorders>
            <w:hideMark/>
          </w:tcPr>
          <w:p w14:paraId="27EDC1A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18.6%</w:t>
            </w:r>
          </w:p>
        </w:tc>
      </w:tr>
      <w:tr w:rsidR="007B29DD" w14:paraId="25C2001E"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DE6B94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Mallee (414)</w:t>
            </w:r>
          </w:p>
        </w:tc>
        <w:tc>
          <w:tcPr>
            <w:tcW w:w="1559" w:type="dxa"/>
            <w:tcBorders>
              <w:top w:val="nil"/>
              <w:left w:val="nil"/>
              <w:bottom w:val="single" w:sz="4" w:space="0" w:color="auto"/>
              <w:right w:val="single" w:sz="4" w:space="0" w:color="auto"/>
            </w:tcBorders>
            <w:shd w:val="clear" w:color="auto" w:fill="D9D9D9"/>
            <w:vAlign w:val="center"/>
            <w:hideMark/>
          </w:tcPr>
          <w:p w14:paraId="375EA60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4514D84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-5.3%</w:t>
            </w:r>
          </w:p>
        </w:tc>
        <w:tc>
          <w:tcPr>
            <w:tcW w:w="1419" w:type="dxa"/>
            <w:tcBorders>
              <w:top w:val="nil"/>
              <w:left w:val="nil"/>
              <w:bottom w:val="single" w:sz="4" w:space="0" w:color="auto"/>
              <w:right w:val="single" w:sz="4" w:space="0" w:color="auto"/>
            </w:tcBorders>
            <w:shd w:val="clear" w:color="auto" w:fill="D9D9D9"/>
            <w:noWrap/>
            <w:hideMark/>
          </w:tcPr>
          <w:p w14:paraId="4BB8EA7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0.6%</w:t>
            </w:r>
          </w:p>
        </w:tc>
        <w:tc>
          <w:tcPr>
            <w:tcW w:w="1276" w:type="dxa"/>
            <w:tcBorders>
              <w:top w:val="nil"/>
              <w:left w:val="nil"/>
              <w:bottom w:val="single" w:sz="4" w:space="0" w:color="auto"/>
              <w:right w:val="single" w:sz="4" w:space="0" w:color="auto"/>
            </w:tcBorders>
            <w:shd w:val="clear" w:color="auto" w:fill="D9D9D9"/>
            <w:hideMark/>
          </w:tcPr>
          <w:p w14:paraId="1006A6B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-17.1%</w:t>
            </w:r>
          </w:p>
        </w:tc>
        <w:tc>
          <w:tcPr>
            <w:tcW w:w="1275" w:type="dxa"/>
            <w:tcBorders>
              <w:top w:val="nil"/>
              <w:left w:val="nil"/>
              <w:bottom w:val="single" w:sz="4" w:space="0" w:color="auto"/>
              <w:right w:val="single" w:sz="4" w:space="0" w:color="auto"/>
            </w:tcBorders>
            <w:shd w:val="clear" w:color="auto" w:fill="D9D9D9"/>
            <w:hideMark/>
          </w:tcPr>
          <w:p w14:paraId="6A35FCF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-24.2%</w:t>
            </w:r>
          </w:p>
        </w:tc>
        <w:tc>
          <w:tcPr>
            <w:tcW w:w="1418" w:type="dxa"/>
            <w:tcBorders>
              <w:top w:val="nil"/>
              <w:left w:val="nil"/>
              <w:bottom w:val="single" w:sz="4" w:space="0" w:color="auto"/>
              <w:right w:val="single" w:sz="4" w:space="0" w:color="auto"/>
            </w:tcBorders>
            <w:shd w:val="clear" w:color="auto" w:fill="D9D9D9"/>
            <w:hideMark/>
          </w:tcPr>
          <w:p w14:paraId="343664B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32.4%</w:t>
            </w:r>
          </w:p>
        </w:tc>
      </w:tr>
      <w:tr w:rsidR="007B29DD" w14:paraId="195885F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E8B579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2ACFE4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21A38DE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-6.5%</w:t>
            </w:r>
          </w:p>
        </w:tc>
        <w:tc>
          <w:tcPr>
            <w:tcW w:w="1419" w:type="dxa"/>
            <w:tcBorders>
              <w:top w:val="nil"/>
              <w:left w:val="nil"/>
              <w:bottom w:val="single" w:sz="4" w:space="0" w:color="auto"/>
              <w:right w:val="single" w:sz="4" w:space="0" w:color="auto"/>
            </w:tcBorders>
            <w:shd w:val="clear" w:color="auto" w:fill="D9D9D9"/>
            <w:noWrap/>
            <w:hideMark/>
          </w:tcPr>
          <w:p w14:paraId="1A87EC4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-0.4%</w:t>
            </w:r>
          </w:p>
        </w:tc>
        <w:tc>
          <w:tcPr>
            <w:tcW w:w="1276" w:type="dxa"/>
            <w:tcBorders>
              <w:top w:val="nil"/>
              <w:left w:val="nil"/>
              <w:bottom w:val="single" w:sz="4" w:space="0" w:color="auto"/>
              <w:right w:val="single" w:sz="4" w:space="0" w:color="auto"/>
            </w:tcBorders>
            <w:shd w:val="clear" w:color="auto" w:fill="D9D9D9"/>
            <w:hideMark/>
          </w:tcPr>
          <w:p w14:paraId="6B7F2D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-18.6%</w:t>
            </w:r>
          </w:p>
        </w:tc>
        <w:tc>
          <w:tcPr>
            <w:tcW w:w="1275" w:type="dxa"/>
            <w:tcBorders>
              <w:top w:val="nil"/>
              <w:left w:val="nil"/>
              <w:bottom w:val="single" w:sz="4" w:space="0" w:color="auto"/>
              <w:right w:val="single" w:sz="4" w:space="0" w:color="auto"/>
            </w:tcBorders>
            <w:shd w:val="clear" w:color="auto" w:fill="D9D9D9"/>
            <w:hideMark/>
          </w:tcPr>
          <w:p w14:paraId="08FFFC6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-22.8%</w:t>
            </w:r>
          </w:p>
        </w:tc>
        <w:tc>
          <w:tcPr>
            <w:tcW w:w="1418" w:type="dxa"/>
            <w:tcBorders>
              <w:top w:val="nil"/>
              <w:left w:val="nil"/>
              <w:bottom w:val="single" w:sz="4" w:space="0" w:color="auto"/>
              <w:right w:val="single" w:sz="4" w:space="0" w:color="auto"/>
            </w:tcBorders>
            <w:shd w:val="clear" w:color="auto" w:fill="D9D9D9"/>
            <w:hideMark/>
          </w:tcPr>
          <w:p w14:paraId="5F8200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26.0%</w:t>
            </w:r>
          </w:p>
        </w:tc>
      </w:tr>
      <w:tr w:rsidR="007B29DD" w14:paraId="7E913FB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416FE3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3123360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2EDCB7A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shd w:val="clear" w:color="auto" w:fill="D9D9D9"/>
            <w:noWrap/>
            <w:hideMark/>
          </w:tcPr>
          <w:p w14:paraId="647D9CD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w:t>
            </w:r>
          </w:p>
        </w:tc>
        <w:tc>
          <w:tcPr>
            <w:tcW w:w="1276" w:type="dxa"/>
            <w:tcBorders>
              <w:top w:val="nil"/>
              <w:left w:val="nil"/>
              <w:bottom w:val="single" w:sz="4" w:space="0" w:color="auto"/>
              <w:right w:val="single" w:sz="4" w:space="0" w:color="auto"/>
            </w:tcBorders>
            <w:shd w:val="clear" w:color="auto" w:fill="D9D9D9"/>
            <w:hideMark/>
          </w:tcPr>
          <w:p w14:paraId="41F5C50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-14.8%</w:t>
            </w:r>
          </w:p>
        </w:tc>
        <w:tc>
          <w:tcPr>
            <w:tcW w:w="1275" w:type="dxa"/>
            <w:tcBorders>
              <w:top w:val="nil"/>
              <w:left w:val="nil"/>
              <w:bottom w:val="single" w:sz="4" w:space="0" w:color="auto"/>
              <w:right w:val="single" w:sz="4" w:space="0" w:color="auto"/>
            </w:tcBorders>
            <w:shd w:val="clear" w:color="auto" w:fill="D9D9D9"/>
            <w:hideMark/>
          </w:tcPr>
          <w:p w14:paraId="0C94AC3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-24.3%</w:t>
            </w:r>
          </w:p>
        </w:tc>
        <w:tc>
          <w:tcPr>
            <w:tcW w:w="1418" w:type="dxa"/>
            <w:tcBorders>
              <w:top w:val="nil"/>
              <w:left w:val="nil"/>
              <w:bottom w:val="single" w:sz="4" w:space="0" w:color="auto"/>
              <w:right w:val="single" w:sz="4" w:space="0" w:color="auto"/>
            </w:tcBorders>
            <w:shd w:val="clear" w:color="auto" w:fill="D9D9D9"/>
            <w:hideMark/>
          </w:tcPr>
          <w:p w14:paraId="3E9F41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41.6%</w:t>
            </w:r>
          </w:p>
        </w:tc>
      </w:tr>
      <w:tr w:rsidR="007B29DD" w14:paraId="55D375B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546FF7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FC34EE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72B793A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w:t>
            </w:r>
          </w:p>
        </w:tc>
        <w:tc>
          <w:tcPr>
            <w:tcW w:w="1419" w:type="dxa"/>
            <w:tcBorders>
              <w:top w:val="nil"/>
              <w:left w:val="nil"/>
              <w:bottom w:val="single" w:sz="4" w:space="0" w:color="auto"/>
              <w:right w:val="single" w:sz="4" w:space="0" w:color="auto"/>
            </w:tcBorders>
            <w:shd w:val="clear" w:color="auto" w:fill="D9D9D9"/>
            <w:noWrap/>
            <w:hideMark/>
          </w:tcPr>
          <w:p w14:paraId="07A7E79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9.1%</w:t>
            </w:r>
          </w:p>
        </w:tc>
        <w:tc>
          <w:tcPr>
            <w:tcW w:w="1276" w:type="dxa"/>
            <w:tcBorders>
              <w:top w:val="nil"/>
              <w:left w:val="nil"/>
              <w:bottom w:val="single" w:sz="4" w:space="0" w:color="auto"/>
              <w:right w:val="single" w:sz="4" w:space="0" w:color="auto"/>
            </w:tcBorders>
            <w:shd w:val="clear" w:color="auto" w:fill="D9D9D9"/>
            <w:hideMark/>
          </w:tcPr>
          <w:p w14:paraId="4F6CBD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-25.1%</w:t>
            </w:r>
          </w:p>
        </w:tc>
        <w:tc>
          <w:tcPr>
            <w:tcW w:w="1275" w:type="dxa"/>
            <w:tcBorders>
              <w:top w:val="nil"/>
              <w:left w:val="nil"/>
              <w:bottom w:val="single" w:sz="4" w:space="0" w:color="auto"/>
              <w:right w:val="single" w:sz="4" w:space="0" w:color="auto"/>
            </w:tcBorders>
            <w:shd w:val="clear" w:color="auto" w:fill="D9D9D9"/>
            <w:hideMark/>
          </w:tcPr>
          <w:p w14:paraId="19AF17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c>
          <w:tcPr>
            <w:tcW w:w="1418" w:type="dxa"/>
            <w:tcBorders>
              <w:top w:val="nil"/>
              <w:left w:val="nil"/>
              <w:bottom w:val="single" w:sz="4" w:space="0" w:color="auto"/>
              <w:right w:val="single" w:sz="4" w:space="0" w:color="auto"/>
            </w:tcBorders>
            <w:shd w:val="clear" w:color="auto" w:fill="D9D9D9"/>
            <w:hideMark/>
          </w:tcPr>
          <w:p w14:paraId="6D2F977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16.8%</w:t>
            </w:r>
          </w:p>
        </w:tc>
      </w:tr>
      <w:tr w:rsidR="007B29DD" w14:paraId="0777E3EB"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2C57EF7C"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Wimmera (415)</w:t>
            </w:r>
          </w:p>
        </w:tc>
        <w:tc>
          <w:tcPr>
            <w:tcW w:w="1559" w:type="dxa"/>
            <w:tcBorders>
              <w:top w:val="nil"/>
              <w:left w:val="nil"/>
              <w:bottom w:val="single" w:sz="4" w:space="0" w:color="auto"/>
              <w:right w:val="single" w:sz="4" w:space="0" w:color="auto"/>
            </w:tcBorders>
            <w:vAlign w:val="center"/>
            <w:hideMark/>
          </w:tcPr>
          <w:p w14:paraId="448B212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28834BA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-3.7%</w:t>
            </w:r>
          </w:p>
        </w:tc>
        <w:tc>
          <w:tcPr>
            <w:tcW w:w="1419" w:type="dxa"/>
            <w:tcBorders>
              <w:top w:val="nil"/>
              <w:left w:val="nil"/>
              <w:bottom w:val="single" w:sz="4" w:space="0" w:color="auto"/>
              <w:right w:val="single" w:sz="4" w:space="0" w:color="auto"/>
            </w:tcBorders>
            <w:noWrap/>
            <w:hideMark/>
          </w:tcPr>
          <w:p w14:paraId="4FFA1CE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-0.1%</w:t>
            </w:r>
          </w:p>
        </w:tc>
        <w:tc>
          <w:tcPr>
            <w:tcW w:w="1276" w:type="dxa"/>
            <w:tcBorders>
              <w:top w:val="nil"/>
              <w:left w:val="nil"/>
              <w:bottom w:val="single" w:sz="4" w:space="0" w:color="auto"/>
              <w:right w:val="single" w:sz="4" w:space="0" w:color="auto"/>
            </w:tcBorders>
            <w:hideMark/>
          </w:tcPr>
          <w:p w14:paraId="4932F46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-11.7%</w:t>
            </w:r>
          </w:p>
        </w:tc>
        <w:tc>
          <w:tcPr>
            <w:tcW w:w="1275" w:type="dxa"/>
            <w:tcBorders>
              <w:top w:val="nil"/>
              <w:left w:val="nil"/>
              <w:bottom w:val="single" w:sz="4" w:space="0" w:color="auto"/>
              <w:right w:val="single" w:sz="4" w:space="0" w:color="auto"/>
            </w:tcBorders>
            <w:hideMark/>
          </w:tcPr>
          <w:p w14:paraId="42D7C9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-15.7%</w:t>
            </w:r>
          </w:p>
        </w:tc>
        <w:tc>
          <w:tcPr>
            <w:tcW w:w="1418" w:type="dxa"/>
            <w:tcBorders>
              <w:top w:val="nil"/>
              <w:left w:val="nil"/>
              <w:bottom w:val="single" w:sz="4" w:space="0" w:color="auto"/>
              <w:right w:val="single" w:sz="4" w:space="0" w:color="auto"/>
            </w:tcBorders>
            <w:hideMark/>
          </w:tcPr>
          <w:p w14:paraId="6B64720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22.8%</w:t>
            </w:r>
          </w:p>
        </w:tc>
      </w:tr>
      <w:tr w:rsidR="007B29DD" w14:paraId="7E7C79F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D6F72A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78D768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69093CC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-5.9%</w:t>
            </w:r>
          </w:p>
        </w:tc>
        <w:tc>
          <w:tcPr>
            <w:tcW w:w="1419" w:type="dxa"/>
            <w:tcBorders>
              <w:top w:val="nil"/>
              <w:left w:val="nil"/>
              <w:bottom w:val="single" w:sz="4" w:space="0" w:color="auto"/>
              <w:right w:val="single" w:sz="4" w:space="0" w:color="auto"/>
            </w:tcBorders>
            <w:noWrap/>
            <w:hideMark/>
          </w:tcPr>
          <w:p w14:paraId="226CDA4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0.4%</w:t>
            </w:r>
          </w:p>
        </w:tc>
        <w:tc>
          <w:tcPr>
            <w:tcW w:w="1276" w:type="dxa"/>
            <w:tcBorders>
              <w:top w:val="nil"/>
              <w:left w:val="nil"/>
              <w:bottom w:val="single" w:sz="4" w:space="0" w:color="auto"/>
              <w:right w:val="single" w:sz="4" w:space="0" w:color="auto"/>
            </w:tcBorders>
            <w:hideMark/>
          </w:tcPr>
          <w:p w14:paraId="44FDF2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-19.9%</w:t>
            </w:r>
          </w:p>
        </w:tc>
        <w:tc>
          <w:tcPr>
            <w:tcW w:w="1275" w:type="dxa"/>
            <w:tcBorders>
              <w:top w:val="nil"/>
              <w:left w:val="nil"/>
              <w:bottom w:val="single" w:sz="4" w:space="0" w:color="auto"/>
              <w:right w:val="single" w:sz="4" w:space="0" w:color="auto"/>
            </w:tcBorders>
            <w:hideMark/>
          </w:tcPr>
          <w:p w14:paraId="5D4D71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-18.0%</w:t>
            </w:r>
          </w:p>
        </w:tc>
        <w:tc>
          <w:tcPr>
            <w:tcW w:w="1418" w:type="dxa"/>
            <w:tcBorders>
              <w:top w:val="nil"/>
              <w:left w:val="nil"/>
              <w:bottom w:val="single" w:sz="4" w:space="0" w:color="auto"/>
              <w:right w:val="single" w:sz="4" w:space="0" w:color="auto"/>
            </w:tcBorders>
            <w:hideMark/>
          </w:tcPr>
          <w:p w14:paraId="7F19090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20.7%</w:t>
            </w:r>
          </w:p>
        </w:tc>
      </w:tr>
      <w:tr w:rsidR="007B29DD" w14:paraId="0ECECDE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860789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7FFDE3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DFC291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-2.8%</w:t>
            </w:r>
          </w:p>
        </w:tc>
        <w:tc>
          <w:tcPr>
            <w:tcW w:w="1419" w:type="dxa"/>
            <w:tcBorders>
              <w:top w:val="nil"/>
              <w:left w:val="nil"/>
              <w:bottom w:val="single" w:sz="4" w:space="0" w:color="auto"/>
              <w:right w:val="single" w:sz="4" w:space="0" w:color="auto"/>
            </w:tcBorders>
            <w:noWrap/>
            <w:hideMark/>
          </w:tcPr>
          <w:p w14:paraId="3DC113D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w:t>
            </w:r>
          </w:p>
        </w:tc>
        <w:tc>
          <w:tcPr>
            <w:tcW w:w="1276" w:type="dxa"/>
            <w:tcBorders>
              <w:top w:val="nil"/>
              <w:left w:val="nil"/>
              <w:bottom w:val="single" w:sz="4" w:space="0" w:color="auto"/>
              <w:right w:val="single" w:sz="4" w:space="0" w:color="auto"/>
            </w:tcBorders>
            <w:hideMark/>
          </w:tcPr>
          <w:p w14:paraId="33224F8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-15.5%</w:t>
            </w:r>
          </w:p>
        </w:tc>
        <w:tc>
          <w:tcPr>
            <w:tcW w:w="1275" w:type="dxa"/>
            <w:tcBorders>
              <w:top w:val="nil"/>
              <w:left w:val="nil"/>
              <w:bottom w:val="single" w:sz="4" w:space="0" w:color="auto"/>
              <w:right w:val="single" w:sz="4" w:space="0" w:color="auto"/>
            </w:tcBorders>
            <w:hideMark/>
          </w:tcPr>
          <w:p w14:paraId="4651F1F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-17.3%</w:t>
            </w:r>
          </w:p>
        </w:tc>
        <w:tc>
          <w:tcPr>
            <w:tcW w:w="1418" w:type="dxa"/>
            <w:tcBorders>
              <w:top w:val="nil"/>
              <w:left w:val="nil"/>
              <w:bottom w:val="single" w:sz="4" w:space="0" w:color="auto"/>
              <w:right w:val="single" w:sz="4" w:space="0" w:color="auto"/>
            </w:tcBorders>
            <w:hideMark/>
          </w:tcPr>
          <w:p w14:paraId="50BD72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29.1%</w:t>
            </w:r>
          </w:p>
        </w:tc>
      </w:tr>
      <w:tr w:rsidR="007B29DD" w14:paraId="1FD331F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EBCC4F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ADD399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33F6DAA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-3.8%</w:t>
            </w:r>
          </w:p>
        </w:tc>
        <w:tc>
          <w:tcPr>
            <w:tcW w:w="1419" w:type="dxa"/>
            <w:tcBorders>
              <w:top w:val="nil"/>
              <w:left w:val="nil"/>
              <w:bottom w:val="single" w:sz="4" w:space="0" w:color="auto"/>
              <w:right w:val="single" w:sz="4" w:space="0" w:color="auto"/>
            </w:tcBorders>
            <w:noWrap/>
            <w:hideMark/>
          </w:tcPr>
          <w:p w14:paraId="202F04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c>
          <w:tcPr>
            <w:tcW w:w="1276" w:type="dxa"/>
            <w:tcBorders>
              <w:top w:val="nil"/>
              <w:left w:val="nil"/>
              <w:bottom w:val="single" w:sz="4" w:space="0" w:color="auto"/>
              <w:right w:val="single" w:sz="4" w:space="0" w:color="auto"/>
            </w:tcBorders>
            <w:hideMark/>
          </w:tcPr>
          <w:p w14:paraId="46BDEFB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-23.6%</w:t>
            </w:r>
          </w:p>
        </w:tc>
        <w:tc>
          <w:tcPr>
            <w:tcW w:w="1275" w:type="dxa"/>
            <w:tcBorders>
              <w:top w:val="nil"/>
              <w:left w:val="nil"/>
              <w:bottom w:val="single" w:sz="4" w:space="0" w:color="auto"/>
              <w:right w:val="single" w:sz="4" w:space="0" w:color="auto"/>
            </w:tcBorders>
            <w:hideMark/>
          </w:tcPr>
          <w:p w14:paraId="7FA2A3E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-12.3%</w:t>
            </w:r>
          </w:p>
        </w:tc>
        <w:tc>
          <w:tcPr>
            <w:tcW w:w="1418" w:type="dxa"/>
            <w:tcBorders>
              <w:top w:val="nil"/>
              <w:left w:val="nil"/>
              <w:bottom w:val="single" w:sz="4" w:space="0" w:color="auto"/>
              <w:right w:val="single" w:sz="4" w:space="0" w:color="auto"/>
            </w:tcBorders>
            <w:hideMark/>
          </w:tcPr>
          <w:p w14:paraId="1D78013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15.0%</w:t>
            </w:r>
          </w:p>
        </w:tc>
      </w:tr>
    </w:tbl>
    <w:p w14:paraId="04316153" w14:textId="77777777" w:rsidR="007B29DD" w:rsidRDefault="007B29DD" w:rsidP="007B29DD">
      <w:pPr>
        <w:pStyle w:val="BodyText"/>
        <w:rPr>
          <w:lang w:eastAsia="en-AU"/>
        </w:rPr>
      </w:pPr>
    </w:p>
    <w:p w14:paraId="756F5948" w14:textId="77777777" w:rsidR="007B29DD" w:rsidRDefault="007B29DD" w:rsidP="007B29DD">
      <w:pPr>
        <w:pStyle w:val="Caption"/>
      </w:pPr>
      <w:bookmarkStart w:id="1038" w:name="_Ref42941233"/>
      <w:bookmarkStart w:id="1039" w:name="_Toc43476567"/>
      <w:bookmarkStart w:id="1040" w:name="_Toc44928812"/>
      <w:bookmarkStart w:id="1041" w:name="_Toc51237475"/>
      <w:bookmarkStart w:id="1042" w:name="_Toc53585990"/>
      <w:bookmarkStart w:id="1043" w:name="_Toc57377241"/>
      <w:r>
        <w:t xml:space="preserve">Table </w:t>
      </w:r>
      <w:r>
        <w:fldChar w:fldCharType="begin"/>
      </w:r>
      <w:r>
        <w:instrText>SEQ Table \* ARABIC</w:instrText>
      </w:r>
      <w:r>
        <w:fldChar w:fldCharType="separate"/>
      </w:r>
      <w:r>
        <w:rPr>
          <w:noProof/>
        </w:rPr>
        <w:t>13</w:t>
      </w:r>
      <w:r>
        <w:fldChar w:fldCharType="end"/>
      </w:r>
      <w:bookmarkEnd w:id="1038"/>
      <w:r>
        <w:t xml:space="preserve"> Range of projected seasonal changes in rainfall for maximum cool season rainfall increase (Sensitivity Test 1) and maximum warm season rainfall increase (Sensitivity Test 2) for the HIGH climate change projection</w:t>
      </w:r>
      <w:bookmarkEnd w:id="1039"/>
      <w:bookmarkEnd w:id="1040"/>
      <w:bookmarkEnd w:id="1041"/>
      <w:bookmarkEnd w:id="1042"/>
      <w:bookmarkEnd w:id="1043"/>
    </w:p>
    <w:tbl>
      <w:tblPr>
        <w:tblW w:w="9351" w:type="dxa"/>
        <w:tblLayout w:type="fixed"/>
        <w:tblLook w:val="04A0" w:firstRow="1" w:lastRow="0" w:firstColumn="1" w:lastColumn="0" w:noHBand="0" w:noVBand="1"/>
      </w:tblPr>
      <w:tblGrid>
        <w:gridCol w:w="1217"/>
        <w:gridCol w:w="1559"/>
        <w:gridCol w:w="1187"/>
        <w:gridCol w:w="1419"/>
        <w:gridCol w:w="1276"/>
        <w:gridCol w:w="1275"/>
        <w:gridCol w:w="1418"/>
      </w:tblGrid>
      <w:tr w:rsidR="007B29DD" w14:paraId="03E9B8D6" w14:textId="77777777" w:rsidTr="00306AF1">
        <w:trPr>
          <w:trHeight w:val="1230"/>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4BC11ED5"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River basin (and basin number)</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4AC8BF00"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Projection</w:t>
            </w:r>
          </w:p>
        </w:tc>
        <w:tc>
          <w:tcPr>
            <w:tcW w:w="1187" w:type="dxa"/>
            <w:tcBorders>
              <w:top w:val="single" w:sz="4" w:space="0" w:color="auto"/>
              <w:left w:val="nil"/>
              <w:bottom w:val="single" w:sz="4" w:space="0" w:color="auto"/>
              <w:right w:val="nil"/>
            </w:tcBorders>
            <w:vAlign w:val="bottom"/>
            <w:hideMark/>
          </w:tcPr>
          <w:p w14:paraId="125432E0"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Annual projected change (%) from 1995 baseline</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33086FA"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Maximum projected positive cool season change (%) from 1995 baseline value</w:t>
            </w:r>
          </w:p>
        </w:tc>
        <w:tc>
          <w:tcPr>
            <w:tcW w:w="2693" w:type="dxa"/>
            <w:gridSpan w:val="2"/>
            <w:tcBorders>
              <w:top w:val="single" w:sz="4" w:space="0" w:color="auto"/>
              <w:left w:val="nil"/>
              <w:bottom w:val="single" w:sz="4" w:space="0" w:color="auto"/>
              <w:right w:val="single" w:sz="4" w:space="0" w:color="auto"/>
            </w:tcBorders>
            <w:vAlign w:val="center"/>
            <w:hideMark/>
          </w:tcPr>
          <w:p w14:paraId="37B7093A"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Maximum projected positive warm season change (%) from 1995 baseline value</w:t>
            </w:r>
          </w:p>
        </w:tc>
      </w:tr>
      <w:tr w:rsidR="007B29DD" w14:paraId="5ABFA43A" w14:textId="77777777" w:rsidTr="00306AF1">
        <w:trPr>
          <w:trHeight w:val="315"/>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8649726" w14:textId="77777777" w:rsidR="007B29DD" w:rsidRDefault="007B29DD" w:rsidP="00306AF1">
            <w:pPr>
              <w:spacing w:line="256" w:lineRule="auto"/>
              <w:rPr>
                <w:rFonts w:ascii="Calibri" w:hAnsi="Calibri" w:cs="Calibri"/>
                <w:b/>
                <w:bCs/>
                <w:color w:val="000000"/>
                <w:sz w:val="18"/>
                <w:szCs w:val="18"/>
                <w:lang w:val="en-US"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07697F" w14:textId="77777777" w:rsidR="007B29DD" w:rsidRDefault="007B29DD" w:rsidP="00306AF1">
            <w:pPr>
              <w:spacing w:line="256" w:lineRule="auto"/>
              <w:rPr>
                <w:rFonts w:ascii="Calibri" w:hAnsi="Calibri" w:cs="Calibri"/>
                <w:b/>
                <w:bCs/>
                <w:color w:val="000000"/>
                <w:sz w:val="18"/>
                <w:szCs w:val="18"/>
                <w:lang w:val="en-US" w:eastAsia="zh-CN"/>
              </w:rPr>
            </w:pPr>
          </w:p>
        </w:tc>
        <w:tc>
          <w:tcPr>
            <w:tcW w:w="1187" w:type="dxa"/>
            <w:tcBorders>
              <w:top w:val="nil"/>
              <w:left w:val="nil"/>
              <w:bottom w:val="single" w:sz="4" w:space="0" w:color="auto"/>
              <w:right w:val="single" w:sz="4" w:space="0" w:color="auto"/>
            </w:tcBorders>
            <w:noWrap/>
            <w:vAlign w:val="center"/>
            <w:hideMark/>
          </w:tcPr>
          <w:p w14:paraId="6566D4B2" w14:textId="77777777" w:rsidR="007B29DD" w:rsidRDefault="007B29DD" w:rsidP="00306AF1">
            <w:pPr>
              <w:keepNext/>
              <w:spacing w:line="240" w:lineRule="auto"/>
              <w:jc w:val="center"/>
              <w:rPr>
                <w:rFonts w:ascii="Calibri" w:hAnsi="Calibri" w:cs="Calibri"/>
                <w:b/>
                <w:bCs/>
                <w:color w:val="000000"/>
                <w:sz w:val="18"/>
                <w:szCs w:val="18"/>
                <w:lang w:val="en-US" w:eastAsia="zh-CN"/>
              </w:rPr>
            </w:pPr>
            <w:r>
              <w:rPr>
                <w:rFonts w:ascii="Calibri" w:hAnsi="Calibri" w:cs="Calibri"/>
                <w:b/>
                <w:bCs/>
                <w:color w:val="000000"/>
                <w:sz w:val="18"/>
                <w:szCs w:val="18"/>
                <w:lang w:val="en-US" w:eastAsia="zh-CN"/>
              </w:rPr>
              <w:t>High</w:t>
            </w:r>
          </w:p>
        </w:tc>
        <w:tc>
          <w:tcPr>
            <w:tcW w:w="1419" w:type="dxa"/>
            <w:tcBorders>
              <w:top w:val="nil"/>
              <w:left w:val="nil"/>
              <w:bottom w:val="single" w:sz="4" w:space="0" w:color="auto"/>
              <w:right w:val="single" w:sz="4" w:space="0" w:color="auto"/>
            </w:tcBorders>
            <w:noWrap/>
            <w:vAlign w:val="center"/>
            <w:hideMark/>
          </w:tcPr>
          <w:p w14:paraId="34FAAD45"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Cool</w:t>
            </w:r>
          </w:p>
        </w:tc>
        <w:tc>
          <w:tcPr>
            <w:tcW w:w="1276" w:type="dxa"/>
            <w:tcBorders>
              <w:top w:val="nil"/>
              <w:left w:val="nil"/>
              <w:bottom w:val="single" w:sz="4" w:space="0" w:color="auto"/>
              <w:right w:val="single" w:sz="4" w:space="0" w:color="auto"/>
            </w:tcBorders>
            <w:vAlign w:val="center"/>
            <w:hideMark/>
          </w:tcPr>
          <w:p w14:paraId="0FD60C88"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Warm</w:t>
            </w:r>
          </w:p>
        </w:tc>
        <w:tc>
          <w:tcPr>
            <w:tcW w:w="1275" w:type="dxa"/>
            <w:tcBorders>
              <w:top w:val="nil"/>
              <w:left w:val="nil"/>
              <w:bottom w:val="single" w:sz="4" w:space="0" w:color="auto"/>
              <w:right w:val="single" w:sz="4" w:space="0" w:color="auto"/>
            </w:tcBorders>
            <w:vAlign w:val="center"/>
            <w:hideMark/>
          </w:tcPr>
          <w:p w14:paraId="21AB766E"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Cool</w:t>
            </w:r>
          </w:p>
        </w:tc>
        <w:tc>
          <w:tcPr>
            <w:tcW w:w="1418" w:type="dxa"/>
            <w:tcBorders>
              <w:top w:val="nil"/>
              <w:left w:val="nil"/>
              <w:bottom w:val="single" w:sz="4" w:space="0" w:color="auto"/>
              <w:right w:val="single" w:sz="4" w:space="0" w:color="auto"/>
            </w:tcBorders>
            <w:vAlign w:val="center"/>
            <w:hideMark/>
          </w:tcPr>
          <w:p w14:paraId="49EB1634" w14:textId="77777777" w:rsidR="007B29DD" w:rsidRDefault="007B29DD" w:rsidP="00306AF1">
            <w:pPr>
              <w:keepNext/>
              <w:spacing w:line="240" w:lineRule="auto"/>
              <w:jc w:val="center"/>
              <w:rPr>
                <w:rFonts w:ascii="Arial" w:hAnsi="Arial"/>
                <w:b/>
                <w:bCs/>
                <w:color w:val="000000"/>
                <w:sz w:val="18"/>
                <w:szCs w:val="18"/>
                <w:lang w:val="en-US" w:eastAsia="zh-CN"/>
              </w:rPr>
            </w:pPr>
            <w:r>
              <w:rPr>
                <w:rFonts w:ascii="Arial" w:hAnsi="Arial"/>
                <w:b/>
                <w:bCs/>
                <w:color w:val="000000"/>
                <w:sz w:val="18"/>
                <w:szCs w:val="18"/>
                <w:lang w:val="en-US" w:eastAsia="zh-CN"/>
              </w:rPr>
              <w:t>Warm</w:t>
            </w:r>
          </w:p>
        </w:tc>
      </w:tr>
      <w:tr w:rsidR="007B29DD" w14:paraId="546F2830" w14:textId="77777777" w:rsidTr="00306AF1">
        <w:trPr>
          <w:trHeight w:val="315"/>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0C2F06" w14:textId="77777777" w:rsidR="007B29DD" w:rsidRDefault="007B29DD" w:rsidP="00306AF1">
            <w:pPr>
              <w:keepNext/>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East Gippsland (221)</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3F74A683"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7924C54E"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-10.8%</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2B239C0"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-3.2%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5A5E2A54"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-22.3%</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698ABF77"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-22.4%</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0AE0281A"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6.8%</w:t>
            </w:r>
          </w:p>
        </w:tc>
      </w:tr>
      <w:tr w:rsidR="007B29DD" w14:paraId="7B3B1520"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65A2D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2125C191"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07FA3E1"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-15.0%</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BBEBE29"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-3.0%</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5F92196A"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-33.2%</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02E5CE5B"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-25.0%</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452A1A2D"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0.1%</w:t>
            </w:r>
          </w:p>
        </w:tc>
      </w:tr>
      <w:tr w:rsidR="007B29DD" w14:paraId="7D50DAA3"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A6693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1F1FD8F9" w14:textId="77777777" w:rsidR="007B29DD" w:rsidRDefault="007B29DD" w:rsidP="00306AF1">
            <w:pPr>
              <w:keepNext/>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23D38873" w14:textId="77777777" w:rsidR="007B29DD" w:rsidRPr="00C113AF" w:rsidRDefault="007B29DD" w:rsidP="00306AF1">
            <w:pPr>
              <w:keepNext/>
              <w:spacing w:line="240" w:lineRule="auto"/>
              <w:jc w:val="center"/>
              <w:rPr>
                <w:rFonts w:ascii="Calibri" w:hAnsi="Calibri" w:cs="Calibri"/>
                <w:color w:val="000000"/>
                <w:lang w:val="en-US" w:eastAsia="zh-CN"/>
              </w:rPr>
            </w:pPr>
            <w:r w:rsidRPr="00C113AF">
              <w:rPr>
                <w:rFonts w:ascii="Calibri" w:hAnsi="Calibri" w:cs="Calibri"/>
              </w:rPr>
              <w:t>-9.2%</w:t>
            </w:r>
          </w:p>
        </w:tc>
        <w:tc>
          <w:tcPr>
            <w:tcW w:w="1419" w:type="dxa"/>
            <w:tcBorders>
              <w:top w:val="nil"/>
              <w:left w:val="nil"/>
              <w:bottom w:val="single" w:sz="4" w:space="0" w:color="auto"/>
              <w:right w:val="single" w:sz="4" w:space="0" w:color="auto"/>
            </w:tcBorders>
            <w:shd w:val="clear" w:color="auto" w:fill="D9D9D9" w:themeFill="background1" w:themeFillShade="D9"/>
            <w:hideMark/>
          </w:tcPr>
          <w:p w14:paraId="05265BE7"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-4.8%</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2BA06245"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-15.9%</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42E6B121"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-24.7%</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27262471" w14:textId="77777777" w:rsidR="007B29DD" w:rsidRPr="00C113AF" w:rsidRDefault="007B29DD" w:rsidP="00306AF1">
            <w:pPr>
              <w:keepNext/>
              <w:spacing w:line="240" w:lineRule="auto"/>
              <w:jc w:val="center"/>
              <w:rPr>
                <w:rFonts w:ascii="Calibri" w:hAnsi="Calibri" w:cs="Calibri"/>
                <w:lang w:val="en-US" w:eastAsia="zh-CN"/>
              </w:rPr>
            </w:pPr>
            <w:r w:rsidRPr="00C113AF">
              <w:rPr>
                <w:rFonts w:ascii="Calibri" w:hAnsi="Calibri" w:cs="Calibri"/>
              </w:rPr>
              <w:t>14.3%</w:t>
            </w:r>
          </w:p>
        </w:tc>
      </w:tr>
      <w:tr w:rsidR="007B29DD" w14:paraId="04A721E2" w14:textId="77777777" w:rsidTr="00306AF1">
        <w:trPr>
          <w:trHeight w:val="315"/>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E0AC6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4341E72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524E45F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-10.9%</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FDF23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-0.8%</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4E6C0CE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-26.2%</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223755E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FE6646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w:t>
            </w:r>
          </w:p>
        </w:tc>
      </w:tr>
      <w:tr w:rsidR="007B29DD" w14:paraId="0BC23118" w14:textId="77777777" w:rsidTr="00306AF1">
        <w:trPr>
          <w:trHeight w:val="315"/>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1ACB99BF"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Snowy (222)</w:t>
            </w:r>
          </w:p>
        </w:tc>
        <w:tc>
          <w:tcPr>
            <w:tcW w:w="1559" w:type="dxa"/>
            <w:tcBorders>
              <w:top w:val="nil"/>
              <w:left w:val="nil"/>
              <w:bottom w:val="single" w:sz="4" w:space="0" w:color="auto"/>
              <w:right w:val="single" w:sz="4" w:space="0" w:color="auto"/>
            </w:tcBorders>
            <w:shd w:val="clear" w:color="auto" w:fill="auto"/>
            <w:vAlign w:val="center"/>
            <w:hideMark/>
          </w:tcPr>
          <w:p w14:paraId="0FD5E22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auto"/>
            <w:hideMark/>
          </w:tcPr>
          <w:p w14:paraId="1B5264C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-10.4%</w:t>
            </w:r>
          </w:p>
        </w:tc>
        <w:tc>
          <w:tcPr>
            <w:tcW w:w="1419" w:type="dxa"/>
            <w:tcBorders>
              <w:top w:val="nil"/>
              <w:left w:val="nil"/>
              <w:bottom w:val="single" w:sz="4" w:space="0" w:color="auto"/>
              <w:right w:val="single" w:sz="4" w:space="0" w:color="auto"/>
            </w:tcBorders>
            <w:shd w:val="clear" w:color="auto" w:fill="auto"/>
            <w:noWrap/>
            <w:hideMark/>
          </w:tcPr>
          <w:p w14:paraId="42F152B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-6.0%</w:t>
            </w:r>
          </w:p>
        </w:tc>
        <w:tc>
          <w:tcPr>
            <w:tcW w:w="1276" w:type="dxa"/>
            <w:tcBorders>
              <w:top w:val="nil"/>
              <w:left w:val="nil"/>
              <w:bottom w:val="single" w:sz="4" w:space="0" w:color="auto"/>
              <w:right w:val="single" w:sz="4" w:space="0" w:color="auto"/>
            </w:tcBorders>
            <w:shd w:val="clear" w:color="auto" w:fill="auto"/>
            <w:hideMark/>
          </w:tcPr>
          <w:p w14:paraId="3EFE9B8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-16.4%</w:t>
            </w:r>
          </w:p>
        </w:tc>
        <w:tc>
          <w:tcPr>
            <w:tcW w:w="1275" w:type="dxa"/>
            <w:tcBorders>
              <w:top w:val="nil"/>
              <w:left w:val="nil"/>
              <w:bottom w:val="single" w:sz="4" w:space="0" w:color="auto"/>
              <w:right w:val="single" w:sz="4" w:space="0" w:color="auto"/>
            </w:tcBorders>
            <w:shd w:val="clear" w:color="auto" w:fill="auto"/>
            <w:hideMark/>
          </w:tcPr>
          <w:p w14:paraId="48A0951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-21.0%</w:t>
            </w:r>
          </w:p>
        </w:tc>
        <w:tc>
          <w:tcPr>
            <w:tcW w:w="1418" w:type="dxa"/>
            <w:tcBorders>
              <w:top w:val="nil"/>
              <w:left w:val="nil"/>
              <w:bottom w:val="single" w:sz="4" w:space="0" w:color="auto"/>
              <w:right w:val="single" w:sz="4" w:space="0" w:color="auto"/>
            </w:tcBorders>
            <w:shd w:val="clear" w:color="auto" w:fill="auto"/>
            <w:hideMark/>
          </w:tcPr>
          <w:p w14:paraId="53840BB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w:t>
            </w:r>
          </w:p>
        </w:tc>
      </w:tr>
      <w:tr w:rsidR="007B29DD" w14:paraId="07C71D93"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33E20F6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0274D5C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auto"/>
            <w:hideMark/>
          </w:tcPr>
          <w:p w14:paraId="573A0F7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-14.9%</w:t>
            </w:r>
          </w:p>
        </w:tc>
        <w:tc>
          <w:tcPr>
            <w:tcW w:w="1419" w:type="dxa"/>
            <w:tcBorders>
              <w:top w:val="nil"/>
              <w:left w:val="nil"/>
              <w:bottom w:val="single" w:sz="4" w:space="0" w:color="auto"/>
              <w:right w:val="single" w:sz="4" w:space="0" w:color="auto"/>
            </w:tcBorders>
            <w:shd w:val="clear" w:color="auto" w:fill="auto"/>
            <w:noWrap/>
            <w:hideMark/>
          </w:tcPr>
          <w:p w14:paraId="696FBF0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-5.3%</w:t>
            </w:r>
          </w:p>
        </w:tc>
        <w:tc>
          <w:tcPr>
            <w:tcW w:w="1276" w:type="dxa"/>
            <w:tcBorders>
              <w:top w:val="nil"/>
              <w:left w:val="nil"/>
              <w:bottom w:val="single" w:sz="4" w:space="0" w:color="auto"/>
              <w:right w:val="single" w:sz="4" w:space="0" w:color="auto"/>
            </w:tcBorders>
            <w:shd w:val="clear" w:color="auto" w:fill="auto"/>
            <w:hideMark/>
          </w:tcPr>
          <w:p w14:paraId="7EFFE02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-28.0%</w:t>
            </w:r>
          </w:p>
        </w:tc>
        <w:tc>
          <w:tcPr>
            <w:tcW w:w="1275" w:type="dxa"/>
            <w:tcBorders>
              <w:top w:val="nil"/>
              <w:left w:val="nil"/>
              <w:bottom w:val="single" w:sz="4" w:space="0" w:color="auto"/>
              <w:right w:val="single" w:sz="4" w:space="0" w:color="auto"/>
            </w:tcBorders>
            <w:shd w:val="clear" w:color="auto" w:fill="auto"/>
            <w:hideMark/>
          </w:tcPr>
          <w:p w14:paraId="39483BD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-27.5%</w:t>
            </w:r>
          </w:p>
        </w:tc>
        <w:tc>
          <w:tcPr>
            <w:tcW w:w="1418" w:type="dxa"/>
            <w:tcBorders>
              <w:top w:val="nil"/>
              <w:left w:val="nil"/>
              <w:bottom w:val="single" w:sz="4" w:space="0" w:color="auto"/>
              <w:right w:val="single" w:sz="4" w:space="0" w:color="auto"/>
            </w:tcBorders>
            <w:shd w:val="clear" w:color="auto" w:fill="auto"/>
            <w:hideMark/>
          </w:tcPr>
          <w:p w14:paraId="232CC67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w:t>
            </w:r>
          </w:p>
        </w:tc>
      </w:tr>
      <w:tr w:rsidR="007B29DD" w14:paraId="66143405"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7CC64F6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5EE18C7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auto"/>
            <w:hideMark/>
          </w:tcPr>
          <w:p w14:paraId="0DD7A8B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-9.6%</w:t>
            </w:r>
          </w:p>
        </w:tc>
        <w:tc>
          <w:tcPr>
            <w:tcW w:w="1419" w:type="dxa"/>
            <w:tcBorders>
              <w:top w:val="nil"/>
              <w:left w:val="nil"/>
              <w:bottom w:val="single" w:sz="4" w:space="0" w:color="auto"/>
              <w:right w:val="single" w:sz="4" w:space="0" w:color="auto"/>
            </w:tcBorders>
            <w:shd w:val="clear" w:color="auto" w:fill="auto"/>
            <w:noWrap/>
            <w:hideMark/>
          </w:tcPr>
          <w:p w14:paraId="256F963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-5.1%</w:t>
            </w:r>
          </w:p>
        </w:tc>
        <w:tc>
          <w:tcPr>
            <w:tcW w:w="1276" w:type="dxa"/>
            <w:tcBorders>
              <w:top w:val="nil"/>
              <w:left w:val="nil"/>
              <w:bottom w:val="single" w:sz="4" w:space="0" w:color="auto"/>
              <w:right w:val="single" w:sz="4" w:space="0" w:color="auto"/>
            </w:tcBorders>
            <w:shd w:val="clear" w:color="auto" w:fill="auto"/>
            <w:hideMark/>
          </w:tcPr>
          <w:p w14:paraId="44E2CF3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-15.7%</w:t>
            </w:r>
          </w:p>
        </w:tc>
        <w:tc>
          <w:tcPr>
            <w:tcW w:w="1275" w:type="dxa"/>
            <w:tcBorders>
              <w:top w:val="nil"/>
              <w:left w:val="nil"/>
              <w:bottom w:val="single" w:sz="4" w:space="0" w:color="auto"/>
              <w:right w:val="single" w:sz="4" w:space="0" w:color="auto"/>
            </w:tcBorders>
            <w:shd w:val="clear" w:color="auto" w:fill="auto"/>
            <w:hideMark/>
          </w:tcPr>
          <w:p w14:paraId="4C3447E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-27.8%</w:t>
            </w:r>
          </w:p>
        </w:tc>
        <w:tc>
          <w:tcPr>
            <w:tcW w:w="1418" w:type="dxa"/>
            <w:tcBorders>
              <w:top w:val="nil"/>
              <w:left w:val="nil"/>
              <w:bottom w:val="single" w:sz="4" w:space="0" w:color="auto"/>
              <w:right w:val="single" w:sz="4" w:space="0" w:color="auto"/>
            </w:tcBorders>
            <w:shd w:val="clear" w:color="auto" w:fill="auto"/>
            <w:hideMark/>
          </w:tcPr>
          <w:p w14:paraId="0CB7110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15.2%</w:t>
            </w:r>
          </w:p>
        </w:tc>
      </w:tr>
      <w:tr w:rsidR="007B29DD" w14:paraId="59916222"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301C89C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51DF12C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auto"/>
            <w:hideMark/>
          </w:tcPr>
          <w:p w14:paraId="75DF401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-12.3%</w:t>
            </w:r>
          </w:p>
        </w:tc>
        <w:tc>
          <w:tcPr>
            <w:tcW w:w="1419" w:type="dxa"/>
            <w:tcBorders>
              <w:top w:val="nil"/>
              <w:left w:val="nil"/>
              <w:bottom w:val="single" w:sz="4" w:space="0" w:color="auto"/>
              <w:right w:val="single" w:sz="4" w:space="0" w:color="auto"/>
            </w:tcBorders>
            <w:shd w:val="clear" w:color="auto" w:fill="auto"/>
            <w:noWrap/>
            <w:hideMark/>
          </w:tcPr>
          <w:p w14:paraId="10A9B0B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w:t>
            </w:r>
          </w:p>
        </w:tc>
        <w:tc>
          <w:tcPr>
            <w:tcW w:w="1276" w:type="dxa"/>
            <w:tcBorders>
              <w:top w:val="nil"/>
              <w:left w:val="nil"/>
              <w:bottom w:val="single" w:sz="4" w:space="0" w:color="auto"/>
              <w:right w:val="single" w:sz="4" w:space="0" w:color="auto"/>
            </w:tcBorders>
            <w:shd w:val="clear" w:color="auto" w:fill="auto"/>
            <w:hideMark/>
          </w:tcPr>
          <w:p w14:paraId="58EDC6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-24.1%</w:t>
            </w:r>
          </w:p>
        </w:tc>
        <w:tc>
          <w:tcPr>
            <w:tcW w:w="1275" w:type="dxa"/>
            <w:tcBorders>
              <w:top w:val="nil"/>
              <w:left w:val="nil"/>
              <w:bottom w:val="single" w:sz="4" w:space="0" w:color="auto"/>
              <w:right w:val="single" w:sz="4" w:space="0" w:color="auto"/>
            </w:tcBorders>
            <w:shd w:val="clear" w:color="auto" w:fill="auto"/>
            <w:hideMark/>
          </w:tcPr>
          <w:p w14:paraId="34EFC0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-22.2%</w:t>
            </w:r>
          </w:p>
        </w:tc>
        <w:tc>
          <w:tcPr>
            <w:tcW w:w="1418" w:type="dxa"/>
            <w:tcBorders>
              <w:top w:val="nil"/>
              <w:left w:val="nil"/>
              <w:bottom w:val="single" w:sz="4" w:space="0" w:color="auto"/>
              <w:right w:val="single" w:sz="4" w:space="0" w:color="auto"/>
            </w:tcBorders>
            <w:shd w:val="clear" w:color="auto" w:fill="auto"/>
            <w:hideMark/>
          </w:tcPr>
          <w:p w14:paraId="6CAA3A7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w:t>
            </w:r>
          </w:p>
        </w:tc>
      </w:tr>
      <w:tr w:rsidR="007B29DD" w14:paraId="655F78C9"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6EA511"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Tambo (223)</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64BF5A8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1C01200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-10.8%</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23743D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4D33C83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-18.6%</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56947F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-22.3%</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19E79C2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r>
      <w:tr w:rsidR="007B29DD" w14:paraId="749F73B8"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A99C5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77DEE5C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3D22FEE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-16.6%</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0298DF1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3DB28D8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-34.2%</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05EB712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-27.6%</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4607C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w:t>
            </w:r>
          </w:p>
        </w:tc>
      </w:tr>
      <w:tr w:rsidR="007B29DD" w14:paraId="46BDC4BF"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27581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146B937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7E053B0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-10.9%</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29B5A27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-7.6%</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3826172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-15.5%</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28540DC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-27.4%</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3BA1BC3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12.1%</w:t>
            </w:r>
          </w:p>
        </w:tc>
      </w:tr>
      <w:tr w:rsidR="007B29DD" w14:paraId="2CEDBAC5"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31B38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02C0D0E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3A1A206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-13.2%</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1758FE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4C28A6D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-25.8%</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4E94F88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-23.0%</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440FCB0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0.4%</w:t>
            </w:r>
          </w:p>
        </w:tc>
      </w:tr>
      <w:tr w:rsidR="007B29DD" w14:paraId="06E16E7E"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14:paraId="3722D383"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Mitchell (224)</w:t>
            </w:r>
          </w:p>
        </w:tc>
        <w:tc>
          <w:tcPr>
            <w:tcW w:w="1559" w:type="dxa"/>
            <w:tcBorders>
              <w:top w:val="nil"/>
              <w:left w:val="nil"/>
              <w:bottom w:val="single" w:sz="4" w:space="0" w:color="auto"/>
              <w:right w:val="single" w:sz="4" w:space="0" w:color="auto"/>
            </w:tcBorders>
            <w:shd w:val="clear" w:color="auto" w:fill="auto"/>
            <w:vAlign w:val="center"/>
            <w:hideMark/>
          </w:tcPr>
          <w:p w14:paraId="4E19080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auto"/>
            <w:hideMark/>
          </w:tcPr>
          <w:p w14:paraId="3156D52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-9.7%</w:t>
            </w:r>
          </w:p>
        </w:tc>
        <w:tc>
          <w:tcPr>
            <w:tcW w:w="1419" w:type="dxa"/>
            <w:tcBorders>
              <w:top w:val="nil"/>
              <w:left w:val="nil"/>
              <w:bottom w:val="single" w:sz="4" w:space="0" w:color="auto"/>
              <w:right w:val="single" w:sz="4" w:space="0" w:color="auto"/>
            </w:tcBorders>
            <w:shd w:val="clear" w:color="auto" w:fill="auto"/>
            <w:noWrap/>
            <w:hideMark/>
          </w:tcPr>
          <w:p w14:paraId="6B3C31B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-4.9%</w:t>
            </w:r>
          </w:p>
        </w:tc>
        <w:tc>
          <w:tcPr>
            <w:tcW w:w="1276" w:type="dxa"/>
            <w:tcBorders>
              <w:top w:val="nil"/>
              <w:left w:val="nil"/>
              <w:bottom w:val="single" w:sz="4" w:space="0" w:color="auto"/>
              <w:right w:val="single" w:sz="4" w:space="0" w:color="auto"/>
            </w:tcBorders>
            <w:shd w:val="clear" w:color="auto" w:fill="auto"/>
            <w:hideMark/>
          </w:tcPr>
          <w:p w14:paraId="7F4C905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-17.8%</w:t>
            </w:r>
          </w:p>
        </w:tc>
        <w:tc>
          <w:tcPr>
            <w:tcW w:w="1275" w:type="dxa"/>
            <w:tcBorders>
              <w:top w:val="nil"/>
              <w:left w:val="nil"/>
              <w:bottom w:val="single" w:sz="4" w:space="0" w:color="auto"/>
              <w:right w:val="single" w:sz="4" w:space="0" w:color="auto"/>
            </w:tcBorders>
            <w:shd w:val="clear" w:color="auto" w:fill="auto"/>
            <w:hideMark/>
          </w:tcPr>
          <w:p w14:paraId="374B8A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-19.8%</w:t>
            </w:r>
          </w:p>
        </w:tc>
        <w:tc>
          <w:tcPr>
            <w:tcW w:w="1418" w:type="dxa"/>
            <w:tcBorders>
              <w:top w:val="nil"/>
              <w:left w:val="nil"/>
              <w:bottom w:val="single" w:sz="4" w:space="0" w:color="auto"/>
              <w:right w:val="single" w:sz="4" w:space="0" w:color="auto"/>
            </w:tcBorders>
            <w:shd w:val="clear" w:color="auto" w:fill="auto"/>
            <w:hideMark/>
          </w:tcPr>
          <w:p w14:paraId="68119DD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7.4%</w:t>
            </w:r>
          </w:p>
        </w:tc>
      </w:tr>
      <w:tr w:rsidR="007B29DD" w14:paraId="7917C732"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1158976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0EB492F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auto"/>
            <w:hideMark/>
          </w:tcPr>
          <w:p w14:paraId="4077246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-18.5%</w:t>
            </w:r>
          </w:p>
        </w:tc>
        <w:tc>
          <w:tcPr>
            <w:tcW w:w="1419" w:type="dxa"/>
            <w:tcBorders>
              <w:top w:val="nil"/>
              <w:left w:val="nil"/>
              <w:bottom w:val="single" w:sz="4" w:space="0" w:color="auto"/>
              <w:right w:val="single" w:sz="4" w:space="0" w:color="auto"/>
            </w:tcBorders>
            <w:shd w:val="clear" w:color="auto" w:fill="auto"/>
            <w:noWrap/>
            <w:hideMark/>
          </w:tcPr>
          <w:p w14:paraId="35BCB4B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c>
          <w:tcPr>
            <w:tcW w:w="1276" w:type="dxa"/>
            <w:tcBorders>
              <w:top w:val="nil"/>
              <w:left w:val="nil"/>
              <w:bottom w:val="single" w:sz="4" w:space="0" w:color="auto"/>
              <w:right w:val="single" w:sz="4" w:space="0" w:color="auto"/>
            </w:tcBorders>
            <w:shd w:val="clear" w:color="auto" w:fill="auto"/>
            <w:hideMark/>
          </w:tcPr>
          <w:p w14:paraId="236D07B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-33.7%</w:t>
            </w:r>
          </w:p>
        </w:tc>
        <w:tc>
          <w:tcPr>
            <w:tcW w:w="1275" w:type="dxa"/>
            <w:tcBorders>
              <w:top w:val="nil"/>
              <w:left w:val="nil"/>
              <w:bottom w:val="single" w:sz="4" w:space="0" w:color="auto"/>
              <w:right w:val="single" w:sz="4" w:space="0" w:color="auto"/>
            </w:tcBorders>
            <w:shd w:val="clear" w:color="auto" w:fill="auto"/>
            <w:hideMark/>
          </w:tcPr>
          <w:p w14:paraId="28CE361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-28.5%</w:t>
            </w:r>
          </w:p>
        </w:tc>
        <w:tc>
          <w:tcPr>
            <w:tcW w:w="1418" w:type="dxa"/>
            <w:tcBorders>
              <w:top w:val="nil"/>
              <w:left w:val="nil"/>
              <w:bottom w:val="single" w:sz="4" w:space="0" w:color="auto"/>
              <w:right w:val="single" w:sz="4" w:space="0" w:color="auto"/>
            </w:tcBorders>
            <w:shd w:val="clear" w:color="auto" w:fill="auto"/>
            <w:hideMark/>
          </w:tcPr>
          <w:p w14:paraId="09FE3A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w:t>
            </w:r>
          </w:p>
        </w:tc>
      </w:tr>
      <w:tr w:rsidR="007B29DD" w14:paraId="4D4A5CE2"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2041C2E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15DFB80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auto"/>
            <w:hideMark/>
          </w:tcPr>
          <w:p w14:paraId="42A35AF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-12.3%</w:t>
            </w:r>
          </w:p>
        </w:tc>
        <w:tc>
          <w:tcPr>
            <w:tcW w:w="1419" w:type="dxa"/>
            <w:tcBorders>
              <w:top w:val="nil"/>
              <w:left w:val="nil"/>
              <w:bottom w:val="single" w:sz="4" w:space="0" w:color="auto"/>
              <w:right w:val="single" w:sz="4" w:space="0" w:color="auto"/>
            </w:tcBorders>
            <w:shd w:val="clear" w:color="auto" w:fill="auto"/>
            <w:noWrap/>
            <w:hideMark/>
          </w:tcPr>
          <w:p w14:paraId="0FE512E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-8.4%</w:t>
            </w:r>
          </w:p>
        </w:tc>
        <w:tc>
          <w:tcPr>
            <w:tcW w:w="1276" w:type="dxa"/>
            <w:tcBorders>
              <w:top w:val="nil"/>
              <w:left w:val="nil"/>
              <w:bottom w:val="single" w:sz="4" w:space="0" w:color="auto"/>
              <w:right w:val="single" w:sz="4" w:space="0" w:color="auto"/>
            </w:tcBorders>
            <w:shd w:val="clear" w:color="auto" w:fill="auto"/>
            <w:hideMark/>
          </w:tcPr>
          <w:p w14:paraId="62127CE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-18.9%</w:t>
            </w:r>
          </w:p>
        </w:tc>
        <w:tc>
          <w:tcPr>
            <w:tcW w:w="1275" w:type="dxa"/>
            <w:tcBorders>
              <w:top w:val="nil"/>
              <w:left w:val="nil"/>
              <w:bottom w:val="single" w:sz="4" w:space="0" w:color="auto"/>
              <w:right w:val="single" w:sz="4" w:space="0" w:color="auto"/>
            </w:tcBorders>
            <w:shd w:val="clear" w:color="auto" w:fill="auto"/>
            <w:hideMark/>
          </w:tcPr>
          <w:p w14:paraId="7A4EC67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-29.1%</w:t>
            </w:r>
          </w:p>
        </w:tc>
        <w:tc>
          <w:tcPr>
            <w:tcW w:w="1418" w:type="dxa"/>
            <w:tcBorders>
              <w:top w:val="nil"/>
              <w:left w:val="nil"/>
              <w:bottom w:val="single" w:sz="4" w:space="0" w:color="auto"/>
              <w:right w:val="single" w:sz="4" w:space="0" w:color="auto"/>
            </w:tcBorders>
            <w:shd w:val="clear" w:color="auto" w:fill="auto"/>
            <w:hideMark/>
          </w:tcPr>
          <w:p w14:paraId="3B1FC80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16.1%</w:t>
            </w:r>
          </w:p>
        </w:tc>
      </w:tr>
      <w:tr w:rsidR="007B29DD" w14:paraId="3F9BEAE0"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auto"/>
            <w:vAlign w:val="center"/>
            <w:hideMark/>
          </w:tcPr>
          <w:p w14:paraId="38DA32D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auto"/>
            <w:vAlign w:val="center"/>
            <w:hideMark/>
          </w:tcPr>
          <w:p w14:paraId="25DDAC7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auto"/>
            <w:hideMark/>
          </w:tcPr>
          <w:p w14:paraId="442F025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-14.8%</w:t>
            </w:r>
          </w:p>
        </w:tc>
        <w:tc>
          <w:tcPr>
            <w:tcW w:w="1419" w:type="dxa"/>
            <w:tcBorders>
              <w:top w:val="nil"/>
              <w:left w:val="nil"/>
              <w:bottom w:val="single" w:sz="4" w:space="0" w:color="auto"/>
              <w:right w:val="single" w:sz="4" w:space="0" w:color="auto"/>
            </w:tcBorders>
            <w:shd w:val="clear" w:color="auto" w:fill="auto"/>
            <w:noWrap/>
            <w:hideMark/>
          </w:tcPr>
          <w:p w14:paraId="5A798FA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-6.8%</w:t>
            </w:r>
          </w:p>
        </w:tc>
        <w:tc>
          <w:tcPr>
            <w:tcW w:w="1276" w:type="dxa"/>
            <w:tcBorders>
              <w:top w:val="nil"/>
              <w:left w:val="nil"/>
              <w:bottom w:val="single" w:sz="4" w:space="0" w:color="auto"/>
              <w:right w:val="single" w:sz="4" w:space="0" w:color="auto"/>
            </w:tcBorders>
            <w:shd w:val="clear" w:color="auto" w:fill="auto"/>
            <w:hideMark/>
          </w:tcPr>
          <w:p w14:paraId="048907E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-28.4%</w:t>
            </w:r>
          </w:p>
        </w:tc>
        <w:tc>
          <w:tcPr>
            <w:tcW w:w="1275" w:type="dxa"/>
            <w:tcBorders>
              <w:top w:val="nil"/>
              <w:left w:val="nil"/>
              <w:bottom w:val="single" w:sz="4" w:space="0" w:color="auto"/>
              <w:right w:val="single" w:sz="4" w:space="0" w:color="auto"/>
            </w:tcBorders>
            <w:shd w:val="clear" w:color="auto" w:fill="auto"/>
            <w:hideMark/>
          </w:tcPr>
          <w:p w14:paraId="1800398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-23.7%</w:t>
            </w:r>
          </w:p>
        </w:tc>
        <w:tc>
          <w:tcPr>
            <w:tcW w:w="1418" w:type="dxa"/>
            <w:tcBorders>
              <w:top w:val="nil"/>
              <w:left w:val="nil"/>
              <w:bottom w:val="single" w:sz="4" w:space="0" w:color="auto"/>
              <w:right w:val="single" w:sz="4" w:space="0" w:color="auto"/>
            </w:tcBorders>
            <w:shd w:val="clear" w:color="auto" w:fill="auto"/>
            <w:hideMark/>
          </w:tcPr>
          <w:p w14:paraId="5BAAB98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r>
      <w:tr w:rsidR="007B29DD" w14:paraId="0BA887B2"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8E58C2"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Thomson (225)</w:t>
            </w: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7EEFEBF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553BFBE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-10.6%</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793BCE5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-5.5%</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0666EDD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-19.3%</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35C01B9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-20.2%</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25F0383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5.5%</w:t>
            </w:r>
          </w:p>
        </w:tc>
      </w:tr>
      <w:tr w:rsidR="007B29DD" w14:paraId="33C05DF9"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6A6D9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1CFBF17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086BE68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-19.9%</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2E77C9F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-9.8%</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448D064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-37.0%</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7136353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-29.8%</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47A583D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w:t>
            </w:r>
          </w:p>
        </w:tc>
      </w:tr>
      <w:tr w:rsidR="007B29DD" w14:paraId="7604E651"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E1E52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762034B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4C93824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-11.7%</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51FA05B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-6.2%</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7FB9CCC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-21.0%</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15F1572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-28.7%</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66A8D5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17.0%</w:t>
            </w:r>
          </w:p>
        </w:tc>
      </w:tr>
      <w:tr w:rsidR="007B29DD" w14:paraId="37BB365B" w14:textId="77777777" w:rsidTr="00306AF1">
        <w:trPr>
          <w:trHeight w:val="300"/>
        </w:trPr>
        <w:tc>
          <w:tcPr>
            <w:tcW w:w="12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04AC6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themeFill="background1" w:themeFillShade="D9"/>
            <w:vAlign w:val="center"/>
            <w:hideMark/>
          </w:tcPr>
          <w:p w14:paraId="0F56084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themeFill="background1" w:themeFillShade="D9"/>
            <w:hideMark/>
          </w:tcPr>
          <w:p w14:paraId="7288CCC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-15.1%</w:t>
            </w:r>
          </w:p>
        </w:tc>
        <w:tc>
          <w:tcPr>
            <w:tcW w:w="1419" w:type="dxa"/>
            <w:tcBorders>
              <w:top w:val="nil"/>
              <w:left w:val="nil"/>
              <w:bottom w:val="single" w:sz="4" w:space="0" w:color="auto"/>
              <w:right w:val="single" w:sz="4" w:space="0" w:color="auto"/>
            </w:tcBorders>
            <w:shd w:val="clear" w:color="auto" w:fill="D9D9D9" w:themeFill="background1" w:themeFillShade="D9"/>
            <w:noWrap/>
            <w:hideMark/>
          </w:tcPr>
          <w:p w14:paraId="0525F77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-6.9%</w:t>
            </w: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1C92869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-29.0%</w:t>
            </w:r>
          </w:p>
        </w:tc>
        <w:tc>
          <w:tcPr>
            <w:tcW w:w="1275" w:type="dxa"/>
            <w:tcBorders>
              <w:top w:val="nil"/>
              <w:left w:val="nil"/>
              <w:bottom w:val="single" w:sz="4" w:space="0" w:color="auto"/>
              <w:right w:val="single" w:sz="4" w:space="0" w:color="auto"/>
            </w:tcBorders>
            <w:shd w:val="clear" w:color="auto" w:fill="D9D9D9" w:themeFill="background1" w:themeFillShade="D9"/>
            <w:hideMark/>
          </w:tcPr>
          <w:p w14:paraId="3C420ED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-23.5%</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4D4052F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-0.9%</w:t>
            </w:r>
          </w:p>
        </w:tc>
      </w:tr>
      <w:tr w:rsidR="007B29DD" w14:paraId="622A689D"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24210120"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Latrobe (226)</w:t>
            </w:r>
          </w:p>
        </w:tc>
        <w:tc>
          <w:tcPr>
            <w:tcW w:w="1559" w:type="dxa"/>
            <w:tcBorders>
              <w:top w:val="nil"/>
              <w:left w:val="nil"/>
              <w:bottom w:val="single" w:sz="4" w:space="0" w:color="auto"/>
              <w:right w:val="single" w:sz="4" w:space="0" w:color="auto"/>
            </w:tcBorders>
            <w:vAlign w:val="center"/>
            <w:hideMark/>
          </w:tcPr>
          <w:p w14:paraId="2134E7B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5AA2F1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-11.4%</w:t>
            </w:r>
          </w:p>
        </w:tc>
        <w:tc>
          <w:tcPr>
            <w:tcW w:w="1419" w:type="dxa"/>
            <w:tcBorders>
              <w:top w:val="nil"/>
              <w:left w:val="nil"/>
              <w:bottom w:val="single" w:sz="4" w:space="0" w:color="auto"/>
              <w:right w:val="single" w:sz="4" w:space="0" w:color="auto"/>
            </w:tcBorders>
            <w:noWrap/>
            <w:hideMark/>
          </w:tcPr>
          <w:p w14:paraId="6CDCAC5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-6.3%</w:t>
            </w:r>
          </w:p>
        </w:tc>
        <w:tc>
          <w:tcPr>
            <w:tcW w:w="1276" w:type="dxa"/>
            <w:tcBorders>
              <w:top w:val="nil"/>
              <w:left w:val="nil"/>
              <w:bottom w:val="single" w:sz="4" w:space="0" w:color="auto"/>
              <w:right w:val="single" w:sz="4" w:space="0" w:color="auto"/>
            </w:tcBorders>
            <w:hideMark/>
          </w:tcPr>
          <w:p w14:paraId="68CC678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-20.6%</w:t>
            </w:r>
          </w:p>
        </w:tc>
        <w:tc>
          <w:tcPr>
            <w:tcW w:w="1275" w:type="dxa"/>
            <w:tcBorders>
              <w:top w:val="nil"/>
              <w:left w:val="nil"/>
              <w:bottom w:val="single" w:sz="4" w:space="0" w:color="auto"/>
              <w:right w:val="single" w:sz="4" w:space="0" w:color="auto"/>
            </w:tcBorders>
            <w:hideMark/>
          </w:tcPr>
          <w:p w14:paraId="04ACDC3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-20.4%</w:t>
            </w:r>
          </w:p>
        </w:tc>
        <w:tc>
          <w:tcPr>
            <w:tcW w:w="1418" w:type="dxa"/>
            <w:tcBorders>
              <w:top w:val="nil"/>
              <w:left w:val="nil"/>
              <w:bottom w:val="single" w:sz="4" w:space="0" w:color="auto"/>
              <w:right w:val="single" w:sz="4" w:space="0" w:color="auto"/>
            </w:tcBorders>
            <w:hideMark/>
          </w:tcPr>
          <w:p w14:paraId="7688337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4.8%</w:t>
            </w:r>
          </w:p>
        </w:tc>
      </w:tr>
      <w:tr w:rsidR="007B29DD" w14:paraId="7323490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FFC44E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BEBFAA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6FCB7D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-16.7%</w:t>
            </w:r>
          </w:p>
        </w:tc>
        <w:tc>
          <w:tcPr>
            <w:tcW w:w="1419" w:type="dxa"/>
            <w:tcBorders>
              <w:top w:val="nil"/>
              <w:left w:val="nil"/>
              <w:bottom w:val="single" w:sz="4" w:space="0" w:color="auto"/>
              <w:right w:val="single" w:sz="4" w:space="0" w:color="auto"/>
            </w:tcBorders>
            <w:noWrap/>
            <w:hideMark/>
          </w:tcPr>
          <w:p w14:paraId="282633D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-5.5%</w:t>
            </w:r>
          </w:p>
        </w:tc>
        <w:tc>
          <w:tcPr>
            <w:tcW w:w="1276" w:type="dxa"/>
            <w:tcBorders>
              <w:top w:val="nil"/>
              <w:left w:val="nil"/>
              <w:bottom w:val="single" w:sz="4" w:space="0" w:color="auto"/>
              <w:right w:val="single" w:sz="4" w:space="0" w:color="auto"/>
            </w:tcBorders>
            <w:hideMark/>
          </w:tcPr>
          <w:p w14:paraId="5C9E719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-37.0%</w:t>
            </w:r>
          </w:p>
        </w:tc>
        <w:tc>
          <w:tcPr>
            <w:tcW w:w="1275" w:type="dxa"/>
            <w:tcBorders>
              <w:top w:val="nil"/>
              <w:left w:val="nil"/>
              <w:bottom w:val="single" w:sz="4" w:space="0" w:color="auto"/>
              <w:right w:val="single" w:sz="4" w:space="0" w:color="auto"/>
            </w:tcBorders>
            <w:hideMark/>
          </w:tcPr>
          <w:p w14:paraId="45780B6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-25.5%</w:t>
            </w:r>
          </w:p>
        </w:tc>
        <w:tc>
          <w:tcPr>
            <w:tcW w:w="1418" w:type="dxa"/>
            <w:tcBorders>
              <w:top w:val="nil"/>
              <w:left w:val="nil"/>
              <w:bottom w:val="single" w:sz="4" w:space="0" w:color="auto"/>
              <w:right w:val="single" w:sz="4" w:space="0" w:color="auto"/>
            </w:tcBorders>
            <w:hideMark/>
          </w:tcPr>
          <w:p w14:paraId="2959BFE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-0.9%</w:t>
            </w:r>
          </w:p>
        </w:tc>
      </w:tr>
      <w:tr w:rsidR="007B29DD" w14:paraId="08302C0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BB531B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14003E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6FE396E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-11.9%</w:t>
            </w:r>
          </w:p>
        </w:tc>
        <w:tc>
          <w:tcPr>
            <w:tcW w:w="1419" w:type="dxa"/>
            <w:tcBorders>
              <w:top w:val="nil"/>
              <w:left w:val="nil"/>
              <w:bottom w:val="single" w:sz="4" w:space="0" w:color="auto"/>
              <w:right w:val="single" w:sz="4" w:space="0" w:color="auto"/>
            </w:tcBorders>
            <w:noWrap/>
            <w:hideMark/>
          </w:tcPr>
          <w:p w14:paraId="0920124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-6.2%</w:t>
            </w:r>
          </w:p>
        </w:tc>
        <w:tc>
          <w:tcPr>
            <w:tcW w:w="1276" w:type="dxa"/>
            <w:tcBorders>
              <w:top w:val="nil"/>
              <w:left w:val="nil"/>
              <w:bottom w:val="single" w:sz="4" w:space="0" w:color="auto"/>
              <w:right w:val="single" w:sz="4" w:space="0" w:color="auto"/>
            </w:tcBorders>
            <w:hideMark/>
          </w:tcPr>
          <w:p w14:paraId="2E69EDD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-22.1%</w:t>
            </w:r>
          </w:p>
        </w:tc>
        <w:tc>
          <w:tcPr>
            <w:tcW w:w="1275" w:type="dxa"/>
            <w:tcBorders>
              <w:top w:val="nil"/>
              <w:left w:val="nil"/>
              <w:bottom w:val="single" w:sz="4" w:space="0" w:color="auto"/>
              <w:right w:val="single" w:sz="4" w:space="0" w:color="auto"/>
            </w:tcBorders>
            <w:hideMark/>
          </w:tcPr>
          <w:p w14:paraId="30D6D00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-24.5%</w:t>
            </w:r>
          </w:p>
        </w:tc>
        <w:tc>
          <w:tcPr>
            <w:tcW w:w="1418" w:type="dxa"/>
            <w:tcBorders>
              <w:top w:val="nil"/>
              <w:left w:val="nil"/>
              <w:bottom w:val="single" w:sz="4" w:space="0" w:color="auto"/>
              <w:right w:val="single" w:sz="4" w:space="0" w:color="auto"/>
            </w:tcBorders>
            <w:hideMark/>
          </w:tcPr>
          <w:p w14:paraId="3BF6DAA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10.8%</w:t>
            </w:r>
          </w:p>
        </w:tc>
      </w:tr>
      <w:tr w:rsidR="007B29DD" w14:paraId="03CD8EA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B15510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BD2162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05A931F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-14.2%</w:t>
            </w:r>
          </w:p>
        </w:tc>
        <w:tc>
          <w:tcPr>
            <w:tcW w:w="1419" w:type="dxa"/>
            <w:tcBorders>
              <w:top w:val="nil"/>
              <w:left w:val="nil"/>
              <w:bottom w:val="single" w:sz="4" w:space="0" w:color="auto"/>
              <w:right w:val="single" w:sz="4" w:space="0" w:color="auto"/>
            </w:tcBorders>
            <w:noWrap/>
            <w:hideMark/>
          </w:tcPr>
          <w:p w14:paraId="46ED6E2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-6.1%</w:t>
            </w:r>
          </w:p>
        </w:tc>
        <w:tc>
          <w:tcPr>
            <w:tcW w:w="1276" w:type="dxa"/>
            <w:tcBorders>
              <w:top w:val="nil"/>
              <w:left w:val="nil"/>
              <w:bottom w:val="single" w:sz="4" w:space="0" w:color="auto"/>
              <w:right w:val="single" w:sz="4" w:space="0" w:color="auto"/>
            </w:tcBorders>
            <w:hideMark/>
          </w:tcPr>
          <w:p w14:paraId="1DA776D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-28.8%</w:t>
            </w:r>
          </w:p>
        </w:tc>
        <w:tc>
          <w:tcPr>
            <w:tcW w:w="1275" w:type="dxa"/>
            <w:tcBorders>
              <w:top w:val="nil"/>
              <w:left w:val="nil"/>
              <w:bottom w:val="single" w:sz="4" w:space="0" w:color="auto"/>
              <w:right w:val="single" w:sz="4" w:space="0" w:color="auto"/>
            </w:tcBorders>
            <w:hideMark/>
          </w:tcPr>
          <w:p w14:paraId="3C877B3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-22.3%</w:t>
            </w:r>
          </w:p>
        </w:tc>
        <w:tc>
          <w:tcPr>
            <w:tcW w:w="1418" w:type="dxa"/>
            <w:tcBorders>
              <w:top w:val="nil"/>
              <w:left w:val="nil"/>
              <w:bottom w:val="single" w:sz="4" w:space="0" w:color="auto"/>
              <w:right w:val="single" w:sz="4" w:space="0" w:color="auto"/>
            </w:tcBorders>
            <w:hideMark/>
          </w:tcPr>
          <w:p w14:paraId="348F982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0.5%</w:t>
            </w:r>
          </w:p>
        </w:tc>
      </w:tr>
      <w:tr w:rsidR="007B29DD" w14:paraId="78422E7E"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7FE5644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South Gippsland (227)</w:t>
            </w:r>
          </w:p>
        </w:tc>
        <w:tc>
          <w:tcPr>
            <w:tcW w:w="1559" w:type="dxa"/>
            <w:tcBorders>
              <w:top w:val="nil"/>
              <w:left w:val="nil"/>
              <w:bottom w:val="single" w:sz="4" w:space="0" w:color="auto"/>
              <w:right w:val="single" w:sz="4" w:space="0" w:color="auto"/>
            </w:tcBorders>
            <w:shd w:val="clear" w:color="auto" w:fill="D9D9D9"/>
            <w:vAlign w:val="center"/>
            <w:hideMark/>
          </w:tcPr>
          <w:p w14:paraId="1E44843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4591AB4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-11.7%</w:t>
            </w:r>
          </w:p>
        </w:tc>
        <w:tc>
          <w:tcPr>
            <w:tcW w:w="1419" w:type="dxa"/>
            <w:tcBorders>
              <w:top w:val="nil"/>
              <w:left w:val="nil"/>
              <w:bottom w:val="single" w:sz="4" w:space="0" w:color="auto"/>
              <w:right w:val="single" w:sz="4" w:space="0" w:color="auto"/>
            </w:tcBorders>
            <w:shd w:val="clear" w:color="auto" w:fill="D9D9D9"/>
            <w:noWrap/>
            <w:hideMark/>
          </w:tcPr>
          <w:p w14:paraId="006435C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-6.1%</w:t>
            </w:r>
          </w:p>
        </w:tc>
        <w:tc>
          <w:tcPr>
            <w:tcW w:w="1276" w:type="dxa"/>
            <w:tcBorders>
              <w:top w:val="nil"/>
              <w:left w:val="nil"/>
              <w:bottom w:val="single" w:sz="4" w:space="0" w:color="auto"/>
              <w:right w:val="single" w:sz="4" w:space="0" w:color="auto"/>
            </w:tcBorders>
            <w:shd w:val="clear" w:color="auto" w:fill="D9D9D9"/>
            <w:hideMark/>
          </w:tcPr>
          <w:p w14:paraId="1F6F16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-22.7%</w:t>
            </w:r>
          </w:p>
        </w:tc>
        <w:tc>
          <w:tcPr>
            <w:tcW w:w="1275" w:type="dxa"/>
            <w:tcBorders>
              <w:top w:val="nil"/>
              <w:left w:val="nil"/>
              <w:bottom w:val="single" w:sz="4" w:space="0" w:color="auto"/>
              <w:right w:val="single" w:sz="4" w:space="0" w:color="auto"/>
            </w:tcBorders>
            <w:shd w:val="clear" w:color="auto" w:fill="D9D9D9"/>
            <w:hideMark/>
          </w:tcPr>
          <w:p w14:paraId="03AF363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-20.6%</w:t>
            </w:r>
          </w:p>
        </w:tc>
        <w:tc>
          <w:tcPr>
            <w:tcW w:w="1418" w:type="dxa"/>
            <w:tcBorders>
              <w:top w:val="nil"/>
              <w:left w:val="nil"/>
              <w:bottom w:val="single" w:sz="4" w:space="0" w:color="auto"/>
              <w:right w:val="single" w:sz="4" w:space="0" w:color="auto"/>
            </w:tcBorders>
            <w:shd w:val="clear" w:color="auto" w:fill="D9D9D9"/>
            <w:hideMark/>
          </w:tcPr>
          <w:p w14:paraId="73BEC2C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5.9%</w:t>
            </w:r>
          </w:p>
        </w:tc>
      </w:tr>
      <w:tr w:rsidR="007B29DD" w14:paraId="2572204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DFE839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80B46B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73A5CFC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-15.9%</w:t>
            </w:r>
          </w:p>
        </w:tc>
        <w:tc>
          <w:tcPr>
            <w:tcW w:w="1419" w:type="dxa"/>
            <w:tcBorders>
              <w:top w:val="nil"/>
              <w:left w:val="nil"/>
              <w:bottom w:val="single" w:sz="4" w:space="0" w:color="auto"/>
              <w:right w:val="single" w:sz="4" w:space="0" w:color="auto"/>
            </w:tcBorders>
            <w:shd w:val="clear" w:color="auto" w:fill="D9D9D9"/>
            <w:noWrap/>
            <w:hideMark/>
          </w:tcPr>
          <w:p w14:paraId="3B20B63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-4.8%</w:t>
            </w:r>
          </w:p>
        </w:tc>
        <w:tc>
          <w:tcPr>
            <w:tcW w:w="1276" w:type="dxa"/>
            <w:tcBorders>
              <w:top w:val="nil"/>
              <w:left w:val="nil"/>
              <w:bottom w:val="single" w:sz="4" w:space="0" w:color="auto"/>
              <w:right w:val="single" w:sz="4" w:space="0" w:color="auto"/>
            </w:tcBorders>
            <w:shd w:val="clear" w:color="auto" w:fill="D9D9D9"/>
            <w:hideMark/>
          </w:tcPr>
          <w:p w14:paraId="70FB73B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-37.6%</w:t>
            </w:r>
          </w:p>
        </w:tc>
        <w:tc>
          <w:tcPr>
            <w:tcW w:w="1275" w:type="dxa"/>
            <w:tcBorders>
              <w:top w:val="nil"/>
              <w:left w:val="nil"/>
              <w:bottom w:val="single" w:sz="4" w:space="0" w:color="auto"/>
              <w:right w:val="single" w:sz="4" w:space="0" w:color="auto"/>
            </w:tcBorders>
            <w:shd w:val="clear" w:color="auto" w:fill="D9D9D9"/>
            <w:hideMark/>
          </w:tcPr>
          <w:p w14:paraId="7992E02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-24.2%</w:t>
            </w:r>
          </w:p>
        </w:tc>
        <w:tc>
          <w:tcPr>
            <w:tcW w:w="1418" w:type="dxa"/>
            <w:tcBorders>
              <w:top w:val="nil"/>
              <w:left w:val="nil"/>
              <w:bottom w:val="single" w:sz="4" w:space="0" w:color="auto"/>
              <w:right w:val="single" w:sz="4" w:space="0" w:color="auto"/>
            </w:tcBorders>
            <w:shd w:val="clear" w:color="auto" w:fill="D9D9D9"/>
            <w:hideMark/>
          </w:tcPr>
          <w:p w14:paraId="12AD827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r>
      <w:tr w:rsidR="007B29DD" w14:paraId="18B5B67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64C83C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0694B0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270398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-13.1%</w:t>
            </w:r>
          </w:p>
        </w:tc>
        <w:tc>
          <w:tcPr>
            <w:tcW w:w="1419" w:type="dxa"/>
            <w:tcBorders>
              <w:top w:val="nil"/>
              <w:left w:val="nil"/>
              <w:bottom w:val="single" w:sz="4" w:space="0" w:color="auto"/>
              <w:right w:val="single" w:sz="4" w:space="0" w:color="auto"/>
            </w:tcBorders>
            <w:shd w:val="clear" w:color="auto" w:fill="D9D9D9"/>
            <w:noWrap/>
            <w:hideMark/>
          </w:tcPr>
          <w:p w14:paraId="665C2F7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-7.8%</w:t>
            </w:r>
          </w:p>
        </w:tc>
        <w:tc>
          <w:tcPr>
            <w:tcW w:w="1276" w:type="dxa"/>
            <w:tcBorders>
              <w:top w:val="nil"/>
              <w:left w:val="nil"/>
              <w:bottom w:val="single" w:sz="4" w:space="0" w:color="auto"/>
              <w:right w:val="single" w:sz="4" w:space="0" w:color="auto"/>
            </w:tcBorders>
            <w:shd w:val="clear" w:color="auto" w:fill="D9D9D9"/>
            <w:hideMark/>
          </w:tcPr>
          <w:p w14:paraId="7996856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-23.5%</w:t>
            </w:r>
          </w:p>
        </w:tc>
        <w:tc>
          <w:tcPr>
            <w:tcW w:w="1275" w:type="dxa"/>
            <w:tcBorders>
              <w:top w:val="nil"/>
              <w:left w:val="nil"/>
              <w:bottom w:val="single" w:sz="4" w:space="0" w:color="auto"/>
              <w:right w:val="single" w:sz="4" w:space="0" w:color="auto"/>
            </w:tcBorders>
            <w:shd w:val="clear" w:color="auto" w:fill="D9D9D9"/>
            <w:hideMark/>
          </w:tcPr>
          <w:p w14:paraId="1E88CD1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-19.8%</w:t>
            </w:r>
          </w:p>
        </w:tc>
        <w:tc>
          <w:tcPr>
            <w:tcW w:w="1418" w:type="dxa"/>
            <w:tcBorders>
              <w:top w:val="nil"/>
              <w:left w:val="nil"/>
              <w:bottom w:val="single" w:sz="4" w:space="0" w:color="auto"/>
              <w:right w:val="single" w:sz="4" w:space="0" w:color="auto"/>
            </w:tcBorders>
            <w:shd w:val="clear" w:color="auto" w:fill="D9D9D9"/>
            <w:hideMark/>
          </w:tcPr>
          <w:p w14:paraId="012F900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-0.1%</w:t>
            </w:r>
          </w:p>
        </w:tc>
      </w:tr>
      <w:tr w:rsidR="007B29DD" w14:paraId="536BCC2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E24A243"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E718C7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5526823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-13.4%</w:t>
            </w:r>
          </w:p>
        </w:tc>
        <w:tc>
          <w:tcPr>
            <w:tcW w:w="1419" w:type="dxa"/>
            <w:tcBorders>
              <w:top w:val="nil"/>
              <w:left w:val="nil"/>
              <w:bottom w:val="single" w:sz="4" w:space="0" w:color="auto"/>
              <w:right w:val="single" w:sz="4" w:space="0" w:color="auto"/>
            </w:tcBorders>
            <w:shd w:val="clear" w:color="auto" w:fill="D9D9D9"/>
            <w:noWrap/>
            <w:hideMark/>
          </w:tcPr>
          <w:p w14:paraId="415D628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-5.6%</w:t>
            </w:r>
          </w:p>
        </w:tc>
        <w:tc>
          <w:tcPr>
            <w:tcW w:w="1276" w:type="dxa"/>
            <w:tcBorders>
              <w:top w:val="nil"/>
              <w:left w:val="nil"/>
              <w:bottom w:val="single" w:sz="4" w:space="0" w:color="auto"/>
              <w:right w:val="single" w:sz="4" w:space="0" w:color="auto"/>
            </w:tcBorders>
            <w:shd w:val="clear" w:color="auto" w:fill="D9D9D9"/>
            <w:hideMark/>
          </w:tcPr>
          <w:p w14:paraId="369A03E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-28.6%</w:t>
            </w:r>
          </w:p>
        </w:tc>
        <w:tc>
          <w:tcPr>
            <w:tcW w:w="1275" w:type="dxa"/>
            <w:tcBorders>
              <w:top w:val="nil"/>
              <w:left w:val="nil"/>
              <w:bottom w:val="single" w:sz="4" w:space="0" w:color="auto"/>
              <w:right w:val="single" w:sz="4" w:space="0" w:color="auto"/>
            </w:tcBorders>
            <w:shd w:val="clear" w:color="auto" w:fill="D9D9D9"/>
            <w:hideMark/>
          </w:tcPr>
          <w:p w14:paraId="4D9572F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-20.5%</w:t>
            </w:r>
          </w:p>
        </w:tc>
        <w:tc>
          <w:tcPr>
            <w:tcW w:w="1418" w:type="dxa"/>
            <w:tcBorders>
              <w:top w:val="nil"/>
              <w:left w:val="nil"/>
              <w:bottom w:val="single" w:sz="4" w:space="0" w:color="auto"/>
              <w:right w:val="single" w:sz="4" w:space="0" w:color="auto"/>
            </w:tcBorders>
            <w:shd w:val="clear" w:color="auto" w:fill="D9D9D9"/>
            <w:hideMark/>
          </w:tcPr>
          <w:p w14:paraId="7969303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0.6%</w:t>
            </w:r>
          </w:p>
        </w:tc>
      </w:tr>
      <w:tr w:rsidR="007B29DD" w14:paraId="5319327D"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6983DF1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Bunyip (228)</w:t>
            </w:r>
          </w:p>
        </w:tc>
        <w:tc>
          <w:tcPr>
            <w:tcW w:w="1559" w:type="dxa"/>
            <w:tcBorders>
              <w:top w:val="nil"/>
              <w:left w:val="nil"/>
              <w:bottom w:val="single" w:sz="4" w:space="0" w:color="auto"/>
              <w:right w:val="single" w:sz="4" w:space="0" w:color="auto"/>
            </w:tcBorders>
            <w:vAlign w:val="center"/>
            <w:hideMark/>
          </w:tcPr>
          <w:p w14:paraId="031256E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719D158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-10.9%</w:t>
            </w:r>
          </w:p>
        </w:tc>
        <w:tc>
          <w:tcPr>
            <w:tcW w:w="1419" w:type="dxa"/>
            <w:tcBorders>
              <w:top w:val="nil"/>
              <w:left w:val="nil"/>
              <w:bottom w:val="single" w:sz="4" w:space="0" w:color="auto"/>
              <w:right w:val="single" w:sz="4" w:space="0" w:color="auto"/>
            </w:tcBorders>
            <w:noWrap/>
            <w:hideMark/>
          </w:tcPr>
          <w:p w14:paraId="324F3FE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-6.0%</w:t>
            </w:r>
          </w:p>
        </w:tc>
        <w:tc>
          <w:tcPr>
            <w:tcW w:w="1276" w:type="dxa"/>
            <w:tcBorders>
              <w:top w:val="nil"/>
              <w:left w:val="nil"/>
              <w:bottom w:val="single" w:sz="4" w:space="0" w:color="auto"/>
              <w:right w:val="single" w:sz="4" w:space="0" w:color="auto"/>
            </w:tcBorders>
            <w:hideMark/>
          </w:tcPr>
          <w:p w14:paraId="2552338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-20.2%</w:t>
            </w:r>
          </w:p>
        </w:tc>
        <w:tc>
          <w:tcPr>
            <w:tcW w:w="1275" w:type="dxa"/>
            <w:tcBorders>
              <w:top w:val="nil"/>
              <w:left w:val="nil"/>
              <w:bottom w:val="single" w:sz="4" w:space="0" w:color="auto"/>
              <w:right w:val="single" w:sz="4" w:space="0" w:color="auto"/>
            </w:tcBorders>
            <w:hideMark/>
          </w:tcPr>
          <w:p w14:paraId="5D9013B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-20.0%</w:t>
            </w:r>
          </w:p>
        </w:tc>
        <w:tc>
          <w:tcPr>
            <w:tcW w:w="1418" w:type="dxa"/>
            <w:tcBorders>
              <w:top w:val="nil"/>
              <w:left w:val="nil"/>
              <w:bottom w:val="single" w:sz="4" w:space="0" w:color="auto"/>
              <w:right w:val="single" w:sz="4" w:space="0" w:color="auto"/>
            </w:tcBorders>
            <w:hideMark/>
          </w:tcPr>
          <w:p w14:paraId="7B504FF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6.2%</w:t>
            </w:r>
          </w:p>
        </w:tc>
      </w:tr>
      <w:tr w:rsidR="007B29DD" w14:paraId="036AB15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8B2CB3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E2BB73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7E2124A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-16.1%</w:t>
            </w:r>
          </w:p>
        </w:tc>
        <w:tc>
          <w:tcPr>
            <w:tcW w:w="1419" w:type="dxa"/>
            <w:tcBorders>
              <w:top w:val="nil"/>
              <w:left w:val="nil"/>
              <w:bottom w:val="single" w:sz="4" w:space="0" w:color="auto"/>
              <w:right w:val="single" w:sz="4" w:space="0" w:color="auto"/>
            </w:tcBorders>
            <w:noWrap/>
            <w:hideMark/>
          </w:tcPr>
          <w:p w14:paraId="5887184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w:t>
            </w:r>
          </w:p>
        </w:tc>
        <w:tc>
          <w:tcPr>
            <w:tcW w:w="1276" w:type="dxa"/>
            <w:tcBorders>
              <w:top w:val="nil"/>
              <w:left w:val="nil"/>
              <w:bottom w:val="single" w:sz="4" w:space="0" w:color="auto"/>
              <w:right w:val="single" w:sz="4" w:space="0" w:color="auto"/>
            </w:tcBorders>
            <w:hideMark/>
          </w:tcPr>
          <w:p w14:paraId="51BBCCF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-39.4%</w:t>
            </w:r>
          </w:p>
        </w:tc>
        <w:tc>
          <w:tcPr>
            <w:tcW w:w="1275" w:type="dxa"/>
            <w:tcBorders>
              <w:top w:val="nil"/>
              <w:left w:val="nil"/>
              <w:bottom w:val="single" w:sz="4" w:space="0" w:color="auto"/>
              <w:right w:val="single" w:sz="4" w:space="0" w:color="auto"/>
            </w:tcBorders>
            <w:hideMark/>
          </w:tcPr>
          <w:p w14:paraId="2CB3D44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-25.1%</w:t>
            </w:r>
          </w:p>
        </w:tc>
        <w:tc>
          <w:tcPr>
            <w:tcW w:w="1418" w:type="dxa"/>
            <w:tcBorders>
              <w:top w:val="nil"/>
              <w:left w:val="nil"/>
              <w:bottom w:val="single" w:sz="4" w:space="0" w:color="auto"/>
              <w:right w:val="single" w:sz="4" w:space="0" w:color="auto"/>
            </w:tcBorders>
            <w:hideMark/>
          </w:tcPr>
          <w:p w14:paraId="09E3CE3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0.8%</w:t>
            </w:r>
          </w:p>
        </w:tc>
      </w:tr>
      <w:tr w:rsidR="007B29DD" w14:paraId="1C1D1EA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F22AB5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01382F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67951D1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-11.9%</w:t>
            </w:r>
          </w:p>
        </w:tc>
        <w:tc>
          <w:tcPr>
            <w:tcW w:w="1419" w:type="dxa"/>
            <w:tcBorders>
              <w:top w:val="nil"/>
              <w:left w:val="nil"/>
              <w:bottom w:val="single" w:sz="4" w:space="0" w:color="auto"/>
              <w:right w:val="single" w:sz="4" w:space="0" w:color="auto"/>
            </w:tcBorders>
            <w:noWrap/>
            <w:hideMark/>
          </w:tcPr>
          <w:p w14:paraId="5E890A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-4.9%</w:t>
            </w:r>
          </w:p>
        </w:tc>
        <w:tc>
          <w:tcPr>
            <w:tcW w:w="1276" w:type="dxa"/>
            <w:tcBorders>
              <w:top w:val="nil"/>
              <w:left w:val="nil"/>
              <w:bottom w:val="single" w:sz="4" w:space="0" w:color="auto"/>
              <w:right w:val="single" w:sz="4" w:space="0" w:color="auto"/>
            </w:tcBorders>
            <w:hideMark/>
          </w:tcPr>
          <w:p w14:paraId="4A5F6EE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-25.2%</w:t>
            </w:r>
          </w:p>
        </w:tc>
        <w:tc>
          <w:tcPr>
            <w:tcW w:w="1275" w:type="dxa"/>
            <w:tcBorders>
              <w:top w:val="nil"/>
              <w:left w:val="nil"/>
              <w:bottom w:val="single" w:sz="4" w:space="0" w:color="auto"/>
              <w:right w:val="single" w:sz="4" w:space="0" w:color="auto"/>
            </w:tcBorders>
            <w:hideMark/>
          </w:tcPr>
          <w:p w14:paraId="4A2F251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-23.3%</w:t>
            </w:r>
          </w:p>
        </w:tc>
        <w:tc>
          <w:tcPr>
            <w:tcW w:w="1418" w:type="dxa"/>
            <w:tcBorders>
              <w:top w:val="nil"/>
              <w:left w:val="nil"/>
              <w:bottom w:val="single" w:sz="4" w:space="0" w:color="auto"/>
              <w:right w:val="single" w:sz="4" w:space="0" w:color="auto"/>
            </w:tcBorders>
            <w:hideMark/>
          </w:tcPr>
          <w:p w14:paraId="0DAF60B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9.7%</w:t>
            </w:r>
          </w:p>
        </w:tc>
      </w:tr>
      <w:tr w:rsidR="007B29DD" w14:paraId="639D77F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42D909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030F980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084791A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-13.9%</w:t>
            </w:r>
          </w:p>
        </w:tc>
        <w:tc>
          <w:tcPr>
            <w:tcW w:w="1419" w:type="dxa"/>
            <w:tcBorders>
              <w:top w:val="nil"/>
              <w:left w:val="nil"/>
              <w:bottom w:val="single" w:sz="4" w:space="0" w:color="auto"/>
              <w:right w:val="single" w:sz="4" w:space="0" w:color="auto"/>
            </w:tcBorders>
            <w:noWrap/>
            <w:hideMark/>
          </w:tcPr>
          <w:p w14:paraId="3CAC1A2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-6.0%</w:t>
            </w:r>
          </w:p>
        </w:tc>
        <w:tc>
          <w:tcPr>
            <w:tcW w:w="1276" w:type="dxa"/>
            <w:tcBorders>
              <w:top w:val="nil"/>
              <w:left w:val="nil"/>
              <w:bottom w:val="single" w:sz="4" w:space="0" w:color="auto"/>
              <w:right w:val="single" w:sz="4" w:space="0" w:color="auto"/>
            </w:tcBorders>
            <w:hideMark/>
          </w:tcPr>
          <w:p w14:paraId="31740A2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-28.9%</w:t>
            </w:r>
          </w:p>
        </w:tc>
        <w:tc>
          <w:tcPr>
            <w:tcW w:w="1275" w:type="dxa"/>
            <w:tcBorders>
              <w:top w:val="nil"/>
              <w:left w:val="nil"/>
              <w:bottom w:val="single" w:sz="4" w:space="0" w:color="auto"/>
              <w:right w:val="single" w:sz="4" w:space="0" w:color="auto"/>
            </w:tcBorders>
            <w:hideMark/>
          </w:tcPr>
          <w:p w14:paraId="4BB6230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-21.2%</w:t>
            </w:r>
          </w:p>
        </w:tc>
        <w:tc>
          <w:tcPr>
            <w:tcW w:w="1418" w:type="dxa"/>
            <w:tcBorders>
              <w:top w:val="nil"/>
              <w:left w:val="nil"/>
              <w:bottom w:val="single" w:sz="4" w:space="0" w:color="auto"/>
              <w:right w:val="single" w:sz="4" w:space="0" w:color="auto"/>
            </w:tcBorders>
            <w:hideMark/>
          </w:tcPr>
          <w:p w14:paraId="2569B6F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-0.2%</w:t>
            </w:r>
          </w:p>
        </w:tc>
      </w:tr>
      <w:tr w:rsidR="007B29DD" w14:paraId="41F3B97F"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2B0F8B08"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Yarra (229)</w:t>
            </w:r>
          </w:p>
        </w:tc>
        <w:tc>
          <w:tcPr>
            <w:tcW w:w="1559" w:type="dxa"/>
            <w:tcBorders>
              <w:top w:val="nil"/>
              <w:left w:val="nil"/>
              <w:bottom w:val="single" w:sz="4" w:space="0" w:color="auto"/>
              <w:right w:val="single" w:sz="4" w:space="0" w:color="auto"/>
            </w:tcBorders>
            <w:shd w:val="clear" w:color="auto" w:fill="D9D9D9"/>
            <w:vAlign w:val="center"/>
            <w:hideMark/>
          </w:tcPr>
          <w:p w14:paraId="0E557F0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00F6460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-10.5%</w:t>
            </w:r>
          </w:p>
        </w:tc>
        <w:tc>
          <w:tcPr>
            <w:tcW w:w="1419" w:type="dxa"/>
            <w:tcBorders>
              <w:top w:val="nil"/>
              <w:left w:val="nil"/>
              <w:bottom w:val="single" w:sz="4" w:space="0" w:color="auto"/>
              <w:right w:val="single" w:sz="4" w:space="0" w:color="auto"/>
            </w:tcBorders>
            <w:shd w:val="clear" w:color="auto" w:fill="D9D9D9"/>
            <w:noWrap/>
            <w:hideMark/>
          </w:tcPr>
          <w:p w14:paraId="02E9F76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-5.7%</w:t>
            </w:r>
          </w:p>
        </w:tc>
        <w:tc>
          <w:tcPr>
            <w:tcW w:w="1276" w:type="dxa"/>
            <w:tcBorders>
              <w:top w:val="nil"/>
              <w:left w:val="nil"/>
              <w:bottom w:val="single" w:sz="4" w:space="0" w:color="auto"/>
              <w:right w:val="single" w:sz="4" w:space="0" w:color="auto"/>
            </w:tcBorders>
            <w:shd w:val="clear" w:color="auto" w:fill="D9D9D9"/>
            <w:hideMark/>
          </w:tcPr>
          <w:p w14:paraId="64C5EBD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-19.5%</w:t>
            </w:r>
          </w:p>
        </w:tc>
        <w:tc>
          <w:tcPr>
            <w:tcW w:w="1275" w:type="dxa"/>
            <w:tcBorders>
              <w:top w:val="nil"/>
              <w:left w:val="nil"/>
              <w:bottom w:val="single" w:sz="4" w:space="0" w:color="auto"/>
              <w:right w:val="single" w:sz="4" w:space="0" w:color="auto"/>
            </w:tcBorders>
            <w:shd w:val="clear" w:color="auto" w:fill="D9D9D9"/>
            <w:hideMark/>
          </w:tcPr>
          <w:p w14:paraId="17F6456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-19.8%</w:t>
            </w:r>
          </w:p>
        </w:tc>
        <w:tc>
          <w:tcPr>
            <w:tcW w:w="1418" w:type="dxa"/>
            <w:tcBorders>
              <w:top w:val="nil"/>
              <w:left w:val="nil"/>
              <w:bottom w:val="single" w:sz="4" w:space="0" w:color="auto"/>
              <w:right w:val="single" w:sz="4" w:space="0" w:color="auto"/>
            </w:tcBorders>
            <w:shd w:val="clear" w:color="auto" w:fill="D9D9D9"/>
            <w:hideMark/>
          </w:tcPr>
          <w:p w14:paraId="5DD14FE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7.0%</w:t>
            </w:r>
          </w:p>
        </w:tc>
      </w:tr>
      <w:tr w:rsidR="007B29DD" w14:paraId="44B584D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E200FC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F0A52E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7A1B73A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-20.6%</w:t>
            </w:r>
          </w:p>
        </w:tc>
        <w:tc>
          <w:tcPr>
            <w:tcW w:w="1419" w:type="dxa"/>
            <w:tcBorders>
              <w:top w:val="nil"/>
              <w:left w:val="nil"/>
              <w:bottom w:val="single" w:sz="4" w:space="0" w:color="auto"/>
              <w:right w:val="single" w:sz="4" w:space="0" w:color="auto"/>
            </w:tcBorders>
            <w:shd w:val="clear" w:color="auto" w:fill="D9D9D9"/>
            <w:noWrap/>
            <w:hideMark/>
          </w:tcPr>
          <w:p w14:paraId="0A30EB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-8.5%</w:t>
            </w:r>
          </w:p>
        </w:tc>
        <w:tc>
          <w:tcPr>
            <w:tcW w:w="1276" w:type="dxa"/>
            <w:tcBorders>
              <w:top w:val="nil"/>
              <w:left w:val="nil"/>
              <w:bottom w:val="single" w:sz="4" w:space="0" w:color="auto"/>
              <w:right w:val="single" w:sz="4" w:space="0" w:color="auto"/>
            </w:tcBorders>
            <w:shd w:val="clear" w:color="auto" w:fill="D9D9D9"/>
            <w:hideMark/>
          </w:tcPr>
          <w:p w14:paraId="11B7C35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-43.3%</w:t>
            </w:r>
          </w:p>
        </w:tc>
        <w:tc>
          <w:tcPr>
            <w:tcW w:w="1275" w:type="dxa"/>
            <w:tcBorders>
              <w:top w:val="nil"/>
              <w:left w:val="nil"/>
              <w:bottom w:val="single" w:sz="4" w:space="0" w:color="auto"/>
              <w:right w:val="single" w:sz="4" w:space="0" w:color="auto"/>
            </w:tcBorders>
            <w:shd w:val="clear" w:color="auto" w:fill="D9D9D9"/>
            <w:hideMark/>
          </w:tcPr>
          <w:p w14:paraId="51CD053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-29.6%</w:t>
            </w:r>
          </w:p>
        </w:tc>
        <w:tc>
          <w:tcPr>
            <w:tcW w:w="1418" w:type="dxa"/>
            <w:tcBorders>
              <w:top w:val="nil"/>
              <w:left w:val="nil"/>
              <w:bottom w:val="single" w:sz="4" w:space="0" w:color="auto"/>
              <w:right w:val="single" w:sz="4" w:space="0" w:color="auto"/>
            </w:tcBorders>
            <w:shd w:val="clear" w:color="auto" w:fill="D9D9D9"/>
            <w:hideMark/>
          </w:tcPr>
          <w:p w14:paraId="414D11E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w:t>
            </w:r>
          </w:p>
        </w:tc>
      </w:tr>
      <w:tr w:rsidR="007B29DD" w14:paraId="6E17023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2B7155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4BA522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3AEF11D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-12.5%</w:t>
            </w:r>
          </w:p>
        </w:tc>
        <w:tc>
          <w:tcPr>
            <w:tcW w:w="1419" w:type="dxa"/>
            <w:tcBorders>
              <w:top w:val="nil"/>
              <w:left w:val="nil"/>
              <w:bottom w:val="single" w:sz="4" w:space="0" w:color="auto"/>
              <w:right w:val="single" w:sz="4" w:space="0" w:color="auto"/>
            </w:tcBorders>
            <w:shd w:val="clear" w:color="auto" w:fill="D9D9D9"/>
            <w:noWrap/>
            <w:hideMark/>
          </w:tcPr>
          <w:p w14:paraId="008D3EC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-6.1%</w:t>
            </w:r>
          </w:p>
        </w:tc>
        <w:tc>
          <w:tcPr>
            <w:tcW w:w="1276" w:type="dxa"/>
            <w:tcBorders>
              <w:top w:val="nil"/>
              <w:left w:val="nil"/>
              <w:bottom w:val="single" w:sz="4" w:space="0" w:color="auto"/>
              <w:right w:val="single" w:sz="4" w:space="0" w:color="auto"/>
            </w:tcBorders>
            <w:shd w:val="clear" w:color="auto" w:fill="D9D9D9"/>
            <w:hideMark/>
          </w:tcPr>
          <w:p w14:paraId="45AD221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-24.5%</w:t>
            </w:r>
          </w:p>
        </w:tc>
        <w:tc>
          <w:tcPr>
            <w:tcW w:w="1275" w:type="dxa"/>
            <w:tcBorders>
              <w:top w:val="nil"/>
              <w:left w:val="nil"/>
              <w:bottom w:val="single" w:sz="4" w:space="0" w:color="auto"/>
              <w:right w:val="single" w:sz="4" w:space="0" w:color="auto"/>
            </w:tcBorders>
            <w:shd w:val="clear" w:color="auto" w:fill="D9D9D9"/>
            <w:hideMark/>
          </w:tcPr>
          <w:p w14:paraId="1E00C99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-28.2%</w:t>
            </w:r>
          </w:p>
        </w:tc>
        <w:tc>
          <w:tcPr>
            <w:tcW w:w="1418" w:type="dxa"/>
            <w:tcBorders>
              <w:top w:val="nil"/>
              <w:left w:val="nil"/>
              <w:bottom w:val="single" w:sz="4" w:space="0" w:color="auto"/>
              <w:right w:val="single" w:sz="4" w:space="0" w:color="auto"/>
            </w:tcBorders>
            <w:shd w:val="clear" w:color="auto" w:fill="D9D9D9"/>
            <w:hideMark/>
          </w:tcPr>
          <w:p w14:paraId="1F43260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17.1%</w:t>
            </w:r>
          </w:p>
        </w:tc>
      </w:tr>
      <w:tr w:rsidR="007B29DD" w14:paraId="42B44E2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3BD7EE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7BA4C4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10DB40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-14.8%</w:t>
            </w:r>
          </w:p>
        </w:tc>
        <w:tc>
          <w:tcPr>
            <w:tcW w:w="1419" w:type="dxa"/>
            <w:tcBorders>
              <w:top w:val="nil"/>
              <w:left w:val="nil"/>
              <w:bottom w:val="single" w:sz="4" w:space="0" w:color="auto"/>
              <w:right w:val="single" w:sz="4" w:space="0" w:color="auto"/>
            </w:tcBorders>
            <w:shd w:val="clear" w:color="auto" w:fill="D9D9D9"/>
            <w:noWrap/>
            <w:hideMark/>
          </w:tcPr>
          <w:p w14:paraId="65C182F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-7.5%</w:t>
            </w:r>
          </w:p>
        </w:tc>
        <w:tc>
          <w:tcPr>
            <w:tcW w:w="1276" w:type="dxa"/>
            <w:tcBorders>
              <w:top w:val="nil"/>
              <w:left w:val="nil"/>
              <w:bottom w:val="single" w:sz="4" w:space="0" w:color="auto"/>
              <w:right w:val="single" w:sz="4" w:space="0" w:color="auto"/>
            </w:tcBorders>
            <w:shd w:val="clear" w:color="auto" w:fill="D9D9D9"/>
            <w:hideMark/>
          </w:tcPr>
          <w:p w14:paraId="4BCAC7B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-28.5%</w:t>
            </w:r>
          </w:p>
        </w:tc>
        <w:tc>
          <w:tcPr>
            <w:tcW w:w="1275" w:type="dxa"/>
            <w:tcBorders>
              <w:top w:val="nil"/>
              <w:left w:val="nil"/>
              <w:bottom w:val="single" w:sz="4" w:space="0" w:color="auto"/>
              <w:right w:val="single" w:sz="4" w:space="0" w:color="auto"/>
            </w:tcBorders>
            <w:shd w:val="clear" w:color="auto" w:fill="D9D9D9"/>
            <w:hideMark/>
          </w:tcPr>
          <w:p w14:paraId="3D5CFD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-22.8%</w:t>
            </w:r>
          </w:p>
        </w:tc>
        <w:tc>
          <w:tcPr>
            <w:tcW w:w="1418" w:type="dxa"/>
            <w:tcBorders>
              <w:top w:val="nil"/>
              <w:left w:val="nil"/>
              <w:bottom w:val="single" w:sz="4" w:space="0" w:color="auto"/>
              <w:right w:val="single" w:sz="4" w:space="0" w:color="auto"/>
            </w:tcBorders>
            <w:shd w:val="clear" w:color="auto" w:fill="D9D9D9"/>
            <w:hideMark/>
          </w:tcPr>
          <w:p w14:paraId="337C4D7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r>
      <w:tr w:rsidR="007B29DD" w14:paraId="14D14E22"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1A272768"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Maribyrnong (230)</w:t>
            </w:r>
          </w:p>
        </w:tc>
        <w:tc>
          <w:tcPr>
            <w:tcW w:w="1559" w:type="dxa"/>
            <w:tcBorders>
              <w:top w:val="nil"/>
              <w:left w:val="nil"/>
              <w:bottom w:val="single" w:sz="4" w:space="0" w:color="auto"/>
              <w:right w:val="single" w:sz="4" w:space="0" w:color="auto"/>
            </w:tcBorders>
            <w:vAlign w:val="center"/>
            <w:hideMark/>
          </w:tcPr>
          <w:p w14:paraId="6B1F703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020A0A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-12.0%</w:t>
            </w:r>
          </w:p>
        </w:tc>
        <w:tc>
          <w:tcPr>
            <w:tcW w:w="1419" w:type="dxa"/>
            <w:tcBorders>
              <w:top w:val="nil"/>
              <w:left w:val="nil"/>
              <w:bottom w:val="single" w:sz="4" w:space="0" w:color="auto"/>
              <w:right w:val="single" w:sz="4" w:space="0" w:color="auto"/>
            </w:tcBorders>
            <w:noWrap/>
            <w:hideMark/>
          </w:tcPr>
          <w:p w14:paraId="6EBF389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-7.2%</w:t>
            </w:r>
          </w:p>
        </w:tc>
        <w:tc>
          <w:tcPr>
            <w:tcW w:w="1276" w:type="dxa"/>
            <w:tcBorders>
              <w:top w:val="nil"/>
              <w:left w:val="nil"/>
              <w:bottom w:val="single" w:sz="4" w:space="0" w:color="auto"/>
              <w:right w:val="single" w:sz="4" w:space="0" w:color="auto"/>
            </w:tcBorders>
            <w:hideMark/>
          </w:tcPr>
          <w:p w14:paraId="38EB25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-20.5%</w:t>
            </w:r>
          </w:p>
        </w:tc>
        <w:tc>
          <w:tcPr>
            <w:tcW w:w="1275" w:type="dxa"/>
            <w:tcBorders>
              <w:top w:val="nil"/>
              <w:left w:val="nil"/>
              <w:bottom w:val="single" w:sz="4" w:space="0" w:color="auto"/>
              <w:right w:val="single" w:sz="4" w:space="0" w:color="auto"/>
            </w:tcBorders>
            <w:hideMark/>
          </w:tcPr>
          <w:p w14:paraId="301B58C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-20.9%</w:t>
            </w:r>
          </w:p>
        </w:tc>
        <w:tc>
          <w:tcPr>
            <w:tcW w:w="1418" w:type="dxa"/>
            <w:tcBorders>
              <w:top w:val="nil"/>
              <w:left w:val="nil"/>
              <w:bottom w:val="single" w:sz="4" w:space="0" w:color="auto"/>
              <w:right w:val="single" w:sz="4" w:space="0" w:color="auto"/>
            </w:tcBorders>
            <w:hideMark/>
          </w:tcPr>
          <w:p w14:paraId="242AB0E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w:t>
            </w:r>
          </w:p>
        </w:tc>
      </w:tr>
      <w:tr w:rsidR="007B29DD" w14:paraId="39A2967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CAF3B6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985C79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C46AD0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-21.6%</w:t>
            </w:r>
          </w:p>
        </w:tc>
        <w:tc>
          <w:tcPr>
            <w:tcW w:w="1419" w:type="dxa"/>
            <w:tcBorders>
              <w:top w:val="nil"/>
              <w:left w:val="nil"/>
              <w:bottom w:val="single" w:sz="4" w:space="0" w:color="auto"/>
              <w:right w:val="single" w:sz="4" w:space="0" w:color="auto"/>
            </w:tcBorders>
            <w:noWrap/>
            <w:hideMark/>
          </w:tcPr>
          <w:p w14:paraId="0E6959E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-9.6%</w:t>
            </w:r>
          </w:p>
        </w:tc>
        <w:tc>
          <w:tcPr>
            <w:tcW w:w="1276" w:type="dxa"/>
            <w:tcBorders>
              <w:top w:val="nil"/>
              <w:left w:val="nil"/>
              <w:bottom w:val="single" w:sz="4" w:space="0" w:color="auto"/>
              <w:right w:val="single" w:sz="4" w:space="0" w:color="auto"/>
            </w:tcBorders>
            <w:hideMark/>
          </w:tcPr>
          <w:p w14:paraId="7AAA199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-42.7%</w:t>
            </w:r>
          </w:p>
        </w:tc>
        <w:tc>
          <w:tcPr>
            <w:tcW w:w="1275" w:type="dxa"/>
            <w:tcBorders>
              <w:top w:val="nil"/>
              <w:left w:val="nil"/>
              <w:bottom w:val="single" w:sz="4" w:space="0" w:color="auto"/>
              <w:right w:val="single" w:sz="4" w:space="0" w:color="auto"/>
            </w:tcBorders>
            <w:hideMark/>
          </w:tcPr>
          <w:p w14:paraId="6AA515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-31.6%</w:t>
            </w:r>
          </w:p>
        </w:tc>
        <w:tc>
          <w:tcPr>
            <w:tcW w:w="1418" w:type="dxa"/>
            <w:tcBorders>
              <w:top w:val="nil"/>
              <w:left w:val="nil"/>
              <w:bottom w:val="single" w:sz="4" w:space="0" w:color="auto"/>
              <w:right w:val="single" w:sz="4" w:space="0" w:color="auto"/>
            </w:tcBorders>
            <w:hideMark/>
          </w:tcPr>
          <w:p w14:paraId="5A318AB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w:t>
            </w:r>
          </w:p>
        </w:tc>
      </w:tr>
      <w:tr w:rsidR="007B29DD" w14:paraId="2FE8405A"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D726DB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9E7678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5D7ACD4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-13.8%</w:t>
            </w:r>
          </w:p>
        </w:tc>
        <w:tc>
          <w:tcPr>
            <w:tcW w:w="1419" w:type="dxa"/>
            <w:tcBorders>
              <w:top w:val="nil"/>
              <w:left w:val="nil"/>
              <w:bottom w:val="single" w:sz="4" w:space="0" w:color="auto"/>
              <w:right w:val="single" w:sz="4" w:space="0" w:color="auto"/>
            </w:tcBorders>
            <w:noWrap/>
            <w:hideMark/>
          </w:tcPr>
          <w:p w14:paraId="4B21071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-8.0%</w:t>
            </w:r>
          </w:p>
        </w:tc>
        <w:tc>
          <w:tcPr>
            <w:tcW w:w="1276" w:type="dxa"/>
            <w:tcBorders>
              <w:top w:val="nil"/>
              <w:left w:val="nil"/>
              <w:bottom w:val="single" w:sz="4" w:space="0" w:color="auto"/>
              <w:right w:val="single" w:sz="4" w:space="0" w:color="auto"/>
            </w:tcBorders>
            <w:hideMark/>
          </w:tcPr>
          <w:p w14:paraId="4D19B3F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-24.0%</w:t>
            </w:r>
          </w:p>
        </w:tc>
        <w:tc>
          <w:tcPr>
            <w:tcW w:w="1275" w:type="dxa"/>
            <w:tcBorders>
              <w:top w:val="nil"/>
              <w:left w:val="nil"/>
              <w:bottom w:val="single" w:sz="4" w:space="0" w:color="auto"/>
              <w:right w:val="single" w:sz="4" w:space="0" w:color="auto"/>
            </w:tcBorders>
            <w:hideMark/>
          </w:tcPr>
          <w:p w14:paraId="6E1A67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-25.3%</w:t>
            </w:r>
          </w:p>
        </w:tc>
        <w:tc>
          <w:tcPr>
            <w:tcW w:w="1418" w:type="dxa"/>
            <w:tcBorders>
              <w:top w:val="nil"/>
              <w:left w:val="nil"/>
              <w:bottom w:val="single" w:sz="4" w:space="0" w:color="auto"/>
              <w:right w:val="single" w:sz="4" w:space="0" w:color="auto"/>
            </w:tcBorders>
            <w:hideMark/>
          </w:tcPr>
          <w:p w14:paraId="0606048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6.4%</w:t>
            </w:r>
          </w:p>
        </w:tc>
      </w:tr>
      <w:tr w:rsidR="007B29DD" w14:paraId="4EC14B0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BF994F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0D47A2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625F33C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-15.3%</w:t>
            </w:r>
          </w:p>
        </w:tc>
        <w:tc>
          <w:tcPr>
            <w:tcW w:w="1419" w:type="dxa"/>
            <w:tcBorders>
              <w:top w:val="nil"/>
              <w:left w:val="nil"/>
              <w:bottom w:val="single" w:sz="4" w:space="0" w:color="auto"/>
              <w:right w:val="single" w:sz="4" w:space="0" w:color="auto"/>
            </w:tcBorders>
            <w:noWrap/>
            <w:hideMark/>
          </w:tcPr>
          <w:p w14:paraId="79537FE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-7.6%</w:t>
            </w:r>
          </w:p>
        </w:tc>
        <w:tc>
          <w:tcPr>
            <w:tcW w:w="1276" w:type="dxa"/>
            <w:tcBorders>
              <w:top w:val="nil"/>
              <w:left w:val="nil"/>
              <w:bottom w:val="single" w:sz="4" w:space="0" w:color="auto"/>
              <w:right w:val="single" w:sz="4" w:space="0" w:color="auto"/>
            </w:tcBorders>
            <w:hideMark/>
          </w:tcPr>
          <w:p w14:paraId="135E12B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-28.8%</w:t>
            </w:r>
          </w:p>
        </w:tc>
        <w:tc>
          <w:tcPr>
            <w:tcW w:w="1275" w:type="dxa"/>
            <w:tcBorders>
              <w:top w:val="nil"/>
              <w:left w:val="nil"/>
              <w:bottom w:val="single" w:sz="4" w:space="0" w:color="auto"/>
              <w:right w:val="single" w:sz="4" w:space="0" w:color="auto"/>
            </w:tcBorders>
            <w:hideMark/>
          </w:tcPr>
          <w:p w14:paraId="1AFFC11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-24.9%</w:t>
            </w:r>
          </w:p>
        </w:tc>
        <w:tc>
          <w:tcPr>
            <w:tcW w:w="1418" w:type="dxa"/>
            <w:tcBorders>
              <w:top w:val="nil"/>
              <w:left w:val="nil"/>
              <w:bottom w:val="single" w:sz="4" w:space="0" w:color="auto"/>
              <w:right w:val="single" w:sz="4" w:space="0" w:color="auto"/>
            </w:tcBorders>
            <w:hideMark/>
          </w:tcPr>
          <w:p w14:paraId="609EFF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w:t>
            </w:r>
          </w:p>
        </w:tc>
      </w:tr>
      <w:tr w:rsidR="007B29DD" w14:paraId="324FF863"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68693F2F"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lastRenderedPageBreak/>
              <w:t>Werribee (231)</w:t>
            </w:r>
          </w:p>
        </w:tc>
        <w:tc>
          <w:tcPr>
            <w:tcW w:w="1559" w:type="dxa"/>
            <w:tcBorders>
              <w:top w:val="nil"/>
              <w:left w:val="nil"/>
              <w:bottom w:val="single" w:sz="4" w:space="0" w:color="auto"/>
              <w:right w:val="single" w:sz="4" w:space="0" w:color="auto"/>
            </w:tcBorders>
            <w:shd w:val="clear" w:color="auto" w:fill="D9D9D9"/>
            <w:vAlign w:val="center"/>
            <w:hideMark/>
          </w:tcPr>
          <w:p w14:paraId="28A9EBE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19CAEF9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-11.7%</w:t>
            </w:r>
          </w:p>
        </w:tc>
        <w:tc>
          <w:tcPr>
            <w:tcW w:w="1419" w:type="dxa"/>
            <w:tcBorders>
              <w:top w:val="nil"/>
              <w:left w:val="nil"/>
              <w:bottom w:val="single" w:sz="4" w:space="0" w:color="auto"/>
              <w:right w:val="single" w:sz="4" w:space="0" w:color="auto"/>
            </w:tcBorders>
            <w:shd w:val="clear" w:color="auto" w:fill="D9D9D9"/>
            <w:noWrap/>
            <w:hideMark/>
          </w:tcPr>
          <w:p w14:paraId="1956D1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shd w:val="clear" w:color="auto" w:fill="D9D9D9"/>
            <w:hideMark/>
          </w:tcPr>
          <w:p w14:paraId="32A1548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-20.0%</w:t>
            </w:r>
          </w:p>
        </w:tc>
        <w:tc>
          <w:tcPr>
            <w:tcW w:w="1275" w:type="dxa"/>
            <w:tcBorders>
              <w:top w:val="nil"/>
              <w:left w:val="nil"/>
              <w:bottom w:val="single" w:sz="4" w:space="0" w:color="auto"/>
              <w:right w:val="single" w:sz="4" w:space="0" w:color="auto"/>
            </w:tcBorders>
            <w:shd w:val="clear" w:color="auto" w:fill="D9D9D9"/>
            <w:hideMark/>
          </w:tcPr>
          <w:p w14:paraId="72337BD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-21.1%</w:t>
            </w:r>
          </w:p>
        </w:tc>
        <w:tc>
          <w:tcPr>
            <w:tcW w:w="1418" w:type="dxa"/>
            <w:tcBorders>
              <w:top w:val="nil"/>
              <w:left w:val="nil"/>
              <w:bottom w:val="single" w:sz="4" w:space="0" w:color="auto"/>
              <w:right w:val="single" w:sz="4" w:space="0" w:color="auto"/>
            </w:tcBorders>
            <w:shd w:val="clear" w:color="auto" w:fill="D9D9D9"/>
            <w:hideMark/>
          </w:tcPr>
          <w:p w14:paraId="3C2353B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3.8%</w:t>
            </w:r>
          </w:p>
        </w:tc>
      </w:tr>
      <w:tr w:rsidR="007B29DD" w14:paraId="273FBDC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0F8C46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294A154"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3AFDE68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-21.4%</w:t>
            </w:r>
          </w:p>
        </w:tc>
        <w:tc>
          <w:tcPr>
            <w:tcW w:w="1419" w:type="dxa"/>
            <w:tcBorders>
              <w:top w:val="nil"/>
              <w:left w:val="nil"/>
              <w:bottom w:val="single" w:sz="4" w:space="0" w:color="auto"/>
              <w:right w:val="single" w:sz="4" w:space="0" w:color="auto"/>
            </w:tcBorders>
            <w:shd w:val="clear" w:color="auto" w:fill="D9D9D9"/>
            <w:noWrap/>
            <w:hideMark/>
          </w:tcPr>
          <w:p w14:paraId="3981F98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-8.5%</w:t>
            </w:r>
          </w:p>
        </w:tc>
        <w:tc>
          <w:tcPr>
            <w:tcW w:w="1276" w:type="dxa"/>
            <w:tcBorders>
              <w:top w:val="nil"/>
              <w:left w:val="nil"/>
              <w:bottom w:val="single" w:sz="4" w:space="0" w:color="auto"/>
              <w:right w:val="single" w:sz="4" w:space="0" w:color="auto"/>
            </w:tcBorders>
            <w:shd w:val="clear" w:color="auto" w:fill="D9D9D9"/>
            <w:hideMark/>
          </w:tcPr>
          <w:p w14:paraId="4A4D744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-42.6%</w:t>
            </w:r>
          </w:p>
        </w:tc>
        <w:tc>
          <w:tcPr>
            <w:tcW w:w="1275" w:type="dxa"/>
            <w:tcBorders>
              <w:top w:val="nil"/>
              <w:left w:val="nil"/>
              <w:bottom w:val="single" w:sz="4" w:space="0" w:color="auto"/>
              <w:right w:val="single" w:sz="4" w:space="0" w:color="auto"/>
            </w:tcBorders>
            <w:shd w:val="clear" w:color="auto" w:fill="D9D9D9"/>
            <w:hideMark/>
          </w:tcPr>
          <w:p w14:paraId="187273E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-32.3%</w:t>
            </w:r>
          </w:p>
        </w:tc>
        <w:tc>
          <w:tcPr>
            <w:tcW w:w="1418" w:type="dxa"/>
            <w:tcBorders>
              <w:top w:val="nil"/>
              <w:left w:val="nil"/>
              <w:bottom w:val="single" w:sz="4" w:space="0" w:color="auto"/>
              <w:right w:val="single" w:sz="4" w:space="0" w:color="auto"/>
            </w:tcBorders>
            <w:shd w:val="clear" w:color="auto" w:fill="D9D9D9"/>
            <w:hideMark/>
          </w:tcPr>
          <w:p w14:paraId="79D6246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w:t>
            </w:r>
          </w:p>
        </w:tc>
      </w:tr>
      <w:tr w:rsidR="007B29DD" w14:paraId="4A405D5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35FD82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EF422B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6E58CF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-14.4%</w:t>
            </w:r>
          </w:p>
        </w:tc>
        <w:tc>
          <w:tcPr>
            <w:tcW w:w="1419" w:type="dxa"/>
            <w:tcBorders>
              <w:top w:val="nil"/>
              <w:left w:val="nil"/>
              <w:bottom w:val="single" w:sz="4" w:space="0" w:color="auto"/>
              <w:right w:val="single" w:sz="4" w:space="0" w:color="auto"/>
            </w:tcBorders>
            <w:shd w:val="clear" w:color="auto" w:fill="D9D9D9"/>
            <w:noWrap/>
            <w:hideMark/>
          </w:tcPr>
          <w:p w14:paraId="7F5CE30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-8.5%</w:t>
            </w:r>
          </w:p>
        </w:tc>
        <w:tc>
          <w:tcPr>
            <w:tcW w:w="1276" w:type="dxa"/>
            <w:tcBorders>
              <w:top w:val="nil"/>
              <w:left w:val="nil"/>
              <w:bottom w:val="single" w:sz="4" w:space="0" w:color="auto"/>
              <w:right w:val="single" w:sz="4" w:space="0" w:color="auto"/>
            </w:tcBorders>
            <w:shd w:val="clear" w:color="auto" w:fill="D9D9D9"/>
            <w:hideMark/>
          </w:tcPr>
          <w:p w14:paraId="297F39F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-24.1%</w:t>
            </w:r>
          </w:p>
        </w:tc>
        <w:tc>
          <w:tcPr>
            <w:tcW w:w="1275" w:type="dxa"/>
            <w:tcBorders>
              <w:top w:val="nil"/>
              <w:left w:val="nil"/>
              <w:bottom w:val="single" w:sz="4" w:space="0" w:color="auto"/>
              <w:right w:val="single" w:sz="4" w:space="0" w:color="auto"/>
            </w:tcBorders>
            <w:shd w:val="clear" w:color="auto" w:fill="D9D9D9"/>
            <w:hideMark/>
          </w:tcPr>
          <w:p w14:paraId="10DFCD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-21.4%</w:t>
            </w:r>
          </w:p>
        </w:tc>
        <w:tc>
          <w:tcPr>
            <w:tcW w:w="1418" w:type="dxa"/>
            <w:tcBorders>
              <w:top w:val="nil"/>
              <w:left w:val="nil"/>
              <w:bottom w:val="single" w:sz="4" w:space="0" w:color="auto"/>
              <w:right w:val="single" w:sz="4" w:space="0" w:color="auto"/>
            </w:tcBorders>
            <w:shd w:val="clear" w:color="auto" w:fill="D9D9D9"/>
            <w:hideMark/>
          </w:tcPr>
          <w:p w14:paraId="74DFD6C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w:t>
            </w:r>
          </w:p>
        </w:tc>
      </w:tr>
      <w:tr w:rsidR="007B29DD" w14:paraId="5A44A47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24A084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D2D848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26423A5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-16.1%</w:t>
            </w:r>
          </w:p>
        </w:tc>
        <w:tc>
          <w:tcPr>
            <w:tcW w:w="1419" w:type="dxa"/>
            <w:tcBorders>
              <w:top w:val="nil"/>
              <w:left w:val="nil"/>
              <w:bottom w:val="single" w:sz="4" w:space="0" w:color="auto"/>
              <w:right w:val="single" w:sz="4" w:space="0" w:color="auto"/>
            </w:tcBorders>
            <w:shd w:val="clear" w:color="auto" w:fill="D9D9D9"/>
            <w:noWrap/>
            <w:hideMark/>
          </w:tcPr>
          <w:p w14:paraId="55C4C26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-7.4%</w:t>
            </w:r>
          </w:p>
        </w:tc>
        <w:tc>
          <w:tcPr>
            <w:tcW w:w="1276" w:type="dxa"/>
            <w:tcBorders>
              <w:top w:val="nil"/>
              <w:left w:val="nil"/>
              <w:bottom w:val="single" w:sz="4" w:space="0" w:color="auto"/>
              <w:right w:val="single" w:sz="4" w:space="0" w:color="auto"/>
            </w:tcBorders>
            <w:shd w:val="clear" w:color="auto" w:fill="D9D9D9"/>
            <w:hideMark/>
          </w:tcPr>
          <w:p w14:paraId="7863602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-30.4%</w:t>
            </w:r>
          </w:p>
        </w:tc>
        <w:tc>
          <w:tcPr>
            <w:tcW w:w="1275" w:type="dxa"/>
            <w:tcBorders>
              <w:top w:val="nil"/>
              <w:left w:val="nil"/>
              <w:bottom w:val="single" w:sz="4" w:space="0" w:color="auto"/>
              <w:right w:val="single" w:sz="4" w:space="0" w:color="auto"/>
            </w:tcBorders>
            <w:shd w:val="clear" w:color="auto" w:fill="D9D9D9"/>
            <w:hideMark/>
          </w:tcPr>
          <w:p w14:paraId="176CBDD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-24.4%</w:t>
            </w:r>
          </w:p>
        </w:tc>
        <w:tc>
          <w:tcPr>
            <w:tcW w:w="1418" w:type="dxa"/>
            <w:tcBorders>
              <w:top w:val="nil"/>
              <w:left w:val="nil"/>
              <w:bottom w:val="single" w:sz="4" w:space="0" w:color="auto"/>
              <w:right w:val="single" w:sz="4" w:space="0" w:color="auto"/>
            </w:tcBorders>
            <w:shd w:val="clear" w:color="auto" w:fill="D9D9D9"/>
            <w:hideMark/>
          </w:tcPr>
          <w:p w14:paraId="41BBBCB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w:t>
            </w:r>
          </w:p>
        </w:tc>
      </w:tr>
      <w:tr w:rsidR="007B29DD" w14:paraId="40E218BB"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1666EC43"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Moorabool (232)</w:t>
            </w:r>
          </w:p>
        </w:tc>
        <w:tc>
          <w:tcPr>
            <w:tcW w:w="1559" w:type="dxa"/>
            <w:tcBorders>
              <w:top w:val="nil"/>
              <w:left w:val="nil"/>
              <w:bottom w:val="single" w:sz="4" w:space="0" w:color="auto"/>
              <w:right w:val="single" w:sz="4" w:space="0" w:color="auto"/>
            </w:tcBorders>
            <w:vAlign w:val="center"/>
            <w:hideMark/>
          </w:tcPr>
          <w:p w14:paraId="0582773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79237D1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-11.6%</w:t>
            </w:r>
          </w:p>
        </w:tc>
        <w:tc>
          <w:tcPr>
            <w:tcW w:w="1419" w:type="dxa"/>
            <w:tcBorders>
              <w:top w:val="nil"/>
              <w:left w:val="nil"/>
              <w:bottom w:val="single" w:sz="4" w:space="0" w:color="auto"/>
              <w:right w:val="single" w:sz="4" w:space="0" w:color="auto"/>
            </w:tcBorders>
            <w:noWrap/>
            <w:hideMark/>
          </w:tcPr>
          <w:p w14:paraId="618404C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-5.9%</w:t>
            </w:r>
          </w:p>
        </w:tc>
        <w:tc>
          <w:tcPr>
            <w:tcW w:w="1276" w:type="dxa"/>
            <w:tcBorders>
              <w:top w:val="nil"/>
              <w:left w:val="nil"/>
              <w:bottom w:val="single" w:sz="4" w:space="0" w:color="auto"/>
              <w:right w:val="single" w:sz="4" w:space="0" w:color="auto"/>
            </w:tcBorders>
            <w:hideMark/>
          </w:tcPr>
          <w:p w14:paraId="20B8EDB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-21.0%</w:t>
            </w:r>
          </w:p>
        </w:tc>
        <w:tc>
          <w:tcPr>
            <w:tcW w:w="1275" w:type="dxa"/>
            <w:tcBorders>
              <w:top w:val="nil"/>
              <w:left w:val="nil"/>
              <w:bottom w:val="single" w:sz="4" w:space="0" w:color="auto"/>
              <w:right w:val="single" w:sz="4" w:space="0" w:color="auto"/>
            </w:tcBorders>
            <w:hideMark/>
          </w:tcPr>
          <w:p w14:paraId="7185272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-20.9%</w:t>
            </w:r>
          </w:p>
        </w:tc>
        <w:tc>
          <w:tcPr>
            <w:tcW w:w="1418" w:type="dxa"/>
            <w:tcBorders>
              <w:top w:val="nil"/>
              <w:left w:val="nil"/>
              <w:bottom w:val="single" w:sz="4" w:space="0" w:color="auto"/>
              <w:right w:val="single" w:sz="4" w:space="0" w:color="auto"/>
            </w:tcBorders>
            <w:hideMark/>
          </w:tcPr>
          <w:p w14:paraId="1C3BE58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w:t>
            </w:r>
          </w:p>
        </w:tc>
      </w:tr>
      <w:tr w:rsidR="007B29DD" w14:paraId="456662A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CDB94D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EEA3DA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B4BC39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-21.4%</w:t>
            </w:r>
          </w:p>
        </w:tc>
        <w:tc>
          <w:tcPr>
            <w:tcW w:w="1419" w:type="dxa"/>
            <w:tcBorders>
              <w:top w:val="nil"/>
              <w:left w:val="nil"/>
              <w:bottom w:val="single" w:sz="4" w:space="0" w:color="auto"/>
              <w:right w:val="single" w:sz="4" w:space="0" w:color="auto"/>
            </w:tcBorders>
            <w:noWrap/>
            <w:hideMark/>
          </w:tcPr>
          <w:p w14:paraId="749BAA8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c>
          <w:tcPr>
            <w:tcW w:w="1276" w:type="dxa"/>
            <w:tcBorders>
              <w:top w:val="nil"/>
              <w:left w:val="nil"/>
              <w:bottom w:val="single" w:sz="4" w:space="0" w:color="auto"/>
              <w:right w:val="single" w:sz="4" w:space="0" w:color="auto"/>
            </w:tcBorders>
            <w:hideMark/>
          </w:tcPr>
          <w:p w14:paraId="12EB11F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-41.6%</w:t>
            </w:r>
          </w:p>
        </w:tc>
        <w:tc>
          <w:tcPr>
            <w:tcW w:w="1275" w:type="dxa"/>
            <w:tcBorders>
              <w:top w:val="nil"/>
              <w:left w:val="nil"/>
              <w:bottom w:val="single" w:sz="4" w:space="0" w:color="auto"/>
              <w:right w:val="single" w:sz="4" w:space="0" w:color="auto"/>
            </w:tcBorders>
            <w:hideMark/>
          </w:tcPr>
          <w:p w14:paraId="5F1CADF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-32.8%</w:t>
            </w:r>
          </w:p>
        </w:tc>
        <w:tc>
          <w:tcPr>
            <w:tcW w:w="1418" w:type="dxa"/>
            <w:tcBorders>
              <w:top w:val="nil"/>
              <w:left w:val="nil"/>
              <w:bottom w:val="single" w:sz="4" w:space="0" w:color="auto"/>
              <w:right w:val="single" w:sz="4" w:space="0" w:color="auto"/>
            </w:tcBorders>
            <w:hideMark/>
          </w:tcPr>
          <w:p w14:paraId="6A4A748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w:t>
            </w:r>
          </w:p>
        </w:tc>
      </w:tr>
      <w:tr w:rsidR="007B29DD" w14:paraId="54A7CB6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3E345D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0FAD9D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7282EDC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-14.3%</w:t>
            </w:r>
          </w:p>
        </w:tc>
        <w:tc>
          <w:tcPr>
            <w:tcW w:w="1419" w:type="dxa"/>
            <w:tcBorders>
              <w:top w:val="nil"/>
              <w:left w:val="nil"/>
              <w:bottom w:val="single" w:sz="4" w:space="0" w:color="auto"/>
              <w:right w:val="single" w:sz="4" w:space="0" w:color="auto"/>
            </w:tcBorders>
            <w:noWrap/>
            <w:hideMark/>
          </w:tcPr>
          <w:p w14:paraId="23E9F19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-8.5%</w:t>
            </w:r>
          </w:p>
        </w:tc>
        <w:tc>
          <w:tcPr>
            <w:tcW w:w="1276" w:type="dxa"/>
            <w:tcBorders>
              <w:top w:val="nil"/>
              <w:left w:val="nil"/>
              <w:bottom w:val="single" w:sz="4" w:space="0" w:color="auto"/>
              <w:right w:val="single" w:sz="4" w:space="0" w:color="auto"/>
            </w:tcBorders>
            <w:hideMark/>
          </w:tcPr>
          <w:p w14:paraId="60E6348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-23.9%</w:t>
            </w:r>
          </w:p>
        </w:tc>
        <w:tc>
          <w:tcPr>
            <w:tcW w:w="1275" w:type="dxa"/>
            <w:tcBorders>
              <w:top w:val="nil"/>
              <w:left w:val="nil"/>
              <w:bottom w:val="single" w:sz="4" w:space="0" w:color="auto"/>
              <w:right w:val="single" w:sz="4" w:space="0" w:color="auto"/>
            </w:tcBorders>
            <w:hideMark/>
          </w:tcPr>
          <w:p w14:paraId="7A78FBF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-22.0%</w:t>
            </w:r>
          </w:p>
        </w:tc>
        <w:tc>
          <w:tcPr>
            <w:tcW w:w="1418" w:type="dxa"/>
            <w:tcBorders>
              <w:top w:val="nil"/>
              <w:left w:val="nil"/>
              <w:bottom w:val="single" w:sz="4" w:space="0" w:color="auto"/>
              <w:right w:val="single" w:sz="4" w:space="0" w:color="auto"/>
            </w:tcBorders>
            <w:hideMark/>
          </w:tcPr>
          <w:p w14:paraId="0E685C4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w:t>
            </w:r>
          </w:p>
        </w:tc>
      </w:tr>
      <w:tr w:rsidR="007B29DD" w14:paraId="003B2BD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4332B8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A1A80B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65C9953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-16.1%</w:t>
            </w:r>
          </w:p>
        </w:tc>
        <w:tc>
          <w:tcPr>
            <w:tcW w:w="1419" w:type="dxa"/>
            <w:tcBorders>
              <w:top w:val="nil"/>
              <w:left w:val="nil"/>
              <w:bottom w:val="single" w:sz="4" w:space="0" w:color="auto"/>
              <w:right w:val="single" w:sz="4" w:space="0" w:color="auto"/>
            </w:tcBorders>
            <w:noWrap/>
            <w:hideMark/>
          </w:tcPr>
          <w:p w14:paraId="016D846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-7.3%</w:t>
            </w:r>
          </w:p>
        </w:tc>
        <w:tc>
          <w:tcPr>
            <w:tcW w:w="1276" w:type="dxa"/>
            <w:tcBorders>
              <w:top w:val="nil"/>
              <w:left w:val="nil"/>
              <w:bottom w:val="single" w:sz="4" w:space="0" w:color="auto"/>
              <w:right w:val="single" w:sz="4" w:space="0" w:color="auto"/>
            </w:tcBorders>
            <w:hideMark/>
          </w:tcPr>
          <w:p w14:paraId="617CD96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-30.7%</w:t>
            </w:r>
          </w:p>
        </w:tc>
        <w:tc>
          <w:tcPr>
            <w:tcW w:w="1275" w:type="dxa"/>
            <w:tcBorders>
              <w:top w:val="nil"/>
              <w:left w:val="nil"/>
              <w:bottom w:val="single" w:sz="4" w:space="0" w:color="auto"/>
              <w:right w:val="single" w:sz="4" w:space="0" w:color="auto"/>
            </w:tcBorders>
            <w:hideMark/>
          </w:tcPr>
          <w:p w14:paraId="0DAC2B0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-23.7%</w:t>
            </w:r>
          </w:p>
        </w:tc>
        <w:tc>
          <w:tcPr>
            <w:tcW w:w="1418" w:type="dxa"/>
            <w:tcBorders>
              <w:top w:val="nil"/>
              <w:left w:val="nil"/>
              <w:bottom w:val="single" w:sz="4" w:space="0" w:color="auto"/>
              <w:right w:val="single" w:sz="4" w:space="0" w:color="auto"/>
            </w:tcBorders>
            <w:hideMark/>
          </w:tcPr>
          <w:p w14:paraId="20FC0AE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w:t>
            </w:r>
          </w:p>
        </w:tc>
      </w:tr>
      <w:tr w:rsidR="007B29DD" w14:paraId="29775265"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790CB9F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Barwon (233)</w:t>
            </w:r>
          </w:p>
        </w:tc>
        <w:tc>
          <w:tcPr>
            <w:tcW w:w="1559" w:type="dxa"/>
            <w:tcBorders>
              <w:top w:val="nil"/>
              <w:left w:val="nil"/>
              <w:bottom w:val="single" w:sz="4" w:space="0" w:color="auto"/>
              <w:right w:val="single" w:sz="4" w:space="0" w:color="auto"/>
            </w:tcBorders>
            <w:shd w:val="clear" w:color="auto" w:fill="D9D9D9"/>
            <w:vAlign w:val="center"/>
            <w:hideMark/>
          </w:tcPr>
          <w:p w14:paraId="7847AFD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7131DBA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-11.5%</w:t>
            </w:r>
          </w:p>
        </w:tc>
        <w:tc>
          <w:tcPr>
            <w:tcW w:w="1419" w:type="dxa"/>
            <w:tcBorders>
              <w:top w:val="nil"/>
              <w:left w:val="nil"/>
              <w:bottom w:val="single" w:sz="4" w:space="0" w:color="auto"/>
              <w:right w:val="single" w:sz="4" w:space="0" w:color="auto"/>
            </w:tcBorders>
            <w:shd w:val="clear" w:color="auto" w:fill="D9D9D9"/>
            <w:noWrap/>
            <w:hideMark/>
          </w:tcPr>
          <w:p w14:paraId="20C40B4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-7.2%</w:t>
            </w:r>
          </w:p>
        </w:tc>
        <w:tc>
          <w:tcPr>
            <w:tcW w:w="1276" w:type="dxa"/>
            <w:tcBorders>
              <w:top w:val="nil"/>
              <w:left w:val="nil"/>
              <w:bottom w:val="single" w:sz="4" w:space="0" w:color="auto"/>
              <w:right w:val="single" w:sz="4" w:space="0" w:color="auto"/>
            </w:tcBorders>
            <w:shd w:val="clear" w:color="auto" w:fill="D9D9D9"/>
            <w:hideMark/>
          </w:tcPr>
          <w:p w14:paraId="1BF08D0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-19.9%</w:t>
            </w:r>
          </w:p>
        </w:tc>
        <w:tc>
          <w:tcPr>
            <w:tcW w:w="1275" w:type="dxa"/>
            <w:tcBorders>
              <w:top w:val="nil"/>
              <w:left w:val="nil"/>
              <w:bottom w:val="single" w:sz="4" w:space="0" w:color="auto"/>
              <w:right w:val="single" w:sz="4" w:space="0" w:color="auto"/>
            </w:tcBorders>
            <w:shd w:val="clear" w:color="auto" w:fill="D9D9D9"/>
            <w:hideMark/>
          </w:tcPr>
          <w:p w14:paraId="765E821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-17.9%</w:t>
            </w:r>
          </w:p>
        </w:tc>
        <w:tc>
          <w:tcPr>
            <w:tcW w:w="1418" w:type="dxa"/>
            <w:tcBorders>
              <w:top w:val="nil"/>
              <w:left w:val="nil"/>
              <w:bottom w:val="single" w:sz="4" w:space="0" w:color="auto"/>
              <w:right w:val="single" w:sz="4" w:space="0" w:color="auto"/>
            </w:tcBorders>
            <w:shd w:val="clear" w:color="auto" w:fill="D9D9D9"/>
            <w:hideMark/>
          </w:tcPr>
          <w:p w14:paraId="22B233B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w:t>
            </w:r>
          </w:p>
        </w:tc>
      </w:tr>
      <w:tr w:rsidR="007B29DD" w14:paraId="12FB4DF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1A0AEC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C5DEA1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69E9B65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-19.6%</w:t>
            </w:r>
          </w:p>
        </w:tc>
        <w:tc>
          <w:tcPr>
            <w:tcW w:w="1419" w:type="dxa"/>
            <w:tcBorders>
              <w:top w:val="nil"/>
              <w:left w:val="nil"/>
              <w:bottom w:val="single" w:sz="4" w:space="0" w:color="auto"/>
              <w:right w:val="single" w:sz="4" w:space="0" w:color="auto"/>
            </w:tcBorders>
            <w:shd w:val="clear" w:color="auto" w:fill="D9D9D9"/>
            <w:noWrap/>
            <w:hideMark/>
          </w:tcPr>
          <w:p w14:paraId="46040BF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c>
          <w:tcPr>
            <w:tcW w:w="1276" w:type="dxa"/>
            <w:tcBorders>
              <w:top w:val="nil"/>
              <w:left w:val="nil"/>
              <w:bottom w:val="single" w:sz="4" w:space="0" w:color="auto"/>
              <w:right w:val="single" w:sz="4" w:space="0" w:color="auto"/>
            </w:tcBorders>
            <w:shd w:val="clear" w:color="auto" w:fill="D9D9D9"/>
            <w:hideMark/>
          </w:tcPr>
          <w:p w14:paraId="244C6BC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-39.4%</w:t>
            </w:r>
          </w:p>
        </w:tc>
        <w:tc>
          <w:tcPr>
            <w:tcW w:w="1275" w:type="dxa"/>
            <w:tcBorders>
              <w:top w:val="nil"/>
              <w:left w:val="nil"/>
              <w:bottom w:val="single" w:sz="4" w:space="0" w:color="auto"/>
              <w:right w:val="single" w:sz="4" w:space="0" w:color="auto"/>
            </w:tcBorders>
            <w:shd w:val="clear" w:color="auto" w:fill="D9D9D9"/>
            <w:hideMark/>
          </w:tcPr>
          <w:p w14:paraId="22CEC79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-26.4%</w:t>
            </w:r>
          </w:p>
        </w:tc>
        <w:tc>
          <w:tcPr>
            <w:tcW w:w="1418" w:type="dxa"/>
            <w:tcBorders>
              <w:top w:val="nil"/>
              <w:left w:val="nil"/>
              <w:bottom w:val="single" w:sz="4" w:space="0" w:color="auto"/>
              <w:right w:val="single" w:sz="4" w:space="0" w:color="auto"/>
            </w:tcBorders>
            <w:shd w:val="clear" w:color="auto" w:fill="D9D9D9"/>
            <w:hideMark/>
          </w:tcPr>
          <w:p w14:paraId="71CAFA9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-6.1%</w:t>
            </w:r>
          </w:p>
        </w:tc>
      </w:tr>
      <w:tr w:rsidR="007B29DD" w14:paraId="18A825F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DE9D21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E2EB24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0079039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-13.5%</w:t>
            </w:r>
          </w:p>
        </w:tc>
        <w:tc>
          <w:tcPr>
            <w:tcW w:w="1419" w:type="dxa"/>
            <w:tcBorders>
              <w:top w:val="nil"/>
              <w:left w:val="nil"/>
              <w:bottom w:val="single" w:sz="4" w:space="0" w:color="auto"/>
              <w:right w:val="single" w:sz="4" w:space="0" w:color="auto"/>
            </w:tcBorders>
            <w:shd w:val="clear" w:color="auto" w:fill="D9D9D9"/>
            <w:noWrap/>
            <w:hideMark/>
          </w:tcPr>
          <w:p w14:paraId="3D8A7BA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-8.4%</w:t>
            </w:r>
          </w:p>
        </w:tc>
        <w:tc>
          <w:tcPr>
            <w:tcW w:w="1276" w:type="dxa"/>
            <w:tcBorders>
              <w:top w:val="nil"/>
              <w:left w:val="nil"/>
              <w:bottom w:val="single" w:sz="4" w:space="0" w:color="auto"/>
              <w:right w:val="single" w:sz="4" w:space="0" w:color="auto"/>
            </w:tcBorders>
            <w:shd w:val="clear" w:color="auto" w:fill="D9D9D9"/>
            <w:hideMark/>
          </w:tcPr>
          <w:p w14:paraId="04B5EB4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-23.5%</w:t>
            </w:r>
          </w:p>
        </w:tc>
        <w:tc>
          <w:tcPr>
            <w:tcW w:w="1275" w:type="dxa"/>
            <w:tcBorders>
              <w:top w:val="nil"/>
              <w:left w:val="nil"/>
              <w:bottom w:val="single" w:sz="4" w:space="0" w:color="auto"/>
              <w:right w:val="single" w:sz="4" w:space="0" w:color="auto"/>
            </w:tcBorders>
            <w:shd w:val="clear" w:color="auto" w:fill="D9D9D9"/>
            <w:hideMark/>
          </w:tcPr>
          <w:p w14:paraId="520F66D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-20.1%</w:t>
            </w:r>
          </w:p>
        </w:tc>
        <w:tc>
          <w:tcPr>
            <w:tcW w:w="1418" w:type="dxa"/>
            <w:tcBorders>
              <w:top w:val="nil"/>
              <w:left w:val="nil"/>
              <w:bottom w:val="single" w:sz="4" w:space="0" w:color="auto"/>
              <w:right w:val="single" w:sz="4" w:space="0" w:color="auto"/>
            </w:tcBorders>
            <w:shd w:val="clear" w:color="auto" w:fill="D9D9D9"/>
            <w:hideMark/>
          </w:tcPr>
          <w:p w14:paraId="33E94FD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-0.6%</w:t>
            </w:r>
          </w:p>
        </w:tc>
      </w:tr>
      <w:tr w:rsidR="007B29DD" w14:paraId="5F436CA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5C49C0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2A21CE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003B561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-13.6%</w:t>
            </w:r>
          </w:p>
        </w:tc>
        <w:tc>
          <w:tcPr>
            <w:tcW w:w="1419" w:type="dxa"/>
            <w:tcBorders>
              <w:top w:val="nil"/>
              <w:left w:val="nil"/>
              <w:bottom w:val="single" w:sz="4" w:space="0" w:color="auto"/>
              <w:right w:val="single" w:sz="4" w:space="0" w:color="auto"/>
            </w:tcBorders>
            <w:shd w:val="clear" w:color="auto" w:fill="D9D9D9"/>
            <w:noWrap/>
            <w:hideMark/>
          </w:tcPr>
          <w:p w14:paraId="7F61414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shd w:val="clear" w:color="auto" w:fill="D9D9D9"/>
            <w:hideMark/>
          </w:tcPr>
          <w:p w14:paraId="5111699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-27.2%</w:t>
            </w:r>
          </w:p>
        </w:tc>
        <w:tc>
          <w:tcPr>
            <w:tcW w:w="1275" w:type="dxa"/>
            <w:tcBorders>
              <w:top w:val="nil"/>
              <w:left w:val="nil"/>
              <w:bottom w:val="single" w:sz="4" w:space="0" w:color="auto"/>
              <w:right w:val="single" w:sz="4" w:space="0" w:color="auto"/>
            </w:tcBorders>
            <w:shd w:val="clear" w:color="auto" w:fill="D9D9D9"/>
            <w:hideMark/>
          </w:tcPr>
          <w:p w14:paraId="240C2A8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-19.3%</w:t>
            </w:r>
          </w:p>
        </w:tc>
        <w:tc>
          <w:tcPr>
            <w:tcW w:w="1418" w:type="dxa"/>
            <w:tcBorders>
              <w:top w:val="nil"/>
              <w:left w:val="nil"/>
              <w:bottom w:val="single" w:sz="4" w:space="0" w:color="auto"/>
              <w:right w:val="single" w:sz="4" w:space="0" w:color="auto"/>
            </w:tcBorders>
            <w:shd w:val="clear" w:color="auto" w:fill="D9D9D9"/>
            <w:hideMark/>
          </w:tcPr>
          <w:p w14:paraId="01C78B9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w:t>
            </w:r>
          </w:p>
        </w:tc>
      </w:tr>
      <w:tr w:rsidR="007B29DD" w14:paraId="4D4B2A79"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8AB6CF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Lake Corangamite (234)</w:t>
            </w:r>
          </w:p>
        </w:tc>
        <w:tc>
          <w:tcPr>
            <w:tcW w:w="1559" w:type="dxa"/>
            <w:tcBorders>
              <w:top w:val="nil"/>
              <w:left w:val="nil"/>
              <w:bottom w:val="single" w:sz="4" w:space="0" w:color="auto"/>
              <w:right w:val="single" w:sz="4" w:space="0" w:color="auto"/>
            </w:tcBorders>
            <w:vAlign w:val="center"/>
            <w:hideMark/>
          </w:tcPr>
          <w:p w14:paraId="237F9EE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72003B6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-11.6%</w:t>
            </w:r>
          </w:p>
        </w:tc>
        <w:tc>
          <w:tcPr>
            <w:tcW w:w="1419" w:type="dxa"/>
            <w:tcBorders>
              <w:top w:val="nil"/>
              <w:left w:val="nil"/>
              <w:bottom w:val="single" w:sz="4" w:space="0" w:color="auto"/>
              <w:right w:val="single" w:sz="4" w:space="0" w:color="auto"/>
            </w:tcBorders>
            <w:noWrap/>
            <w:hideMark/>
          </w:tcPr>
          <w:p w14:paraId="0DF44B7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-7.5%</w:t>
            </w:r>
          </w:p>
        </w:tc>
        <w:tc>
          <w:tcPr>
            <w:tcW w:w="1276" w:type="dxa"/>
            <w:tcBorders>
              <w:top w:val="nil"/>
              <w:left w:val="nil"/>
              <w:bottom w:val="single" w:sz="4" w:space="0" w:color="auto"/>
              <w:right w:val="single" w:sz="4" w:space="0" w:color="auto"/>
            </w:tcBorders>
            <w:hideMark/>
          </w:tcPr>
          <w:p w14:paraId="7000EF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-20.1%</w:t>
            </w:r>
          </w:p>
        </w:tc>
        <w:tc>
          <w:tcPr>
            <w:tcW w:w="1275" w:type="dxa"/>
            <w:tcBorders>
              <w:top w:val="nil"/>
              <w:left w:val="nil"/>
              <w:bottom w:val="single" w:sz="4" w:space="0" w:color="auto"/>
              <w:right w:val="single" w:sz="4" w:space="0" w:color="auto"/>
            </w:tcBorders>
            <w:hideMark/>
          </w:tcPr>
          <w:p w14:paraId="6EF1BDD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-17.7%</w:t>
            </w:r>
          </w:p>
        </w:tc>
        <w:tc>
          <w:tcPr>
            <w:tcW w:w="1418" w:type="dxa"/>
            <w:tcBorders>
              <w:top w:val="nil"/>
              <w:left w:val="nil"/>
              <w:bottom w:val="single" w:sz="4" w:space="0" w:color="auto"/>
              <w:right w:val="single" w:sz="4" w:space="0" w:color="auto"/>
            </w:tcBorders>
            <w:hideMark/>
          </w:tcPr>
          <w:p w14:paraId="4B0D037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0.9%</w:t>
            </w:r>
          </w:p>
        </w:tc>
      </w:tr>
      <w:tr w:rsidR="007B29DD" w14:paraId="0E45129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A944E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3C5A08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1FAAF9A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-19.1%</w:t>
            </w:r>
          </w:p>
        </w:tc>
        <w:tc>
          <w:tcPr>
            <w:tcW w:w="1419" w:type="dxa"/>
            <w:tcBorders>
              <w:top w:val="nil"/>
              <w:left w:val="nil"/>
              <w:bottom w:val="single" w:sz="4" w:space="0" w:color="auto"/>
              <w:right w:val="single" w:sz="4" w:space="0" w:color="auto"/>
            </w:tcBorders>
            <w:noWrap/>
            <w:hideMark/>
          </w:tcPr>
          <w:p w14:paraId="7D3893D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-10.9%</w:t>
            </w:r>
          </w:p>
        </w:tc>
        <w:tc>
          <w:tcPr>
            <w:tcW w:w="1276" w:type="dxa"/>
            <w:tcBorders>
              <w:top w:val="nil"/>
              <w:left w:val="nil"/>
              <w:bottom w:val="single" w:sz="4" w:space="0" w:color="auto"/>
              <w:right w:val="single" w:sz="4" w:space="0" w:color="auto"/>
            </w:tcBorders>
            <w:hideMark/>
          </w:tcPr>
          <w:p w14:paraId="7E8CC24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-36.0%</w:t>
            </w:r>
          </w:p>
        </w:tc>
        <w:tc>
          <w:tcPr>
            <w:tcW w:w="1275" w:type="dxa"/>
            <w:tcBorders>
              <w:top w:val="nil"/>
              <w:left w:val="nil"/>
              <w:bottom w:val="single" w:sz="4" w:space="0" w:color="auto"/>
              <w:right w:val="single" w:sz="4" w:space="0" w:color="auto"/>
            </w:tcBorders>
            <w:hideMark/>
          </w:tcPr>
          <w:p w14:paraId="7906CF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-25.8%</w:t>
            </w:r>
          </w:p>
        </w:tc>
        <w:tc>
          <w:tcPr>
            <w:tcW w:w="1418" w:type="dxa"/>
            <w:tcBorders>
              <w:top w:val="nil"/>
              <w:left w:val="nil"/>
              <w:bottom w:val="single" w:sz="4" w:space="0" w:color="auto"/>
              <w:right w:val="single" w:sz="4" w:space="0" w:color="auto"/>
            </w:tcBorders>
            <w:hideMark/>
          </w:tcPr>
          <w:p w14:paraId="1544DFA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-5.3%</w:t>
            </w:r>
          </w:p>
        </w:tc>
      </w:tr>
      <w:tr w:rsidR="007B29DD" w14:paraId="2169423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AE5F2A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29BEB4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29DFC7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-14.4%</w:t>
            </w:r>
          </w:p>
        </w:tc>
        <w:tc>
          <w:tcPr>
            <w:tcW w:w="1419" w:type="dxa"/>
            <w:tcBorders>
              <w:top w:val="nil"/>
              <w:left w:val="nil"/>
              <w:bottom w:val="single" w:sz="4" w:space="0" w:color="auto"/>
              <w:right w:val="single" w:sz="4" w:space="0" w:color="auto"/>
            </w:tcBorders>
            <w:noWrap/>
            <w:hideMark/>
          </w:tcPr>
          <w:p w14:paraId="21EBAD9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-9.4%</w:t>
            </w:r>
          </w:p>
        </w:tc>
        <w:tc>
          <w:tcPr>
            <w:tcW w:w="1276" w:type="dxa"/>
            <w:tcBorders>
              <w:top w:val="nil"/>
              <w:left w:val="nil"/>
              <w:bottom w:val="single" w:sz="4" w:space="0" w:color="auto"/>
              <w:right w:val="single" w:sz="4" w:space="0" w:color="auto"/>
            </w:tcBorders>
            <w:hideMark/>
          </w:tcPr>
          <w:p w14:paraId="696E2D9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-24.6%</w:t>
            </w:r>
          </w:p>
        </w:tc>
        <w:tc>
          <w:tcPr>
            <w:tcW w:w="1275" w:type="dxa"/>
            <w:tcBorders>
              <w:top w:val="nil"/>
              <w:left w:val="nil"/>
              <w:bottom w:val="single" w:sz="4" w:space="0" w:color="auto"/>
              <w:right w:val="single" w:sz="4" w:space="0" w:color="auto"/>
            </w:tcBorders>
            <w:hideMark/>
          </w:tcPr>
          <w:p w14:paraId="42D840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-21.1%</w:t>
            </w:r>
          </w:p>
        </w:tc>
        <w:tc>
          <w:tcPr>
            <w:tcW w:w="1418" w:type="dxa"/>
            <w:tcBorders>
              <w:top w:val="nil"/>
              <w:left w:val="nil"/>
              <w:bottom w:val="single" w:sz="4" w:space="0" w:color="auto"/>
              <w:right w:val="single" w:sz="4" w:space="0" w:color="auto"/>
            </w:tcBorders>
            <w:hideMark/>
          </w:tcPr>
          <w:p w14:paraId="7D4028C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-0.7%</w:t>
            </w:r>
          </w:p>
        </w:tc>
      </w:tr>
      <w:tr w:rsidR="007B29DD" w14:paraId="224BACB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E1E35C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80238E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84D204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-14.5%</w:t>
            </w:r>
          </w:p>
        </w:tc>
        <w:tc>
          <w:tcPr>
            <w:tcW w:w="1419" w:type="dxa"/>
            <w:tcBorders>
              <w:top w:val="nil"/>
              <w:left w:val="nil"/>
              <w:bottom w:val="single" w:sz="4" w:space="0" w:color="auto"/>
              <w:right w:val="single" w:sz="4" w:space="0" w:color="auto"/>
            </w:tcBorders>
            <w:noWrap/>
            <w:hideMark/>
          </w:tcPr>
          <w:p w14:paraId="61DC060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-7.8%</w:t>
            </w:r>
          </w:p>
        </w:tc>
        <w:tc>
          <w:tcPr>
            <w:tcW w:w="1276" w:type="dxa"/>
            <w:tcBorders>
              <w:top w:val="nil"/>
              <w:left w:val="nil"/>
              <w:bottom w:val="single" w:sz="4" w:space="0" w:color="auto"/>
              <w:right w:val="single" w:sz="4" w:space="0" w:color="auto"/>
            </w:tcBorders>
            <w:hideMark/>
          </w:tcPr>
          <w:p w14:paraId="50E02A4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-28.2%</w:t>
            </w:r>
          </w:p>
        </w:tc>
        <w:tc>
          <w:tcPr>
            <w:tcW w:w="1275" w:type="dxa"/>
            <w:tcBorders>
              <w:top w:val="nil"/>
              <w:left w:val="nil"/>
              <w:bottom w:val="single" w:sz="4" w:space="0" w:color="auto"/>
              <w:right w:val="single" w:sz="4" w:space="0" w:color="auto"/>
            </w:tcBorders>
            <w:hideMark/>
          </w:tcPr>
          <w:p w14:paraId="42C21F8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-20.4%</w:t>
            </w:r>
          </w:p>
        </w:tc>
        <w:tc>
          <w:tcPr>
            <w:tcW w:w="1418" w:type="dxa"/>
            <w:tcBorders>
              <w:top w:val="nil"/>
              <w:left w:val="nil"/>
              <w:bottom w:val="single" w:sz="4" w:space="0" w:color="auto"/>
              <w:right w:val="single" w:sz="4" w:space="0" w:color="auto"/>
            </w:tcBorders>
            <w:hideMark/>
          </w:tcPr>
          <w:p w14:paraId="2C3FAFE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w:t>
            </w:r>
          </w:p>
        </w:tc>
      </w:tr>
      <w:tr w:rsidR="007B29DD" w14:paraId="74F8AC27"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4C2E087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Otway Coast (235)</w:t>
            </w:r>
          </w:p>
        </w:tc>
        <w:tc>
          <w:tcPr>
            <w:tcW w:w="1559" w:type="dxa"/>
            <w:tcBorders>
              <w:top w:val="nil"/>
              <w:left w:val="nil"/>
              <w:bottom w:val="single" w:sz="4" w:space="0" w:color="auto"/>
              <w:right w:val="single" w:sz="4" w:space="0" w:color="auto"/>
            </w:tcBorders>
            <w:shd w:val="clear" w:color="auto" w:fill="D9D9D9"/>
            <w:vAlign w:val="center"/>
            <w:hideMark/>
          </w:tcPr>
          <w:p w14:paraId="1D071C6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4D9D2E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-11.7%</w:t>
            </w:r>
          </w:p>
        </w:tc>
        <w:tc>
          <w:tcPr>
            <w:tcW w:w="1419" w:type="dxa"/>
            <w:tcBorders>
              <w:top w:val="nil"/>
              <w:left w:val="nil"/>
              <w:bottom w:val="single" w:sz="4" w:space="0" w:color="auto"/>
              <w:right w:val="single" w:sz="4" w:space="0" w:color="auto"/>
            </w:tcBorders>
            <w:shd w:val="clear" w:color="auto" w:fill="D9D9D9"/>
            <w:noWrap/>
            <w:hideMark/>
          </w:tcPr>
          <w:p w14:paraId="237D54F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-7.3%</w:t>
            </w:r>
          </w:p>
        </w:tc>
        <w:tc>
          <w:tcPr>
            <w:tcW w:w="1276" w:type="dxa"/>
            <w:tcBorders>
              <w:top w:val="nil"/>
              <w:left w:val="nil"/>
              <w:bottom w:val="single" w:sz="4" w:space="0" w:color="auto"/>
              <w:right w:val="single" w:sz="4" w:space="0" w:color="auto"/>
            </w:tcBorders>
            <w:shd w:val="clear" w:color="auto" w:fill="D9D9D9"/>
            <w:hideMark/>
          </w:tcPr>
          <w:p w14:paraId="1A32630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-22.4%</w:t>
            </w:r>
          </w:p>
        </w:tc>
        <w:tc>
          <w:tcPr>
            <w:tcW w:w="1275" w:type="dxa"/>
            <w:tcBorders>
              <w:top w:val="nil"/>
              <w:left w:val="nil"/>
              <w:bottom w:val="single" w:sz="4" w:space="0" w:color="auto"/>
              <w:right w:val="single" w:sz="4" w:space="0" w:color="auto"/>
            </w:tcBorders>
            <w:shd w:val="clear" w:color="auto" w:fill="D9D9D9"/>
            <w:hideMark/>
          </w:tcPr>
          <w:p w14:paraId="1A0DB35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-16.8%</w:t>
            </w:r>
          </w:p>
        </w:tc>
        <w:tc>
          <w:tcPr>
            <w:tcW w:w="1418" w:type="dxa"/>
            <w:tcBorders>
              <w:top w:val="nil"/>
              <w:left w:val="nil"/>
              <w:bottom w:val="single" w:sz="4" w:space="0" w:color="auto"/>
              <w:right w:val="single" w:sz="4" w:space="0" w:color="auto"/>
            </w:tcBorders>
            <w:shd w:val="clear" w:color="auto" w:fill="D9D9D9"/>
            <w:hideMark/>
          </w:tcPr>
          <w:p w14:paraId="1AA632D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0.6%</w:t>
            </w:r>
          </w:p>
        </w:tc>
      </w:tr>
      <w:tr w:rsidR="007B29DD" w14:paraId="5A73CC8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2F15CC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08083C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5D4C221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-19.0%</w:t>
            </w:r>
          </w:p>
        </w:tc>
        <w:tc>
          <w:tcPr>
            <w:tcW w:w="1419" w:type="dxa"/>
            <w:tcBorders>
              <w:top w:val="nil"/>
              <w:left w:val="nil"/>
              <w:bottom w:val="single" w:sz="4" w:space="0" w:color="auto"/>
              <w:right w:val="single" w:sz="4" w:space="0" w:color="auto"/>
            </w:tcBorders>
            <w:shd w:val="clear" w:color="auto" w:fill="D9D9D9"/>
            <w:noWrap/>
            <w:hideMark/>
          </w:tcPr>
          <w:p w14:paraId="4CC4B10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-11.6%</w:t>
            </w:r>
          </w:p>
        </w:tc>
        <w:tc>
          <w:tcPr>
            <w:tcW w:w="1276" w:type="dxa"/>
            <w:tcBorders>
              <w:top w:val="nil"/>
              <w:left w:val="nil"/>
              <w:bottom w:val="single" w:sz="4" w:space="0" w:color="auto"/>
              <w:right w:val="single" w:sz="4" w:space="0" w:color="auto"/>
            </w:tcBorders>
            <w:shd w:val="clear" w:color="auto" w:fill="D9D9D9"/>
            <w:hideMark/>
          </w:tcPr>
          <w:p w14:paraId="30C9319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-36.9%</w:t>
            </w:r>
          </w:p>
        </w:tc>
        <w:tc>
          <w:tcPr>
            <w:tcW w:w="1275" w:type="dxa"/>
            <w:tcBorders>
              <w:top w:val="nil"/>
              <w:left w:val="nil"/>
              <w:bottom w:val="single" w:sz="4" w:space="0" w:color="auto"/>
              <w:right w:val="single" w:sz="4" w:space="0" w:color="auto"/>
            </w:tcBorders>
            <w:shd w:val="clear" w:color="auto" w:fill="D9D9D9"/>
            <w:hideMark/>
          </w:tcPr>
          <w:p w14:paraId="3181317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-24.6%</w:t>
            </w:r>
          </w:p>
        </w:tc>
        <w:tc>
          <w:tcPr>
            <w:tcW w:w="1418" w:type="dxa"/>
            <w:tcBorders>
              <w:top w:val="nil"/>
              <w:left w:val="nil"/>
              <w:bottom w:val="single" w:sz="4" w:space="0" w:color="auto"/>
              <w:right w:val="single" w:sz="4" w:space="0" w:color="auto"/>
            </w:tcBorders>
            <w:shd w:val="clear" w:color="auto" w:fill="D9D9D9"/>
            <w:hideMark/>
          </w:tcPr>
          <w:p w14:paraId="4453B5D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-5.4%</w:t>
            </w:r>
          </w:p>
        </w:tc>
      </w:tr>
      <w:tr w:rsidR="007B29DD" w14:paraId="0D0D1AB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7792AB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E68444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311078E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-13.1%</w:t>
            </w:r>
          </w:p>
        </w:tc>
        <w:tc>
          <w:tcPr>
            <w:tcW w:w="1419" w:type="dxa"/>
            <w:tcBorders>
              <w:top w:val="nil"/>
              <w:left w:val="nil"/>
              <w:bottom w:val="single" w:sz="4" w:space="0" w:color="auto"/>
              <w:right w:val="single" w:sz="4" w:space="0" w:color="auto"/>
            </w:tcBorders>
            <w:shd w:val="clear" w:color="auto" w:fill="D9D9D9"/>
            <w:noWrap/>
            <w:hideMark/>
          </w:tcPr>
          <w:p w14:paraId="5FFA8AA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-9.0%</w:t>
            </w:r>
          </w:p>
        </w:tc>
        <w:tc>
          <w:tcPr>
            <w:tcW w:w="1276" w:type="dxa"/>
            <w:tcBorders>
              <w:top w:val="nil"/>
              <w:left w:val="nil"/>
              <w:bottom w:val="single" w:sz="4" w:space="0" w:color="auto"/>
              <w:right w:val="single" w:sz="4" w:space="0" w:color="auto"/>
            </w:tcBorders>
            <w:shd w:val="clear" w:color="auto" w:fill="D9D9D9"/>
            <w:hideMark/>
          </w:tcPr>
          <w:p w14:paraId="29A73CD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-23.0%</w:t>
            </w:r>
          </w:p>
        </w:tc>
        <w:tc>
          <w:tcPr>
            <w:tcW w:w="1275" w:type="dxa"/>
            <w:tcBorders>
              <w:top w:val="nil"/>
              <w:left w:val="nil"/>
              <w:bottom w:val="single" w:sz="4" w:space="0" w:color="auto"/>
              <w:right w:val="single" w:sz="4" w:space="0" w:color="auto"/>
            </w:tcBorders>
            <w:shd w:val="clear" w:color="auto" w:fill="D9D9D9"/>
            <w:hideMark/>
          </w:tcPr>
          <w:p w14:paraId="0FD588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-19.1%</w:t>
            </w:r>
          </w:p>
        </w:tc>
        <w:tc>
          <w:tcPr>
            <w:tcW w:w="1418" w:type="dxa"/>
            <w:tcBorders>
              <w:top w:val="nil"/>
              <w:left w:val="nil"/>
              <w:bottom w:val="single" w:sz="4" w:space="0" w:color="auto"/>
              <w:right w:val="single" w:sz="4" w:space="0" w:color="auto"/>
            </w:tcBorders>
            <w:shd w:val="clear" w:color="auto" w:fill="D9D9D9"/>
            <w:hideMark/>
          </w:tcPr>
          <w:p w14:paraId="0DDDB24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w:t>
            </w:r>
          </w:p>
        </w:tc>
      </w:tr>
      <w:tr w:rsidR="007B29DD" w14:paraId="43A8FC1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AC7D9C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FFA1FD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9A5AEE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-13.0%</w:t>
            </w:r>
          </w:p>
        </w:tc>
        <w:tc>
          <w:tcPr>
            <w:tcW w:w="1419" w:type="dxa"/>
            <w:tcBorders>
              <w:top w:val="nil"/>
              <w:left w:val="nil"/>
              <w:bottom w:val="single" w:sz="4" w:space="0" w:color="auto"/>
              <w:right w:val="single" w:sz="4" w:space="0" w:color="auto"/>
            </w:tcBorders>
            <w:shd w:val="clear" w:color="auto" w:fill="D9D9D9"/>
            <w:noWrap/>
            <w:hideMark/>
          </w:tcPr>
          <w:p w14:paraId="1433247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-7.9%</w:t>
            </w:r>
          </w:p>
        </w:tc>
        <w:tc>
          <w:tcPr>
            <w:tcW w:w="1276" w:type="dxa"/>
            <w:tcBorders>
              <w:top w:val="nil"/>
              <w:left w:val="nil"/>
              <w:bottom w:val="single" w:sz="4" w:space="0" w:color="auto"/>
              <w:right w:val="single" w:sz="4" w:space="0" w:color="auto"/>
            </w:tcBorders>
            <w:shd w:val="clear" w:color="auto" w:fill="D9D9D9"/>
            <w:hideMark/>
          </w:tcPr>
          <w:p w14:paraId="090BAA1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-25.4%</w:t>
            </w:r>
          </w:p>
        </w:tc>
        <w:tc>
          <w:tcPr>
            <w:tcW w:w="1275" w:type="dxa"/>
            <w:tcBorders>
              <w:top w:val="nil"/>
              <w:left w:val="nil"/>
              <w:bottom w:val="single" w:sz="4" w:space="0" w:color="auto"/>
              <w:right w:val="single" w:sz="4" w:space="0" w:color="auto"/>
            </w:tcBorders>
            <w:shd w:val="clear" w:color="auto" w:fill="D9D9D9"/>
            <w:hideMark/>
          </w:tcPr>
          <w:p w14:paraId="1F886C8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-17.6%</w:t>
            </w:r>
          </w:p>
        </w:tc>
        <w:tc>
          <w:tcPr>
            <w:tcW w:w="1418" w:type="dxa"/>
            <w:tcBorders>
              <w:top w:val="nil"/>
              <w:left w:val="nil"/>
              <w:bottom w:val="single" w:sz="4" w:space="0" w:color="auto"/>
              <w:right w:val="single" w:sz="4" w:space="0" w:color="auto"/>
            </w:tcBorders>
            <w:shd w:val="clear" w:color="auto" w:fill="D9D9D9"/>
            <w:hideMark/>
          </w:tcPr>
          <w:p w14:paraId="4FB73CE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w:t>
            </w:r>
          </w:p>
        </w:tc>
      </w:tr>
      <w:tr w:rsidR="007B29DD" w14:paraId="1D2B4818"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44DB7D02"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Hopkins (236)</w:t>
            </w:r>
          </w:p>
        </w:tc>
        <w:tc>
          <w:tcPr>
            <w:tcW w:w="1559" w:type="dxa"/>
            <w:tcBorders>
              <w:top w:val="nil"/>
              <w:left w:val="nil"/>
              <w:bottom w:val="single" w:sz="4" w:space="0" w:color="auto"/>
              <w:right w:val="single" w:sz="4" w:space="0" w:color="auto"/>
            </w:tcBorders>
            <w:vAlign w:val="center"/>
            <w:hideMark/>
          </w:tcPr>
          <w:p w14:paraId="3357853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F9ED13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-11.6%</w:t>
            </w:r>
          </w:p>
        </w:tc>
        <w:tc>
          <w:tcPr>
            <w:tcW w:w="1419" w:type="dxa"/>
            <w:tcBorders>
              <w:top w:val="nil"/>
              <w:left w:val="nil"/>
              <w:bottom w:val="single" w:sz="4" w:space="0" w:color="auto"/>
              <w:right w:val="single" w:sz="4" w:space="0" w:color="auto"/>
            </w:tcBorders>
            <w:noWrap/>
            <w:hideMark/>
          </w:tcPr>
          <w:p w14:paraId="4ACC3DC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-6.9%</w:t>
            </w:r>
          </w:p>
        </w:tc>
        <w:tc>
          <w:tcPr>
            <w:tcW w:w="1276" w:type="dxa"/>
            <w:tcBorders>
              <w:top w:val="nil"/>
              <w:left w:val="nil"/>
              <w:bottom w:val="single" w:sz="4" w:space="0" w:color="auto"/>
              <w:right w:val="single" w:sz="4" w:space="0" w:color="auto"/>
            </w:tcBorders>
            <w:hideMark/>
          </w:tcPr>
          <w:p w14:paraId="186C157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-21.8%</w:t>
            </w:r>
          </w:p>
        </w:tc>
        <w:tc>
          <w:tcPr>
            <w:tcW w:w="1275" w:type="dxa"/>
            <w:tcBorders>
              <w:top w:val="nil"/>
              <w:left w:val="nil"/>
              <w:bottom w:val="single" w:sz="4" w:space="0" w:color="auto"/>
              <w:right w:val="single" w:sz="4" w:space="0" w:color="auto"/>
            </w:tcBorders>
            <w:hideMark/>
          </w:tcPr>
          <w:p w14:paraId="057FC22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-18.8%</w:t>
            </w:r>
          </w:p>
        </w:tc>
        <w:tc>
          <w:tcPr>
            <w:tcW w:w="1418" w:type="dxa"/>
            <w:tcBorders>
              <w:top w:val="nil"/>
              <w:left w:val="nil"/>
              <w:bottom w:val="single" w:sz="4" w:space="0" w:color="auto"/>
              <w:right w:val="single" w:sz="4" w:space="0" w:color="auto"/>
            </w:tcBorders>
            <w:hideMark/>
          </w:tcPr>
          <w:p w14:paraId="1148492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w:t>
            </w:r>
          </w:p>
        </w:tc>
      </w:tr>
      <w:tr w:rsidR="007B29DD" w14:paraId="4D13968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0797BE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F93868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99C4CE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-20.9%</w:t>
            </w:r>
          </w:p>
        </w:tc>
        <w:tc>
          <w:tcPr>
            <w:tcW w:w="1419" w:type="dxa"/>
            <w:tcBorders>
              <w:top w:val="nil"/>
              <w:left w:val="nil"/>
              <w:bottom w:val="single" w:sz="4" w:space="0" w:color="auto"/>
              <w:right w:val="single" w:sz="4" w:space="0" w:color="auto"/>
            </w:tcBorders>
            <w:noWrap/>
            <w:hideMark/>
          </w:tcPr>
          <w:p w14:paraId="4C3DD5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-13.9%</w:t>
            </w:r>
          </w:p>
        </w:tc>
        <w:tc>
          <w:tcPr>
            <w:tcW w:w="1276" w:type="dxa"/>
            <w:tcBorders>
              <w:top w:val="nil"/>
              <w:left w:val="nil"/>
              <w:bottom w:val="single" w:sz="4" w:space="0" w:color="auto"/>
              <w:right w:val="single" w:sz="4" w:space="0" w:color="auto"/>
            </w:tcBorders>
            <w:hideMark/>
          </w:tcPr>
          <w:p w14:paraId="7B32F08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-36.0%</w:t>
            </w:r>
          </w:p>
        </w:tc>
        <w:tc>
          <w:tcPr>
            <w:tcW w:w="1275" w:type="dxa"/>
            <w:tcBorders>
              <w:top w:val="nil"/>
              <w:left w:val="nil"/>
              <w:bottom w:val="single" w:sz="4" w:space="0" w:color="auto"/>
              <w:right w:val="single" w:sz="4" w:space="0" w:color="auto"/>
            </w:tcBorders>
            <w:hideMark/>
          </w:tcPr>
          <w:p w14:paraId="6C422AA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-29.5%</w:t>
            </w:r>
          </w:p>
        </w:tc>
        <w:tc>
          <w:tcPr>
            <w:tcW w:w="1418" w:type="dxa"/>
            <w:tcBorders>
              <w:top w:val="nil"/>
              <w:left w:val="nil"/>
              <w:bottom w:val="single" w:sz="4" w:space="0" w:color="auto"/>
              <w:right w:val="single" w:sz="4" w:space="0" w:color="auto"/>
            </w:tcBorders>
            <w:hideMark/>
          </w:tcPr>
          <w:p w14:paraId="416B511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w:t>
            </w:r>
          </w:p>
        </w:tc>
      </w:tr>
      <w:tr w:rsidR="007B29DD" w14:paraId="79AD6E3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382C6D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B11C02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305608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-15.0%</w:t>
            </w:r>
          </w:p>
        </w:tc>
        <w:tc>
          <w:tcPr>
            <w:tcW w:w="1419" w:type="dxa"/>
            <w:tcBorders>
              <w:top w:val="nil"/>
              <w:left w:val="nil"/>
              <w:bottom w:val="single" w:sz="4" w:space="0" w:color="auto"/>
              <w:right w:val="single" w:sz="4" w:space="0" w:color="auto"/>
            </w:tcBorders>
            <w:noWrap/>
            <w:hideMark/>
          </w:tcPr>
          <w:p w14:paraId="0055C68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-9.7%</w:t>
            </w:r>
          </w:p>
        </w:tc>
        <w:tc>
          <w:tcPr>
            <w:tcW w:w="1276" w:type="dxa"/>
            <w:tcBorders>
              <w:top w:val="nil"/>
              <w:left w:val="nil"/>
              <w:bottom w:val="single" w:sz="4" w:space="0" w:color="auto"/>
              <w:right w:val="single" w:sz="4" w:space="0" w:color="auto"/>
            </w:tcBorders>
            <w:hideMark/>
          </w:tcPr>
          <w:p w14:paraId="75AE29E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-26.4%</w:t>
            </w:r>
          </w:p>
        </w:tc>
        <w:tc>
          <w:tcPr>
            <w:tcW w:w="1275" w:type="dxa"/>
            <w:tcBorders>
              <w:top w:val="nil"/>
              <w:left w:val="nil"/>
              <w:bottom w:val="single" w:sz="4" w:space="0" w:color="auto"/>
              <w:right w:val="single" w:sz="4" w:space="0" w:color="auto"/>
            </w:tcBorders>
            <w:hideMark/>
          </w:tcPr>
          <w:p w14:paraId="358B1D6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-22.2%</w:t>
            </w:r>
          </w:p>
        </w:tc>
        <w:tc>
          <w:tcPr>
            <w:tcW w:w="1418" w:type="dxa"/>
            <w:tcBorders>
              <w:top w:val="nil"/>
              <w:left w:val="nil"/>
              <w:bottom w:val="single" w:sz="4" w:space="0" w:color="auto"/>
              <w:right w:val="single" w:sz="4" w:space="0" w:color="auto"/>
            </w:tcBorders>
            <w:hideMark/>
          </w:tcPr>
          <w:p w14:paraId="34F36D1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0.6%</w:t>
            </w:r>
          </w:p>
        </w:tc>
      </w:tr>
      <w:tr w:rsidR="007B29DD" w14:paraId="1C55A54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D6AF44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B2AF53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A0EA84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-14.7%</w:t>
            </w:r>
          </w:p>
        </w:tc>
        <w:tc>
          <w:tcPr>
            <w:tcW w:w="1419" w:type="dxa"/>
            <w:tcBorders>
              <w:top w:val="nil"/>
              <w:left w:val="nil"/>
              <w:bottom w:val="single" w:sz="4" w:space="0" w:color="auto"/>
              <w:right w:val="single" w:sz="4" w:space="0" w:color="auto"/>
            </w:tcBorders>
            <w:noWrap/>
            <w:hideMark/>
          </w:tcPr>
          <w:p w14:paraId="3F5BAA4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-7.5%</w:t>
            </w:r>
          </w:p>
        </w:tc>
        <w:tc>
          <w:tcPr>
            <w:tcW w:w="1276" w:type="dxa"/>
            <w:tcBorders>
              <w:top w:val="nil"/>
              <w:left w:val="nil"/>
              <w:bottom w:val="single" w:sz="4" w:space="0" w:color="auto"/>
              <w:right w:val="single" w:sz="4" w:space="0" w:color="auto"/>
            </w:tcBorders>
            <w:hideMark/>
          </w:tcPr>
          <w:p w14:paraId="3AA130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-30.4%</w:t>
            </w:r>
          </w:p>
        </w:tc>
        <w:tc>
          <w:tcPr>
            <w:tcW w:w="1275" w:type="dxa"/>
            <w:tcBorders>
              <w:top w:val="nil"/>
              <w:left w:val="nil"/>
              <w:bottom w:val="single" w:sz="4" w:space="0" w:color="auto"/>
              <w:right w:val="single" w:sz="4" w:space="0" w:color="auto"/>
            </w:tcBorders>
            <w:hideMark/>
          </w:tcPr>
          <w:p w14:paraId="54C9BC0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-21.8%</w:t>
            </w:r>
          </w:p>
        </w:tc>
        <w:tc>
          <w:tcPr>
            <w:tcW w:w="1418" w:type="dxa"/>
            <w:tcBorders>
              <w:top w:val="nil"/>
              <w:left w:val="nil"/>
              <w:bottom w:val="single" w:sz="4" w:space="0" w:color="auto"/>
              <w:right w:val="single" w:sz="4" w:space="0" w:color="auto"/>
            </w:tcBorders>
            <w:hideMark/>
          </w:tcPr>
          <w:p w14:paraId="5A3E1F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0.7%</w:t>
            </w:r>
          </w:p>
        </w:tc>
      </w:tr>
      <w:tr w:rsidR="007B29DD" w14:paraId="2CDFC426"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1CB17C8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Portland Coast (237)</w:t>
            </w:r>
          </w:p>
        </w:tc>
        <w:tc>
          <w:tcPr>
            <w:tcW w:w="1559" w:type="dxa"/>
            <w:tcBorders>
              <w:top w:val="nil"/>
              <w:left w:val="nil"/>
              <w:bottom w:val="single" w:sz="4" w:space="0" w:color="auto"/>
              <w:right w:val="single" w:sz="4" w:space="0" w:color="auto"/>
            </w:tcBorders>
            <w:shd w:val="clear" w:color="auto" w:fill="D9D9D9"/>
            <w:vAlign w:val="center"/>
            <w:hideMark/>
          </w:tcPr>
          <w:p w14:paraId="6003906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03C68F5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-10.9%</w:t>
            </w:r>
          </w:p>
        </w:tc>
        <w:tc>
          <w:tcPr>
            <w:tcW w:w="1419" w:type="dxa"/>
            <w:tcBorders>
              <w:top w:val="nil"/>
              <w:left w:val="nil"/>
              <w:bottom w:val="single" w:sz="4" w:space="0" w:color="auto"/>
              <w:right w:val="single" w:sz="4" w:space="0" w:color="auto"/>
            </w:tcBorders>
            <w:shd w:val="clear" w:color="auto" w:fill="D9D9D9"/>
            <w:noWrap/>
            <w:hideMark/>
          </w:tcPr>
          <w:p w14:paraId="7375B5A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-7.7%</w:t>
            </w:r>
          </w:p>
        </w:tc>
        <w:tc>
          <w:tcPr>
            <w:tcW w:w="1276" w:type="dxa"/>
            <w:tcBorders>
              <w:top w:val="nil"/>
              <w:left w:val="nil"/>
              <w:bottom w:val="single" w:sz="4" w:space="0" w:color="auto"/>
              <w:right w:val="single" w:sz="4" w:space="0" w:color="auto"/>
            </w:tcBorders>
            <w:shd w:val="clear" w:color="auto" w:fill="D9D9D9"/>
            <w:hideMark/>
          </w:tcPr>
          <w:p w14:paraId="05C59DB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-19.4%</w:t>
            </w:r>
          </w:p>
        </w:tc>
        <w:tc>
          <w:tcPr>
            <w:tcW w:w="1275" w:type="dxa"/>
            <w:tcBorders>
              <w:top w:val="nil"/>
              <w:left w:val="nil"/>
              <w:bottom w:val="single" w:sz="4" w:space="0" w:color="auto"/>
              <w:right w:val="single" w:sz="4" w:space="0" w:color="auto"/>
            </w:tcBorders>
            <w:shd w:val="clear" w:color="auto" w:fill="D9D9D9"/>
            <w:hideMark/>
          </w:tcPr>
          <w:p w14:paraId="0940EA4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-15.9%</w:t>
            </w:r>
          </w:p>
        </w:tc>
        <w:tc>
          <w:tcPr>
            <w:tcW w:w="1418" w:type="dxa"/>
            <w:tcBorders>
              <w:top w:val="nil"/>
              <w:left w:val="nil"/>
              <w:bottom w:val="single" w:sz="4" w:space="0" w:color="auto"/>
              <w:right w:val="single" w:sz="4" w:space="0" w:color="auto"/>
            </w:tcBorders>
            <w:shd w:val="clear" w:color="auto" w:fill="D9D9D9"/>
            <w:hideMark/>
          </w:tcPr>
          <w:p w14:paraId="1A68430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w:t>
            </w:r>
          </w:p>
        </w:tc>
      </w:tr>
      <w:tr w:rsidR="007B29DD" w14:paraId="14C9AA2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F74BB8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C4AD5B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3DF6167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-19.0%</w:t>
            </w:r>
          </w:p>
        </w:tc>
        <w:tc>
          <w:tcPr>
            <w:tcW w:w="1419" w:type="dxa"/>
            <w:tcBorders>
              <w:top w:val="nil"/>
              <w:left w:val="nil"/>
              <w:bottom w:val="single" w:sz="4" w:space="0" w:color="auto"/>
              <w:right w:val="single" w:sz="4" w:space="0" w:color="auto"/>
            </w:tcBorders>
            <w:shd w:val="clear" w:color="auto" w:fill="D9D9D9"/>
            <w:noWrap/>
            <w:hideMark/>
          </w:tcPr>
          <w:p w14:paraId="24C7A6A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-12.6%</w:t>
            </w:r>
          </w:p>
        </w:tc>
        <w:tc>
          <w:tcPr>
            <w:tcW w:w="1276" w:type="dxa"/>
            <w:tcBorders>
              <w:top w:val="nil"/>
              <w:left w:val="nil"/>
              <w:bottom w:val="single" w:sz="4" w:space="0" w:color="auto"/>
              <w:right w:val="single" w:sz="4" w:space="0" w:color="auto"/>
            </w:tcBorders>
            <w:shd w:val="clear" w:color="auto" w:fill="D9D9D9"/>
            <w:hideMark/>
          </w:tcPr>
          <w:p w14:paraId="1A51E21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-36.4%</w:t>
            </w:r>
          </w:p>
        </w:tc>
        <w:tc>
          <w:tcPr>
            <w:tcW w:w="1275" w:type="dxa"/>
            <w:tcBorders>
              <w:top w:val="nil"/>
              <w:left w:val="nil"/>
              <w:bottom w:val="single" w:sz="4" w:space="0" w:color="auto"/>
              <w:right w:val="single" w:sz="4" w:space="0" w:color="auto"/>
            </w:tcBorders>
            <w:shd w:val="clear" w:color="auto" w:fill="D9D9D9"/>
            <w:hideMark/>
          </w:tcPr>
          <w:p w14:paraId="525C2CE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-25.8%</w:t>
            </w:r>
          </w:p>
        </w:tc>
        <w:tc>
          <w:tcPr>
            <w:tcW w:w="1418" w:type="dxa"/>
            <w:tcBorders>
              <w:top w:val="nil"/>
              <w:left w:val="nil"/>
              <w:bottom w:val="single" w:sz="4" w:space="0" w:color="auto"/>
              <w:right w:val="single" w:sz="4" w:space="0" w:color="auto"/>
            </w:tcBorders>
            <w:shd w:val="clear" w:color="auto" w:fill="D9D9D9"/>
            <w:hideMark/>
          </w:tcPr>
          <w:p w14:paraId="353386D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-0.5%</w:t>
            </w:r>
          </w:p>
        </w:tc>
      </w:tr>
      <w:tr w:rsidR="007B29DD" w14:paraId="69BFC31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792245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5C87F21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665F652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-13.7%</w:t>
            </w:r>
          </w:p>
        </w:tc>
        <w:tc>
          <w:tcPr>
            <w:tcW w:w="1419" w:type="dxa"/>
            <w:tcBorders>
              <w:top w:val="nil"/>
              <w:left w:val="nil"/>
              <w:bottom w:val="single" w:sz="4" w:space="0" w:color="auto"/>
              <w:right w:val="single" w:sz="4" w:space="0" w:color="auto"/>
            </w:tcBorders>
            <w:shd w:val="clear" w:color="auto" w:fill="D9D9D9"/>
            <w:noWrap/>
            <w:hideMark/>
          </w:tcPr>
          <w:p w14:paraId="74B93CB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-8.3%</w:t>
            </w:r>
          </w:p>
        </w:tc>
        <w:tc>
          <w:tcPr>
            <w:tcW w:w="1276" w:type="dxa"/>
            <w:tcBorders>
              <w:top w:val="nil"/>
              <w:left w:val="nil"/>
              <w:bottom w:val="single" w:sz="4" w:space="0" w:color="auto"/>
              <w:right w:val="single" w:sz="4" w:space="0" w:color="auto"/>
            </w:tcBorders>
            <w:shd w:val="clear" w:color="auto" w:fill="D9D9D9"/>
            <w:hideMark/>
          </w:tcPr>
          <w:p w14:paraId="015C5D9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-28.2%</w:t>
            </w:r>
          </w:p>
        </w:tc>
        <w:tc>
          <w:tcPr>
            <w:tcW w:w="1275" w:type="dxa"/>
            <w:tcBorders>
              <w:top w:val="nil"/>
              <w:left w:val="nil"/>
              <w:bottom w:val="single" w:sz="4" w:space="0" w:color="auto"/>
              <w:right w:val="single" w:sz="4" w:space="0" w:color="auto"/>
            </w:tcBorders>
            <w:shd w:val="clear" w:color="auto" w:fill="D9D9D9"/>
            <w:hideMark/>
          </w:tcPr>
          <w:p w14:paraId="4F7EC9B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-19.7%</w:t>
            </w:r>
          </w:p>
        </w:tc>
        <w:tc>
          <w:tcPr>
            <w:tcW w:w="1418" w:type="dxa"/>
            <w:tcBorders>
              <w:top w:val="nil"/>
              <w:left w:val="nil"/>
              <w:bottom w:val="single" w:sz="4" w:space="0" w:color="auto"/>
              <w:right w:val="single" w:sz="4" w:space="0" w:color="auto"/>
            </w:tcBorders>
            <w:shd w:val="clear" w:color="auto" w:fill="D9D9D9"/>
            <w:hideMark/>
          </w:tcPr>
          <w:p w14:paraId="4E0D27E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w:t>
            </w:r>
          </w:p>
        </w:tc>
      </w:tr>
      <w:tr w:rsidR="007B29DD" w14:paraId="00670D3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CAC602F"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BF2DD9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2F2ACC22"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-13.6%</w:t>
            </w:r>
          </w:p>
        </w:tc>
        <w:tc>
          <w:tcPr>
            <w:tcW w:w="1419" w:type="dxa"/>
            <w:tcBorders>
              <w:top w:val="nil"/>
              <w:left w:val="nil"/>
              <w:bottom w:val="single" w:sz="4" w:space="0" w:color="auto"/>
              <w:right w:val="single" w:sz="4" w:space="0" w:color="auto"/>
            </w:tcBorders>
            <w:shd w:val="clear" w:color="auto" w:fill="D9D9D9"/>
            <w:noWrap/>
            <w:hideMark/>
          </w:tcPr>
          <w:p w14:paraId="17E600B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-8.7%</w:t>
            </w:r>
          </w:p>
        </w:tc>
        <w:tc>
          <w:tcPr>
            <w:tcW w:w="1276" w:type="dxa"/>
            <w:tcBorders>
              <w:top w:val="nil"/>
              <w:left w:val="nil"/>
              <w:bottom w:val="single" w:sz="4" w:space="0" w:color="auto"/>
              <w:right w:val="single" w:sz="4" w:space="0" w:color="auto"/>
            </w:tcBorders>
            <w:shd w:val="clear" w:color="auto" w:fill="D9D9D9"/>
            <w:hideMark/>
          </w:tcPr>
          <w:p w14:paraId="6DB5D6C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-26.8%</w:t>
            </w:r>
          </w:p>
        </w:tc>
        <w:tc>
          <w:tcPr>
            <w:tcW w:w="1275" w:type="dxa"/>
            <w:tcBorders>
              <w:top w:val="nil"/>
              <w:left w:val="nil"/>
              <w:bottom w:val="single" w:sz="4" w:space="0" w:color="auto"/>
              <w:right w:val="single" w:sz="4" w:space="0" w:color="auto"/>
            </w:tcBorders>
            <w:shd w:val="clear" w:color="auto" w:fill="D9D9D9"/>
            <w:hideMark/>
          </w:tcPr>
          <w:p w14:paraId="73FC6A0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-18.5%</w:t>
            </w:r>
          </w:p>
        </w:tc>
        <w:tc>
          <w:tcPr>
            <w:tcW w:w="1418" w:type="dxa"/>
            <w:tcBorders>
              <w:top w:val="nil"/>
              <w:left w:val="nil"/>
              <w:bottom w:val="single" w:sz="4" w:space="0" w:color="auto"/>
              <w:right w:val="single" w:sz="4" w:space="0" w:color="auto"/>
            </w:tcBorders>
            <w:shd w:val="clear" w:color="auto" w:fill="D9D9D9"/>
            <w:hideMark/>
          </w:tcPr>
          <w:p w14:paraId="357C662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r>
      <w:tr w:rsidR="007B29DD" w14:paraId="65C27D68"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0C7352F9"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Glenelg (238)</w:t>
            </w:r>
          </w:p>
        </w:tc>
        <w:tc>
          <w:tcPr>
            <w:tcW w:w="1559" w:type="dxa"/>
            <w:tcBorders>
              <w:top w:val="nil"/>
              <w:left w:val="nil"/>
              <w:bottom w:val="single" w:sz="4" w:space="0" w:color="auto"/>
              <w:right w:val="single" w:sz="4" w:space="0" w:color="auto"/>
            </w:tcBorders>
            <w:vAlign w:val="center"/>
            <w:hideMark/>
          </w:tcPr>
          <w:p w14:paraId="3F42D95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0298163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-12.7%</w:t>
            </w:r>
          </w:p>
        </w:tc>
        <w:tc>
          <w:tcPr>
            <w:tcW w:w="1419" w:type="dxa"/>
            <w:tcBorders>
              <w:top w:val="nil"/>
              <w:left w:val="nil"/>
              <w:bottom w:val="single" w:sz="4" w:space="0" w:color="auto"/>
              <w:right w:val="single" w:sz="4" w:space="0" w:color="auto"/>
            </w:tcBorders>
            <w:noWrap/>
            <w:hideMark/>
          </w:tcPr>
          <w:p w14:paraId="1F991B1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-8.1%</w:t>
            </w:r>
          </w:p>
        </w:tc>
        <w:tc>
          <w:tcPr>
            <w:tcW w:w="1276" w:type="dxa"/>
            <w:tcBorders>
              <w:top w:val="nil"/>
              <w:left w:val="nil"/>
              <w:bottom w:val="single" w:sz="4" w:space="0" w:color="auto"/>
              <w:right w:val="single" w:sz="4" w:space="0" w:color="auto"/>
            </w:tcBorders>
            <w:hideMark/>
          </w:tcPr>
          <w:p w14:paraId="4FB021E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-25.2%</w:t>
            </w:r>
          </w:p>
        </w:tc>
        <w:tc>
          <w:tcPr>
            <w:tcW w:w="1275" w:type="dxa"/>
            <w:tcBorders>
              <w:top w:val="nil"/>
              <w:left w:val="nil"/>
              <w:bottom w:val="single" w:sz="4" w:space="0" w:color="auto"/>
              <w:right w:val="single" w:sz="4" w:space="0" w:color="auto"/>
            </w:tcBorders>
            <w:hideMark/>
          </w:tcPr>
          <w:p w14:paraId="3311C41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-19.6%</w:t>
            </w:r>
          </w:p>
        </w:tc>
        <w:tc>
          <w:tcPr>
            <w:tcW w:w="1418" w:type="dxa"/>
            <w:tcBorders>
              <w:top w:val="nil"/>
              <w:left w:val="nil"/>
              <w:bottom w:val="single" w:sz="4" w:space="0" w:color="auto"/>
              <w:right w:val="single" w:sz="4" w:space="0" w:color="auto"/>
            </w:tcBorders>
            <w:hideMark/>
          </w:tcPr>
          <w:p w14:paraId="4B9D1F3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6.1%</w:t>
            </w:r>
          </w:p>
        </w:tc>
      </w:tr>
      <w:tr w:rsidR="007B29DD" w14:paraId="22A6E318"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151DA1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C299AD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13264AA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-21.7%</w:t>
            </w:r>
          </w:p>
        </w:tc>
        <w:tc>
          <w:tcPr>
            <w:tcW w:w="1419" w:type="dxa"/>
            <w:tcBorders>
              <w:top w:val="nil"/>
              <w:left w:val="nil"/>
              <w:bottom w:val="single" w:sz="4" w:space="0" w:color="auto"/>
              <w:right w:val="single" w:sz="4" w:space="0" w:color="auto"/>
            </w:tcBorders>
            <w:noWrap/>
            <w:hideMark/>
          </w:tcPr>
          <w:p w14:paraId="3F0BB29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-17.1%</w:t>
            </w:r>
          </w:p>
        </w:tc>
        <w:tc>
          <w:tcPr>
            <w:tcW w:w="1276" w:type="dxa"/>
            <w:tcBorders>
              <w:top w:val="nil"/>
              <w:left w:val="nil"/>
              <w:bottom w:val="single" w:sz="4" w:space="0" w:color="auto"/>
              <w:right w:val="single" w:sz="4" w:space="0" w:color="auto"/>
            </w:tcBorders>
            <w:hideMark/>
          </w:tcPr>
          <w:p w14:paraId="3ECEA88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-34.2%</w:t>
            </w:r>
          </w:p>
        </w:tc>
        <w:tc>
          <w:tcPr>
            <w:tcW w:w="1275" w:type="dxa"/>
            <w:tcBorders>
              <w:top w:val="nil"/>
              <w:left w:val="nil"/>
              <w:bottom w:val="single" w:sz="4" w:space="0" w:color="auto"/>
              <w:right w:val="single" w:sz="4" w:space="0" w:color="auto"/>
            </w:tcBorders>
            <w:hideMark/>
          </w:tcPr>
          <w:p w14:paraId="192488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-30.9%</w:t>
            </w:r>
          </w:p>
        </w:tc>
        <w:tc>
          <w:tcPr>
            <w:tcW w:w="1418" w:type="dxa"/>
            <w:tcBorders>
              <w:top w:val="nil"/>
              <w:left w:val="nil"/>
              <w:bottom w:val="single" w:sz="4" w:space="0" w:color="auto"/>
              <w:right w:val="single" w:sz="4" w:space="0" w:color="auto"/>
            </w:tcBorders>
            <w:hideMark/>
          </w:tcPr>
          <w:p w14:paraId="299A61C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w:t>
            </w:r>
          </w:p>
        </w:tc>
      </w:tr>
      <w:tr w:rsidR="007B29DD" w14:paraId="11284D5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762DF9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72895D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5B087DC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-14.1%</w:t>
            </w:r>
          </w:p>
        </w:tc>
        <w:tc>
          <w:tcPr>
            <w:tcW w:w="1419" w:type="dxa"/>
            <w:tcBorders>
              <w:top w:val="nil"/>
              <w:left w:val="nil"/>
              <w:bottom w:val="single" w:sz="4" w:space="0" w:color="auto"/>
              <w:right w:val="single" w:sz="4" w:space="0" w:color="auto"/>
            </w:tcBorders>
            <w:noWrap/>
            <w:hideMark/>
          </w:tcPr>
          <w:p w14:paraId="6FCDB84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-9.9%</w:t>
            </w:r>
          </w:p>
        </w:tc>
        <w:tc>
          <w:tcPr>
            <w:tcW w:w="1276" w:type="dxa"/>
            <w:tcBorders>
              <w:top w:val="nil"/>
              <w:left w:val="nil"/>
              <w:bottom w:val="single" w:sz="4" w:space="0" w:color="auto"/>
              <w:right w:val="single" w:sz="4" w:space="0" w:color="auto"/>
            </w:tcBorders>
            <w:hideMark/>
          </w:tcPr>
          <w:p w14:paraId="42240B4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-25.4%</w:t>
            </w:r>
          </w:p>
        </w:tc>
        <w:tc>
          <w:tcPr>
            <w:tcW w:w="1275" w:type="dxa"/>
            <w:tcBorders>
              <w:top w:val="nil"/>
              <w:left w:val="nil"/>
              <w:bottom w:val="single" w:sz="4" w:space="0" w:color="auto"/>
              <w:right w:val="single" w:sz="4" w:space="0" w:color="auto"/>
            </w:tcBorders>
            <w:hideMark/>
          </w:tcPr>
          <w:p w14:paraId="7BD0C01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-20.9%</w:t>
            </w:r>
          </w:p>
        </w:tc>
        <w:tc>
          <w:tcPr>
            <w:tcW w:w="1418" w:type="dxa"/>
            <w:tcBorders>
              <w:top w:val="nil"/>
              <w:left w:val="nil"/>
              <w:bottom w:val="single" w:sz="4" w:space="0" w:color="auto"/>
              <w:right w:val="single" w:sz="4" w:space="0" w:color="auto"/>
            </w:tcBorders>
            <w:hideMark/>
          </w:tcPr>
          <w:p w14:paraId="1266E9E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4.4%</w:t>
            </w:r>
          </w:p>
        </w:tc>
      </w:tr>
      <w:tr w:rsidR="007B29DD" w14:paraId="3920376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22ABC5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C88645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277E5EC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-14.9%</w:t>
            </w:r>
          </w:p>
        </w:tc>
        <w:tc>
          <w:tcPr>
            <w:tcW w:w="1419" w:type="dxa"/>
            <w:tcBorders>
              <w:top w:val="nil"/>
              <w:left w:val="nil"/>
              <w:bottom w:val="single" w:sz="4" w:space="0" w:color="auto"/>
              <w:right w:val="single" w:sz="4" w:space="0" w:color="auto"/>
            </w:tcBorders>
            <w:noWrap/>
            <w:hideMark/>
          </w:tcPr>
          <w:p w14:paraId="3606FE3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-9.9%</w:t>
            </w:r>
          </w:p>
        </w:tc>
        <w:tc>
          <w:tcPr>
            <w:tcW w:w="1276" w:type="dxa"/>
            <w:tcBorders>
              <w:top w:val="nil"/>
              <w:left w:val="nil"/>
              <w:bottom w:val="single" w:sz="4" w:space="0" w:color="auto"/>
              <w:right w:val="single" w:sz="4" w:space="0" w:color="auto"/>
            </w:tcBorders>
            <w:hideMark/>
          </w:tcPr>
          <w:p w14:paraId="455267F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-28.4%</w:t>
            </w:r>
          </w:p>
        </w:tc>
        <w:tc>
          <w:tcPr>
            <w:tcW w:w="1275" w:type="dxa"/>
            <w:tcBorders>
              <w:top w:val="nil"/>
              <w:left w:val="nil"/>
              <w:bottom w:val="single" w:sz="4" w:space="0" w:color="auto"/>
              <w:right w:val="single" w:sz="4" w:space="0" w:color="auto"/>
            </w:tcBorders>
            <w:hideMark/>
          </w:tcPr>
          <w:p w14:paraId="056BDB4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-21.2%</w:t>
            </w:r>
          </w:p>
        </w:tc>
        <w:tc>
          <w:tcPr>
            <w:tcW w:w="1418" w:type="dxa"/>
            <w:tcBorders>
              <w:top w:val="nil"/>
              <w:left w:val="nil"/>
              <w:bottom w:val="single" w:sz="4" w:space="0" w:color="auto"/>
              <w:right w:val="single" w:sz="4" w:space="0" w:color="auto"/>
            </w:tcBorders>
            <w:hideMark/>
          </w:tcPr>
          <w:p w14:paraId="15C81D7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w:t>
            </w:r>
          </w:p>
        </w:tc>
      </w:tr>
      <w:tr w:rsidR="007B29DD" w14:paraId="32F166BF"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23FB2378"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Millicent (239)</w:t>
            </w:r>
          </w:p>
        </w:tc>
        <w:tc>
          <w:tcPr>
            <w:tcW w:w="1559" w:type="dxa"/>
            <w:tcBorders>
              <w:top w:val="nil"/>
              <w:left w:val="nil"/>
              <w:bottom w:val="single" w:sz="4" w:space="0" w:color="auto"/>
              <w:right w:val="single" w:sz="4" w:space="0" w:color="auto"/>
            </w:tcBorders>
            <w:shd w:val="clear" w:color="auto" w:fill="D9D9D9"/>
            <w:vAlign w:val="center"/>
            <w:hideMark/>
          </w:tcPr>
          <w:p w14:paraId="748C886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4E5916F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-15.0%</w:t>
            </w:r>
          </w:p>
        </w:tc>
        <w:tc>
          <w:tcPr>
            <w:tcW w:w="1419" w:type="dxa"/>
            <w:tcBorders>
              <w:top w:val="nil"/>
              <w:left w:val="nil"/>
              <w:bottom w:val="single" w:sz="4" w:space="0" w:color="auto"/>
              <w:right w:val="single" w:sz="4" w:space="0" w:color="auto"/>
            </w:tcBorders>
            <w:shd w:val="clear" w:color="auto" w:fill="D9D9D9"/>
            <w:noWrap/>
            <w:hideMark/>
          </w:tcPr>
          <w:p w14:paraId="4AD36CE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c>
          <w:tcPr>
            <w:tcW w:w="1276" w:type="dxa"/>
            <w:tcBorders>
              <w:top w:val="nil"/>
              <w:left w:val="nil"/>
              <w:bottom w:val="single" w:sz="4" w:space="0" w:color="auto"/>
              <w:right w:val="single" w:sz="4" w:space="0" w:color="auto"/>
            </w:tcBorders>
            <w:shd w:val="clear" w:color="auto" w:fill="D9D9D9"/>
            <w:hideMark/>
          </w:tcPr>
          <w:p w14:paraId="2C06C6D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-26.5%</w:t>
            </w:r>
          </w:p>
        </w:tc>
        <w:tc>
          <w:tcPr>
            <w:tcW w:w="1275" w:type="dxa"/>
            <w:tcBorders>
              <w:top w:val="nil"/>
              <w:left w:val="nil"/>
              <w:bottom w:val="single" w:sz="4" w:space="0" w:color="auto"/>
              <w:right w:val="single" w:sz="4" w:space="0" w:color="auto"/>
            </w:tcBorders>
            <w:shd w:val="clear" w:color="auto" w:fill="D9D9D9"/>
            <w:hideMark/>
          </w:tcPr>
          <w:p w14:paraId="1B06306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-22.3%</w:t>
            </w:r>
          </w:p>
        </w:tc>
        <w:tc>
          <w:tcPr>
            <w:tcW w:w="1418" w:type="dxa"/>
            <w:tcBorders>
              <w:top w:val="nil"/>
              <w:left w:val="nil"/>
              <w:bottom w:val="single" w:sz="4" w:space="0" w:color="auto"/>
              <w:right w:val="single" w:sz="4" w:space="0" w:color="auto"/>
            </w:tcBorders>
            <w:shd w:val="clear" w:color="auto" w:fill="D9D9D9"/>
            <w:hideMark/>
          </w:tcPr>
          <w:p w14:paraId="577B5ED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7.9%</w:t>
            </w:r>
          </w:p>
        </w:tc>
      </w:tr>
      <w:tr w:rsidR="007B29DD" w14:paraId="3293028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1FF79A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0EB452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0CC8AD4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-22.9%</w:t>
            </w:r>
          </w:p>
        </w:tc>
        <w:tc>
          <w:tcPr>
            <w:tcW w:w="1419" w:type="dxa"/>
            <w:tcBorders>
              <w:top w:val="nil"/>
              <w:left w:val="nil"/>
              <w:bottom w:val="single" w:sz="4" w:space="0" w:color="auto"/>
              <w:right w:val="single" w:sz="4" w:space="0" w:color="auto"/>
            </w:tcBorders>
            <w:shd w:val="clear" w:color="auto" w:fill="D9D9D9"/>
            <w:noWrap/>
            <w:hideMark/>
          </w:tcPr>
          <w:p w14:paraId="09AC5AF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-18.2%</w:t>
            </w:r>
          </w:p>
        </w:tc>
        <w:tc>
          <w:tcPr>
            <w:tcW w:w="1276" w:type="dxa"/>
            <w:tcBorders>
              <w:top w:val="nil"/>
              <w:left w:val="nil"/>
              <w:bottom w:val="single" w:sz="4" w:space="0" w:color="auto"/>
              <w:right w:val="single" w:sz="4" w:space="0" w:color="auto"/>
            </w:tcBorders>
            <w:shd w:val="clear" w:color="auto" w:fill="D9D9D9"/>
            <w:hideMark/>
          </w:tcPr>
          <w:p w14:paraId="342B0F0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-37.6%</w:t>
            </w:r>
          </w:p>
        </w:tc>
        <w:tc>
          <w:tcPr>
            <w:tcW w:w="1275" w:type="dxa"/>
            <w:tcBorders>
              <w:top w:val="nil"/>
              <w:left w:val="nil"/>
              <w:bottom w:val="single" w:sz="4" w:space="0" w:color="auto"/>
              <w:right w:val="single" w:sz="4" w:space="0" w:color="auto"/>
            </w:tcBorders>
            <w:shd w:val="clear" w:color="auto" w:fill="D9D9D9"/>
            <w:hideMark/>
          </w:tcPr>
          <w:p w14:paraId="72EC29B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-31.7%</w:t>
            </w:r>
          </w:p>
        </w:tc>
        <w:tc>
          <w:tcPr>
            <w:tcW w:w="1418" w:type="dxa"/>
            <w:tcBorders>
              <w:top w:val="nil"/>
              <w:left w:val="nil"/>
              <w:bottom w:val="single" w:sz="4" w:space="0" w:color="auto"/>
              <w:right w:val="single" w:sz="4" w:space="0" w:color="auto"/>
            </w:tcBorders>
            <w:shd w:val="clear" w:color="auto" w:fill="D9D9D9"/>
            <w:hideMark/>
          </w:tcPr>
          <w:p w14:paraId="6909A88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4.6%</w:t>
            </w:r>
          </w:p>
        </w:tc>
      </w:tr>
      <w:tr w:rsidR="007B29DD" w14:paraId="45C4A5B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CD4094C"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D757AC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EF514A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-14.4%</w:t>
            </w:r>
          </w:p>
        </w:tc>
        <w:tc>
          <w:tcPr>
            <w:tcW w:w="1419" w:type="dxa"/>
            <w:tcBorders>
              <w:top w:val="nil"/>
              <w:left w:val="nil"/>
              <w:bottom w:val="single" w:sz="4" w:space="0" w:color="auto"/>
              <w:right w:val="single" w:sz="4" w:space="0" w:color="auto"/>
            </w:tcBorders>
            <w:shd w:val="clear" w:color="auto" w:fill="D9D9D9"/>
            <w:noWrap/>
            <w:hideMark/>
          </w:tcPr>
          <w:p w14:paraId="3B25AF5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-10.7%</w:t>
            </w:r>
          </w:p>
        </w:tc>
        <w:tc>
          <w:tcPr>
            <w:tcW w:w="1276" w:type="dxa"/>
            <w:tcBorders>
              <w:top w:val="nil"/>
              <w:left w:val="nil"/>
              <w:bottom w:val="single" w:sz="4" w:space="0" w:color="auto"/>
              <w:right w:val="single" w:sz="4" w:space="0" w:color="auto"/>
            </w:tcBorders>
            <w:shd w:val="clear" w:color="auto" w:fill="D9D9D9"/>
            <w:hideMark/>
          </w:tcPr>
          <w:p w14:paraId="2FC3AB2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-26.0%</w:t>
            </w:r>
          </w:p>
        </w:tc>
        <w:tc>
          <w:tcPr>
            <w:tcW w:w="1275" w:type="dxa"/>
            <w:tcBorders>
              <w:top w:val="nil"/>
              <w:left w:val="nil"/>
              <w:bottom w:val="single" w:sz="4" w:space="0" w:color="auto"/>
              <w:right w:val="single" w:sz="4" w:space="0" w:color="auto"/>
            </w:tcBorders>
            <w:shd w:val="clear" w:color="auto" w:fill="D9D9D9"/>
            <w:hideMark/>
          </w:tcPr>
          <w:p w14:paraId="008A43F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-21.3%</w:t>
            </w:r>
          </w:p>
        </w:tc>
        <w:tc>
          <w:tcPr>
            <w:tcW w:w="1418" w:type="dxa"/>
            <w:tcBorders>
              <w:top w:val="nil"/>
              <w:left w:val="nil"/>
              <w:bottom w:val="single" w:sz="4" w:space="0" w:color="auto"/>
              <w:right w:val="single" w:sz="4" w:space="0" w:color="auto"/>
            </w:tcBorders>
            <w:shd w:val="clear" w:color="auto" w:fill="D9D9D9"/>
            <w:hideMark/>
          </w:tcPr>
          <w:p w14:paraId="535D850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7.4%</w:t>
            </w:r>
          </w:p>
        </w:tc>
      </w:tr>
      <w:tr w:rsidR="007B29DD" w14:paraId="2FD25B0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416832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EB2139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0A61F9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-16.7%</w:t>
            </w:r>
          </w:p>
        </w:tc>
        <w:tc>
          <w:tcPr>
            <w:tcW w:w="1419" w:type="dxa"/>
            <w:tcBorders>
              <w:top w:val="nil"/>
              <w:left w:val="nil"/>
              <w:bottom w:val="single" w:sz="4" w:space="0" w:color="auto"/>
              <w:right w:val="single" w:sz="4" w:space="0" w:color="auto"/>
            </w:tcBorders>
            <w:shd w:val="clear" w:color="auto" w:fill="D9D9D9"/>
            <w:noWrap/>
            <w:hideMark/>
          </w:tcPr>
          <w:p w14:paraId="60176D6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-12.5%</w:t>
            </w:r>
          </w:p>
        </w:tc>
        <w:tc>
          <w:tcPr>
            <w:tcW w:w="1276" w:type="dxa"/>
            <w:tcBorders>
              <w:top w:val="nil"/>
              <w:left w:val="nil"/>
              <w:bottom w:val="single" w:sz="4" w:space="0" w:color="auto"/>
              <w:right w:val="single" w:sz="4" w:space="0" w:color="auto"/>
            </w:tcBorders>
            <w:shd w:val="clear" w:color="auto" w:fill="D9D9D9"/>
            <w:hideMark/>
          </w:tcPr>
          <w:p w14:paraId="7DCCD81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-30.0%</w:t>
            </w:r>
          </w:p>
        </w:tc>
        <w:tc>
          <w:tcPr>
            <w:tcW w:w="1275" w:type="dxa"/>
            <w:tcBorders>
              <w:top w:val="nil"/>
              <w:left w:val="nil"/>
              <w:bottom w:val="single" w:sz="4" w:space="0" w:color="auto"/>
              <w:right w:val="single" w:sz="4" w:space="0" w:color="auto"/>
            </w:tcBorders>
            <w:shd w:val="clear" w:color="auto" w:fill="D9D9D9"/>
            <w:hideMark/>
          </w:tcPr>
          <w:p w14:paraId="3689E13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-23.4%</w:t>
            </w:r>
          </w:p>
        </w:tc>
        <w:tc>
          <w:tcPr>
            <w:tcW w:w="1418" w:type="dxa"/>
            <w:tcBorders>
              <w:top w:val="nil"/>
              <w:left w:val="nil"/>
              <w:bottom w:val="single" w:sz="4" w:space="0" w:color="auto"/>
              <w:right w:val="single" w:sz="4" w:space="0" w:color="auto"/>
            </w:tcBorders>
            <w:shd w:val="clear" w:color="auto" w:fill="D9D9D9"/>
            <w:hideMark/>
          </w:tcPr>
          <w:p w14:paraId="6292ABB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4.3%</w:t>
            </w:r>
          </w:p>
        </w:tc>
      </w:tr>
      <w:tr w:rsidR="007B29DD" w14:paraId="24A4B2B2"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3FBFE2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Upper Murray (401)</w:t>
            </w:r>
          </w:p>
        </w:tc>
        <w:tc>
          <w:tcPr>
            <w:tcW w:w="1559" w:type="dxa"/>
            <w:tcBorders>
              <w:top w:val="nil"/>
              <w:left w:val="nil"/>
              <w:bottom w:val="single" w:sz="4" w:space="0" w:color="auto"/>
              <w:right w:val="single" w:sz="4" w:space="0" w:color="auto"/>
            </w:tcBorders>
            <w:vAlign w:val="center"/>
            <w:hideMark/>
          </w:tcPr>
          <w:p w14:paraId="6552F93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3B305A6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-8.5%</w:t>
            </w:r>
          </w:p>
        </w:tc>
        <w:tc>
          <w:tcPr>
            <w:tcW w:w="1419" w:type="dxa"/>
            <w:tcBorders>
              <w:top w:val="nil"/>
              <w:left w:val="nil"/>
              <w:bottom w:val="single" w:sz="4" w:space="0" w:color="auto"/>
              <w:right w:val="single" w:sz="4" w:space="0" w:color="auto"/>
            </w:tcBorders>
            <w:noWrap/>
            <w:hideMark/>
          </w:tcPr>
          <w:p w14:paraId="4909C3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-4.9%</w:t>
            </w:r>
          </w:p>
        </w:tc>
        <w:tc>
          <w:tcPr>
            <w:tcW w:w="1276" w:type="dxa"/>
            <w:tcBorders>
              <w:top w:val="nil"/>
              <w:left w:val="nil"/>
              <w:bottom w:val="single" w:sz="4" w:space="0" w:color="auto"/>
              <w:right w:val="single" w:sz="4" w:space="0" w:color="auto"/>
            </w:tcBorders>
            <w:hideMark/>
          </w:tcPr>
          <w:p w14:paraId="168E2BB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-15.4%</w:t>
            </w:r>
          </w:p>
        </w:tc>
        <w:tc>
          <w:tcPr>
            <w:tcW w:w="1275" w:type="dxa"/>
            <w:tcBorders>
              <w:top w:val="nil"/>
              <w:left w:val="nil"/>
              <w:bottom w:val="single" w:sz="4" w:space="0" w:color="auto"/>
              <w:right w:val="single" w:sz="4" w:space="0" w:color="auto"/>
            </w:tcBorders>
            <w:hideMark/>
          </w:tcPr>
          <w:p w14:paraId="6730B8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-17.9%</w:t>
            </w:r>
          </w:p>
        </w:tc>
        <w:tc>
          <w:tcPr>
            <w:tcW w:w="1418" w:type="dxa"/>
            <w:tcBorders>
              <w:top w:val="nil"/>
              <w:left w:val="nil"/>
              <w:bottom w:val="single" w:sz="4" w:space="0" w:color="auto"/>
              <w:right w:val="single" w:sz="4" w:space="0" w:color="auto"/>
            </w:tcBorders>
            <w:hideMark/>
          </w:tcPr>
          <w:p w14:paraId="531340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9.7%</w:t>
            </w:r>
          </w:p>
        </w:tc>
      </w:tr>
      <w:tr w:rsidR="007B29DD" w14:paraId="327F0D1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D68109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C510DA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4C84A9B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-14.4%</w:t>
            </w:r>
          </w:p>
        </w:tc>
        <w:tc>
          <w:tcPr>
            <w:tcW w:w="1419" w:type="dxa"/>
            <w:tcBorders>
              <w:top w:val="nil"/>
              <w:left w:val="nil"/>
              <w:bottom w:val="single" w:sz="4" w:space="0" w:color="auto"/>
              <w:right w:val="single" w:sz="4" w:space="0" w:color="auto"/>
            </w:tcBorders>
            <w:noWrap/>
            <w:hideMark/>
          </w:tcPr>
          <w:p w14:paraId="18707FD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-7.7%</w:t>
            </w:r>
          </w:p>
        </w:tc>
        <w:tc>
          <w:tcPr>
            <w:tcW w:w="1276" w:type="dxa"/>
            <w:tcBorders>
              <w:top w:val="nil"/>
              <w:left w:val="nil"/>
              <w:bottom w:val="single" w:sz="4" w:space="0" w:color="auto"/>
              <w:right w:val="single" w:sz="4" w:space="0" w:color="auto"/>
            </w:tcBorders>
            <w:hideMark/>
          </w:tcPr>
          <w:p w14:paraId="2EE44BB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-27.4%</w:t>
            </w:r>
          </w:p>
        </w:tc>
        <w:tc>
          <w:tcPr>
            <w:tcW w:w="1275" w:type="dxa"/>
            <w:tcBorders>
              <w:top w:val="nil"/>
              <w:left w:val="nil"/>
              <w:bottom w:val="single" w:sz="4" w:space="0" w:color="auto"/>
              <w:right w:val="single" w:sz="4" w:space="0" w:color="auto"/>
            </w:tcBorders>
            <w:hideMark/>
          </w:tcPr>
          <w:p w14:paraId="0738AC2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-33.5%</w:t>
            </w:r>
          </w:p>
        </w:tc>
        <w:tc>
          <w:tcPr>
            <w:tcW w:w="1418" w:type="dxa"/>
            <w:tcBorders>
              <w:top w:val="nil"/>
              <w:left w:val="nil"/>
              <w:bottom w:val="single" w:sz="4" w:space="0" w:color="auto"/>
              <w:right w:val="single" w:sz="4" w:space="0" w:color="auto"/>
            </w:tcBorders>
            <w:hideMark/>
          </w:tcPr>
          <w:p w14:paraId="2432234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22.4%</w:t>
            </w:r>
          </w:p>
        </w:tc>
      </w:tr>
      <w:tr w:rsidR="007B29DD" w14:paraId="70323BA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F26FA9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568194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59F330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-9.4%</w:t>
            </w:r>
          </w:p>
        </w:tc>
        <w:tc>
          <w:tcPr>
            <w:tcW w:w="1419" w:type="dxa"/>
            <w:tcBorders>
              <w:top w:val="nil"/>
              <w:left w:val="nil"/>
              <w:bottom w:val="single" w:sz="4" w:space="0" w:color="auto"/>
              <w:right w:val="single" w:sz="4" w:space="0" w:color="auto"/>
            </w:tcBorders>
            <w:noWrap/>
            <w:hideMark/>
          </w:tcPr>
          <w:p w14:paraId="67766D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-4.5%</w:t>
            </w:r>
          </w:p>
        </w:tc>
        <w:tc>
          <w:tcPr>
            <w:tcW w:w="1276" w:type="dxa"/>
            <w:tcBorders>
              <w:top w:val="nil"/>
              <w:left w:val="nil"/>
              <w:bottom w:val="single" w:sz="4" w:space="0" w:color="auto"/>
              <w:right w:val="single" w:sz="4" w:space="0" w:color="auto"/>
            </w:tcBorders>
            <w:hideMark/>
          </w:tcPr>
          <w:p w14:paraId="4558DFF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-18.8%</w:t>
            </w:r>
          </w:p>
        </w:tc>
        <w:tc>
          <w:tcPr>
            <w:tcW w:w="1275" w:type="dxa"/>
            <w:tcBorders>
              <w:top w:val="nil"/>
              <w:left w:val="nil"/>
              <w:bottom w:val="single" w:sz="4" w:space="0" w:color="auto"/>
              <w:right w:val="single" w:sz="4" w:space="0" w:color="auto"/>
            </w:tcBorders>
            <w:hideMark/>
          </w:tcPr>
          <w:p w14:paraId="7D956AE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-27.6%</w:t>
            </w:r>
          </w:p>
        </w:tc>
        <w:tc>
          <w:tcPr>
            <w:tcW w:w="1418" w:type="dxa"/>
            <w:tcBorders>
              <w:top w:val="nil"/>
              <w:left w:val="nil"/>
              <w:bottom w:val="single" w:sz="4" w:space="0" w:color="auto"/>
              <w:right w:val="single" w:sz="4" w:space="0" w:color="auto"/>
            </w:tcBorders>
            <w:hideMark/>
          </w:tcPr>
          <w:p w14:paraId="683263F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25.7%</w:t>
            </w:r>
          </w:p>
        </w:tc>
      </w:tr>
      <w:tr w:rsidR="007B29DD" w14:paraId="06FB4E5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22804C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44B673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3BC3493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-14.1%</w:t>
            </w:r>
          </w:p>
        </w:tc>
        <w:tc>
          <w:tcPr>
            <w:tcW w:w="1419" w:type="dxa"/>
            <w:tcBorders>
              <w:top w:val="nil"/>
              <w:left w:val="nil"/>
              <w:bottom w:val="single" w:sz="4" w:space="0" w:color="auto"/>
              <w:right w:val="single" w:sz="4" w:space="0" w:color="auto"/>
            </w:tcBorders>
            <w:noWrap/>
            <w:hideMark/>
          </w:tcPr>
          <w:p w14:paraId="4DDC076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-7.7%</w:t>
            </w:r>
          </w:p>
        </w:tc>
        <w:tc>
          <w:tcPr>
            <w:tcW w:w="1276" w:type="dxa"/>
            <w:tcBorders>
              <w:top w:val="nil"/>
              <w:left w:val="nil"/>
              <w:bottom w:val="single" w:sz="4" w:space="0" w:color="auto"/>
              <w:right w:val="single" w:sz="4" w:space="0" w:color="auto"/>
            </w:tcBorders>
            <w:hideMark/>
          </w:tcPr>
          <w:p w14:paraId="0D1537D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-26.4%</w:t>
            </w:r>
          </w:p>
        </w:tc>
        <w:tc>
          <w:tcPr>
            <w:tcW w:w="1275" w:type="dxa"/>
            <w:tcBorders>
              <w:top w:val="nil"/>
              <w:left w:val="nil"/>
              <w:bottom w:val="single" w:sz="4" w:space="0" w:color="auto"/>
              <w:right w:val="single" w:sz="4" w:space="0" w:color="auto"/>
            </w:tcBorders>
            <w:hideMark/>
          </w:tcPr>
          <w:p w14:paraId="020BEDC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-23.5%</w:t>
            </w:r>
          </w:p>
        </w:tc>
        <w:tc>
          <w:tcPr>
            <w:tcW w:w="1418" w:type="dxa"/>
            <w:tcBorders>
              <w:top w:val="nil"/>
              <w:left w:val="nil"/>
              <w:bottom w:val="single" w:sz="4" w:space="0" w:color="auto"/>
              <w:right w:val="single" w:sz="4" w:space="0" w:color="auto"/>
            </w:tcBorders>
            <w:hideMark/>
          </w:tcPr>
          <w:p w14:paraId="1EADA76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w:t>
            </w:r>
          </w:p>
        </w:tc>
      </w:tr>
      <w:tr w:rsidR="007B29DD" w14:paraId="394F333A"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71FA4EFA"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Kiewa (402)</w:t>
            </w:r>
          </w:p>
        </w:tc>
        <w:tc>
          <w:tcPr>
            <w:tcW w:w="1559" w:type="dxa"/>
            <w:tcBorders>
              <w:top w:val="nil"/>
              <w:left w:val="nil"/>
              <w:bottom w:val="single" w:sz="4" w:space="0" w:color="auto"/>
              <w:right w:val="single" w:sz="4" w:space="0" w:color="auto"/>
            </w:tcBorders>
            <w:shd w:val="clear" w:color="auto" w:fill="D9D9D9"/>
            <w:vAlign w:val="center"/>
            <w:hideMark/>
          </w:tcPr>
          <w:p w14:paraId="2AB4BD1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72C5EC8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-9.5%</w:t>
            </w:r>
          </w:p>
        </w:tc>
        <w:tc>
          <w:tcPr>
            <w:tcW w:w="1419" w:type="dxa"/>
            <w:tcBorders>
              <w:top w:val="nil"/>
              <w:left w:val="nil"/>
              <w:bottom w:val="single" w:sz="4" w:space="0" w:color="auto"/>
              <w:right w:val="single" w:sz="4" w:space="0" w:color="auto"/>
            </w:tcBorders>
            <w:shd w:val="clear" w:color="auto" w:fill="D9D9D9"/>
            <w:noWrap/>
            <w:hideMark/>
          </w:tcPr>
          <w:p w14:paraId="2E1099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c>
          <w:tcPr>
            <w:tcW w:w="1276" w:type="dxa"/>
            <w:tcBorders>
              <w:top w:val="nil"/>
              <w:left w:val="nil"/>
              <w:bottom w:val="single" w:sz="4" w:space="0" w:color="auto"/>
              <w:right w:val="single" w:sz="4" w:space="0" w:color="auto"/>
            </w:tcBorders>
            <w:shd w:val="clear" w:color="auto" w:fill="D9D9D9"/>
            <w:hideMark/>
          </w:tcPr>
          <w:p w14:paraId="4DE2057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-18.9%</w:t>
            </w:r>
          </w:p>
        </w:tc>
        <w:tc>
          <w:tcPr>
            <w:tcW w:w="1275" w:type="dxa"/>
            <w:tcBorders>
              <w:top w:val="nil"/>
              <w:left w:val="nil"/>
              <w:bottom w:val="single" w:sz="4" w:space="0" w:color="auto"/>
              <w:right w:val="single" w:sz="4" w:space="0" w:color="auto"/>
            </w:tcBorders>
            <w:shd w:val="clear" w:color="auto" w:fill="D9D9D9"/>
            <w:hideMark/>
          </w:tcPr>
          <w:p w14:paraId="72F8492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-17.2%</w:t>
            </w:r>
          </w:p>
        </w:tc>
        <w:tc>
          <w:tcPr>
            <w:tcW w:w="1418" w:type="dxa"/>
            <w:tcBorders>
              <w:top w:val="nil"/>
              <w:left w:val="nil"/>
              <w:bottom w:val="single" w:sz="4" w:space="0" w:color="auto"/>
              <w:right w:val="single" w:sz="4" w:space="0" w:color="auto"/>
            </w:tcBorders>
            <w:shd w:val="clear" w:color="auto" w:fill="D9D9D9"/>
            <w:hideMark/>
          </w:tcPr>
          <w:p w14:paraId="3A1B030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7.1%</w:t>
            </w:r>
          </w:p>
        </w:tc>
      </w:tr>
      <w:tr w:rsidR="007B29DD" w14:paraId="2927F48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E6D073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7B9DBD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20327B7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-16.0%</w:t>
            </w:r>
          </w:p>
        </w:tc>
        <w:tc>
          <w:tcPr>
            <w:tcW w:w="1419" w:type="dxa"/>
            <w:tcBorders>
              <w:top w:val="nil"/>
              <w:left w:val="nil"/>
              <w:bottom w:val="single" w:sz="4" w:space="0" w:color="auto"/>
              <w:right w:val="single" w:sz="4" w:space="0" w:color="auto"/>
            </w:tcBorders>
            <w:shd w:val="clear" w:color="auto" w:fill="D9D9D9"/>
            <w:noWrap/>
            <w:hideMark/>
          </w:tcPr>
          <w:p w14:paraId="4BB6D02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c>
          <w:tcPr>
            <w:tcW w:w="1276" w:type="dxa"/>
            <w:tcBorders>
              <w:top w:val="nil"/>
              <w:left w:val="nil"/>
              <w:bottom w:val="single" w:sz="4" w:space="0" w:color="auto"/>
              <w:right w:val="single" w:sz="4" w:space="0" w:color="auto"/>
            </w:tcBorders>
            <w:shd w:val="clear" w:color="auto" w:fill="D9D9D9"/>
            <w:hideMark/>
          </w:tcPr>
          <w:p w14:paraId="3F5C5F2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-30.5%</w:t>
            </w:r>
          </w:p>
        </w:tc>
        <w:tc>
          <w:tcPr>
            <w:tcW w:w="1275" w:type="dxa"/>
            <w:tcBorders>
              <w:top w:val="nil"/>
              <w:left w:val="nil"/>
              <w:bottom w:val="single" w:sz="4" w:space="0" w:color="auto"/>
              <w:right w:val="single" w:sz="4" w:space="0" w:color="auto"/>
            </w:tcBorders>
            <w:shd w:val="clear" w:color="auto" w:fill="D9D9D9"/>
            <w:hideMark/>
          </w:tcPr>
          <w:p w14:paraId="55BB461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-31.4%</w:t>
            </w:r>
          </w:p>
        </w:tc>
        <w:tc>
          <w:tcPr>
            <w:tcW w:w="1418" w:type="dxa"/>
            <w:tcBorders>
              <w:top w:val="nil"/>
              <w:left w:val="nil"/>
              <w:bottom w:val="single" w:sz="4" w:space="0" w:color="auto"/>
              <w:right w:val="single" w:sz="4" w:space="0" w:color="auto"/>
            </w:tcBorders>
            <w:shd w:val="clear" w:color="auto" w:fill="D9D9D9"/>
            <w:hideMark/>
          </w:tcPr>
          <w:p w14:paraId="0C7CC1E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r>
      <w:tr w:rsidR="007B29DD" w14:paraId="530E76F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CDC42D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28FE337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3B09169A"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-12.8%</w:t>
            </w:r>
          </w:p>
        </w:tc>
        <w:tc>
          <w:tcPr>
            <w:tcW w:w="1419" w:type="dxa"/>
            <w:tcBorders>
              <w:top w:val="nil"/>
              <w:left w:val="nil"/>
              <w:bottom w:val="single" w:sz="4" w:space="0" w:color="auto"/>
              <w:right w:val="single" w:sz="4" w:space="0" w:color="auto"/>
            </w:tcBorders>
            <w:shd w:val="clear" w:color="auto" w:fill="D9D9D9"/>
            <w:noWrap/>
            <w:hideMark/>
          </w:tcPr>
          <w:p w14:paraId="66B4D88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-8.5%</w:t>
            </w:r>
          </w:p>
        </w:tc>
        <w:tc>
          <w:tcPr>
            <w:tcW w:w="1276" w:type="dxa"/>
            <w:tcBorders>
              <w:top w:val="nil"/>
              <w:left w:val="nil"/>
              <w:bottom w:val="single" w:sz="4" w:space="0" w:color="auto"/>
              <w:right w:val="single" w:sz="4" w:space="0" w:color="auto"/>
            </w:tcBorders>
            <w:shd w:val="clear" w:color="auto" w:fill="D9D9D9"/>
            <w:hideMark/>
          </w:tcPr>
          <w:p w14:paraId="42E390E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-22.2%</w:t>
            </w:r>
          </w:p>
        </w:tc>
        <w:tc>
          <w:tcPr>
            <w:tcW w:w="1275" w:type="dxa"/>
            <w:tcBorders>
              <w:top w:val="nil"/>
              <w:left w:val="nil"/>
              <w:bottom w:val="single" w:sz="4" w:space="0" w:color="auto"/>
              <w:right w:val="single" w:sz="4" w:space="0" w:color="auto"/>
            </w:tcBorders>
            <w:shd w:val="clear" w:color="auto" w:fill="D9D9D9"/>
            <w:hideMark/>
          </w:tcPr>
          <w:p w14:paraId="2F3BC4C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-28.7%</w:t>
            </w:r>
          </w:p>
        </w:tc>
        <w:tc>
          <w:tcPr>
            <w:tcW w:w="1418" w:type="dxa"/>
            <w:tcBorders>
              <w:top w:val="nil"/>
              <w:left w:val="nil"/>
              <w:bottom w:val="single" w:sz="4" w:space="0" w:color="auto"/>
              <w:right w:val="single" w:sz="4" w:space="0" w:color="auto"/>
            </w:tcBorders>
            <w:shd w:val="clear" w:color="auto" w:fill="D9D9D9"/>
            <w:hideMark/>
          </w:tcPr>
          <w:p w14:paraId="22F95A6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21.8%</w:t>
            </w:r>
          </w:p>
        </w:tc>
      </w:tr>
      <w:tr w:rsidR="007B29DD" w14:paraId="6CE57D2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CF6AF2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EA9772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564DF2A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-14.6%</w:t>
            </w:r>
          </w:p>
        </w:tc>
        <w:tc>
          <w:tcPr>
            <w:tcW w:w="1419" w:type="dxa"/>
            <w:tcBorders>
              <w:top w:val="nil"/>
              <w:left w:val="nil"/>
              <w:bottom w:val="single" w:sz="4" w:space="0" w:color="auto"/>
              <w:right w:val="single" w:sz="4" w:space="0" w:color="auto"/>
            </w:tcBorders>
            <w:shd w:val="clear" w:color="auto" w:fill="D9D9D9"/>
            <w:noWrap/>
            <w:hideMark/>
          </w:tcPr>
          <w:p w14:paraId="0762F3C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-8.2%</w:t>
            </w:r>
          </w:p>
        </w:tc>
        <w:tc>
          <w:tcPr>
            <w:tcW w:w="1276" w:type="dxa"/>
            <w:tcBorders>
              <w:top w:val="nil"/>
              <w:left w:val="nil"/>
              <w:bottom w:val="single" w:sz="4" w:space="0" w:color="auto"/>
              <w:right w:val="single" w:sz="4" w:space="0" w:color="auto"/>
            </w:tcBorders>
            <w:shd w:val="clear" w:color="auto" w:fill="D9D9D9"/>
            <w:hideMark/>
          </w:tcPr>
          <w:p w14:paraId="7A2F87A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-28.6%</w:t>
            </w:r>
          </w:p>
        </w:tc>
        <w:tc>
          <w:tcPr>
            <w:tcW w:w="1275" w:type="dxa"/>
            <w:tcBorders>
              <w:top w:val="nil"/>
              <w:left w:val="nil"/>
              <w:bottom w:val="single" w:sz="4" w:space="0" w:color="auto"/>
              <w:right w:val="single" w:sz="4" w:space="0" w:color="auto"/>
            </w:tcBorders>
            <w:shd w:val="clear" w:color="auto" w:fill="D9D9D9"/>
            <w:hideMark/>
          </w:tcPr>
          <w:p w14:paraId="0C7370B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-22.5%</w:t>
            </w:r>
          </w:p>
        </w:tc>
        <w:tc>
          <w:tcPr>
            <w:tcW w:w="1418" w:type="dxa"/>
            <w:tcBorders>
              <w:top w:val="nil"/>
              <w:left w:val="nil"/>
              <w:bottom w:val="single" w:sz="4" w:space="0" w:color="auto"/>
              <w:right w:val="single" w:sz="4" w:space="0" w:color="auto"/>
            </w:tcBorders>
            <w:shd w:val="clear" w:color="auto" w:fill="D9D9D9"/>
            <w:hideMark/>
          </w:tcPr>
          <w:p w14:paraId="43B75FD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w:t>
            </w:r>
          </w:p>
        </w:tc>
      </w:tr>
      <w:tr w:rsidR="007B29DD" w14:paraId="21CE0407"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AFEE8CE"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Ovens (403)</w:t>
            </w:r>
          </w:p>
        </w:tc>
        <w:tc>
          <w:tcPr>
            <w:tcW w:w="1559" w:type="dxa"/>
            <w:tcBorders>
              <w:top w:val="nil"/>
              <w:left w:val="nil"/>
              <w:bottom w:val="single" w:sz="4" w:space="0" w:color="auto"/>
              <w:right w:val="single" w:sz="4" w:space="0" w:color="auto"/>
            </w:tcBorders>
            <w:vAlign w:val="center"/>
            <w:hideMark/>
          </w:tcPr>
          <w:p w14:paraId="6036041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1348F89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-9.5%</w:t>
            </w:r>
          </w:p>
        </w:tc>
        <w:tc>
          <w:tcPr>
            <w:tcW w:w="1419" w:type="dxa"/>
            <w:tcBorders>
              <w:top w:val="nil"/>
              <w:left w:val="nil"/>
              <w:bottom w:val="single" w:sz="4" w:space="0" w:color="auto"/>
              <w:right w:val="single" w:sz="4" w:space="0" w:color="auto"/>
            </w:tcBorders>
            <w:noWrap/>
            <w:hideMark/>
          </w:tcPr>
          <w:p w14:paraId="7174D4A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c>
          <w:tcPr>
            <w:tcW w:w="1276" w:type="dxa"/>
            <w:tcBorders>
              <w:top w:val="nil"/>
              <w:left w:val="nil"/>
              <w:bottom w:val="single" w:sz="4" w:space="0" w:color="auto"/>
              <w:right w:val="single" w:sz="4" w:space="0" w:color="auto"/>
            </w:tcBorders>
            <w:hideMark/>
          </w:tcPr>
          <w:p w14:paraId="2A0FD04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-18.7%</w:t>
            </w:r>
          </w:p>
        </w:tc>
        <w:tc>
          <w:tcPr>
            <w:tcW w:w="1275" w:type="dxa"/>
            <w:tcBorders>
              <w:top w:val="nil"/>
              <w:left w:val="nil"/>
              <w:bottom w:val="single" w:sz="4" w:space="0" w:color="auto"/>
              <w:right w:val="single" w:sz="4" w:space="0" w:color="auto"/>
            </w:tcBorders>
            <w:hideMark/>
          </w:tcPr>
          <w:p w14:paraId="3BB72A0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-16.3%</w:t>
            </w:r>
          </w:p>
        </w:tc>
        <w:tc>
          <w:tcPr>
            <w:tcW w:w="1418" w:type="dxa"/>
            <w:tcBorders>
              <w:top w:val="nil"/>
              <w:left w:val="nil"/>
              <w:bottom w:val="single" w:sz="4" w:space="0" w:color="auto"/>
              <w:right w:val="single" w:sz="4" w:space="0" w:color="auto"/>
            </w:tcBorders>
            <w:hideMark/>
          </w:tcPr>
          <w:p w14:paraId="7CD5669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4.8%</w:t>
            </w:r>
          </w:p>
        </w:tc>
      </w:tr>
      <w:tr w:rsidR="007B29DD" w14:paraId="1FE3209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77D518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DAE028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37A40EB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-17.5%</w:t>
            </w:r>
          </w:p>
        </w:tc>
        <w:tc>
          <w:tcPr>
            <w:tcW w:w="1419" w:type="dxa"/>
            <w:tcBorders>
              <w:top w:val="nil"/>
              <w:left w:val="nil"/>
              <w:bottom w:val="single" w:sz="4" w:space="0" w:color="auto"/>
              <w:right w:val="single" w:sz="4" w:space="0" w:color="auto"/>
            </w:tcBorders>
            <w:noWrap/>
            <w:hideMark/>
          </w:tcPr>
          <w:p w14:paraId="2BD5979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c>
          <w:tcPr>
            <w:tcW w:w="1276" w:type="dxa"/>
            <w:tcBorders>
              <w:top w:val="nil"/>
              <w:left w:val="nil"/>
              <w:bottom w:val="single" w:sz="4" w:space="0" w:color="auto"/>
              <w:right w:val="single" w:sz="4" w:space="0" w:color="auto"/>
            </w:tcBorders>
            <w:hideMark/>
          </w:tcPr>
          <w:p w14:paraId="3C25412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-34.4%</w:t>
            </w:r>
          </w:p>
        </w:tc>
        <w:tc>
          <w:tcPr>
            <w:tcW w:w="1275" w:type="dxa"/>
            <w:tcBorders>
              <w:top w:val="nil"/>
              <w:left w:val="nil"/>
              <w:bottom w:val="single" w:sz="4" w:space="0" w:color="auto"/>
              <w:right w:val="single" w:sz="4" w:space="0" w:color="auto"/>
            </w:tcBorders>
            <w:hideMark/>
          </w:tcPr>
          <w:p w14:paraId="7C41C2C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-33.1%</w:t>
            </w:r>
          </w:p>
        </w:tc>
        <w:tc>
          <w:tcPr>
            <w:tcW w:w="1418" w:type="dxa"/>
            <w:tcBorders>
              <w:top w:val="nil"/>
              <w:left w:val="nil"/>
              <w:bottom w:val="single" w:sz="4" w:space="0" w:color="auto"/>
              <w:right w:val="single" w:sz="4" w:space="0" w:color="auto"/>
            </w:tcBorders>
            <w:hideMark/>
          </w:tcPr>
          <w:p w14:paraId="01D9E9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15.5%</w:t>
            </w:r>
          </w:p>
        </w:tc>
      </w:tr>
      <w:tr w:rsidR="007B29DD" w14:paraId="6FBF185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7663FC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8A9E75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91C24CF"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-12.7%</w:t>
            </w:r>
          </w:p>
        </w:tc>
        <w:tc>
          <w:tcPr>
            <w:tcW w:w="1419" w:type="dxa"/>
            <w:tcBorders>
              <w:top w:val="nil"/>
              <w:left w:val="nil"/>
              <w:bottom w:val="single" w:sz="4" w:space="0" w:color="auto"/>
              <w:right w:val="single" w:sz="4" w:space="0" w:color="auto"/>
            </w:tcBorders>
            <w:noWrap/>
            <w:hideMark/>
          </w:tcPr>
          <w:p w14:paraId="17BCE1E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-7.2%</w:t>
            </w:r>
          </w:p>
        </w:tc>
        <w:tc>
          <w:tcPr>
            <w:tcW w:w="1276" w:type="dxa"/>
            <w:tcBorders>
              <w:top w:val="nil"/>
              <w:left w:val="nil"/>
              <w:bottom w:val="single" w:sz="4" w:space="0" w:color="auto"/>
              <w:right w:val="single" w:sz="4" w:space="0" w:color="auto"/>
            </w:tcBorders>
            <w:hideMark/>
          </w:tcPr>
          <w:p w14:paraId="443255E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-24.4%</w:t>
            </w:r>
          </w:p>
        </w:tc>
        <w:tc>
          <w:tcPr>
            <w:tcW w:w="1275" w:type="dxa"/>
            <w:tcBorders>
              <w:top w:val="nil"/>
              <w:left w:val="nil"/>
              <w:bottom w:val="single" w:sz="4" w:space="0" w:color="auto"/>
              <w:right w:val="single" w:sz="4" w:space="0" w:color="auto"/>
            </w:tcBorders>
            <w:hideMark/>
          </w:tcPr>
          <w:p w14:paraId="5A1708C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-28.6%</w:t>
            </w:r>
          </w:p>
        </w:tc>
        <w:tc>
          <w:tcPr>
            <w:tcW w:w="1418" w:type="dxa"/>
            <w:tcBorders>
              <w:top w:val="nil"/>
              <w:left w:val="nil"/>
              <w:bottom w:val="single" w:sz="4" w:space="0" w:color="auto"/>
              <w:right w:val="single" w:sz="4" w:space="0" w:color="auto"/>
            </w:tcBorders>
            <w:hideMark/>
          </w:tcPr>
          <w:p w14:paraId="40B80C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20.9%</w:t>
            </w:r>
          </w:p>
        </w:tc>
      </w:tr>
      <w:tr w:rsidR="007B29DD" w14:paraId="147A4BFE"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11673B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56100E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56D63B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-14.7%</w:t>
            </w:r>
          </w:p>
        </w:tc>
        <w:tc>
          <w:tcPr>
            <w:tcW w:w="1419" w:type="dxa"/>
            <w:tcBorders>
              <w:top w:val="nil"/>
              <w:left w:val="nil"/>
              <w:bottom w:val="single" w:sz="4" w:space="0" w:color="auto"/>
              <w:right w:val="single" w:sz="4" w:space="0" w:color="auto"/>
            </w:tcBorders>
            <w:noWrap/>
            <w:hideMark/>
          </w:tcPr>
          <w:p w14:paraId="2096E7E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-8.1%</w:t>
            </w:r>
          </w:p>
        </w:tc>
        <w:tc>
          <w:tcPr>
            <w:tcW w:w="1276" w:type="dxa"/>
            <w:tcBorders>
              <w:top w:val="nil"/>
              <w:left w:val="nil"/>
              <w:bottom w:val="single" w:sz="4" w:space="0" w:color="auto"/>
              <w:right w:val="single" w:sz="4" w:space="0" w:color="auto"/>
            </w:tcBorders>
            <w:hideMark/>
          </w:tcPr>
          <w:p w14:paraId="584B57E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-28.6%</w:t>
            </w:r>
          </w:p>
        </w:tc>
        <w:tc>
          <w:tcPr>
            <w:tcW w:w="1275" w:type="dxa"/>
            <w:tcBorders>
              <w:top w:val="nil"/>
              <w:left w:val="nil"/>
              <w:bottom w:val="single" w:sz="4" w:space="0" w:color="auto"/>
              <w:right w:val="single" w:sz="4" w:space="0" w:color="auto"/>
            </w:tcBorders>
            <w:hideMark/>
          </w:tcPr>
          <w:p w14:paraId="5D77B0E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-22.6%</w:t>
            </w:r>
          </w:p>
        </w:tc>
        <w:tc>
          <w:tcPr>
            <w:tcW w:w="1418" w:type="dxa"/>
            <w:tcBorders>
              <w:top w:val="nil"/>
              <w:left w:val="nil"/>
              <w:bottom w:val="single" w:sz="4" w:space="0" w:color="auto"/>
              <w:right w:val="single" w:sz="4" w:space="0" w:color="auto"/>
            </w:tcBorders>
            <w:hideMark/>
          </w:tcPr>
          <w:p w14:paraId="53CA570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w:t>
            </w:r>
          </w:p>
        </w:tc>
      </w:tr>
      <w:tr w:rsidR="007B29DD" w14:paraId="01ED1064"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32C20094"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Broken (404)</w:t>
            </w:r>
          </w:p>
        </w:tc>
        <w:tc>
          <w:tcPr>
            <w:tcW w:w="1559" w:type="dxa"/>
            <w:tcBorders>
              <w:top w:val="nil"/>
              <w:left w:val="nil"/>
              <w:bottom w:val="single" w:sz="4" w:space="0" w:color="auto"/>
              <w:right w:val="single" w:sz="4" w:space="0" w:color="auto"/>
            </w:tcBorders>
            <w:shd w:val="clear" w:color="auto" w:fill="D9D9D9"/>
            <w:vAlign w:val="center"/>
            <w:hideMark/>
          </w:tcPr>
          <w:p w14:paraId="579CF52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B7676C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-14.2%</w:t>
            </w:r>
          </w:p>
        </w:tc>
        <w:tc>
          <w:tcPr>
            <w:tcW w:w="1419" w:type="dxa"/>
            <w:tcBorders>
              <w:top w:val="nil"/>
              <w:left w:val="nil"/>
              <w:bottom w:val="single" w:sz="4" w:space="0" w:color="auto"/>
              <w:right w:val="single" w:sz="4" w:space="0" w:color="auto"/>
            </w:tcBorders>
            <w:shd w:val="clear" w:color="auto" w:fill="D9D9D9"/>
            <w:noWrap/>
            <w:hideMark/>
          </w:tcPr>
          <w:p w14:paraId="4AB8337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-9.8%</w:t>
            </w:r>
          </w:p>
        </w:tc>
        <w:tc>
          <w:tcPr>
            <w:tcW w:w="1276" w:type="dxa"/>
            <w:tcBorders>
              <w:top w:val="nil"/>
              <w:left w:val="nil"/>
              <w:bottom w:val="single" w:sz="4" w:space="0" w:color="auto"/>
              <w:right w:val="single" w:sz="4" w:space="0" w:color="auto"/>
            </w:tcBorders>
            <w:shd w:val="clear" w:color="auto" w:fill="D9D9D9"/>
            <w:hideMark/>
          </w:tcPr>
          <w:p w14:paraId="179B67C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-22.5%</w:t>
            </w:r>
          </w:p>
        </w:tc>
        <w:tc>
          <w:tcPr>
            <w:tcW w:w="1275" w:type="dxa"/>
            <w:tcBorders>
              <w:top w:val="nil"/>
              <w:left w:val="nil"/>
              <w:bottom w:val="single" w:sz="4" w:space="0" w:color="auto"/>
              <w:right w:val="single" w:sz="4" w:space="0" w:color="auto"/>
            </w:tcBorders>
            <w:shd w:val="clear" w:color="auto" w:fill="D9D9D9"/>
            <w:hideMark/>
          </w:tcPr>
          <w:p w14:paraId="3FE7EC7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-24.2%</w:t>
            </w:r>
          </w:p>
        </w:tc>
        <w:tc>
          <w:tcPr>
            <w:tcW w:w="1418" w:type="dxa"/>
            <w:tcBorders>
              <w:top w:val="nil"/>
              <w:left w:val="nil"/>
              <w:bottom w:val="single" w:sz="4" w:space="0" w:color="auto"/>
              <w:right w:val="single" w:sz="4" w:space="0" w:color="auto"/>
            </w:tcBorders>
            <w:shd w:val="clear" w:color="auto" w:fill="D9D9D9"/>
            <w:hideMark/>
          </w:tcPr>
          <w:p w14:paraId="3F67888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4.8%</w:t>
            </w:r>
          </w:p>
        </w:tc>
      </w:tr>
      <w:tr w:rsidR="007B29DD" w14:paraId="53856F9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7E9A770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6D582A5"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4801AD6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-18.3%</w:t>
            </w:r>
          </w:p>
        </w:tc>
        <w:tc>
          <w:tcPr>
            <w:tcW w:w="1419" w:type="dxa"/>
            <w:tcBorders>
              <w:top w:val="nil"/>
              <w:left w:val="nil"/>
              <w:bottom w:val="single" w:sz="4" w:space="0" w:color="auto"/>
              <w:right w:val="single" w:sz="4" w:space="0" w:color="auto"/>
            </w:tcBorders>
            <w:shd w:val="clear" w:color="auto" w:fill="D9D9D9"/>
            <w:noWrap/>
            <w:hideMark/>
          </w:tcPr>
          <w:p w14:paraId="03667B3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-8.3%</w:t>
            </w:r>
          </w:p>
        </w:tc>
        <w:tc>
          <w:tcPr>
            <w:tcW w:w="1276" w:type="dxa"/>
            <w:tcBorders>
              <w:top w:val="nil"/>
              <w:left w:val="nil"/>
              <w:bottom w:val="single" w:sz="4" w:space="0" w:color="auto"/>
              <w:right w:val="single" w:sz="4" w:space="0" w:color="auto"/>
            </w:tcBorders>
            <w:shd w:val="clear" w:color="auto" w:fill="D9D9D9"/>
            <w:hideMark/>
          </w:tcPr>
          <w:p w14:paraId="0D91162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-37.2%</w:t>
            </w:r>
          </w:p>
        </w:tc>
        <w:tc>
          <w:tcPr>
            <w:tcW w:w="1275" w:type="dxa"/>
            <w:tcBorders>
              <w:top w:val="nil"/>
              <w:left w:val="nil"/>
              <w:bottom w:val="single" w:sz="4" w:space="0" w:color="auto"/>
              <w:right w:val="single" w:sz="4" w:space="0" w:color="auto"/>
            </w:tcBorders>
            <w:shd w:val="clear" w:color="auto" w:fill="D9D9D9"/>
            <w:hideMark/>
          </w:tcPr>
          <w:p w14:paraId="120B28E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-30.9%</w:t>
            </w:r>
          </w:p>
        </w:tc>
        <w:tc>
          <w:tcPr>
            <w:tcW w:w="1418" w:type="dxa"/>
            <w:tcBorders>
              <w:top w:val="nil"/>
              <w:left w:val="nil"/>
              <w:bottom w:val="single" w:sz="4" w:space="0" w:color="auto"/>
              <w:right w:val="single" w:sz="4" w:space="0" w:color="auto"/>
            </w:tcBorders>
            <w:shd w:val="clear" w:color="auto" w:fill="D9D9D9"/>
            <w:hideMark/>
          </w:tcPr>
          <w:p w14:paraId="512D579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5.5%</w:t>
            </w:r>
          </w:p>
        </w:tc>
      </w:tr>
      <w:tr w:rsidR="007B29DD" w14:paraId="340C83A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1165E0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222F809"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6292268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-12.9%</w:t>
            </w:r>
          </w:p>
        </w:tc>
        <w:tc>
          <w:tcPr>
            <w:tcW w:w="1419" w:type="dxa"/>
            <w:tcBorders>
              <w:top w:val="nil"/>
              <w:left w:val="nil"/>
              <w:bottom w:val="single" w:sz="4" w:space="0" w:color="auto"/>
              <w:right w:val="single" w:sz="4" w:space="0" w:color="auto"/>
            </w:tcBorders>
            <w:shd w:val="clear" w:color="auto" w:fill="D9D9D9"/>
            <w:noWrap/>
            <w:hideMark/>
          </w:tcPr>
          <w:p w14:paraId="1BDD81F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-5.2%</w:t>
            </w:r>
          </w:p>
        </w:tc>
        <w:tc>
          <w:tcPr>
            <w:tcW w:w="1276" w:type="dxa"/>
            <w:tcBorders>
              <w:top w:val="nil"/>
              <w:left w:val="nil"/>
              <w:bottom w:val="single" w:sz="4" w:space="0" w:color="auto"/>
              <w:right w:val="single" w:sz="4" w:space="0" w:color="auto"/>
            </w:tcBorders>
            <w:shd w:val="clear" w:color="auto" w:fill="D9D9D9"/>
            <w:hideMark/>
          </w:tcPr>
          <w:p w14:paraId="1BCF573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-27.5%</w:t>
            </w:r>
          </w:p>
        </w:tc>
        <w:tc>
          <w:tcPr>
            <w:tcW w:w="1275" w:type="dxa"/>
            <w:tcBorders>
              <w:top w:val="nil"/>
              <w:left w:val="nil"/>
              <w:bottom w:val="single" w:sz="4" w:space="0" w:color="auto"/>
              <w:right w:val="single" w:sz="4" w:space="0" w:color="auto"/>
            </w:tcBorders>
            <w:shd w:val="clear" w:color="auto" w:fill="D9D9D9"/>
            <w:hideMark/>
          </w:tcPr>
          <w:p w14:paraId="7C51B03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-30.8%</w:t>
            </w:r>
          </w:p>
        </w:tc>
        <w:tc>
          <w:tcPr>
            <w:tcW w:w="1418" w:type="dxa"/>
            <w:tcBorders>
              <w:top w:val="nil"/>
              <w:left w:val="nil"/>
              <w:bottom w:val="single" w:sz="4" w:space="0" w:color="auto"/>
              <w:right w:val="single" w:sz="4" w:space="0" w:color="auto"/>
            </w:tcBorders>
            <w:shd w:val="clear" w:color="auto" w:fill="D9D9D9"/>
            <w:hideMark/>
          </w:tcPr>
          <w:p w14:paraId="64E1587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21.0%</w:t>
            </w:r>
          </w:p>
        </w:tc>
      </w:tr>
      <w:tr w:rsidR="007B29DD" w14:paraId="713703C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F23B27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7782C21E"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E5DE3E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-16.9%</w:t>
            </w:r>
          </w:p>
        </w:tc>
        <w:tc>
          <w:tcPr>
            <w:tcW w:w="1419" w:type="dxa"/>
            <w:tcBorders>
              <w:top w:val="nil"/>
              <w:left w:val="nil"/>
              <w:bottom w:val="single" w:sz="4" w:space="0" w:color="auto"/>
              <w:right w:val="single" w:sz="4" w:space="0" w:color="auto"/>
            </w:tcBorders>
            <w:shd w:val="clear" w:color="auto" w:fill="D9D9D9"/>
            <w:noWrap/>
            <w:hideMark/>
          </w:tcPr>
          <w:p w14:paraId="22FCB0B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-10.3%</w:t>
            </w:r>
          </w:p>
        </w:tc>
        <w:tc>
          <w:tcPr>
            <w:tcW w:w="1276" w:type="dxa"/>
            <w:tcBorders>
              <w:top w:val="nil"/>
              <w:left w:val="nil"/>
              <w:bottom w:val="single" w:sz="4" w:space="0" w:color="auto"/>
              <w:right w:val="single" w:sz="4" w:space="0" w:color="auto"/>
            </w:tcBorders>
            <w:shd w:val="clear" w:color="auto" w:fill="D9D9D9"/>
            <w:hideMark/>
          </w:tcPr>
          <w:p w14:paraId="5314454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-29.4%</w:t>
            </w:r>
          </w:p>
        </w:tc>
        <w:tc>
          <w:tcPr>
            <w:tcW w:w="1275" w:type="dxa"/>
            <w:tcBorders>
              <w:top w:val="nil"/>
              <w:left w:val="nil"/>
              <w:bottom w:val="single" w:sz="4" w:space="0" w:color="auto"/>
              <w:right w:val="single" w:sz="4" w:space="0" w:color="auto"/>
            </w:tcBorders>
            <w:shd w:val="clear" w:color="auto" w:fill="D9D9D9"/>
            <w:hideMark/>
          </w:tcPr>
          <w:p w14:paraId="4BB39F9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-25.7%</w:t>
            </w:r>
          </w:p>
        </w:tc>
        <w:tc>
          <w:tcPr>
            <w:tcW w:w="1418" w:type="dxa"/>
            <w:tcBorders>
              <w:top w:val="nil"/>
              <w:left w:val="nil"/>
              <w:bottom w:val="single" w:sz="4" w:space="0" w:color="auto"/>
              <w:right w:val="single" w:sz="4" w:space="0" w:color="auto"/>
            </w:tcBorders>
            <w:shd w:val="clear" w:color="auto" w:fill="D9D9D9"/>
            <w:hideMark/>
          </w:tcPr>
          <w:p w14:paraId="44FE776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-0.3%</w:t>
            </w:r>
          </w:p>
        </w:tc>
      </w:tr>
      <w:tr w:rsidR="007B29DD" w14:paraId="47C9E9D3"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6697E771"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Goulburn (405)</w:t>
            </w:r>
          </w:p>
        </w:tc>
        <w:tc>
          <w:tcPr>
            <w:tcW w:w="1559" w:type="dxa"/>
            <w:tcBorders>
              <w:top w:val="nil"/>
              <w:left w:val="nil"/>
              <w:bottom w:val="single" w:sz="4" w:space="0" w:color="auto"/>
              <w:right w:val="single" w:sz="4" w:space="0" w:color="auto"/>
            </w:tcBorders>
            <w:vAlign w:val="center"/>
            <w:hideMark/>
          </w:tcPr>
          <w:p w14:paraId="6C96BC4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6DC1F503"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-13.6%</w:t>
            </w:r>
          </w:p>
        </w:tc>
        <w:tc>
          <w:tcPr>
            <w:tcW w:w="1419" w:type="dxa"/>
            <w:tcBorders>
              <w:top w:val="nil"/>
              <w:left w:val="nil"/>
              <w:bottom w:val="single" w:sz="4" w:space="0" w:color="auto"/>
              <w:right w:val="single" w:sz="4" w:space="0" w:color="auto"/>
            </w:tcBorders>
            <w:noWrap/>
            <w:hideMark/>
          </w:tcPr>
          <w:p w14:paraId="44E172C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-9.4%</w:t>
            </w:r>
          </w:p>
        </w:tc>
        <w:tc>
          <w:tcPr>
            <w:tcW w:w="1276" w:type="dxa"/>
            <w:tcBorders>
              <w:top w:val="nil"/>
              <w:left w:val="nil"/>
              <w:bottom w:val="single" w:sz="4" w:space="0" w:color="auto"/>
              <w:right w:val="single" w:sz="4" w:space="0" w:color="auto"/>
            </w:tcBorders>
            <w:hideMark/>
          </w:tcPr>
          <w:p w14:paraId="17FDB59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-22.3%</w:t>
            </w:r>
          </w:p>
        </w:tc>
        <w:tc>
          <w:tcPr>
            <w:tcW w:w="1275" w:type="dxa"/>
            <w:tcBorders>
              <w:top w:val="nil"/>
              <w:left w:val="nil"/>
              <w:bottom w:val="single" w:sz="4" w:space="0" w:color="auto"/>
              <w:right w:val="single" w:sz="4" w:space="0" w:color="auto"/>
            </w:tcBorders>
            <w:hideMark/>
          </w:tcPr>
          <w:p w14:paraId="7B2BD4D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-21.6%</w:t>
            </w:r>
          </w:p>
        </w:tc>
        <w:tc>
          <w:tcPr>
            <w:tcW w:w="1418" w:type="dxa"/>
            <w:tcBorders>
              <w:top w:val="nil"/>
              <w:left w:val="nil"/>
              <w:bottom w:val="single" w:sz="4" w:space="0" w:color="auto"/>
              <w:right w:val="single" w:sz="4" w:space="0" w:color="auto"/>
            </w:tcBorders>
            <w:hideMark/>
          </w:tcPr>
          <w:p w14:paraId="5B903EE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w:t>
            </w:r>
          </w:p>
        </w:tc>
      </w:tr>
      <w:tr w:rsidR="007B29DD" w14:paraId="681A453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81C2F8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C58FD4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5CF96A74"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-20.7%</w:t>
            </w:r>
          </w:p>
        </w:tc>
        <w:tc>
          <w:tcPr>
            <w:tcW w:w="1419" w:type="dxa"/>
            <w:tcBorders>
              <w:top w:val="nil"/>
              <w:left w:val="nil"/>
              <w:bottom w:val="single" w:sz="4" w:space="0" w:color="auto"/>
              <w:right w:val="single" w:sz="4" w:space="0" w:color="auto"/>
            </w:tcBorders>
            <w:noWrap/>
            <w:hideMark/>
          </w:tcPr>
          <w:p w14:paraId="6775BFE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-10.9%</w:t>
            </w:r>
          </w:p>
        </w:tc>
        <w:tc>
          <w:tcPr>
            <w:tcW w:w="1276" w:type="dxa"/>
            <w:tcBorders>
              <w:top w:val="nil"/>
              <w:left w:val="nil"/>
              <w:bottom w:val="single" w:sz="4" w:space="0" w:color="auto"/>
              <w:right w:val="single" w:sz="4" w:space="0" w:color="auto"/>
            </w:tcBorders>
            <w:hideMark/>
          </w:tcPr>
          <w:p w14:paraId="2B50D47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-40.9%</w:t>
            </w:r>
          </w:p>
        </w:tc>
        <w:tc>
          <w:tcPr>
            <w:tcW w:w="1275" w:type="dxa"/>
            <w:tcBorders>
              <w:top w:val="nil"/>
              <w:left w:val="nil"/>
              <w:bottom w:val="single" w:sz="4" w:space="0" w:color="auto"/>
              <w:right w:val="single" w:sz="4" w:space="0" w:color="auto"/>
            </w:tcBorders>
            <w:hideMark/>
          </w:tcPr>
          <w:p w14:paraId="56F4C71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-29.6%</w:t>
            </w:r>
          </w:p>
        </w:tc>
        <w:tc>
          <w:tcPr>
            <w:tcW w:w="1418" w:type="dxa"/>
            <w:tcBorders>
              <w:top w:val="nil"/>
              <w:left w:val="nil"/>
              <w:bottom w:val="single" w:sz="4" w:space="0" w:color="auto"/>
              <w:right w:val="single" w:sz="4" w:space="0" w:color="auto"/>
            </w:tcBorders>
            <w:hideMark/>
          </w:tcPr>
          <w:p w14:paraId="07872EC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w:t>
            </w:r>
          </w:p>
        </w:tc>
      </w:tr>
      <w:tr w:rsidR="007B29DD" w14:paraId="2C7AFE0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2DDF5F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83109C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7C50C7FE"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-13.1%</w:t>
            </w:r>
          </w:p>
        </w:tc>
        <w:tc>
          <w:tcPr>
            <w:tcW w:w="1419" w:type="dxa"/>
            <w:tcBorders>
              <w:top w:val="nil"/>
              <w:left w:val="nil"/>
              <w:bottom w:val="single" w:sz="4" w:space="0" w:color="auto"/>
              <w:right w:val="single" w:sz="4" w:space="0" w:color="auto"/>
            </w:tcBorders>
            <w:noWrap/>
            <w:hideMark/>
          </w:tcPr>
          <w:p w14:paraId="42155E0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-7.1%</w:t>
            </w:r>
          </w:p>
        </w:tc>
        <w:tc>
          <w:tcPr>
            <w:tcW w:w="1276" w:type="dxa"/>
            <w:tcBorders>
              <w:top w:val="nil"/>
              <w:left w:val="nil"/>
              <w:bottom w:val="single" w:sz="4" w:space="0" w:color="auto"/>
              <w:right w:val="single" w:sz="4" w:space="0" w:color="auto"/>
            </w:tcBorders>
            <w:hideMark/>
          </w:tcPr>
          <w:p w14:paraId="48C4E4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-25.4%</w:t>
            </w:r>
          </w:p>
        </w:tc>
        <w:tc>
          <w:tcPr>
            <w:tcW w:w="1275" w:type="dxa"/>
            <w:tcBorders>
              <w:top w:val="nil"/>
              <w:left w:val="nil"/>
              <w:bottom w:val="single" w:sz="4" w:space="0" w:color="auto"/>
              <w:right w:val="single" w:sz="4" w:space="0" w:color="auto"/>
            </w:tcBorders>
            <w:hideMark/>
          </w:tcPr>
          <w:p w14:paraId="448561D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-28.5%</w:t>
            </w:r>
          </w:p>
        </w:tc>
        <w:tc>
          <w:tcPr>
            <w:tcW w:w="1418" w:type="dxa"/>
            <w:tcBorders>
              <w:top w:val="nil"/>
              <w:left w:val="nil"/>
              <w:bottom w:val="single" w:sz="4" w:space="0" w:color="auto"/>
              <w:right w:val="single" w:sz="4" w:space="0" w:color="auto"/>
            </w:tcBorders>
            <w:hideMark/>
          </w:tcPr>
          <w:p w14:paraId="4C0665C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18.6%</w:t>
            </w:r>
          </w:p>
        </w:tc>
      </w:tr>
      <w:tr w:rsidR="007B29DD" w14:paraId="3887E95D"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570F724"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9C5DF5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17150BF5"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-16.3%</w:t>
            </w:r>
          </w:p>
        </w:tc>
        <w:tc>
          <w:tcPr>
            <w:tcW w:w="1419" w:type="dxa"/>
            <w:tcBorders>
              <w:top w:val="nil"/>
              <w:left w:val="nil"/>
              <w:bottom w:val="single" w:sz="4" w:space="0" w:color="auto"/>
              <w:right w:val="single" w:sz="4" w:space="0" w:color="auto"/>
            </w:tcBorders>
            <w:noWrap/>
            <w:hideMark/>
          </w:tcPr>
          <w:p w14:paraId="1D786E3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-9.3%</w:t>
            </w:r>
          </w:p>
        </w:tc>
        <w:tc>
          <w:tcPr>
            <w:tcW w:w="1276" w:type="dxa"/>
            <w:tcBorders>
              <w:top w:val="nil"/>
              <w:left w:val="nil"/>
              <w:bottom w:val="single" w:sz="4" w:space="0" w:color="auto"/>
              <w:right w:val="single" w:sz="4" w:space="0" w:color="auto"/>
            </w:tcBorders>
            <w:hideMark/>
          </w:tcPr>
          <w:p w14:paraId="30287D3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-30.8%</w:t>
            </w:r>
          </w:p>
        </w:tc>
        <w:tc>
          <w:tcPr>
            <w:tcW w:w="1275" w:type="dxa"/>
            <w:tcBorders>
              <w:top w:val="nil"/>
              <w:left w:val="nil"/>
              <w:bottom w:val="single" w:sz="4" w:space="0" w:color="auto"/>
              <w:right w:val="single" w:sz="4" w:space="0" w:color="auto"/>
            </w:tcBorders>
            <w:hideMark/>
          </w:tcPr>
          <w:p w14:paraId="1C583C9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-24.6%</w:t>
            </w:r>
          </w:p>
        </w:tc>
        <w:tc>
          <w:tcPr>
            <w:tcW w:w="1418" w:type="dxa"/>
            <w:tcBorders>
              <w:top w:val="nil"/>
              <w:left w:val="nil"/>
              <w:bottom w:val="single" w:sz="4" w:space="0" w:color="auto"/>
              <w:right w:val="single" w:sz="4" w:space="0" w:color="auto"/>
            </w:tcBorders>
            <w:hideMark/>
          </w:tcPr>
          <w:p w14:paraId="00181F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0.8%</w:t>
            </w:r>
          </w:p>
        </w:tc>
      </w:tr>
      <w:tr w:rsidR="007B29DD" w14:paraId="218F2DDB"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511066F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Campaspe (406)</w:t>
            </w:r>
          </w:p>
        </w:tc>
        <w:tc>
          <w:tcPr>
            <w:tcW w:w="1559" w:type="dxa"/>
            <w:tcBorders>
              <w:top w:val="nil"/>
              <w:left w:val="nil"/>
              <w:bottom w:val="single" w:sz="4" w:space="0" w:color="auto"/>
              <w:right w:val="single" w:sz="4" w:space="0" w:color="auto"/>
            </w:tcBorders>
            <w:shd w:val="clear" w:color="auto" w:fill="D9D9D9"/>
            <w:vAlign w:val="center"/>
            <w:hideMark/>
          </w:tcPr>
          <w:p w14:paraId="7D4B9C9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58C4801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-15.2%</w:t>
            </w:r>
          </w:p>
        </w:tc>
        <w:tc>
          <w:tcPr>
            <w:tcW w:w="1419" w:type="dxa"/>
            <w:tcBorders>
              <w:top w:val="nil"/>
              <w:left w:val="nil"/>
              <w:bottom w:val="single" w:sz="4" w:space="0" w:color="auto"/>
              <w:right w:val="single" w:sz="4" w:space="0" w:color="auto"/>
            </w:tcBorders>
            <w:shd w:val="clear" w:color="auto" w:fill="D9D9D9"/>
            <w:noWrap/>
            <w:hideMark/>
          </w:tcPr>
          <w:p w14:paraId="0573B83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-11.3%</w:t>
            </w:r>
          </w:p>
        </w:tc>
        <w:tc>
          <w:tcPr>
            <w:tcW w:w="1276" w:type="dxa"/>
            <w:tcBorders>
              <w:top w:val="nil"/>
              <w:left w:val="nil"/>
              <w:bottom w:val="single" w:sz="4" w:space="0" w:color="auto"/>
              <w:right w:val="single" w:sz="4" w:space="0" w:color="auto"/>
            </w:tcBorders>
            <w:shd w:val="clear" w:color="auto" w:fill="D9D9D9"/>
            <w:hideMark/>
          </w:tcPr>
          <w:p w14:paraId="436F14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-23.2%</w:t>
            </w:r>
          </w:p>
        </w:tc>
        <w:tc>
          <w:tcPr>
            <w:tcW w:w="1275" w:type="dxa"/>
            <w:tcBorders>
              <w:top w:val="nil"/>
              <w:left w:val="nil"/>
              <w:bottom w:val="single" w:sz="4" w:space="0" w:color="auto"/>
              <w:right w:val="single" w:sz="4" w:space="0" w:color="auto"/>
            </w:tcBorders>
            <w:shd w:val="clear" w:color="auto" w:fill="D9D9D9"/>
            <w:hideMark/>
          </w:tcPr>
          <w:p w14:paraId="1770BDB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-22.5%</w:t>
            </w:r>
          </w:p>
        </w:tc>
        <w:tc>
          <w:tcPr>
            <w:tcW w:w="1418" w:type="dxa"/>
            <w:tcBorders>
              <w:top w:val="nil"/>
              <w:left w:val="nil"/>
              <w:bottom w:val="single" w:sz="4" w:space="0" w:color="auto"/>
              <w:right w:val="single" w:sz="4" w:space="0" w:color="auto"/>
            </w:tcBorders>
            <w:shd w:val="clear" w:color="auto" w:fill="D9D9D9"/>
            <w:hideMark/>
          </w:tcPr>
          <w:p w14:paraId="5B2B274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-0.1%</w:t>
            </w:r>
          </w:p>
        </w:tc>
      </w:tr>
      <w:tr w:rsidR="007B29DD" w14:paraId="5DDDD70C"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CDEFA9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13FFFA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6F401F4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-23.2%</w:t>
            </w:r>
          </w:p>
        </w:tc>
        <w:tc>
          <w:tcPr>
            <w:tcW w:w="1419" w:type="dxa"/>
            <w:tcBorders>
              <w:top w:val="nil"/>
              <w:left w:val="nil"/>
              <w:bottom w:val="single" w:sz="4" w:space="0" w:color="auto"/>
              <w:right w:val="single" w:sz="4" w:space="0" w:color="auto"/>
            </w:tcBorders>
            <w:shd w:val="clear" w:color="auto" w:fill="D9D9D9"/>
            <w:noWrap/>
            <w:hideMark/>
          </w:tcPr>
          <w:p w14:paraId="09FCF70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-13.9%</w:t>
            </w:r>
          </w:p>
        </w:tc>
        <w:tc>
          <w:tcPr>
            <w:tcW w:w="1276" w:type="dxa"/>
            <w:tcBorders>
              <w:top w:val="nil"/>
              <w:left w:val="nil"/>
              <w:bottom w:val="single" w:sz="4" w:space="0" w:color="auto"/>
              <w:right w:val="single" w:sz="4" w:space="0" w:color="auto"/>
            </w:tcBorders>
            <w:shd w:val="clear" w:color="auto" w:fill="D9D9D9"/>
            <w:hideMark/>
          </w:tcPr>
          <w:p w14:paraId="489DBAB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-42.2%</w:t>
            </w:r>
          </w:p>
        </w:tc>
        <w:tc>
          <w:tcPr>
            <w:tcW w:w="1275" w:type="dxa"/>
            <w:tcBorders>
              <w:top w:val="nil"/>
              <w:left w:val="nil"/>
              <w:bottom w:val="single" w:sz="4" w:space="0" w:color="auto"/>
              <w:right w:val="single" w:sz="4" w:space="0" w:color="auto"/>
            </w:tcBorders>
            <w:shd w:val="clear" w:color="auto" w:fill="D9D9D9"/>
            <w:hideMark/>
          </w:tcPr>
          <w:p w14:paraId="6610928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-34.1%</w:t>
            </w:r>
          </w:p>
        </w:tc>
        <w:tc>
          <w:tcPr>
            <w:tcW w:w="1418" w:type="dxa"/>
            <w:tcBorders>
              <w:top w:val="nil"/>
              <w:left w:val="nil"/>
              <w:bottom w:val="single" w:sz="4" w:space="0" w:color="auto"/>
              <w:right w:val="single" w:sz="4" w:space="0" w:color="auto"/>
            </w:tcBorders>
            <w:shd w:val="clear" w:color="auto" w:fill="D9D9D9"/>
            <w:hideMark/>
          </w:tcPr>
          <w:p w14:paraId="24D36BD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-0.8%</w:t>
            </w:r>
          </w:p>
        </w:tc>
      </w:tr>
      <w:tr w:rsidR="007B29DD" w14:paraId="241B93A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28FD86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36EAB1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47A71F0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-15.0%</w:t>
            </w:r>
          </w:p>
        </w:tc>
        <w:tc>
          <w:tcPr>
            <w:tcW w:w="1419" w:type="dxa"/>
            <w:tcBorders>
              <w:top w:val="nil"/>
              <w:left w:val="nil"/>
              <w:bottom w:val="single" w:sz="4" w:space="0" w:color="auto"/>
              <w:right w:val="single" w:sz="4" w:space="0" w:color="auto"/>
            </w:tcBorders>
            <w:shd w:val="clear" w:color="auto" w:fill="D9D9D9"/>
            <w:noWrap/>
            <w:hideMark/>
          </w:tcPr>
          <w:p w14:paraId="715DF87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-10.0%</w:t>
            </w:r>
          </w:p>
        </w:tc>
        <w:tc>
          <w:tcPr>
            <w:tcW w:w="1276" w:type="dxa"/>
            <w:tcBorders>
              <w:top w:val="nil"/>
              <w:left w:val="nil"/>
              <w:bottom w:val="single" w:sz="4" w:space="0" w:color="auto"/>
              <w:right w:val="single" w:sz="4" w:space="0" w:color="auto"/>
            </w:tcBorders>
            <w:shd w:val="clear" w:color="auto" w:fill="D9D9D9"/>
            <w:hideMark/>
          </w:tcPr>
          <w:p w14:paraId="3D115AB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-25.3%</w:t>
            </w:r>
          </w:p>
        </w:tc>
        <w:tc>
          <w:tcPr>
            <w:tcW w:w="1275" w:type="dxa"/>
            <w:tcBorders>
              <w:top w:val="nil"/>
              <w:left w:val="nil"/>
              <w:bottom w:val="single" w:sz="4" w:space="0" w:color="auto"/>
              <w:right w:val="single" w:sz="4" w:space="0" w:color="auto"/>
            </w:tcBorders>
            <w:shd w:val="clear" w:color="auto" w:fill="D9D9D9"/>
            <w:hideMark/>
          </w:tcPr>
          <w:p w14:paraId="5DD24A4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-25.9%</w:t>
            </w:r>
          </w:p>
        </w:tc>
        <w:tc>
          <w:tcPr>
            <w:tcW w:w="1418" w:type="dxa"/>
            <w:tcBorders>
              <w:top w:val="nil"/>
              <w:left w:val="nil"/>
              <w:bottom w:val="single" w:sz="4" w:space="0" w:color="auto"/>
              <w:right w:val="single" w:sz="4" w:space="0" w:color="auto"/>
            </w:tcBorders>
            <w:shd w:val="clear" w:color="auto" w:fill="D9D9D9"/>
            <w:hideMark/>
          </w:tcPr>
          <w:p w14:paraId="6778E5F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7.4%</w:t>
            </w:r>
          </w:p>
        </w:tc>
      </w:tr>
      <w:tr w:rsidR="007B29DD" w14:paraId="3A965730"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0FBE307"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A41655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9D8FC9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-17.3%</w:t>
            </w:r>
          </w:p>
        </w:tc>
        <w:tc>
          <w:tcPr>
            <w:tcW w:w="1419" w:type="dxa"/>
            <w:tcBorders>
              <w:top w:val="nil"/>
              <w:left w:val="nil"/>
              <w:bottom w:val="single" w:sz="4" w:space="0" w:color="auto"/>
              <w:right w:val="single" w:sz="4" w:space="0" w:color="auto"/>
            </w:tcBorders>
            <w:shd w:val="clear" w:color="auto" w:fill="D9D9D9"/>
            <w:noWrap/>
            <w:hideMark/>
          </w:tcPr>
          <w:p w14:paraId="445E113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-9.9%</w:t>
            </w:r>
          </w:p>
        </w:tc>
        <w:tc>
          <w:tcPr>
            <w:tcW w:w="1276" w:type="dxa"/>
            <w:tcBorders>
              <w:top w:val="nil"/>
              <w:left w:val="nil"/>
              <w:bottom w:val="single" w:sz="4" w:space="0" w:color="auto"/>
              <w:right w:val="single" w:sz="4" w:space="0" w:color="auto"/>
            </w:tcBorders>
            <w:shd w:val="clear" w:color="auto" w:fill="D9D9D9"/>
            <w:hideMark/>
          </w:tcPr>
          <w:p w14:paraId="67C7D40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-32.5%</w:t>
            </w:r>
          </w:p>
        </w:tc>
        <w:tc>
          <w:tcPr>
            <w:tcW w:w="1275" w:type="dxa"/>
            <w:tcBorders>
              <w:top w:val="nil"/>
              <w:left w:val="nil"/>
              <w:bottom w:val="single" w:sz="4" w:space="0" w:color="auto"/>
              <w:right w:val="single" w:sz="4" w:space="0" w:color="auto"/>
            </w:tcBorders>
            <w:shd w:val="clear" w:color="auto" w:fill="D9D9D9"/>
            <w:hideMark/>
          </w:tcPr>
          <w:p w14:paraId="781D26D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-26.0%</w:t>
            </w:r>
          </w:p>
        </w:tc>
        <w:tc>
          <w:tcPr>
            <w:tcW w:w="1418" w:type="dxa"/>
            <w:tcBorders>
              <w:top w:val="nil"/>
              <w:left w:val="nil"/>
              <w:bottom w:val="single" w:sz="4" w:space="0" w:color="auto"/>
              <w:right w:val="single" w:sz="4" w:space="0" w:color="auto"/>
            </w:tcBorders>
            <w:shd w:val="clear" w:color="auto" w:fill="D9D9D9"/>
            <w:hideMark/>
          </w:tcPr>
          <w:p w14:paraId="116714D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0.5%</w:t>
            </w:r>
          </w:p>
        </w:tc>
      </w:tr>
      <w:tr w:rsidR="007B29DD" w14:paraId="15120101"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349BAE4B"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Loddon (407)</w:t>
            </w:r>
          </w:p>
        </w:tc>
        <w:tc>
          <w:tcPr>
            <w:tcW w:w="1559" w:type="dxa"/>
            <w:tcBorders>
              <w:top w:val="nil"/>
              <w:left w:val="nil"/>
              <w:bottom w:val="single" w:sz="4" w:space="0" w:color="auto"/>
              <w:right w:val="single" w:sz="4" w:space="0" w:color="auto"/>
            </w:tcBorders>
            <w:vAlign w:val="center"/>
            <w:hideMark/>
          </w:tcPr>
          <w:p w14:paraId="537A55A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1733C7E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-14.3%</w:t>
            </w:r>
          </w:p>
        </w:tc>
        <w:tc>
          <w:tcPr>
            <w:tcW w:w="1419" w:type="dxa"/>
            <w:tcBorders>
              <w:top w:val="nil"/>
              <w:left w:val="nil"/>
              <w:bottom w:val="single" w:sz="4" w:space="0" w:color="auto"/>
              <w:right w:val="single" w:sz="4" w:space="0" w:color="auto"/>
            </w:tcBorders>
            <w:noWrap/>
            <w:hideMark/>
          </w:tcPr>
          <w:p w14:paraId="388978A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-9.7%</w:t>
            </w:r>
          </w:p>
        </w:tc>
        <w:tc>
          <w:tcPr>
            <w:tcW w:w="1276" w:type="dxa"/>
            <w:tcBorders>
              <w:top w:val="nil"/>
              <w:left w:val="nil"/>
              <w:bottom w:val="single" w:sz="4" w:space="0" w:color="auto"/>
              <w:right w:val="single" w:sz="4" w:space="0" w:color="auto"/>
            </w:tcBorders>
            <w:hideMark/>
          </w:tcPr>
          <w:p w14:paraId="0CE7A42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-23.3%</w:t>
            </w:r>
          </w:p>
        </w:tc>
        <w:tc>
          <w:tcPr>
            <w:tcW w:w="1275" w:type="dxa"/>
            <w:tcBorders>
              <w:top w:val="nil"/>
              <w:left w:val="nil"/>
              <w:bottom w:val="single" w:sz="4" w:space="0" w:color="auto"/>
              <w:right w:val="single" w:sz="4" w:space="0" w:color="auto"/>
            </w:tcBorders>
            <w:hideMark/>
          </w:tcPr>
          <w:p w14:paraId="2D90FFB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-25.4%</w:t>
            </w:r>
          </w:p>
        </w:tc>
        <w:tc>
          <w:tcPr>
            <w:tcW w:w="1418" w:type="dxa"/>
            <w:tcBorders>
              <w:top w:val="nil"/>
              <w:left w:val="nil"/>
              <w:bottom w:val="single" w:sz="4" w:space="0" w:color="auto"/>
              <w:right w:val="single" w:sz="4" w:space="0" w:color="auto"/>
            </w:tcBorders>
            <w:hideMark/>
          </w:tcPr>
          <w:p w14:paraId="2EAF45B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7.1%</w:t>
            </w:r>
          </w:p>
        </w:tc>
      </w:tr>
      <w:tr w:rsidR="007B29DD" w14:paraId="1EBFE25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EBD4B71"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6F04243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0CEE16B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-22.9%</w:t>
            </w:r>
          </w:p>
        </w:tc>
        <w:tc>
          <w:tcPr>
            <w:tcW w:w="1419" w:type="dxa"/>
            <w:tcBorders>
              <w:top w:val="nil"/>
              <w:left w:val="nil"/>
              <w:bottom w:val="single" w:sz="4" w:space="0" w:color="auto"/>
              <w:right w:val="single" w:sz="4" w:space="0" w:color="auto"/>
            </w:tcBorders>
            <w:noWrap/>
            <w:hideMark/>
          </w:tcPr>
          <w:p w14:paraId="24E94D8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-15.1%</w:t>
            </w:r>
          </w:p>
        </w:tc>
        <w:tc>
          <w:tcPr>
            <w:tcW w:w="1276" w:type="dxa"/>
            <w:tcBorders>
              <w:top w:val="nil"/>
              <w:left w:val="nil"/>
              <w:bottom w:val="single" w:sz="4" w:space="0" w:color="auto"/>
              <w:right w:val="single" w:sz="4" w:space="0" w:color="auto"/>
            </w:tcBorders>
            <w:hideMark/>
          </w:tcPr>
          <w:p w14:paraId="254F39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-37.9%</w:t>
            </w:r>
          </w:p>
        </w:tc>
        <w:tc>
          <w:tcPr>
            <w:tcW w:w="1275" w:type="dxa"/>
            <w:tcBorders>
              <w:top w:val="nil"/>
              <w:left w:val="nil"/>
              <w:bottom w:val="single" w:sz="4" w:space="0" w:color="auto"/>
              <w:right w:val="single" w:sz="4" w:space="0" w:color="auto"/>
            </w:tcBorders>
            <w:hideMark/>
          </w:tcPr>
          <w:p w14:paraId="6B5C376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-37.7%</w:t>
            </w:r>
          </w:p>
        </w:tc>
        <w:tc>
          <w:tcPr>
            <w:tcW w:w="1418" w:type="dxa"/>
            <w:tcBorders>
              <w:top w:val="nil"/>
              <w:left w:val="nil"/>
              <w:bottom w:val="single" w:sz="4" w:space="0" w:color="auto"/>
              <w:right w:val="single" w:sz="4" w:space="0" w:color="auto"/>
            </w:tcBorders>
            <w:hideMark/>
          </w:tcPr>
          <w:p w14:paraId="4BC6A54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5.6%</w:t>
            </w:r>
          </w:p>
        </w:tc>
      </w:tr>
      <w:tr w:rsidR="007B29DD" w14:paraId="4E640027"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425A46D8"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C5CAB4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2A22ADD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-15.0%</w:t>
            </w:r>
          </w:p>
        </w:tc>
        <w:tc>
          <w:tcPr>
            <w:tcW w:w="1419" w:type="dxa"/>
            <w:tcBorders>
              <w:top w:val="nil"/>
              <w:left w:val="nil"/>
              <w:bottom w:val="single" w:sz="4" w:space="0" w:color="auto"/>
              <w:right w:val="single" w:sz="4" w:space="0" w:color="auto"/>
            </w:tcBorders>
            <w:noWrap/>
            <w:hideMark/>
          </w:tcPr>
          <w:p w14:paraId="0F73C0B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-10.1%</w:t>
            </w:r>
          </w:p>
        </w:tc>
        <w:tc>
          <w:tcPr>
            <w:tcW w:w="1276" w:type="dxa"/>
            <w:tcBorders>
              <w:top w:val="nil"/>
              <w:left w:val="nil"/>
              <w:bottom w:val="single" w:sz="4" w:space="0" w:color="auto"/>
              <w:right w:val="single" w:sz="4" w:space="0" w:color="auto"/>
            </w:tcBorders>
            <w:hideMark/>
          </w:tcPr>
          <w:p w14:paraId="66B3E08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-24.5%</w:t>
            </w:r>
          </w:p>
        </w:tc>
        <w:tc>
          <w:tcPr>
            <w:tcW w:w="1275" w:type="dxa"/>
            <w:tcBorders>
              <w:top w:val="nil"/>
              <w:left w:val="nil"/>
              <w:bottom w:val="single" w:sz="4" w:space="0" w:color="auto"/>
              <w:right w:val="single" w:sz="4" w:space="0" w:color="auto"/>
            </w:tcBorders>
            <w:hideMark/>
          </w:tcPr>
          <w:p w14:paraId="1DB9648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-30.1%</w:t>
            </w:r>
          </w:p>
        </w:tc>
        <w:tc>
          <w:tcPr>
            <w:tcW w:w="1418" w:type="dxa"/>
            <w:tcBorders>
              <w:top w:val="nil"/>
              <w:left w:val="nil"/>
              <w:bottom w:val="single" w:sz="4" w:space="0" w:color="auto"/>
              <w:right w:val="single" w:sz="4" w:space="0" w:color="auto"/>
            </w:tcBorders>
            <w:hideMark/>
          </w:tcPr>
          <w:p w14:paraId="6C532FF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14.1%</w:t>
            </w:r>
          </w:p>
        </w:tc>
      </w:tr>
      <w:tr w:rsidR="007B29DD" w14:paraId="05F928E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D66C7E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B0F22A3"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2EB092A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-17.1%</w:t>
            </w:r>
          </w:p>
        </w:tc>
        <w:tc>
          <w:tcPr>
            <w:tcW w:w="1419" w:type="dxa"/>
            <w:tcBorders>
              <w:top w:val="nil"/>
              <w:left w:val="nil"/>
              <w:bottom w:val="single" w:sz="4" w:space="0" w:color="auto"/>
              <w:right w:val="single" w:sz="4" w:space="0" w:color="auto"/>
            </w:tcBorders>
            <w:noWrap/>
            <w:hideMark/>
          </w:tcPr>
          <w:p w14:paraId="46F7809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-7.7%</w:t>
            </w:r>
          </w:p>
        </w:tc>
        <w:tc>
          <w:tcPr>
            <w:tcW w:w="1276" w:type="dxa"/>
            <w:tcBorders>
              <w:top w:val="nil"/>
              <w:left w:val="nil"/>
              <w:bottom w:val="single" w:sz="4" w:space="0" w:color="auto"/>
              <w:right w:val="single" w:sz="4" w:space="0" w:color="auto"/>
            </w:tcBorders>
            <w:hideMark/>
          </w:tcPr>
          <w:p w14:paraId="200CEBD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-35.1%</w:t>
            </w:r>
          </w:p>
        </w:tc>
        <w:tc>
          <w:tcPr>
            <w:tcW w:w="1275" w:type="dxa"/>
            <w:tcBorders>
              <w:top w:val="nil"/>
              <w:left w:val="nil"/>
              <w:bottom w:val="single" w:sz="4" w:space="0" w:color="auto"/>
              <w:right w:val="single" w:sz="4" w:space="0" w:color="auto"/>
            </w:tcBorders>
            <w:hideMark/>
          </w:tcPr>
          <w:p w14:paraId="2AC129F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-25.7%</w:t>
            </w:r>
          </w:p>
        </w:tc>
        <w:tc>
          <w:tcPr>
            <w:tcW w:w="1418" w:type="dxa"/>
            <w:tcBorders>
              <w:top w:val="nil"/>
              <w:left w:val="nil"/>
              <w:bottom w:val="single" w:sz="4" w:space="0" w:color="auto"/>
              <w:right w:val="single" w:sz="4" w:space="0" w:color="auto"/>
            </w:tcBorders>
            <w:hideMark/>
          </w:tcPr>
          <w:p w14:paraId="4F72E64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-0.5%</w:t>
            </w:r>
          </w:p>
        </w:tc>
      </w:tr>
      <w:tr w:rsidR="007B29DD" w14:paraId="30B0C042"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42A404F5"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Avoca (408)</w:t>
            </w:r>
          </w:p>
        </w:tc>
        <w:tc>
          <w:tcPr>
            <w:tcW w:w="1559" w:type="dxa"/>
            <w:tcBorders>
              <w:top w:val="nil"/>
              <w:left w:val="nil"/>
              <w:bottom w:val="single" w:sz="4" w:space="0" w:color="auto"/>
              <w:right w:val="single" w:sz="4" w:space="0" w:color="auto"/>
            </w:tcBorders>
            <w:shd w:val="clear" w:color="auto" w:fill="D9D9D9"/>
            <w:vAlign w:val="center"/>
            <w:hideMark/>
          </w:tcPr>
          <w:p w14:paraId="295F045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3D35850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-15.5%</w:t>
            </w:r>
          </w:p>
        </w:tc>
        <w:tc>
          <w:tcPr>
            <w:tcW w:w="1419" w:type="dxa"/>
            <w:tcBorders>
              <w:top w:val="nil"/>
              <w:left w:val="nil"/>
              <w:bottom w:val="single" w:sz="4" w:space="0" w:color="auto"/>
              <w:right w:val="single" w:sz="4" w:space="0" w:color="auto"/>
            </w:tcBorders>
            <w:shd w:val="clear" w:color="auto" w:fill="D9D9D9"/>
            <w:noWrap/>
            <w:hideMark/>
          </w:tcPr>
          <w:p w14:paraId="493DED3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-11.2%</w:t>
            </w:r>
          </w:p>
        </w:tc>
        <w:tc>
          <w:tcPr>
            <w:tcW w:w="1276" w:type="dxa"/>
            <w:tcBorders>
              <w:top w:val="nil"/>
              <w:left w:val="nil"/>
              <w:bottom w:val="single" w:sz="4" w:space="0" w:color="auto"/>
              <w:right w:val="single" w:sz="4" w:space="0" w:color="auto"/>
            </w:tcBorders>
            <w:shd w:val="clear" w:color="auto" w:fill="D9D9D9"/>
            <w:hideMark/>
          </w:tcPr>
          <w:p w14:paraId="67C2E26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-23.4%</w:t>
            </w:r>
          </w:p>
        </w:tc>
        <w:tc>
          <w:tcPr>
            <w:tcW w:w="1275" w:type="dxa"/>
            <w:tcBorders>
              <w:top w:val="nil"/>
              <w:left w:val="nil"/>
              <w:bottom w:val="single" w:sz="4" w:space="0" w:color="auto"/>
              <w:right w:val="single" w:sz="4" w:space="0" w:color="auto"/>
            </w:tcBorders>
            <w:shd w:val="clear" w:color="auto" w:fill="D9D9D9"/>
            <w:hideMark/>
          </w:tcPr>
          <w:p w14:paraId="3A74477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-32.8%</w:t>
            </w:r>
          </w:p>
        </w:tc>
        <w:tc>
          <w:tcPr>
            <w:tcW w:w="1418" w:type="dxa"/>
            <w:tcBorders>
              <w:top w:val="nil"/>
              <w:left w:val="nil"/>
              <w:bottom w:val="single" w:sz="4" w:space="0" w:color="auto"/>
              <w:right w:val="single" w:sz="4" w:space="0" w:color="auto"/>
            </w:tcBorders>
            <w:shd w:val="clear" w:color="auto" w:fill="D9D9D9"/>
            <w:hideMark/>
          </w:tcPr>
          <w:p w14:paraId="19E63CA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16.7%</w:t>
            </w:r>
          </w:p>
        </w:tc>
      </w:tr>
      <w:tr w:rsidR="007B29DD" w14:paraId="1E5DA9A1"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7CC80A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B70C7A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40A95AD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-20.6%</w:t>
            </w:r>
          </w:p>
        </w:tc>
        <w:tc>
          <w:tcPr>
            <w:tcW w:w="1419" w:type="dxa"/>
            <w:tcBorders>
              <w:top w:val="nil"/>
              <w:left w:val="nil"/>
              <w:bottom w:val="single" w:sz="4" w:space="0" w:color="auto"/>
              <w:right w:val="single" w:sz="4" w:space="0" w:color="auto"/>
            </w:tcBorders>
            <w:shd w:val="clear" w:color="auto" w:fill="D9D9D9"/>
            <w:noWrap/>
            <w:hideMark/>
          </w:tcPr>
          <w:p w14:paraId="3C0DE06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-13.7%</w:t>
            </w:r>
          </w:p>
        </w:tc>
        <w:tc>
          <w:tcPr>
            <w:tcW w:w="1276" w:type="dxa"/>
            <w:tcBorders>
              <w:top w:val="nil"/>
              <w:left w:val="nil"/>
              <w:bottom w:val="single" w:sz="4" w:space="0" w:color="auto"/>
              <w:right w:val="single" w:sz="4" w:space="0" w:color="auto"/>
            </w:tcBorders>
            <w:shd w:val="clear" w:color="auto" w:fill="D9D9D9"/>
            <w:hideMark/>
          </w:tcPr>
          <w:p w14:paraId="7B66155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-33.5%</w:t>
            </w:r>
          </w:p>
        </w:tc>
        <w:tc>
          <w:tcPr>
            <w:tcW w:w="1275" w:type="dxa"/>
            <w:tcBorders>
              <w:top w:val="nil"/>
              <w:left w:val="nil"/>
              <w:bottom w:val="single" w:sz="4" w:space="0" w:color="auto"/>
              <w:right w:val="single" w:sz="4" w:space="0" w:color="auto"/>
            </w:tcBorders>
            <w:shd w:val="clear" w:color="auto" w:fill="D9D9D9"/>
            <w:hideMark/>
          </w:tcPr>
          <w:p w14:paraId="164DD9F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-34.7%</w:t>
            </w:r>
          </w:p>
        </w:tc>
        <w:tc>
          <w:tcPr>
            <w:tcW w:w="1418" w:type="dxa"/>
            <w:tcBorders>
              <w:top w:val="nil"/>
              <w:left w:val="nil"/>
              <w:bottom w:val="single" w:sz="4" w:space="0" w:color="auto"/>
              <w:right w:val="single" w:sz="4" w:space="0" w:color="auto"/>
            </w:tcBorders>
            <w:shd w:val="clear" w:color="auto" w:fill="D9D9D9"/>
            <w:hideMark/>
          </w:tcPr>
          <w:p w14:paraId="43AEA78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5.6%</w:t>
            </w:r>
          </w:p>
        </w:tc>
      </w:tr>
      <w:tr w:rsidR="007B29DD" w14:paraId="70B2879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A415930"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80735CC"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7A77ECC"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-16.2%</w:t>
            </w:r>
          </w:p>
        </w:tc>
        <w:tc>
          <w:tcPr>
            <w:tcW w:w="1419" w:type="dxa"/>
            <w:tcBorders>
              <w:top w:val="nil"/>
              <w:left w:val="nil"/>
              <w:bottom w:val="single" w:sz="4" w:space="0" w:color="auto"/>
              <w:right w:val="single" w:sz="4" w:space="0" w:color="auto"/>
            </w:tcBorders>
            <w:shd w:val="clear" w:color="auto" w:fill="D9D9D9"/>
            <w:noWrap/>
            <w:hideMark/>
          </w:tcPr>
          <w:p w14:paraId="0FB8079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-11.1%</w:t>
            </w:r>
          </w:p>
        </w:tc>
        <w:tc>
          <w:tcPr>
            <w:tcW w:w="1276" w:type="dxa"/>
            <w:tcBorders>
              <w:top w:val="nil"/>
              <w:left w:val="nil"/>
              <w:bottom w:val="single" w:sz="4" w:space="0" w:color="auto"/>
              <w:right w:val="single" w:sz="4" w:space="0" w:color="auto"/>
            </w:tcBorders>
            <w:shd w:val="clear" w:color="auto" w:fill="D9D9D9"/>
            <w:hideMark/>
          </w:tcPr>
          <w:p w14:paraId="2208F20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-25.7%</w:t>
            </w:r>
          </w:p>
        </w:tc>
        <w:tc>
          <w:tcPr>
            <w:tcW w:w="1275" w:type="dxa"/>
            <w:tcBorders>
              <w:top w:val="nil"/>
              <w:left w:val="nil"/>
              <w:bottom w:val="single" w:sz="4" w:space="0" w:color="auto"/>
              <w:right w:val="single" w:sz="4" w:space="0" w:color="auto"/>
            </w:tcBorders>
            <w:shd w:val="clear" w:color="auto" w:fill="D9D9D9"/>
            <w:hideMark/>
          </w:tcPr>
          <w:p w14:paraId="4C39777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-35.3%</w:t>
            </w:r>
          </w:p>
        </w:tc>
        <w:tc>
          <w:tcPr>
            <w:tcW w:w="1418" w:type="dxa"/>
            <w:tcBorders>
              <w:top w:val="nil"/>
              <w:left w:val="nil"/>
              <w:bottom w:val="single" w:sz="4" w:space="0" w:color="auto"/>
              <w:right w:val="single" w:sz="4" w:space="0" w:color="auto"/>
            </w:tcBorders>
            <w:shd w:val="clear" w:color="auto" w:fill="D9D9D9"/>
            <w:hideMark/>
          </w:tcPr>
          <w:p w14:paraId="53A80AC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19.3%</w:t>
            </w:r>
          </w:p>
        </w:tc>
      </w:tr>
      <w:tr w:rsidR="007B29DD" w14:paraId="0155D6E6"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C08FCD5"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4FD841C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36607DA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-18.2%</w:t>
            </w:r>
          </w:p>
        </w:tc>
        <w:tc>
          <w:tcPr>
            <w:tcW w:w="1419" w:type="dxa"/>
            <w:tcBorders>
              <w:top w:val="nil"/>
              <w:left w:val="nil"/>
              <w:bottom w:val="single" w:sz="4" w:space="0" w:color="auto"/>
              <w:right w:val="single" w:sz="4" w:space="0" w:color="auto"/>
            </w:tcBorders>
            <w:shd w:val="clear" w:color="auto" w:fill="D9D9D9"/>
            <w:noWrap/>
            <w:hideMark/>
          </w:tcPr>
          <w:p w14:paraId="2EC1745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-6.7%</w:t>
            </w:r>
          </w:p>
        </w:tc>
        <w:tc>
          <w:tcPr>
            <w:tcW w:w="1276" w:type="dxa"/>
            <w:tcBorders>
              <w:top w:val="nil"/>
              <w:left w:val="nil"/>
              <w:bottom w:val="single" w:sz="4" w:space="0" w:color="auto"/>
              <w:right w:val="single" w:sz="4" w:space="0" w:color="auto"/>
            </w:tcBorders>
            <w:shd w:val="clear" w:color="auto" w:fill="D9D9D9"/>
            <w:hideMark/>
          </w:tcPr>
          <w:p w14:paraId="4E9A07E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-39.5%</w:t>
            </w:r>
          </w:p>
        </w:tc>
        <w:tc>
          <w:tcPr>
            <w:tcW w:w="1275" w:type="dxa"/>
            <w:tcBorders>
              <w:top w:val="nil"/>
              <w:left w:val="nil"/>
              <w:bottom w:val="single" w:sz="4" w:space="0" w:color="auto"/>
              <w:right w:val="single" w:sz="4" w:space="0" w:color="auto"/>
            </w:tcBorders>
            <w:shd w:val="clear" w:color="auto" w:fill="D9D9D9"/>
            <w:hideMark/>
          </w:tcPr>
          <w:p w14:paraId="062ED76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-28.0%</w:t>
            </w:r>
          </w:p>
        </w:tc>
        <w:tc>
          <w:tcPr>
            <w:tcW w:w="1418" w:type="dxa"/>
            <w:tcBorders>
              <w:top w:val="nil"/>
              <w:left w:val="nil"/>
              <w:bottom w:val="single" w:sz="4" w:space="0" w:color="auto"/>
              <w:right w:val="single" w:sz="4" w:space="0" w:color="auto"/>
            </w:tcBorders>
            <w:shd w:val="clear" w:color="auto" w:fill="D9D9D9"/>
            <w:hideMark/>
          </w:tcPr>
          <w:p w14:paraId="4E0A6F1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0.0%</w:t>
            </w:r>
          </w:p>
        </w:tc>
      </w:tr>
      <w:tr w:rsidR="007B29DD" w14:paraId="3BAB4686"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5521F8D7"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Lower Murray (409)</w:t>
            </w:r>
          </w:p>
        </w:tc>
        <w:tc>
          <w:tcPr>
            <w:tcW w:w="1559" w:type="dxa"/>
            <w:tcBorders>
              <w:top w:val="nil"/>
              <w:left w:val="nil"/>
              <w:bottom w:val="single" w:sz="4" w:space="0" w:color="auto"/>
              <w:right w:val="single" w:sz="4" w:space="0" w:color="auto"/>
            </w:tcBorders>
            <w:vAlign w:val="center"/>
            <w:hideMark/>
          </w:tcPr>
          <w:p w14:paraId="13542E4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1F80BE8D"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-15.0%</w:t>
            </w:r>
          </w:p>
        </w:tc>
        <w:tc>
          <w:tcPr>
            <w:tcW w:w="1419" w:type="dxa"/>
            <w:tcBorders>
              <w:top w:val="nil"/>
              <w:left w:val="nil"/>
              <w:bottom w:val="single" w:sz="4" w:space="0" w:color="auto"/>
              <w:right w:val="single" w:sz="4" w:space="0" w:color="auto"/>
            </w:tcBorders>
            <w:noWrap/>
            <w:hideMark/>
          </w:tcPr>
          <w:p w14:paraId="291AEFC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-10.1%</w:t>
            </w:r>
          </w:p>
        </w:tc>
        <w:tc>
          <w:tcPr>
            <w:tcW w:w="1276" w:type="dxa"/>
            <w:tcBorders>
              <w:top w:val="nil"/>
              <w:left w:val="nil"/>
              <w:bottom w:val="single" w:sz="4" w:space="0" w:color="auto"/>
              <w:right w:val="single" w:sz="4" w:space="0" w:color="auto"/>
            </w:tcBorders>
            <w:hideMark/>
          </w:tcPr>
          <w:p w14:paraId="096C925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-23.1%</w:t>
            </w:r>
          </w:p>
        </w:tc>
        <w:tc>
          <w:tcPr>
            <w:tcW w:w="1275" w:type="dxa"/>
            <w:tcBorders>
              <w:top w:val="nil"/>
              <w:left w:val="nil"/>
              <w:bottom w:val="single" w:sz="4" w:space="0" w:color="auto"/>
              <w:right w:val="single" w:sz="4" w:space="0" w:color="auto"/>
            </w:tcBorders>
            <w:hideMark/>
          </w:tcPr>
          <w:p w14:paraId="2537A5B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-30.8%</w:t>
            </w:r>
          </w:p>
        </w:tc>
        <w:tc>
          <w:tcPr>
            <w:tcW w:w="1418" w:type="dxa"/>
            <w:tcBorders>
              <w:top w:val="nil"/>
              <w:left w:val="nil"/>
              <w:bottom w:val="single" w:sz="4" w:space="0" w:color="auto"/>
              <w:right w:val="single" w:sz="4" w:space="0" w:color="auto"/>
            </w:tcBorders>
            <w:hideMark/>
          </w:tcPr>
          <w:p w14:paraId="62DC621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10.9%</w:t>
            </w:r>
          </w:p>
        </w:tc>
      </w:tr>
      <w:tr w:rsidR="007B29DD" w14:paraId="4775D6B2"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34BD516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5DE9BF21"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6B562A7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-19.1%</w:t>
            </w:r>
          </w:p>
        </w:tc>
        <w:tc>
          <w:tcPr>
            <w:tcW w:w="1419" w:type="dxa"/>
            <w:tcBorders>
              <w:top w:val="nil"/>
              <w:left w:val="nil"/>
              <w:bottom w:val="single" w:sz="4" w:space="0" w:color="auto"/>
              <w:right w:val="single" w:sz="4" w:space="0" w:color="auto"/>
            </w:tcBorders>
            <w:noWrap/>
            <w:hideMark/>
          </w:tcPr>
          <w:p w14:paraId="63A8943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-12.3%</w:t>
            </w:r>
          </w:p>
        </w:tc>
        <w:tc>
          <w:tcPr>
            <w:tcW w:w="1276" w:type="dxa"/>
            <w:tcBorders>
              <w:top w:val="nil"/>
              <w:left w:val="nil"/>
              <w:bottom w:val="single" w:sz="4" w:space="0" w:color="auto"/>
              <w:right w:val="single" w:sz="4" w:space="0" w:color="auto"/>
            </w:tcBorders>
            <w:hideMark/>
          </w:tcPr>
          <w:p w14:paraId="5549D7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-30.3%</w:t>
            </w:r>
          </w:p>
        </w:tc>
        <w:tc>
          <w:tcPr>
            <w:tcW w:w="1275" w:type="dxa"/>
            <w:tcBorders>
              <w:top w:val="nil"/>
              <w:left w:val="nil"/>
              <w:bottom w:val="single" w:sz="4" w:space="0" w:color="auto"/>
              <w:right w:val="single" w:sz="4" w:space="0" w:color="auto"/>
            </w:tcBorders>
            <w:hideMark/>
          </w:tcPr>
          <w:p w14:paraId="0CE399F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-37.2%</w:t>
            </w:r>
          </w:p>
        </w:tc>
        <w:tc>
          <w:tcPr>
            <w:tcW w:w="1418" w:type="dxa"/>
            <w:tcBorders>
              <w:top w:val="nil"/>
              <w:left w:val="nil"/>
              <w:bottom w:val="single" w:sz="4" w:space="0" w:color="auto"/>
              <w:right w:val="single" w:sz="4" w:space="0" w:color="auto"/>
            </w:tcBorders>
            <w:hideMark/>
          </w:tcPr>
          <w:p w14:paraId="12970A61"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10.5%</w:t>
            </w:r>
          </w:p>
        </w:tc>
      </w:tr>
      <w:tr w:rsidR="007B29DD" w14:paraId="29279B0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0EBA51F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1CE84342"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1569077B"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-12.3%</w:t>
            </w:r>
          </w:p>
        </w:tc>
        <w:tc>
          <w:tcPr>
            <w:tcW w:w="1419" w:type="dxa"/>
            <w:tcBorders>
              <w:top w:val="nil"/>
              <w:left w:val="nil"/>
              <w:bottom w:val="single" w:sz="4" w:space="0" w:color="auto"/>
              <w:right w:val="single" w:sz="4" w:space="0" w:color="auto"/>
            </w:tcBorders>
            <w:noWrap/>
            <w:hideMark/>
          </w:tcPr>
          <w:p w14:paraId="7950BE9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-4.4%</w:t>
            </w:r>
          </w:p>
        </w:tc>
        <w:tc>
          <w:tcPr>
            <w:tcW w:w="1276" w:type="dxa"/>
            <w:tcBorders>
              <w:top w:val="nil"/>
              <w:left w:val="nil"/>
              <w:bottom w:val="single" w:sz="4" w:space="0" w:color="auto"/>
              <w:right w:val="single" w:sz="4" w:space="0" w:color="auto"/>
            </w:tcBorders>
            <w:hideMark/>
          </w:tcPr>
          <w:p w14:paraId="29AD916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-25.2%</w:t>
            </w:r>
          </w:p>
        </w:tc>
        <w:tc>
          <w:tcPr>
            <w:tcW w:w="1275" w:type="dxa"/>
            <w:tcBorders>
              <w:top w:val="nil"/>
              <w:left w:val="nil"/>
              <w:bottom w:val="single" w:sz="4" w:space="0" w:color="auto"/>
              <w:right w:val="single" w:sz="4" w:space="0" w:color="auto"/>
            </w:tcBorders>
            <w:hideMark/>
          </w:tcPr>
          <w:p w14:paraId="02B127A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-34.4%</w:t>
            </w:r>
          </w:p>
        </w:tc>
        <w:tc>
          <w:tcPr>
            <w:tcW w:w="1418" w:type="dxa"/>
            <w:tcBorders>
              <w:top w:val="nil"/>
              <w:left w:val="nil"/>
              <w:bottom w:val="single" w:sz="4" w:space="0" w:color="auto"/>
              <w:right w:val="single" w:sz="4" w:space="0" w:color="auto"/>
            </w:tcBorders>
            <w:hideMark/>
          </w:tcPr>
          <w:p w14:paraId="614B848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24.0%</w:t>
            </w:r>
          </w:p>
        </w:tc>
      </w:tr>
      <w:tr w:rsidR="007B29DD" w14:paraId="1CE5FC3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F73AC5E"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43A874E7"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3099AB58"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-16.0%</w:t>
            </w:r>
          </w:p>
        </w:tc>
        <w:tc>
          <w:tcPr>
            <w:tcW w:w="1419" w:type="dxa"/>
            <w:tcBorders>
              <w:top w:val="nil"/>
              <w:left w:val="nil"/>
              <w:bottom w:val="single" w:sz="4" w:space="0" w:color="auto"/>
              <w:right w:val="single" w:sz="4" w:space="0" w:color="auto"/>
            </w:tcBorders>
            <w:noWrap/>
            <w:hideMark/>
          </w:tcPr>
          <w:p w14:paraId="124F184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-8.0%</w:t>
            </w:r>
          </w:p>
        </w:tc>
        <w:tc>
          <w:tcPr>
            <w:tcW w:w="1276" w:type="dxa"/>
            <w:tcBorders>
              <w:top w:val="nil"/>
              <w:left w:val="nil"/>
              <w:bottom w:val="single" w:sz="4" w:space="0" w:color="auto"/>
              <w:right w:val="single" w:sz="4" w:space="0" w:color="auto"/>
            </w:tcBorders>
            <w:hideMark/>
          </w:tcPr>
          <w:p w14:paraId="7F621B7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-29.0%</w:t>
            </w:r>
          </w:p>
        </w:tc>
        <w:tc>
          <w:tcPr>
            <w:tcW w:w="1275" w:type="dxa"/>
            <w:tcBorders>
              <w:top w:val="nil"/>
              <w:left w:val="nil"/>
              <w:bottom w:val="single" w:sz="4" w:space="0" w:color="auto"/>
              <w:right w:val="single" w:sz="4" w:space="0" w:color="auto"/>
            </w:tcBorders>
            <w:hideMark/>
          </w:tcPr>
          <w:p w14:paraId="71C4009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-27.9%</w:t>
            </w:r>
          </w:p>
        </w:tc>
        <w:tc>
          <w:tcPr>
            <w:tcW w:w="1418" w:type="dxa"/>
            <w:tcBorders>
              <w:top w:val="nil"/>
              <w:left w:val="nil"/>
              <w:bottom w:val="single" w:sz="4" w:space="0" w:color="auto"/>
              <w:right w:val="single" w:sz="4" w:space="0" w:color="auto"/>
            </w:tcBorders>
            <w:hideMark/>
          </w:tcPr>
          <w:p w14:paraId="075682D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w:t>
            </w:r>
          </w:p>
        </w:tc>
      </w:tr>
      <w:tr w:rsidR="007B29DD" w14:paraId="3A887283" w14:textId="77777777" w:rsidTr="00306AF1">
        <w:trPr>
          <w:trHeight w:val="300"/>
        </w:trPr>
        <w:tc>
          <w:tcPr>
            <w:tcW w:w="1217" w:type="dxa"/>
            <w:vMerge w:val="restart"/>
            <w:tcBorders>
              <w:top w:val="nil"/>
              <w:left w:val="single" w:sz="4" w:space="0" w:color="auto"/>
              <w:bottom w:val="single" w:sz="4" w:space="0" w:color="auto"/>
              <w:right w:val="single" w:sz="4" w:space="0" w:color="auto"/>
            </w:tcBorders>
            <w:shd w:val="clear" w:color="auto" w:fill="D9D9D9"/>
            <w:vAlign w:val="center"/>
            <w:hideMark/>
          </w:tcPr>
          <w:p w14:paraId="3E09DE30"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Mallee (414)</w:t>
            </w:r>
          </w:p>
        </w:tc>
        <w:tc>
          <w:tcPr>
            <w:tcW w:w="1559" w:type="dxa"/>
            <w:tcBorders>
              <w:top w:val="nil"/>
              <w:left w:val="nil"/>
              <w:bottom w:val="single" w:sz="4" w:space="0" w:color="auto"/>
              <w:right w:val="single" w:sz="4" w:space="0" w:color="auto"/>
            </w:tcBorders>
            <w:shd w:val="clear" w:color="auto" w:fill="D9D9D9"/>
            <w:vAlign w:val="center"/>
            <w:hideMark/>
          </w:tcPr>
          <w:p w14:paraId="1B9DBC3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shd w:val="clear" w:color="auto" w:fill="D9D9D9"/>
            <w:hideMark/>
          </w:tcPr>
          <w:p w14:paraId="0D4A6F96"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-17.8%</w:t>
            </w:r>
          </w:p>
        </w:tc>
        <w:tc>
          <w:tcPr>
            <w:tcW w:w="1419" w:type="dxa"/>
            <w:tcBorders>
              <w:top w:val="nil"/>
              <w:left w:val="nil"/>
              <w:bottom w:val="single" w:sz="4" w:space="0" w:color="auto"/>
              <w:right w:val="single" w:sz="4" w:space="0" w:color="auto"/>
            </w:tcBorders>
            <w:shd w:val="clear" w:color="auto" w:fill="D9D9D9"/>
            <w:noWrap/>
            <w:hideMark/>
          </w:tcPr>
          <w:p w14:paraId="7BA78CA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-11.9%</w:t>
            </w:r>
          </w:p>
        </w:tc>
        <w:tc>
          <w:tcPr>
            <w:tcW w:w="1276" w:type="dxa"/>
            <w:tcBorders>
              <w:top w:val="nil"/>
              <w:left w:val="nil"/>
              <w:bottom w:val="single" w:sz="4" w:space="0" w:color="auto"/>
              <w:right w:val="single" w:sz="4" w:space="0" w:color="auto"/>
            </w:tcBorders>
            <w:shd w:val="clear" w:color="auto" w:fill="D9D9D9"/>
            <w:hideMark/>
          </w:tcPr>
          <w:p w14:paraId="65CBE79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-29.6%</w:t>
            </w:r>
          </w:p>
        </w:tc>
        <w:tc>
          <w:tcPr>
            <w:tcW w:w="1275" w:type="dxa"/>
            <w:tcBorders>
              <w:top w:val="nil"/>
              <w:left w:val="nil"/>
              <w:bottom w:val="single" w:sz="4" w:space="0" w:color="auto"/>
              <w:right w:val="single" w:sz="4" w:space="0" w:color="auto"/>
            </w:tcBorders>
            <w:shd w:val="clear" w:color="auto" w:fill="D9D9D9"/>
            <w:hideMark/>
          </w:tcPr>
          <w:p w14:paraId="5A806EA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-36.7%</w:t>
            </w:r>
          </w:p>
        </w:tc>
        <w:tc>
          <w:tcPr>
            <w:tcW w:w="1418" w:type="dxa"/>
            <w:tcBorders>
              <w:top w:val="nil"/>
              <w:left w:val="nil"/>
              <w:bottom w:val="single" w:sz="4" w:space="0" w:color="auto"/>
              <w:right w:val="single" w:sz="4" w:space="0" w:color="auto"/>
            </w:tcBorders>
            <w:shd w:val="clear" w:color="auto" w:fill="D9D9D9"/>
            <w:hideMark/>
          </w:tcPr>
          <w:p w14:paraId="0C231FD2"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19.9%</w:t>
            </w:r>
          </w:p>
        </w:tc>
      </w:tr>
      <w:tr w:rsidR="007B29DD" w14:paraId="5B998F74"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F9DE069"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06B6E74D"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shd w:val="clear" w:color="auto" w:fill="D9D9D9"/>
            <w:hideMark/>
          </w:tcPr>
          <w:p w14:paraId="31D42F9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-23.6%</w:t>
            </w:r>
          </w:p>
        </w:tc>
        <w:tc>
          <w:tcPr>
            <w:tcW w:w="1419" w:type="dxa"/>
            <w:tcBorders>
              <w:top w:val="nil"/>
              <w:left w:val="nil"/>
              <w:bottom w:val="single" w:sz="4" w:space="0" w:color="auto"/>
              <w:right w:val="single" w:sz="4" w:space="0" w:color="auto"/>
            </w:tcBorders>
            <w:shd w:val="clear" w:color="auto" w:fill="D9D9D9"/>
            <w:noWrap/>
            <w:hideMark/>
          </w:tcPr>
          <w:p w14:paraId="3431A92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-17.5%</w:t>
            </w:r>
          </w:p>
        </w:tc>
        <w:tc>
          <w:tcPr>
            <w:tcW w:w="1276" w:type="dxa"/>
            <w:tcBorders>
              <w:top w:val="nil"/>
              <w:left w:val="nil"/>
              <w:bottom w:val="single" w:sz="4" w:space="0" w:color="auto"/>
              <w:right w:val="single" w:sz="4" w:space="0" w:color="auto"/>
            </w:tcBorders>
            <w:shd w:val="clear" w:color="auto" w:fill="D9D9D9"/>
            <w:hideMark/>
          </w:tcPr>
          <w:p w14:paraId="703381C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-35.7%</w:t>
            </w:r>
          </w:p>
        </w:tc>
        <w:tc>
          <w:tcPr>
            <w:tcW w:w="1275" w:type="dxa"/>
            <w:tcBorders>
              <w:top w:val="nil"/>
              <w:left w:val="nil"/>
              <w:bottom w:val="single" w:sz="4" w:space="0" w:color="auto"/>
              <w:right w:val="single" w:sz="4" w:space="0" w:color="auto"/>
            </w:tcBorders>
            <w:shd w:val="clear" w:color="auto" w:fill="D9D9D9"/>
            <w:hideMark/>
          </w:tcPr>
          <w:p w14:paraId="0306A11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-39.9%</w:t>
            </w:r>
          </w:p>
        </w:tc>
        <w:tc>
          <w:tcPr>
            <w:tcW w:w="1418" w:type="dxa"/>
            <w:tcBorders>
              <w:top w:val="nil"/>
              <w:left w:val="nil"/>
              <w:bottom w:val="single" w:sz="4" w:space="0" w:color="auto"/>
              <w:right w:val="single" w:sz="4" w:space="0" w:color="auto"/>
            </w:tcBorders>
            <w:shd w:val="clear" w:color="auto" w:fill="D9D9D9"/>
            <w:hideMark/>
          </w:tcPr>
          <w:p w14:paraId="305F85B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8.9%</w:t>
            </w:r>
          </w:p>
        </w:tc>
      </w:tr>
      <w:tr w:rsidR="007B29DD" w14:paraId="3DC5EC5B"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D213B0B"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6EE2F008"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shd w:val="clear" w:color="auto" w:fill="D9D9D9"/>
            <w:hideMark/>
          </w:tcPr>
          <w:p w14:paraId="131F575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-17.5%</w:t>
            </w:r>
          </w:p>
        </w:tc>
        <w:tc>
          <w:tcPr>
            <w:tcW w:w="1419" w:type="dxa"/>
            <w:tcBorders>
              <w:top w:val="nil"/>
              <w:left w:val="nil"/>
              <w:bottom w:val="single" w:sz="4" w:space="0" w:color="auto"/>
              <w:right w:val="single" w:sz="4" w:space="0" w:color="auto"/>
            </w:tcBorders>
            <w:shd w:val="clear" w:color="auto" w:fill="D9D9D9"/>
            <w:noWrap/>
            <w:hideMark/>
          </w:tcPr>
          <w:p w14:paraId="3466AF4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-11.2%</w:t>
            </w:r>
          </w:p>
        </w:tc>
        <w:tc>
          <w:tcPr>
            <w:tcW w:w="1276" w:type="dxa"/>
            <w:tcBorders>
              <w:top w:val="nil"/>
              <w:left w:val="nil"/>
              <w:bottom w:val="single" w:sz="4" w:space="0" w:color="auto"/>
              <w:right w:val="single" w:sz="4" w:space="0" w:color="auto"/>
            </w:tcBorders>
            <w:shd w:val="clear" w:color="auto" w:fill="D9D9D9"/>
            <w:hideMark/>
          </w:tcPr>
          <w:p w14:paraId="625FD8C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-30.0%</w:t>
            </w:r>
          </w:p>
        </w:tc>
        <w:tc>
          <w:tcPr>
            <w:tcW w:w="1275" w:type="dxa"/>
            <w:tcBorders>
              <w:top w:val="nil"/>
              <w:left w:val="nil"/>
              <w:bottom w:val="single" w:sz="4" w:space="0" w:color="auto"/>
              <w:right w:val="single" w:sz="4" w:space="0" w:color="auto"/>
            </w:tcBorders>
            <w:shd w:val="clear" w:color="auto" w:fill="D9D9D9"/>
            <w:hideMark/>
          </w:tcPr>
          <w:p w14:paraId="120BAF19"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-39.5%</w:t>
            </w:r>
          </w:p>
        </w:tc>
        <w:tc>
          <w:tcPr>
            <w:tcW w:w="1418" w:type="dxa"/>
            <w:tcBorders>
              <w:top w:val="nil"/>
              <w:left w:val="nil"/>
              <w:bottom w:val="single" w:sz="4" w:space="0" w:color="auto"/>
              <w:right w:val="single" w:sz="4" w:space="0" w:color="auto"/>
            </w:tcBorders>
            <w:shd w:val="clear" w:color="auto" w:fill="D9D9D9"/>
            <w:hideMark/>
          </w:tcPr>
          <w:p w14:paraId="65490807"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26.4%</w:t>
            </w:r>
          </w:p>
        </w:tc>
      </w:tr>
      <w:tr w:rsidR="007B29DD" w14:paraId="25339219"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6D09238A"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shd w:val="clear" w:color="auto" w:fill="D9D9D9"/>
            <w:vAlign w:val="center"/>
            <w:hideMark/>
          </w:tcPr>
          <w:p w14:paraId="12A56616"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shd w:val="clear" w:color="auto" w:fill="D9D9D9"/>
            <w:hideMark/>
          </w:tcPr>
          <w:p w14:paraId="6E4A24B1"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-19.1%</w:t>
            </w:r>
          </w:p>
        </w:tc>
        <w:tc>
          <w:tcPr>
            <w:tcW w:w="1419" w:type="dxa"/>
            <w:tcBorders>
              <w:top w:val="nil"/>
              <w:left w:val="nil"/>
              <w:bottom w:val="single" w:sz="4" w:space="0" w:color="auto"/>
              <w:right w:val="single" w:sz="4" w:space="0" w:color="auto"/>
            </w:tcBorders>
            <w:shd w:val="clear" w:color="auto" w:fill="D9D9D9"/>
            <w:noWrap/>
            <w:hideMark/>
          </w:tcPr>
          <w:p w14:paraId="2D6E9E2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-7.7%</w:t>
            </w:r>
          </w:p>
        </w:tc>
        <w:tc>
          <w:tcPr>
            <w:tcW w:w="1276" w:type="dxa"/>
            <w:tcBorders>
              <w:top w:val="nil"/>
              <w:left w:val="nil"/>
              <w:bottom w:val="single" w:sz="4" w:space="0" w:color="auto"/>
              <w:right w:val="single" w:sz="4" w:space="0" w:color="auto"/>
            </w:tcBorders>
            <w:shd w:val="clear" w:color="auto" w:fill="D9D9D9"/>
            <w:hideMark/>
          </w:tcPr>
          <w:p w14:paraId="07B6F23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-41.9%</w:t>
            </w:r>
          </w:p>
        </w:tc>
        <w:tc>
          <w:tcPr>
            <w:tcW w:w="1275" w:type="dxa"/>
            <w:tcBorders>
              <w:top w:val="nil"/>
              <w:left w:val="nil"/>
              <w:bottom w:val="single" w:sz="4" w:space="0" w:color="auto"/>
              <w:right w:val="single" w:sz="4" w:space="0" w:color="auto"/>
            </w:tcBorders>
            <w:shd w:val="clear" w:color="auto" w:fill="D9D9D9"/>
            <w:hideMark/>
          </w:tcPr>
          <w:p w14:paraId="10765DCE"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-28.7%</w:t>
            </w:r>
          </w:p>
        </w:tc>
        <w:tc>
          <w:tcPr>
            <w:tcW w:w="1418" w:type="dxa"/>
            <w:tcBorders>
              <w:top w:val="nil"/>
              <w:left w:val="nil"/>
              <w:bottom w:val="single" w:sz="4" w:space="0" w:color="auto"/>
              <w:right w:val="single" w:sz="4" w:space="0" w:color="auto"/>
            </w:tcBorders>
            <w:shd w:val="clear" w:color="auto" w:fill="D9D9D9"/>
            <w:hideMark/>
          </w:tcPr>
          <w:p w14:paraId="27F9620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0.0%</w:t>
            </w:r>
          </w:p>
        </w:tc>
      </w:tr>
      <w:tr w:rsidR="007B29DD" w14:paraId="14CD4D9A" w14:textId="77777777" w:rsidTr="00306AF1">
        <w:trPr>
          <w:trHeight w:val="300"/>
        </w:trPr>
        <w:tc>
          <w:tcPr>
            <w:tcW w:w="1217" w:type="dxa"/>
            <w:vMerge w:val="restart"/>
            <w:tcBorders>
              <w:top w:val="nil"/>
              <w:left w:val="single" w:sz="4" w:space="0" w:color="auto"/>
              <w:bottom w:val="single" w:sz="4" w:space="0" w:color="auto"/>
              <w:right w:val="single" w:sz="4" w:space="0" w:color="auto"/>
            </w:tcBorders>
            <w:vAlign w:val="center"/>
            <w:hideMark/>
          </w:tcPr>
          <w:p w14:paraId="467888D9" w14:textId="77777777" w:rsidR="007B29DD" w:rsidRDefault="007B29DD" w:rsidP="00306AF1">
            <w:pPr>
              <w:spacing w:line="240" w:lineRule="auto"/>
              <w:rPr>
                <w:rFonts w:ascii="Calibri" w:hAnsi="Calibri" w:cs="Calibri"/>
                <w:color w:val="000000"/>
                <w:sz w:val="18"/>
                <w:szCs w:val="18"/>
                <w:lang w:val="en-US" w:eastAsia="zh-CN"/>
              </w:rPr>
            </w:pPr>
            <w:r>
              <w:rPr>
                <w:rFonts w:ascii="Calibri" w:hAnsi="Calibri" w:cs="Calibri"/>
                <w:color w:val="000000"/>
                <w:sz w:val="18"/>
                <w:szCs w:val="18"/>
                <w:lang w:val="en-US" w:eastAsia="zh-CN"/>
              </w:rPr>
              <w:t>Wimmera (415)</w:t>
            </w:r>
          </w:p>
        </w:tc>
        <w:tc>
          <w:tcPr>
            <w:tcW w:w="1559" w:type="dxa"/>
            <w:tcBorders>
              <w:top w:val="nil"/>
              <w:left w:val="nil"/>
              <w:bottom w:val="single" w:sz="4" w:space="0" w:color="auto"/>
              <w:right w:val="single" w:sz="4" w:space="0" w:color="auto"/>
            </w:tcBorders>
            <w:vAlign w:val="center"/>
            <w:hideMark/>
          </w:tcPr>
          <w:p w14:paraId="1926B66A"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RCP8.5</w:t>
            </w:r>
          </w:p>
        </w:tc>
        <w:tc>
          <w:tcPr>
            <w:tcW w:w="1187" w:type="dxa"/>
            <w:tcBorders>
              <w:top w:val="nil"/>
              <w:left w:val="nil"/>
              <w:bottom w:val="single" w:sz="4" w:space="0" w:color="auto"/>
              <w:right w:val="single" w:sz="4" w:space="0" w:color="auto"/>
            </w:tcBorders>
            <w:hideMark/>
          </w:tcPr>
          <w:p w14:paraId="7D30C23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-13.3%</w:t>
            </w:r>
          </w:p>
        </w:tc>
        <w:tc>
          <w:tcPr>
            <w:tcW w:w="1419" w:type="dxa"/>
            <w:tcBorders>
              <w:top w:val="nil"/>
              <w:left w:val="nil"/>
              <w:bottom w:val="single" w:sz="4" w:space="0" w:color="auto"/>
              <w:right w:val="single" w:sz="4" w:space="0" w:color="auto"/>
            </w:tcBorders>
            <w:noWrap/>
            <w:hideMark/>
          </w:tcPr>
          <w:p w14:paraId="5297C3A5"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-9.7%</w:t>
            </w:r>
          </w:p>
        </w:tc>
        <w:tc>
          <w:tcPr>
            <w:tcW w:w="1276" w:type="dxa"/>
            <w:tcBorders>
              <w:top w:val="nil"/>
              <w:left w:val="nil"/>
              <w:bottom w:val="single" w:sz="4" w:space="0" w:color="auto"/>
              <w:right w:val="single" w:sz="4" w:space="0" w:color="auto"/>
            </w:tcBorders>
            <w:hideMark/>
          </w:tcPr>
          <w:p w14:paraId="233980F6"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-21.3%</w:t>
            </w:r>
          </w:p>
        </w:tc>
        <w:tc>
          <w:tcPr>
            <w:tcW w:w="1275" w:type="dxa"/>
            <w:tcBorders>
              <w:top w:val="nil"/>
              <w:left w:val="nil"/>
              <w:bottom w:val="single" w:sz="4" w:space="0" w:color="auto"/>
              <w:right w:val="single" w:sz="4" w:space="0" w:color="auto"/>
            </w:tcBorders>
            <w:hideMark/>
          </w:tcPr>
          <w:p w14:paraId="7015260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-25.3%</w:t>
            </w:r>
          </w:p>
        </w:tc>
        <w:tc>
          <w:tcPr>
            <w:tcW w:w="1418" w:type="dxa"/>
            <w:tcBorders>
              <w:top w:val="nil"/>
              <w:left w:val="nil"/>
              <w:bottom w:val="single" w:sz="4" w:space="0" w:color="auto"/>
              <w:right w:val="single" w:sz="4" w:space="0" w:color="auto"/>
            </w:tcBorders>
            <w:hideMark/>
          </w:tcPr>
          <w:p w14:paraId="76617B8A"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13.2%</w:t>
            </w:r>
          </w:p>
        </w:tc>
      </w:tr>
      <w:tr w:rsidR="007B29DD" w14:paraId="75B432E3"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2326D926"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2465563B"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RCP8.5</w:t>
            </w:r>
          </w:p>
        </w:tc>
        <w:tc>
          <w:tcPr>
            <w:tcW w:w="1187" w:type="dxa"/>
            <w:tcBorders>
              <w:top w:val="nil"/>
              <w:left w:val="nil"/>
              <w:bottom w:val="single" w:sz="4" w:space="0" w:color="auto"/>
              <w:right w:val="single" w:sz="4" w:space="0" w:color="auto"/>
            </w:tcBorders>
            <w:hideMark/>
          </w:tcPr>
          <w:p w14:paraId="5EA9DD97"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-22.3%</w:t>
            </w:r>
          </w:p>
        </w:tc>
        <w:tc>
          <w:tcPr>
            <w:tcW w:w="1419" w:type="dxa"/>
            <w:tcBorders>
              <w:top w:val="nil"/>
              <w:left w:val="nil"/>
              <w:bottom w:val="single" w:sz="4" w:space="0" w:color="auto"/>
              <w:right w:val="single" w:sz="4" w:space="0" w:color="auto"/>
            </w:tcBorders>
            <w:noWrap/>
            <w:hideMark/>
          </w:tcPr>
          <w:p w14:paraId="35A6C0A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-16.0%</w:t>
            </w:r>
          </w:p>
        </w:tc>
        <w:tc>
          <w:tcPr>
            <w:tcW w:w="1276" w:type="dxa"/>
            <w:tcBorders>
              <w:top w:val="nil"/>
              <w:left w:val="nil"/>
              <w:bottom w:val="single" w:sz="4" w:space="0" w:color="auto"/>
              <w:right w:val="single" w:sz="4" w:space="0" w:color="auto"/>
            </w:tcBorders>
            <w:hideMark/>
          </w:tcPr>
          <w:p w14:paraId="59387AA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-36.3%</w:t>
            </w:r>
          </w:p>
        </w:tc>
        <w:tc>
          <w:tcPr>
            <w:tcW w:w="1275" w:type="dxa"/>
            <w:tcBorders>
              <w:top w:val="nil"/>
              <w:left w:val="nil"/>
              <w:bottom w:val="single" w:sz="4" w:space="0" w:color="auto"/>
              <w:right w:val="single" w:sz="4" w:space="0" w:color="auto"/>
            </w:tcBorders>
            <w:hideMark/>
          </w:tcPr>
          <w:p w14:paraId="66C5A81D"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-34.4%</w:t>
            </w:r>
          </w:p>
        </w:tc>
        <w:tc>
          <w:tcPr>
            <w:tcW w:w="1418" w:type="dxa"/>
            <w:tcBorders>
              <w:top w:val="nil"/>
              <w:left w:val="nil"/>
              <w:bottom w:val="single" w:sz="4" w:space="0" w:color="auto"/>
              <w:right w:val="single" w:sz="4" w:space="0" w:color="auto"/>
            </w:tcBorders>
            <w:hideMark/>
          </w:tcPr>
          <w:p w14:paraId="47CF45C3"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4.3%</w:t>
            </w:r>
          </w:p>
        </w:tc>
      </w:tr>
      <w:tr w:rsidR="007B29DD" w14:paraId="153CB19F"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1D1121A2"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3543FE5F"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2040 RCP4.5</w:t>
            </w:r>
          </w:p>
        </w:tc>
        <w:tc>
          <w:tcPr>
            <w:tcW w:w="1187" w:type="dxa"/>
            <w:tcBorders>
              <w:top w:val="nil"/>
              <w:left w:val="nil"/>
              <w:bottom w:val="single" w:sz="4" w:space="0" w:color="auto"/>
              <w:right w:val="single" w:sz="4" w:space="0" w:color="auto"/>
            </w:tcBorders>
            <w:hideMark/>
          </w:tcPr>
          <w:p w14:paraId="0C825709"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-15.3%</w:t>
            </w:r>
          </w:p>
        </w:tc>
        <w:tc>
          <w:tcPr>
            <w:tcW w:w="1419" w:type="dxa"/>
            <w:tcBorders>
              <w:top w:val="nil"/>
              <w:left w:val="nil"/>
              <w:bottom w:val="single" w:sz="4" w:space="0" w:color="auto"/>
              <w:right w:val="single" w:sz="4" w:space="0" w:color="auto"/>
            </w:tcBorders>
            <w:noWrap/>
            <w:hideMark/>
          </w:tcPr>
          <w:p w14:paraId="7F51A38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-9.5%</w:t>
            </w:r>
          </w:p>
        </w:tc>
        <w:tc>
          <w:tcPr>
            <w:tcW w:w="1276" w:type="dxa"/>
            <w:tcBorders>
              <w:top w:val="nil"/>
              <w:left w:val="nil"/>
              <w:bottom w:val="single" w:sz="4" w:space="0" w:color="auto"/>
              <w:right w:val="single" w:sz="4" w:space="0" w:color="auto"/>
            </w:tcBorders>
            <w:hideMark/>
          </w:tcPr>
          <w:p w14:paraId="79FC234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-28.0%</w:t>
            </w:r>
          </w:p>
        </w:tc>
        <w:tc>
          <w:tcPr>
            <w:tcW w:w="1275" w:type="dxa"/>
            <w:tcBorders>
              <w:top w:val="nil"/>
              <w:left w:val="nil"/>
              <w:bottom w:val="single" w:sz="4" w:space="0" w:color="auto"/>
              <w:right w:val="single" w:sz="4" w:space="0" w:color="auto"/>
            </w:tcBorders>
            <w:hideMark/>
          </w:tcPr>
          <w:p w14:paraId="58E31B1C"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-29.8%</w:t>
            </w:r>
          </w:p>
        </w:tc>
        <w:tc>
          <w:tcPr>
            <w:tcW w:w="1418" w:type="dxa"/>
            <w:tcBorders>
              <w:top w:val="nil"/>
              <w:left w:val="nil"/>
              <w:bottom w:val="single" w:sz="4" w:space="0" w:color="auto"/>
              <w:right w:val="single" w:sz="4" w:space="0" w:color="auto"/>
            </w:tcBorders>
            <w:hideMark/>
          </w:tcPr>
          <w:p w14:paraId="1B93EECB"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16.6%</w:t>
            </w:r>
          </w:p>
        </w:tc>
      </w:tr>
      <w:tr w:rsidR="007B29DD" w14:paraId="4706C205" w14:textId="77777777" w:rsidTr="00306AF1">
        <w:trPr>
          <w:trHeight w:val="300"/>
        </w:trPr>
        <w:tc>
          <w:tcPr>
            <w:tcW w:w="1217" w:type="dxa"/>
            <w:vMerge/>
            <w:tcBorders>
              <w:top w:val="nil"/>
              <w:left w:val="single" w:sz="4" w:space="0" w:color="auto"/>
              <w:bottom w:val="single" w:sz="4" w:space="0" w:color="auto"/>
              <w:right w:val="single" w:sz="4" w:space="0" w:color="auto"/>
            </w:tcBorders>
            <w:vAlign w:val="center"/>
            <w:hideMark/>
          </w:tcPr>
          <w:p w14:paraId="5476EC5D" w14:textId="77777777" w:rsidR="007B29DD" w:rsidRDefault="007B29DD" w:rsidP="00306AF1">
            <w:pPr>
              <w:spacing w:line="256" w:lineRule="auto"/>
              <w:rPr>
                <w:rFonts w:ascii="Calibri" w:hAnsi="Calibri" w:cs="Calibri"/>
                <w:color w:val="000000"/>
                <w:sz w:val="18"/>
                <w:szCs w:val="18"/>
                <w:lang w:val="en-US" w:eastAsia="zh-CN"/>
              </w:rPr>
            </w:pPr>
          </w:p>
        </w:tc>
        <w:tc>
          <w:tcPr>
            <w:tcW w:w="1559" w:type="dxa"/>
            <w:tcBorders>
              <w:top w:val="nil"/>
              <w:left w:val="nil"/>
              <w:bottom w:val="single" w:sz="4" w:space="0" w:color="auto"/>
              <w:right w:val="single" w:sz="4" w:space="0" w:color="auto"/>
            </w:tcBorders>
            <w:vAlign w:val="center"/>
            <w:hideMark/>
          </w:tcPr>
          <w:p w14:paraId="71569030" w14:textId="77777777" w:rsidR="007B29DD" w:rsidRDefault="007B29DD" w:rsidP="00306AF1">
            <w:pPr>
              <w:spacing w:line="240" w:lineRule="auto"/>
              <w:jc w:val="center"/>
              <w:rPr>
                <w:rFonts w:ascii="Calibri" w:hAnsi="Calibri" w:cs="Calibri"/>
                <w:color w:val="000000"/>
                <w:sz w:val="18"/>
                <w:szCs w:val="18"/>
                <w:lang w:val="en-US" w:eastAsia="zh-CN"/>
              </w:rPr>
            </w:pPr>
            <w:r>
              <w:rPr>
                <w:rFonts w:ascii="Calibri" w:hAnsi="Calibri" w:cs="Calibri"/>
                <w:color w:val="000000"/>
                <w:sz w:val="18"/>
                <w:szCs w:val="18"/>
                <w:lang w:val="en-US" w:eastAsia="zh-CN"/>
              </w:rPr>
              <w:t>Year 2065 RCP4.5</w:t>
            </w:r>
          </w:p>
        </w:tc>
        <w:tc>
          <w:tcPr>
            <w:tcW w:w="1187" w:type="dxa"/>
            <w:tcBorders>
              <w:top w:val="nil"/>
              <w:left w:val="nil"/>
              <w:bottom w:val="single" w:sz="4" w:space="0" w:color="auto"/>
              <w:right w:val="single" w:sz="4" w:space="0" w:color="auto"/>
            </w:tcBorders>
            <w:hideMark/>
          </w:tcPr>
          <w:p w14:paraId="20E66A90" w14:textId="77777777" w:rsidR="007B29DD" w:rsidRPr="00C113AF" w:rsidRDefault="007B29DD" w:rsidP="00306AF1">
            <w:pPr>
              <w:spacing w:line="240" w:lineRule="auto"/>
              <w:jc w:val="center"/>
              <w:rPr>
                <w:rFonts w:ascii="Calibri" w:hAnsi="Calibri" w:cs="Calibri"/>
                <w:color w:val="000000"/>
                <w:lang w:val="en-US" w:eastAsia="zh-CN"/>
              </w:rPr>
            </w:pPr>
            <w:r w:rsidRPr="00C113AF">
              <w:rPr>
                <w:rFonts w:ascii="Calibri" w:hAnsi="Calibri" w:cs="Calibri"/>
              </w:rPr>
              <w:t>-17.8%</w:t>
            </w:r>
          </w:p>
        </w:tc>
        <w:tc>
          <w:tcPr>
            <w:tcW w:w="1419" w:type="dxa"/>
            <w:tcBorders>
              <w:top w:val="nil"/>
              <w:left w:val="nil"/>
              <w:bottom w:val="single" w:sz="4" w:space="0" w:color="auto"/>
              <w:right w:val="single" w:sz="4" w:space="0" w:color="auto"/>
            </w:tcBorders>
            <w:noWrap/>
            <w:hideMark/>
          </w:tcPr>
          <w:p w14:paraId="4292EA28"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-8.8%</w:t>
            </w:r>
          </w:p>
        </w:tc>
        <w:tc>
          <w:tcPr>
            <w:tcW w:w="1276" w:type="dxa"/>
            <w:tcBorders>
              <w:top w:val="nil"/>
              <w:left w:val="nil"/>
              <w:bottom w:val="single" w:sz="4" w:space="0" w:color="auto"/>
              <w:right w:val="single" w:sz="4" w:space="0" w:color="auto"/>
            </w:tcBorders>
            <w:hideMark/>
          </w:tcPr>
          <w:p w14:paraId="192DE430"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-37.6%</w:t>
            </w:r>
          </w:p>
        </w:tc>
        <w:tc>
          <w:tcPr>
            <w:tcW w:w="1275" w:type="dxa"/>
            <w:tcBorders>
              <w:top w:val="nil"/>
              <w:left w:val="nil"/>
              <w:bottom w:val="single" w:sz="4" w:space="0" w:color="auto"/>
              <w:right w:val="single" w:sz="4" w:space="0" w:color="auto"/>
            </w:tcBorders>
            <w:hideMark/>
          </w:tcPr>
          <w:p w14:paraId="1097CF3F"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-26.3%</w:t>
            </w:r>
          </w:p>
        </w:tc>
        <w:tc>
          <w:tcPr>
            <w:tcW w:w="1418" w:type="dxa"/>
            <w:tcBorders>
              <w:top w:val="nil"/>
              <w:left w:val="nil"/>
              <w:bottom w:val="single" w:sz="4" w:space="0" w:color="auto"/>
              <w:right w:val="single" w:sz="4" w:space="0" w:color="auto"/>
            </w:tcBorders>
            <w:hideMark/>
          </w:tcPr>
          <w:p w14:paraId="2AF65424" w14:textId="77777777" w:rsidR="007B29DD" w:rsidRPr="00C113AF" w:rsidRDefault="007B29DD" w:rsidP="00306AF1">
            <w:pPr>
              <w:spacing w:line="240" w:lineRule="auto"/>
              <w:jc w:val="center"/>
              <w:rPr>
                <w:rFonts w:ascii="Calibri" w:hAnsi="Calibri" w:cs="Calibri"/>
                <w:lang w:val="en-US" w:eastAsia="zh-CN"/>
              </w:rPr>
            </w:pPr>
            <w:r w:rsidRPr="00C113AF">
              <w:rPr>
                <w:rFonts w:ascii="Calibri" w:hAnsi="Calibri" w:cs="Calibri"/>
              </w:rPr>
              <w:t>1.0%</w:t>
            </w:r>
          </w:p>
        </w:tc>
      </w:tr>
    </w:tbl>
    <w:p w14:paraId="694E0498" w14:textId="77777777" w:rsidR="007B29DD" w:rsidRPr="004430C4" w:rsidRDefault="007B29DD" w:rsidP="007B29DD">
      <w:pPr>
        <w:pStyle w:val="BodyText"/>
        <w:rPr>
          <w:lang w:eastAsia="en-AU"/>
        </w:rPr>
      </w:pPr>
      <w:bookmarkStart w:id="1044" w:name="_Toc38957478"/>
    </w:p>
    <w:p w14:paraId="71131FB2" w14:textId="77777777" w:rsidR="007B29DD" w:rsidRPr="00E44CBB" w:rsidRDefault="007B29DD" w:rsidP="007B29DD">
      <w:pPr>
        <w:pStyle w:val="Heading3"/>
        <w:rPr>
          <w:b/>
          <w:bCs/>
          <w:color w:val="000000" w:themeColor="text1"/>
        </w:rPr>
      </w:pPr>
      <w:bookmarkStart w:id="1045" w:name="_Toc43476544"/>
      <w:bookmarkStart w:id="1046" w:name="_Toc44928789"/>
      <w:bookmarkStart w:id="1047" w:name="_Toc51658060"/>
      <w:bookmarkStart w:id="1048" w:name="_Toc53585965"/>
      <w:bookmarkStart w:id="1049" w:name="_Toc57377216"/>
      <w:r w:rsidRPr="00E44CBB">
        <w:rPr>
          <w:b/>
          <w:bCs/>
          <w:color w:val="000000" w:themeColor="text1"/>
        </w:rPr>
        <w:t>B 6.3 Decision scaling</w:t>
      </w:r>
      <w:bookmarkEnd w:id="1044"/>
      <w:bookmarkEnd w:id="1045"/>
      <w:bookmarkEnd w:id="1046"/>
      <w:bookmarkEnd w:id="1047"/>
      <w:bookmarkEnd w:id="1048"/>
      <w:bookmarkEnd w:id="1049"/>
    </w:p>
    <w:p w14:paraId="05B3DFC3" w14:textId="77777777" w:rsidR="007B29DD" w:rsidRDefault="007B29DD" w:rsidP="007B29DD">
      <w:pPr>
        <w:pStyle w:val="BodyText"/>
      </w:pPr>
      <w:r>
        <w:rPr>
          <w:lang w:eastAsia="en-AU"/>
        </w:rPr>
        <w:t xml:space="preserve">Decision scaling is an extension of sensitivity or stress testing, which involves overlaying a wide range of available GCM projections onto the sensitivity or stress test results. </w:t>
      </w:r>
      <w:r>
        <w:t xml:space="preserve">The process of decision scaling, as applied to climate change impact assessment, is well described in Brown (2011). Decision scaling is a scenario-neutral planning approach that initially makes no explicit assumptions about likely future climate scenarios. Rather it involves testing the sensitivity of a supply system under a hypothetical range of climate uncertainty, to better understand the system’s resilience and robustness. This sensitivity testing is in the form of hypothetical perturbations to the climate (as above). These could include, for example, a 10% decrease in mean rainfall, or a 5% increase in potential evapotranspiration, or combinations of perturbations such as a 10% decrease in mean rainfall combined with </w:t>
      </w:r>
      <w:r w:rsidDel="00AE06E4">
        <w:t xml:space="preserve">say </w:t>
      </w:r>
      <w:r>
        <w:t>a 20% increase in high intensity rainfall events. This helps to identify the vulnerability of water supplies</w:t>
      </w:r>
      <w:r w:rsidRPr="00E63719">
        <w:t xml:space="preserve"> </w:t>
      </w:r>
      <w:r>
        <w:t xml:space="preserve">to climate change, and the vulnerability of any proposed portfolio of actions associated with a future supply system. Where multiple actions are available to decision makers, the best performing action(s) can be identified in each region of the sensitivity test results. </w:t>
      </w:r>
    </w:p>
    <w:p w14:paraId="609BE520" w14:textId="77777777" w:rsidR="007B29DD" w:rsidRDefault="007B29DD" w:rsidP="007B29DD">
      <w:pPr>
        <w:pStyle w:val="BodyText"/>
      </w:pPr>
      <w:r>
        <w:t>For example, Action A may perform best under mildly hotter and drier conditions, but Action B may perform best under much hotter and drier conditions, and Action C may perform best under wetter peak but drier average conditions. The process to this point is sometimes also referred to as a scenario-neutral approach, because it occurs independently of any future climate scenarios. The last step of the process is to overlay GCM projections, or any other plausible climate futures, onto the portfolio sensitivity analysis results.</w:t>
      </w:r>
      <w:r w:rsidRPr="00A06EF5">
        <w:t xml:space="preserve"> </w:t>
      </w:r>
      <w:r>
        <w:t>The preferred action is the one</w:t>
      </w:r>
      <w:r w:rsidDel="00A67B86">
        <w:t xml:space="preserve"> </w:t>
      </w:r>
      <w:r>
        <w:t>that performs the best (to a minimum standard of satisfaction) under the widest range of plausible climate futures.</w:t>
      </w:r>
    </w:p>
    <w:p w14:paraId="57B1D9AF" w14:textId="77777777" w:rsidR="007B29DD" w:rsidRDefault="007B29DD" w:rsidP="007B29DD">
      <w:pPr>
        <w:pStyle w:val="BodyText"/>
      </w:pPr>
      <w:r>
        <w:lastRenderedPageBreak/>
        <w:t>For climate change impact assessment, scenario planning is sometimes referred to as a “top down” approach. This is because it starts by defining climate scenarios at a global scale and then works down to the local scale by downscaling GCM results, to enable the assessment of climate change impacts on local supply system behaviour. Vulnerability assessments that utilise sensitivity testing are sometimes described as a “bottom up” approach. That is, the analysis starts with testing and understanding the local supply system characteristics under different climate conditions, before considering how global climate change might be represented in those sensitivities. According to Brown (2011), decision scaling seeks to bridge the gap between the bottom up and top down approaches, by presenting a method that can draw upon both approaches to aid decision making.</w:t>
      </w:r>
    </w:p>
    <w:p w14:paraId="5CF8FF57" w14:textId="77777777" w:rsidR="007B29DD" w:rsidRDefault="007B29DD" w:rsidP="007B29DD">
      <w:pPr>
        <w:pStyle w:val="BodyText"/>
        <w:rPr>
          <w:lang w:eastAsia="en-AU"/>
        </w:rPr>
      </w:pPr>
      <w:r>
        <w:rPr>
          <w:lang w:eastAsia="en-AU"/>
        </w:rPr>
        <w:t>Brown et al. (2019) identifies three steps to decision scaling:</w:t>
      </w:r>
    </w:p>
    <w:p w14:paraId="5768949B" w14:textId="77777777" w:rsidR="007B29DD" w:rsidRDefault="007B29DD" w:rsidP="007B29DD">
      <w:pPr>
        <w:pStyle w:val="BodyText"/>
        <w:numPr>
          <w:ilvl w:val="6"/>
          <w:numId w:val="3"/>
        </w:numPr>
        <w:ind w:left="567"/>
        <w:rPr>
          <w:lang w:eastAsia="en-AU"/>
        </w:rPr>
      </w:pPr>
      <w:r>
        <w:rPr>
          <w:lang w:eastAsia="en-AU"/>
        </w:rPr>
        <w:t>Decision framing</w:t>
      </w:r>
      <w:r w:rsidDel="00A82A0F">
        <w:rPr>
          <w:lang w:eastAsia="en-AU"/>
        </w:rPr>
        <w:t xml:space="preserve"> </w:t>
      </w:r>
      <w:r>
        <w:rPr>
          <w:lang w:eastAsia="en-AU"/>
        </w:rPr>
        <w:t>— identify objectives, identify metrics to be used to assess system performance against those objectives, identify sources of uncertainty that can affect decision making, develop models or functional relationships, and identify adaptation measures being considered.</w:t>
      </w:r>
    </w:p>
    <w:p w14:paraId="6219DCA4" w14:textId="77777777" w:rsidR="007B29DD" w:rsidRDefault="007B29DD" w:rsidP="007B29DD">
      <w:pPr>
        <w:pStyle w:val="BodyText"/>
        <w:numPr>
          <w:ilvl w:val="6"/>
          <w:numId w:val="3"/>
        </w:numPr>
        <w:ind w:left="567"/>
        <w:rPr>
          <w:lang w:eastAsia="en-AU"/>
        </w:rPr>
      </w:pPr>
      <w:r>
        <w:rPr>
          <w:lang w:eastAsia="en-AU"/>
        </w:rPr>
        <w:t>Climate stress test (as above)</w:t>
      </w:r>
      <w:r w:rsidDel="00A82A0F">
        <w:rPr>
          <w:lang w:eastAsia="en-AU"/>
        </w:rPr>
        <w:t xml:space="preserve"> </w:t>
      </w:r>
      <w:r>
        <w:rPr>
          <w:lang w:eastAsia="en-AU"/>
        </w:rPr>
        <w:t>— a multi-dimensional sensitivity analysis of the system performance to climate (and potentially other) uncertainties. The climate stress test is typically undertaken using a stochastic climate weather generator (see Appendix 5.3.1) that must be able to preserve (or deliberately modify) the relationships between climate variables. This typically generates tens of thousands of climate sequences</w:t>
      </w:r>
      <w:r w:rsidDel="00C34386">
        <w:rPr>
          <w:lang w:eastAsia="en-AU"/>
        </w:rPr>
        <w:t xml:space="preserve"> </w:t>
      </w:r>
      <w:r>
        <w:rPr>
          <w:lang w:eastAsia="en-AU"/>
        </w:rPr>
        <w:t>that can be run through hydrologic and water resource system models to estimate supply system performance under each set of climate conditions. The stress test allows an area of acceptable performance for any two climate variables to be identified.</w:t>
      </w:r>
    </w:p>
    <w:p w14:paraId="153273B8" w14:textId="77777777" w:rsidR="007B29DD" w:rsidRDefault="007B29DD" w:rsidP="007B29DD">
      <w:pPr>
        <w:pStyle w:val="BodyText"/>
        <w:numPr>
          <w:ilvl w:val="6"/>
          <w:numId w:val="3"/>
        </w:numPr>
        <w:ind w:left="567"/>
        <w:rPr>
          <w:lang w:eastAsia="en-AU"/>
        </w:rPr>
      </w:pPr>
      <w:r>
        <w:rPr>
          <w:lang w:eastAsia="en-AU"/>
        </w:rPr>
        <w:t>Estimating climate-informed risks</w:t>
      </w:r>
      <w:r w:rsidDel="00A82A0F">
        <w:rPr>
          <w:lang w:eastAsia="en-AU"/>
        </w:rPr>
        <w:t xml:space="preserve"> </w:t>
      </w:r>
      <w:r>
        <w:rPr>
          <w:lang w:eastAsia="en-AU"/>
        </w:rPr>
        <w:t>— Prepare future climate information, such as downscaled projections from GCMs, regional climate models, paleoclimate data, etc. to assess the level of concern that might be assigned to vulnerabilities identified in the stress test. This can include attempting to estimate the likelihood of the given climate projections occurring (e.g. assuming equally weighted futures).</w:t>
      </w:r>
      <w:r w:rsidRPr="00FF375B">
        <w:rPr>
          <w:lang w:eastAsia="en-AU"/>
        </w:rPr>
        <w:t xml:space="preserve"> </w:t>
      </w:r>
      <w:r>
        <w:rPr>
          <w:lang w:eastAsia="en-AU"/>
        </w:rPr>
        <w:t>This can be used to generate the likelihood of system failure, for example under the stochastically generated dataset, of one action over another. It can also include overlaying any number of climate projections.</w:t>
      </w:r>
      <w:r w:rsidRPr="0039406B">
        <w:rPr>
          <w:lang w:eastAsia="en-AU"/>
        </w:rPr>
        <w:t xml:space="preserve"> </w:t>
      </w:r>
    </w:p>
    <w:p w14:paraId="4B8E2226" w14:textId="77777777" w:rsidR="007B29DD" w:rsidRPr="00FE6911" w:rsidRDefault="007B29DD" w:rsidP="007B29DD">
      <w:pPr>
        <w:pStyle w:val="BodyText"/>
        <w:rPr>
          <w:lang w:eastAsia="en-AU"/>
        </w:rPr>
      </w:pPr>
      <w:r>
        <w:rPr>
          <w:lang w:eastAsia="en-AU"/>
        </w:rPr>
        <w:t>The stress test can also be used to define climate narratives, to streamline climate scenarios from the multitude of possibilities to a smaller subset of plausible scenarios for decision making.</w:t>
      </w:r>
    </w:p>
    <w:p w14:paraId="26C0F083" w14:textId="77777777" w:rsidR="007B29DD" w:rsidRDefault="007B29DD" w:rsidP="007B29DD">
      <w:pPr>
        <w:pStyle w:val="BodyText"/>
        <w:rPr>
          <w:lang w:eastAsia="en-AU"/>
        </w:rPr>
      </w:pPr>
      <w:r>
        <w:rPr>
          <w:lang w:eastAsia="en-AU"/>
        </w:rPr>
        <w:t>The advantages of decision scaling are:</w:t>
      </w:r>
    </w:p>
    <w:p w14:paraId="52D789DC" w14:textId="77777777" w:rsidR="007B29DD" w:rsidRDefault="007B29DD" w:rsidP="007B29DD">
      <w:pPr>
        <w:pStyle w:val="BodyText"/>
        <w:numPr>
          <w:ilvl w:val="0"/>
          <w:numId w:val="31"/>
        </w:numPr>
        <w:rPr>
          <w:lang w:eastAsia="en-AU"/>
        </w:rPr>
      </w:pPr>
      <w:r>
        <w:rPr>
          <w:lang w:eastAsia="en-AU"/>
        </w:rPr>
        <w:t>It broadens the emphasis onto all potential future climate possibilities, rather than focussing only on a select number of discrete scenarios.</w:t>
      </w:r>
    </w:p>
    <w:p w14:paraId="31D0A692" w14:textId="77777777" w:rsidR="007B29DD" w:rsidRPr="00DC53CC" w:rsidRDefault="007B29DD" w:rsidP="007B29DD">
      <w:pPr>
        <w:pStyle w:val="BodyText"/>
        <w:numPr>
          <w:ilvl w:val="0"/>
          <w:numId w:val="31"/>
        </w:numPr>
        <w:rPr>
          <w:lang w:eastAsia="en-AU"/>
        </w:rPr>
      </w:pPr>
      <w:r>
        <w:rPr>
          <w:lang w:eastAsia="en-AU"/>
        </w:rPr>
        <w:t xml:space="preserve">It allows an assessment of system performance under variable climate conditions independent of the uncertainties associated with GCMs and their bias-corrected outputs. </w:t>
      </w:r>
      <w:r w:rsidRPr="00DC53CC">
        <w:rPr>
          <w:lang w:eastAsia="en-AU"/>
        </w:rPr>
        <w:t xml:space="preserve">This can be particularly valuable for river or supply systems that are sensitive to aspects of climate change that are not well represented by </w:t>
      </w:r>
      <w:r>
        <w:rPr>
          <w:lang w:eastAsia="en-AU"/>
        </w:rPr>
        <w:t>GCM</w:t>
      </w:r>
      <w:r w:rsidRPr="00DC53CC">
        <w:rPr>
          <w:lang w:eastAsia="en-AU"/>
        </w:rPr>
        <w:t>s</w:t>
      </w:r>
      <w:r>
        <w:rPr>
          <w:lang w:eastAsia="en-AU"/>
        </w:rPr>
        <w:t xml:space="preserve"> (e.g. drought frequency, severity and duration).</w:t>
      </w:r>
    </w:p>
    <w:p w14:paraId="2C930D3A" w14:textId="77777777" w:rsidR="007B29DD" w:rsidRDefault="007B29DD" w:rsidP="007B29DD">
      <w:pPr>
        <w:pStyle w:val="BodyText"/>
        <w:numPr>
          <w:ilvl w:val="0"/>
          <w:numId w:val="31"/>
        </w:numPr>
        <w:rPr>
          <w:lang w:eastAsia="en-AU"/>
        </w:rPr>
      </w:pPr>
      <w:r>
        <w:rPr>
          <w:lang w:eastAsia="en-AU"/>
        </w:rPr>
        <w:t>Sensitivity analysis results are produced, which remain valid even if GCMs are subsequently updated;</w:t>
      </w:r>
    </w:p>
    <w:p w14:paraId="206F29E9" w14:textId="77777777" w:rsidR="007B29DD" w:rsidRDefault="007B29DD" w:rsidP="007B29DD">
      <w:pPr>
        <w:pStyle w:val="BodyText"/>
        <w:numPr>
          <w:ilvl w:val="0"/>
          <w:numId w:val="31"/>
        </w:numPr>
        <w:rPr>
          <w:lang w:eastAsia="en-AU"/>
        </w:rPr>
      </w:pPr>
      <w:r>
        <w:rPr>
          <w:lang w:eastAsia="en-AU"/>
        </w:rPr>
        <w:t>The sensitivity analysis can easily be broadened to include non-climate sensitivities, such as uncertainties in population projections;</w:t>
      </w:r>
    </w:p>
    <w:p w14:paraId="63A7A031" w14:textId="77777777" w:rsidR="007B29DD" w:rsidRDefault="007B29DD" w:rsidP="007B29DD">
      <w:pPr>
        <w:pStyle w:val="BodyText"/>
        <w:numPr>
          <w:ilvl w:val="0"/>
          <w:numId w:val="31"/>
        </w:numPr>
        <w:rPr>
          <w:lang w:eastAsia="en-AU"/>
        </w:rPr>
      </w:pPr>
      <w:r>
        <w:rPr>
          <w:lang w:eastAsia="en-AU"/>
        </w:rPr>
        <w:t>It can inform which climate variables are the most locally relevant to system performance; and, therefore, which climate variables it is most important to match during GCM downscaling.</w:t>
      </w:r>
    </w:p>
    <w:p w14:paraId="30B95BC2" w14:textId="77777777" w:rsidR="007B29DD" w:rsidRDefault="007B29DD" w:rsidP="007B29DD">
      <w:pPr>
        <w:pStyle w:val="BodyText"/>
        <w:numPr>
          <w:ilvl w:val="0"/>
          <w:numId w:val="31"/>
        </w:numPr>
        <w:rPr>
          <w:lang w:eastAsia="en-AU"/>
        </w:rPr>
      </w:pPr>
      <w:r>
        <w:rPr>
          <w:lang w:eastAsia="en-AU"/>
        </w:rPr>
        <w:t>Decision makers are directed to give greater weight to system resilience and adaptability to future climate uncertainty, rather than its optimal performance under a limited number of scenarios.</w:t>
      </w:r>
    </w:p>
    <w:p w14:paraId="5201E0CA" w14:textId="77777777" w:rsidR="007B29DD" w:rsidRDefault="007B29DD" w:rsidP="007B29DD">
      <w:pPr>
        <w:pStyle w:val="BodyText"/>
        <w:rPr>
          <w:lang w:eastAsia="en-AU"/>
        </w:rPr>
      </w:pPr>
    </w:p>
    <w:p w14:paraId="2D1991E1" w14:textId="77777777" w:rsidR="007B29DD" w:rsidRDefault="007B29DD" w:rsidP="007B29DD">
      <w:pPr>
        <w:pStyle w:val="BodyText"/>
        <w:rPr>
          <w:lang w:eastAsia="en-AU"/>
        </w:rPr>
      </w:pPr>
    </w:p>
    <w:p w14:paraId="48FE3F2D" w14:textId="77777777" w:rsidR="007B29DD" w:rsidRDefault="007B29DD" w:rsidP="007B29DD">
      <w:pPr>
        <w:pStyle w:val="BodyText"/>
        <w:rPr>
          <w:lang w:eastAsia="en-AU"/>
        </w:rPr>
      </w:pPr>
      <w:r>
        <w:rPr>
          <w:lang w:eastAsia="en-AU"/>
        </w:rPr>
        <w:t>The disadvantages of decision scaling are:</w:t>
      </w:r>
    </w:p>
    <w:p w14:paraId="5CCA8467" w14:textId="77777777" w:rsidR="007B29DD" w:rsidRDefault="007B29DD" w:rsidP="007B29DD">
      <w:pPr>
        <w:pStyle w:val="BodyText"/>
        <w:numPr>
          <w:ilvl w:val="0"/>
          <w:numId w:val="32"/>
        </w:numPr>
        <w:rPr>
          <w:lang w:eastAsia="en-AU"/>
        </w:rPr>
      </w:pPr>
      <w:r>
        <w:rPr>
          <w:lang w:eastAsia="en-AU"/>
        </w:rPr>
        <w:t xml:space="preserve">It significantly increases the modelling and reporting effort, because all combinations of future climate sensitivity must be modelled, in discrete increments, rather than only a handful of selected scenarios. For example, for one assumed perturbation of temperature (e.g. a one degree increase </w:t>
      </w:r>
      <w:r>
        <w:rPr>
          <w:lang w:eastAsia="en-AU"/>
        </w:rPr>
        <w:lastRenderedPageBreak/>
        <w:t>above current temperature), this could be coupled with increases or decreases in mean annual rainfall of different magnitude, increases and decreases in PET of different magnitudes, increases and decreases in drought duration of different magnitude, and increases and decreases in peak flows of different magnitude. In past case studies, this has typically resulted in either reducing the number of climate perturbations run through hydrologic and water resource models, or adopting a simplified supply system model to enable computation of the data.</w:t>
      </w:r>
    </w:p>
    <w:p w14:paraId="60464233" w14:textId="77777777" w:rsidR="007B29DD" w:rsidRDefault="007B29DD" w:rsidP="007B29DD">
      <w:pPr>
        <w:pStyle w:val="BodyText"/>
        <w:numPr>
          <w:ilvl w:val="0"/>
          <w:numId w:val="32"/>
        </w:numPr>
        <w:rPr>
          <w:lang w:eastAsia="en-AU"/>
        </w:rPr>
      </w:pPr>
      <w:r>
        <w:rPr>
          <w:lang w:eastAsia="en-AU"/>
        </w:rPr>
        <w:t>It introduces its own information uncertainties</w:t>
      </w:r>
      <w:r w:rsidRPr="0046489C">
        <w:rPr>
          <w:lang w:eastAsia="en-AU"/>
        </w:rPr>
        <w:t xml:space="preserve"> </w:t>
      </w:r>
      <w:r>
        <w:rPr>
          <w:lang w:eastAsia="en-AU"/>
        </w:rPr>
        <w:t>in the stochastic data generation process, albeit these are significantly less than those associated with GCMs.</w:t>
      </w:r>
    </w:p>
    <w:p w14:paraId="0266961E" w14:textId="77777777" w:rsidR="007B29DD" w:rsidRDefault="007B29DD" w:rsidP="007B29DD">
      <w:pPr>
        <w:pStyle w:val="BodyText"/>
        <w:numPr>
          <w:ilvl w:val="0"/>
          <w:numId w:val="32"/>
        </w:numPr>
        <w:rPr>
          <w:lang w:eastAsia="en-AU"/>
        </w:rPr>
      </w:pPr>
      <w:r>
        <w:rPr>
          <w:lang w:eastAsia="en-AU"/>
        </w:rPr>
        <w:t>Education of decision makers is required to be able to interpret sensitivity analysis outcomes. Interpreting sensitivity analysis outcomes to delineate between portfolios in a two-dimensional decision space can be difficult when sensitivity to multiple variables is tested (i.e. the best actions may overlap depending on how they interact with third or fourth order climate or other variables). The introduction of the dimension of time, over the planning horizon, further complicates presentation and communication of results relative to scenario planning.</w:t>
      </w:r>
    </w:p>
    <w:p w14:paraId="3499AC7B" w14:textId="77777777" w:rsidR="007B29DD" w:rsidRDefault="007B29DD" w:rsidP="007B29DD">
      <w:pPr>
        <w:pStyle w:val="BodyText"/>
        <w:numPr>
          <w:ilvl w:val="0"/>
          <w:numId w:val="32"/>
        </w:numPr>
        <w:rPr>
          <w:lang w:eastAsia="en-AU"/>
        </w:rPr>
      </w:pPr>
      <w:r>
        <w:rPr>
          <w:lang w:eastAsia="en-AU"/>
        </w:rPr>
        <w:t>Information on vulnerability to climate is provided, which is already well known through operating the system and understanding its historical behaviour. For example, the run of river system will be more vulnerable to changes in severe drought duration than change in mean rainfall, and hence the sensitivity analysis may only confirm what is already known from historical experience.</w:t>
      </w:r>
    </w:p>
    <w:p w14:paraId="067AAB47" w14:textId="77777777" w:rsidR="007B29DD" w:rsidRDefault="007B29DD" w:rsidP="007B29DD">
      <w:pPr>
        <w:pStyle w:val="BodyText"/>
        <w:numPr>
          <w:ilvl w:val="0"/>
          <w:numId w:val="32"/>
        </w:numPr>
        <w:rPr>
          <w:lang w:eastAsia="en-AU"/>
        </w:rPr>
      </w:pPr>
      <w:r>
        <w:rPr>
          <w:lang w:eastAsia="en-AU"/>
        </w:rPr>
        <w:t>It may, without careful consideration of the co-variance of climate variables, generate unrealistic scenarios, particularly when adjusting multiple climate variables, which can distract decision making.</w:t>
      </w:r>
    </w:p>
    <w:p w14:paraId="2B097CF0" w14:textId="77777777" w:rsidR="007B29DD" w:rsidRDefault="007B29DD" w:rsidP="007B29DD">
      <w:pPr>
        <w:pStyle w:val="BodyText"/>
        <w:numPr>
          <w:ilvl w:val="0"/>
          <w:numId w:val="32"/>
        </w:numPr>
        <w:rPr>
          <w:lang w:eastAsia="en-AU"/>
        </w:rPr>
      </w:pPr>
      <w:r>
        <w:rPr>
          <w:lang w:eastAsia="en-AU"/>
        </w:rPr>
        <w:t>Climate response functions or models may be required when the perturbations are applied to climate variables. Where climate dependent demand models or rainfall-runoff models are not available, they may need to be created. It is noted that decision scaling can also be applied to runoff, as indicated in one of the example applications below.</w:t>
      </w:r>
    </w:p>
    <w:p w14:paraId="260ADB3B" w14:textId="77777777" w:rsidR="007B29DD" w:rsidRDefault="007B29DD" w:rsidP="007B29DD">
      <w:pPr>
        <w:pStyle w:val="BodyText"/>
        <w:numPr>
          <w:ilvl w:val="0"/>
          <w:numId w:val="32"/>
        </w:numPr>
        <w:rPr>
          <w:lang w:eastAsia="en-AU"/>
        </w:rPr>
      </w:pPr>
      <w:r>
        <w:rPr>
          <w:lang w:eastAsia="en-AU"/>
        </w:rPr>
        <w:t>Ultimately, it still relies upon climate change scenarios being overlain onto the sensitivity analysis results (i.e. the scenario modelling approach), particularly when considering the potential timing of changes and associated management responses.</w:t>
      </w:r>
    </w:p>
    <w:p w14:paraId="09892A53" w14:textId="77777777" w:rsidR="007B29DD" w:rsidRDefault="007B29DD" w:rsidP="007B29DD">
      <w:pPr>
        <w:pStyle w:val="BodyText"/>
        <w:rPr>
          <w:lang w:eastAsia="en-AU"/>
        </w:rPr>
      </w:pPr>
      <w:r>
        <w:rPr>
          <w:lang w:eastAsia="en-AU"/>
        </w:rPr>
        <w:t>The sensitivity analysis in decision scaling occurs independent of any particular planning horizon. This could be regarded as both an advantage (because the sensitivity analysis is not biased by the inherent uncertainty in the projected timing of climate change) and a disadvantage (because the timing of actions is critical when planning for and financing actions).</w:t>
      </w:r>
    </w:p>
    <w:p w14:paraId="6E2954FE" w14:textId="77777777" w:rsidR="007B29DD" w:rsidRDefault="007B29DD" w:rsidP="007B29DD">
      <w:pPr>
        <w:pStyle w:val="BodyText"/>
        <w:rPr>
          <w:lang w:eastAsia="en-AU"/>
        </w:rPr>
      </w:pPr>
      <w:r>
        <w:rPr>
          <w:lang w:eastAsia="en-AU"/>
        </w:rPr>
        <w:t>There are many applications of decision scaling in the literature. A relevant local example was presented in Henley et al. (2019). This analysis applied decision scaling to assess notional supply system risks for the Melbourne system (based on a case study using simplified representation of the Melbourne water supply system) under global warming of 1.5</w:t>
      </w:r>
      <w:r w:rsidRPr="00802EAF">
        <w:rPr>
          <w:vertAlign w:val="superscript"/>
          <w:lang w:eastAsia="en-AU"/>
        </w:rPr>
        <w:t>o</w:t>
      </w:r>
      <w:r>
        <w:rPr>
          <w:lang w:eastAsia="en-AU"/>
        </w:rPr>
        <w:t>C and 2</w:t>
      </w:r>
      <w:r w:rsidRPr="00802EAF">
        <w:rPr>
          <w:vertAlign w:val="superscript"/>
          <w:lang w:eastAsia="en-AU"/>
        </w:rPr>
        <w:t>o</w:t>
      </w:r>
      <w:r>
        <w:rPr>
          <w:lang w:eastAsia="en-AU"/>
        </w:rPr>
        <w:t xml:space="preserve">C. This paper provides a deft example of a clear shift in water supply system resilience and risk with and without a major supply system augmentation. One of the key outputs is presented in </w:t>
      </w:r>
      <w:r>
        <w:rPr>
          <w:lang w:eastAsia="en-AU"/>
        </w:rPr>
        <w:fldChar w:fldCharType="begin"/>
      </w:r>
      <w:r>
        <w:rPr>
          <w:lang w:eastAsia="en-AU"/>
        </w:rPr>
        <w:instrText xml:space="preserve"> REF _Ref23320827 \h </w:instrText>
      </w:r>
      <w:r>
        <w:rPr>
          <w:lang w:eastAsia="en-AU"/>
        </w:rPr>
      </w:r>
      <w:r>
        <w:rPr>
          <w:lang w:eastAsia="en-AU"/>
        </w:rPr>
        <w:fldChar w:fldCharType="separate"/>
      </w:r>
      <w:r>
        <w:t xml:space="preserve">Figure </w:t>
      </w:r>
      <w:r>
        <w:rPr>
          <w:noProof/>
        </w:rPr>
        <w:t>43</w:t>
      </w:r>
      <w:r>
        <w:rPr>
          <w:lang w:eastAsia="en-AU"/>
        </w:rPr>
        <w:fldChar w:fldCharType="end"/>
      </w:r>
      <w:r>
        <w:rPr>
          <w:lang w:eastAsia="en-AU"/>
        </w:rPr>
        <w:t xml:space="preserve">. </w:t>
      </w:r>
    </w:p>
    <w:p w14:paraId="42AE7FDF" w14:textId="77777777" w:rsidR="007B29DD" w:rsidRDefault="007B29DD" w:rsidP="007B29DD">
      <w:pPr>
        <w:pStyle w:val="BodyText"/>
        <w:rPr>
          <w:lang w:eastAsia="en-AU"/>
        </w:rPr>
      </w:pPr>
      <w:r>
        <w:rPr>
          <w:lang w:eastAsia="en-AU"/>
        </w:rPr>
        <w:fldChar w:fldCharType="begin"/>
      </w:r>
      <w:r>
        <w:rPr>
          <w:lang w:eastAsia="en-AU"/>
        </w:rPr>
        <w:instrText xml:space="preserve"> REF _Ref23320827 \h </w:instrText>
      </w:r>
      <w:r>
        <w:rPr>
          <w:lang w:eastAsia="en-AU"/>
        </w:rPr>
      </w:r>
      <w:r>
        <w:rPr>
          <w:lang w:eastAsia="en-AU"/>
        </w:rPr>
        <w:fldChar w:fldCharType="separate"/>
      </w:r>
      <w:r>
        <w:t xml:space="preserve">Figure </w:t>
      </w:r>
      <w:r>
        <w:rPr>
          <w:noProof/>
        </w:rPr>
        <w:t>43</w:t>
      </w:r>
      <w:r>
        <w:rPr>
          <w:lang w:eastAsia="en-AU"/>
        </w:rPr>
        <w:fldChar w:fldCharType="end"/>
      </w:r>
      <w:r w:rsidDel="00F91D93">
        <w:rPr>
          <w:lang w:eastAsia="en-AU"/>
        </w:rPr>
        <w:t xml:space="preserve"> </w:t>
      </w:r>
      <w:r>
        <w:rPr>
          <w:lang w:eastAsia="en-AU"/>
        </w:rPr>
        <w:t>can tell a clear story that the risk of the given water supply shortage (as defined in the paper) was very low under pre-industrial conditions, has increased under current global warming, and could further increase under additional global warming. Those risks are estimated to be addressed by the augmentation for 1.5</w:t>
      </w:r>
      <w:r w:rsidRPr="005410BE">
        <w:rPr>
          <w:vertAlign w:val="superscript"/>
          <w:lang w:eastAsia="en-AU"/>
        </w:rPr>
        <w:t>o</w:t>
      </w:r>
      <w:r>
        <w:rPr>
          <w:lang w:eastAsia="en-AU"/>
        </w:rPr>
        <w:t>C warming but are not completely removed for 2</w:t>
      </w:r>
      <w:r w:rsidRPr="005410BE">
        <w:rPr>
          <w:vertAlign w:val="superscript"/>
          <w:lang w:eastAsia="en-AU"/>
        </w:rPr>
        <w:t>o</w:t>
      </w:r>
      <w:r>
        <w:rPr>
          <w:lang w:eastAsia="en-AU"/>
        </w:rPr>
        <w:t>C warming. The figure also illustrates the spread of projections, and highlights the possibility that even without the augmentation, there are plausible climate projections with 2</w:t>
      </w:r>
      <w:r w:rsidRPr="005410BE">
        <w:rPr>
          <w:vertAlign w:val="superscript"/>
          <w:lang w:eastAsia="en-AU"/>
        </w:rPr>
        <w:t>o</w:t>
      </w:r>
      <w:r>
        <w:rPr>
          <w:lang w:eastAsia="en-AU"/>
        </w:rPr>
        <w:t>C warming that do and do not present a risk of supply shortfall.</w:t>
      </w:r>
    </w:p>
    <w:p w14:paraId="3B6C618F" w14:textId="77777777" w:rsidR="007B29DD" w:rsidRDefault="007B29DD" w:rsidP="007B29DD">
      <w:pPr>
        <w:pStyle w:val="BodyText"/>
        <w:keepNext/>
        <w:spacing w:after="0"/>
        <w:rPr>
          <w:lang w:eastAsia="en-AU"/>
        </w:rPr>
      </w:pPr>
      <w:r>
        <w:rPr>
          <w:noProof/>
        </w:rPr>
        <w:lastRenderedPageBreak/>
        <w:drawing>
          <wp:inline distT="0" distB="0" distL="0" distR="0" wp14:anchorId="6AC3D8FD" wp14:editId="003ED89D">
            <wp:extent cx="6265242" cy="2497907"/>
            <wp:effectExtent l="19050" t="19050" r="21590" b="17145"/>
            <wp:docPr id="1015839501" name="Picture 132" descr="Side by side graphics showing an example application of the decision scaling approach. The risk of water supply shortage is somewhat reduced because of the Victorian Desalination project, but there are still risks even wi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100">
                      <a:extLst>
                        <a:ext uri="{28A0092B-C50C-407E-A947-70E740481C1C}">
                          <a14:useLocalDpi xmlns:a14="http://schemas.microsoft.com/office/drawing/2010/main" val="0"/>
                        </a:ext>
                      </a:extLst>
                    </a:blip>
                    <a:stretch>
                      <a:fillRect/>
                    </a:stretch>
                  </pic:blipFill>
                  <pic:spPr>
                    <a:xfrm>
                      <a:off x="0" y="0"/>
                      <a:ext cx="6271157" cy="2500265"/>
                    </a:xfrm>
                    <a:prstGeom prst="rect">
                      <a:avLst/>
                    </a:prstGeom>
                    <a:ln>
                      <a:solidFill>
                        <a:schemeClr val="bg1">
                          <a:lumMod val="65000"/>
                        </a:schemeClr>
                      </a:solidFill>
                    </a:ln>
                  </pic:spPr>
                </pic:pic>
              </a:graphicData>
            </a:graphic>
          </wp:inline>
        </w:drawing>
      </w:r>
    </w:p>
    <w:p w14:paraId="47E772BB" w14:textId="77777777" w:rsidR="007B29DD" w:rsidRDefault="007B29DD" w:rsidP="007B29DD">
      <w:pPr>
        <w:pStyle w:val="Caption"/>
        <w:keepNext w:val="0"/>
        <w:spacing w:before="0"/>
      </w:pPr>
      <w:bookmarkStart w:id="1050" w:name="_Ref23320827"/>
      <w:bookmarkStart w:id="1051" w:name="_Toc24625810"/>
      <w:bookmarkStart w:id="1052" w:name="_Toc43476615"/>
      <w:bookmarkStart w:id="1053" w:name="_Toc44928858"/>
      <w:bookmarkStart w:id="1054" w:name="_Toc51237519"/>
      <w:bookmarkStart w:id="1055" w:name="_Toc53586034"/>
      <w:bookmarkStart w:id="1056" w:name="_Toc57377285"/>
      <w:r>
        <w:t xml:space="preserve">Figure </w:t>
      </w:r>
      <w:r>
        <w:fldChar w:fldCharType="begin"/>
      </w:r>
      <w:r>
        <w:instrText>SEQ Figure \* ARABIC</w:instrText>
      </w:r>
      <w:r>
        <w:fldChar w:fldCharType="separate"/>
      </w:r>
      <w:r>
        <w:rPr>
          <w:noProof/>
        </w:rPr>
        <w:t>43</w:t>
      </w:r>
      <w:r>
        <w:fldChar w:fldCharType="end"/>
      </w:r>
      <w:bookmarkEnd w:id="1050"/>
      <w:r>
        <w:t xml:space="preserve"> Changes in notional risk of water supply shortage under different levels of global warming without (left) and with (right) the Victorian Desalination Project (Henley et al., 2019)</w:t>
      </w:r>
      <w:bookmarkEnd w:id="1051"/>
      <w:bookmarkEnd w:id="1052"/>
      <w:bookmarkEnd w:id="1053"/>
      <w:bookmarkEnd w:id="1054"/>
      <w:bookmarkEnd w:id="1055"/>
      <w:bookmarkEnd w:id="1056"/>
    </w:p>
    <w:p w14:paraId="15294A3A" w14:textId="77777777" w:rsidR="007B29DD" w:rsidRDefault="007B29DD" w:rsidP="007B29DD">
      <w:pPr>
        <w:pStyle w:val="BodyText"/>
        <w:rPr>
          <w:lang w:eastAsia="en-AU"/>
        </w:rPr>
      </w:pPr>
    </w:p>
    <w:p w14:paraId="6C1141D3" w14:textId="77777777" w:rsidR="007B29DD" w:rsidRDefault="007B29DD" w:rsidP="007B29DD">
      <w:pPr>
        <w:pStyle w:val="BodyText"/>
        <w:rPr>
          <w:lang w:eastAsia="en-AU"/>
        </w:rPr>
      </w:pPr>
      <w:r>
        <w:rPr>
          <w:lang w:eastAsia="en-AU"/>
        </w:rPr>
        <w:t>The value of decision scaling relative to the costs to undertake it will depend upon the nature of the system (its complexity, robustness to climate, availability of contingency measures, availability of functions or models that relate climate to supply and demand system characteristics, etc.), as well as the extent to which scenario planning with adaptive management actions allows robust decisions to be made about the system.</w:t>
      </w:r>
    </w:p>
    <w:p w14:paraId="6D1722AD" w14:textId="77777777" w:rsidR="007B29DD" w:rsidRDefault="007B29DD" w:rsidP="007B29DD">
      <w:pPr>
        <w:pStyle w:val="BodyText"/>
        <w:rPr>
          <w:lang w:eastAsia="en-AU"/>
        </w:rPr>
      </w:pPr>
      <w:r>
        <w:rPr>
          <w:lang w:eastAsia="en-AU"/>
        </w:rPr>
        <w:t>The type of decision scaling that is applied can also vary. For example, application could range from (i) a simple stress test with manually adjusted climate variables, overlain with the four climate change scenarios from the guidelines; up to (ii) a complex stress test using stochastically generated weather perturbations, overlain with the outputs from all available GCMs, various recent historical data, plus paleoclimate proxy records. Decision scaling can also be applied directly to streamflow variables, rather than climate variables. Application to streamflow variables provides a stress test that is more directly relevant to water supply systems than a climate variables stress test.</w:t>
      </w:r>
    </w:p>
    <w:p w14:paraId="2B9A3DC3" w14:textId="77777777" w:rsidR="007B29DD" w:rsidRPr="00E44CBB" w:rsidRDefault="007B29DD" w:rsidP="007B29DD">
      <w:pPr>
        <w:pStyle w:val="Heading3"/>
        <w:rPr>
          <w:b/>
          <w:bCs/>
          <w:color w:val="000000" w:themeColor="text1"/>
        </w:rPr>
      </w:pPr>
      <w:bookmarkStart w:id="1057" w:name="_Toc43476545"/>
      <w:bookmarkStart w:id="1058" w:name="_Toc44928790"/>
      <w:bookmarkStart w:id="1059" w:name="_Toc51658061"/>
      <w:bookmarkStart w:id="1060" w:name="_Toc53585966"/>
      <w:bookmarkStart w:id="1061" w:name="_Toc57377217"/>
      <w:r w:rsidRPr="00E44CBB">
        <w:rPr>
          <w:b/>
          <w:bCs/>
          <w:color w:val="000000" w:themeColor="text1"/>
        </w:rPr>
        <w:t>B.6.4 Stochastic weather generators</w:t>
      </w:r>
      <w:bookmarkEnd w:id="1057"/>
      <w:bookmarkEnd w:id="1058"/>
      <w:bookmarkEnd w:id="1059"/>
      <w:bookmarkEnd w:id="1060"/>
      <w:bookmarkEnd w:id="1061"/>
    </w:p>
    <w:p w14:paraId="57401F81" w14:textId="77777777" w:rsidR="007B29DD" w:rsidRPr="00E44CBB" w:rsidRDefault="007B29DD" w:rsidP="007B29DD">
      <w:pPr>
        <w:pStyle w:val="Heading4"/>
        <w:numPr>
          <w:ilvl w:val="3"/>
          <w:numId w:val="5"/>
        </w:numPr>
        <w:rPr>
          <w:color w:val="000000" w:themeColor="text1"/>
        </w:rPr>
      </w:pPr>
      <w:r w:rsidRPr="00E44CBB">
        <w:rPr>
          <w:color w:val="000000" w:themeColor="text1"/>
        </w:rPr>
        <w:t>Categories of approaches</w:t>
      </w:r>
    </w:p>
    <w:p w14:paraId="52058482" w14:textId="77777777" w:rsidR="007B29DD" w:rsidRDefault="007B29DD" w:rsidP="007B29DD">
      <w:pPr>
        <w:pStyle w:val="BodyText"/>
        <w:rPr>
          <w:lang w:eastAsia="en-AU"/>
        </w:rPr>
      </w:pPr>
      <w:r>
        <w:rPr>
          <w:lang w:eastAsia="en-AU"/>
        </w:rPr>
        <w:t>There are a range of different approaches that have been developed and tested in the literature for generation of stochastic climate or weather data. These can be grouped into two broad categories:</w:t>
      </w:r>
    </w:p>
    <w:p w14:paraId="38B9579A" w14:textId="77777777" w:rsidR="007B29DD" w:rsidRDefault="007B29DD" w:rsidP="007B29DD">
      <w:pPr>
        <w:pStyle w:val="BodyText"/>
        <w:numPr>
          <w:ilvl w:val="0"/>
          <w:numId w:val="39"/>
        </w:numPr>
        <w:rPr>
          <w:lang w:eastAsia="en-AU"/>
        </w:rPr>
      </w:pPr>
      <w:r>
        <w:rPr>
          <w:lang w:eastAsia="en-AU"/>
        </w:rPr>
        <w:t>Short to long time scale methods: generate stochastic data at short time scales (daily or sub-daily), in a manner that aims to replicate the statistics for the short time scale the data is generated at, and typically rely upon scaling relationships to reproduce the statistics at longer time scales (e.g. multi-day, seasonal and annual time scales).</w:t>
      </w:r>
    </w:p>
    <w:p w14:paraId="396289C2" w14:textId="77777777" w:rsidR="007B29DD" w:rsidRDefault="007B29DD" w:rsidP="007B29DD">
      <w:pPr>
        <w:pStyle w:val="BodyText"/>
        <w:numPr>
          <w:ilvl w:val="0"/>
          <w:numId w:val="39"/>
        </w:numPr>
        <w:rPr>
          <w:lang w:eastAsia="en-AU"/>
        </w:rPr>
      </w:pPr>
      <w:r>
        <w:rPr>
          <w:lang w:eastAsia="en-AU"/>
        </w:rPr>
        <w:t>Long to short time scale methods: first generate stochastic data at long time scales (seasonal, annual or multi-year), normally using a parametric stochastic generator, with generated data then stochastically disaggregated to shorter time scales (monthly, daily or sub-daily), normally using a non-parametric approach.</w:t>
      </w:r>
    </w:p>
    <w:p w14:paraId="144BB703" w14:textId="77777777" w:rsidR="007B29DD" w:rsidRDefault="007B29DD" w:rsidP="007B29DD">
      <w:pPr>
        <w:pStyle w:val="BodyText"/>
        <w:rPr>
          <w:lang w:eastAsia="en-AU"/>
        </w:rPr>
      </w:pPr>
      <w:r>
        <w:rPr>
          <w:lang w:eastAsia="en-AU"/>
        </w:rPr>
        <w:t>The short to long time scale methods have typically been applied for systems where outcomes are more strongly driven by events that occur at shorter time scales, such as floods or runoff events into systems with relatively small storage (e.g. household rainwater tanks). Conversely, long to short time scale methods have typically been applied for systems where outcomes are driven by longer-term conditions, such as water resources planning for urban water supply systems, which typically have very large multi-year reservoirs.</w:t>
      </w:r>
    </w:p>
    <w:p w14:paraId="37B8B845" w14:textId="77777777" w:rsidR="007B29DD" w:rsidRDefault="007B29DD" w:rsidP="007B29DD">
      <w:pPr>
        <w:pStyle w:val="Heading4"/>
        <w:numPr>
          <w:ilvl w:val="3"/>
          <w:numId w:val="5"/>
        </w:numPr>
      </w:pPr>
      <w:r>
        <w:lastRenderedPageBreak/>
        <w:t>Stochastic Climate Library (SCL)</w:t>
      </w:r>
    </w:p>
    <w:p w14:paraId="44820229" w14:textId="77777777" w:rsidR="007B29DD" w:rsidRDefault="007B29DD" w:rsidP="007B29DD">
      <w:pPr>
        <w:pStyle w:val="BodyText"/>
        <w:rPr>
          <w:lang w:eastAsia="en-AU"/>
        </w:rPr>
      </w:pPr>
      <w:r>
        <w:rPr>
          <w:lang w:eastAsia="en-AU"/>
        </w:rPr>
        <w:t xml:space="preserve">The Stochastic Climate Library (SCL) software was first released in 2005, with only minor updates in 2006 and 2007. SCL was originally produced by the Cooperative Research Centre for Catchment Hydrology and is still available via the eWater toolkit. </w:t>
      </w:r>
    </w:p>
    <w:p w14:paraId="4A99C998" w14:textId="77777777" w:rsidR="007B29DD" w:rsidRDefault="007B29DD" w:rsidP="007B29DD">
      <w:pPr>
        <w:pStyle w:val="BodyText"/>
        <w:rPr>
          <w:lang w:eastAsia="en-AU"/>
        </w:rPr>
      </w:pPr>
    </w:p>
    <w:p w14:paraId="08D798E0" w14:textId="77777777" w:rsidR="007B29DD" w:rsidRDefault="007B29DD" w:rsidP="007B29DD">
      <w:pPr>
        <w:pStyle w:val="BodyText"/>
        <w:rPr>
          <w:lang w:eastAsia="en-AU"/>
        </w:rPr>
      </w:pPr>
      <w:r>
        <w:rPr>
          <w:lang w:eastAsia="en-AU"/>
        </w:rPr>
        <w:t>SCL (Srikanthan et al., 2007) contains the following options for stochastic models:</w:t>
      </w:r>
    </w:p>
    <w:p w14:paraId="521075E2" w14:textId="77777777" w:rsidR="007B29DD" w:rsidRDefault="007B29DD" w:rsidP="007B29DD">
      <w:pPr>
        <w:pStyle w:val="BodyText"/>
        <w:numPr>
          <w:ilvl w:val="0"/>
          <w:numId w:val="40"/>
        </w:numPr>
        <w:rPr>
          <w:lang w:eastAsia="en-AU"/>
        </w:rPr>
      </w:pPr>
      <w:r>
        <w:rPr>
          <w:lang w:eastAsia="en-AU"/>
        </w:rPr>
        <w:t>Annual rainfall — first order autoregressive model with parameter uncertainty (Srikanthan et al., 2002a)</w:t>
      </w:r>
    </w:p>
    <w:p w14:paraId="5C8734E5" w14:textId="77777777" w:rsidR="007B29DD" w:rsidRDefault="007B29DD" w:rsidP="007B29DD">
      <w:pPr>
        <w:pStyle w:val="BodyText"/>
        <w:numPr>
          <w:ilvl w:val="0"/>
          <w:numId w:val="40"/>
        </w:numPr>
        <w:rPr>
          <w:lang w:eastAsia="en-AU"/>
        </w:rPr>
      </w:pPr>
      <w:r>
        <w:rPr>
          <w:lang w:eastAsia="en-AU"/>
        </w:rPr>
        <w:t>Monthly rainfall — modified method of fragments (with annual data generated using the above annual rainfall model) (Srikanthan et al., 2002b) (long to short time scale generator)</w:t>
      </w:r>
    </w:p>
    <w:p w14:paraId="4A050E35" w14:textId="77777777" w:rsidR="007B29DD" w:rsidRDefault="007B29DD" w:rsidP="007B29DD">
      <w:pPr>
        <w:pStyle w:val="BodyText"/>
        <w:numPr>
          <w:ilvl w:val="0"/>
          <w:numId w:val="40"/>
        </w:numPr>
        <w:rPr>
          <w:lang w:eastAsia="en-AU"/>
        </w:rPr>
      </w:pPr>
      <w:r>
        <w:rPr>
          <w:lang w:eastAsia="en-AU"/>
        </w:rPr>
        <w:t>Daily rainfall — transition probability matrix (with Boughton’s correction) (Siriwardena et al., 2002; Srikanthan, 2005) (short to long time scale generator)</w:t>
      </w:r>
    </w:p>
    <w:p w14:paraId="3EFED900" w14:textId="77777777" w:rsidR="007B29DD" w:rsidRDefault="007B29DD" w:rsidP="007B29DD">
      <w:pPr>
        <w:pStyle w:val="BodyText"/>
        <w:numPr>
          <w:ilvl w:val="0"/>
          <w:numId w:val="40"/>
        </w:numPr>
        <w:rPr>
          <w:lang w:eastAsia="en-AU"/>
        </w:rPr>
      </w:pPr>
      <w:r>
        <w:rPr>
          <w:lang w:eastAsia="en-AU"/>
        </w:rPr>
        <w:t>Sub-daily rainfall — DRIP model (Heneker et al., 2001; Frost et al., 2004) (short to long time scale generator)</w:t>
      </w:r>
    </w:p>
    <w:p w14:paraId="51D7B55B" w14:textId="77777777" w:rsidR="007B29DD" w:rsidRDefault="007B29DD" w:rsidP="007B29DD">
      <w:pPr>
        <w:pStyle w:val="BodyText"/>
        <w:numPr>
          <w:ilvl w:val="0"/>
          <w:numId w:val="40"/>
        </w:numPr>
        <w:rPr>
          <w:lang w:eastAsia="en-AU"/>
        </w:rPr>
      </w:pPr>
      <w:r>
        <w:rPr>
          <w:lang w:eastAsia="en-AU"/>
        </w:rPr>
        <w:t>Annual climate — first order autoregressive multivariate model (Srikanthan and Zhou, 2003)</w:t>
      </w:r>
    </w:p>
    <w:p w14:paraId="5B555486" w14:textId="77777777" w:rsidR="007B29DD" w:rsidRDefault="007B29DD" w:rsidP="007B29DD">
      <w:pPr>
        <w:pStyle w:val="BodyText"/>
        <w:numPr>
          <w:ilvl w:val="0"/>
          <w:numId w:val="40"/>
        </w:numPr>
        <w:rPr>
          <w:lang w:eastAsia="en-AU"/>
        </w:rPr>
      </w:pPr>
      <w:r>
        <w:rPr>
          <w:lang w:eastAsia="en-AU"/>
        </w:rPr>
        <w:t>Monthly climate — modified method of fragments (Srikanthan and Zhou, 2003) (long to short time scale generator)</w:t>
      </w:r>
    </w:p>
    <w:p w14:paraId="73988B2B" w14:textId="77777777" w:rsidR="007B29DD" w:rsidRDefault="007B29DD" w:rsidP="007B29DD">
      <w:pPr>
        <w:pStyle w:val="BodyText"/>
        <w:numPr>
          <w:ilvl w:val="0"/>
          <w:numId w:val="40"/>
        </w:numPr>
        <w:rPr>
          <w:lang w:eastAsia="en-AU"/>
        </w:rPr>
      </w:pPr>
      <w:r>
        <w:rPr>
          <w:lang w:eastAsia="en-AU"/>
        </w:rPr>
        <w:t>Daily climate — first order autoregressive multivariate model conditioned on rainfall state and nested in monthly and annual models. (Srikanthan and Zhou, 2003) (long to short time scale generator)</w:t>
      </w:r>
    </w:p>
    <w:p w14:paraId="3E1FDF71" w14:textId="77777777" w:rsidR="007B29DD" w:rsidRDefault="007B29DD" w:rsidP="007B29DD">
      <w:pPr>
        <w:pStyle w:val="BodyText"/>
        <w:numPr>
          <w:ilvl w:val="0"/>
          <w:numId w:val="40"/>
        </w:numPr>
        <w:rPr>
          <w:lang w:eastAsia="en-AU"/>
        </w:rPr>
      </w:pPr>
      <w:r>
        <w:rPr>
          <w:lang w:eastAsia="en-AU"/>
        </w:rPr>
        <w:t>Multi-site daily rainfall — multi-site two-part model nested in monthly and annual models (Srikanthan, 2006) (long to short time scale generator)</w:t>
      </w:r>
    </w:p>
    <w:p w14:paraId="67CBBE67" w14:textId="77777777" w:rsidR="007B29DD" w:rsidRDefault="007B29DD" w:rsidP="007B29DD">
      <w:pPr>
        <w:pStyle w:val="BodyText"/>
        <w:rPr>
          <w:lang w:eastAsia="en-AU"/>
        </w:rPr>
      </w:pPr>
      <w:r>
        <w:rPr>
          <w:lang w:eastAsia="en-AU"/>
        </w:rPr>
        <w:t>Full descriptions for each of these models are provided in Srikanthan et al. (2007) and the references therein.</w:t>
      </w:r>
    </w:p>
    <w:p w14:paraId="0E5452C8" w14:textId="77777777" w:rsidR="007B29DD" w:rsidRDefault="007B29DD" w:rsidP="007B29DD">
      <w:pPr>
        <w:pStyle w:val="BodyText"/>
        <w:rPr>
          <w:lang w:eastAsia="en-AU"/>
        </w:rPr>
      </w:pPr>
      <w:r>
        <w:rPr>
          <w:lang w:eastAsia="en-AU"/>
        </w:rPr>
        <w:t>The SCL user interface contains tools that allow the user to calibrate a stochastic data generation model and then to generate stochastic replicates. The SCL user interface contains features that allow the key statistics from the underlying (historical) data to be readily compared against the generated replicates, which is a particularly useful feature during model calibration.</w:t>
      </w:r>
    </w:p>
    <w:p w14:paraId="53F88292" w14:textId="77777777" w:rsidR="007B29DD" w:rsidRDefault="007B29DD" w:rsidP="007B29DD">
      <w:pPr>
        <w:pStyle w:val="BodyText"/>
        <w:rPr>
          <w:lang w:eastAsia="en-AU"/>
        </w:rPr>
      </w:pPr>
      <w:r>
        <w:rPr>
          <w:lang w:eastAsia="en-AU"/>
        </w:rPr>
        <w:t>The multi-site daily rainfall (long to short time scale) generator from SCL has also been implemented in eWater Source (Satheesh, 2017).</w:t>
      </w:r>
    </w:p>
    <w:p w14:paraId="7FB5F28D" w14:textId="77777777" w:rsidR="007B29DD" w:rsidRDefault="007B29DD" w:rsidP="007B29DD">
      <w:pPr>
        <w:pStyle w:val="Heading4"/>
        <w:numPr>
          <w:ilvl w:val="3"/>
          <w:numId w:val="5"/>
        </w:numPr>
      </w:pPr>
      <w:r>
        <w:t>Multi-Site Multi-Season Multi-State Contemporaneous Auto-Regressive Model (MSSSCAR)</w:t>
      </w:r>
    </w:p>
    <w:p w14:paraId="0227116C" w14:textId="77777777" w:rsidR="007B29DD" w:rsidRDefault="007B29DD" w:rsidP="007B29DD">
      <w:pPr>
        <w:pStyle w:val="BodyText"/>
        <w:rPr>
          <w:lang w:eastAsia="en-AU"/>
        </w:rPr>
      </w:pPr>
      <w:r>
        <w:rPr>
          <w:lang w:eastAsia="en-AU"/>
        </w:rPr>
        <w:t>The Multi-Site Multi-Season Multi-State Contemporaneous Auto-Regressive Model (MSSSCAR) is a tool that is provided in WATHNET5 (Kuczera, 2020). These are the key features of MSSSCAR:</w:t>
      </w:r>
    </w:p>
    <w:p w14:paraId="2FD41C00" w14:textId="77777777" w:rsidR="007B29DD" w:rsidRDefault="007B29DD" w:rsidP="007B29DD">
      <w:pPr>
        <w:pStyle w:val="BodyText"/>
        <w:numPr>
          <w:ilvl w:val="0"/>
          <w:numId w:val="41"/>
        </w:numPr>
        <w:rPr>
          <w:lang w:eastAsia="en-AU"/>
        </w:rPr>
      </w:pPr>
      <w:r>
        <w:rPr>
          <w:lang w:eastAsia="en-AU"/>
        </w:rPr>
        <w:t>Multi-Site: it may be applied across many different sites in a system or catchment — these sites may have precipitation, evaporation/evapotranspiration, temperature and/or streamflow data.</w:t>
      </w:r>
    </w:p>
    <w:p w14:paraId="7742F594" w14:textId="77777777" w:rsidR="007B29DD" w:rsidRDefault="007B29DD" w:rsidP="007B29DD">
      <w:pPr>
        <w:pStyle w:val="BodyText"/>
        <w:numPr>
          <w:ilvl w:val="0"/>
          <w:numId w:val="41"/>
        </w:numPr>
        <w:rPr>
          <w:lang w:eastAsia="en-AU"/>
        </w:rPr>
      </w:pPr>
      <w:r>
        <w:rPr>
          <w:lang w:eastAsia="en-AU"/>
        </w:rPr>
        <w:t>Multi-Season: it may be applied to first generate annual data, or to first generate data for any number of seasons within a year (although between two and four seasons would be typical).</w:t>
      </w:r>
    </w:p>
    <w:p w14:paraId="5ED42DD8" w14:textId="77777777" w:rsidR="007B29DD" w:rsidRDefault="007B29DD" w:rsidP="007B29DD">
      <w:pPr>
        <w:pStyle w:val="BodyText"/>
        <w:numPr>
          <w:ilvl w:val="0"/>
          <w:numId w:val="41"/>
        </w:numPr>
        <w:rPr>
          <w:lang w:eastAsia="en-AU"/>
        </w:rPr>
      </w:pPr>
      <w:r>
        <w:rPr>
          <w:lang w:eastAsia="en-AU"/>
        </w:rPr>
        <w:t>Multi-State: the annual / seasonal generation model may (or may not) be conditioned according to one underlying climatic driver variable, such as El-Ni</w:t>
      </w:r>
      <w:r w:rsidRPr="006E45F6">
        <w:rPr>
          <w:lang w:eastAsia="en-AU"/>
        </w:rPr>
        <w:t>ñ</w:t>
      </w:r>
      <w:r>
        <w:rPr>
          <w:lang w:eastAsia="en-AU"/>
        </w:rPr>
        <w:t>o Southern Oscillation (ENSO) or the Inter-decadal Pacific Oscillation (IPO).</w:t>
      </w:r>
    </w:p>
    <w:p w14:paraId="0CEF93B5" w14:textId="77777777" w:rsidR="007B29DD" w:rsidRDefault="007B29DD" w:rsidP="007B29DD">
      <w:pPr>
        <w:pStyle w:val="BodyText"/>
        <w:numPr>
          <w:ilvl w:val="0"/>
          <w:numId w:val="41"/>
        </w:numPr>
        <w:rPr>
          <w:lang w:eastAsia="en-AU"/>
        </w:rPr>
      </w:pPr>
      <w:r>
        <w:rPr>
          <w:lang w:eastAsia="en-AU"/>
        </w:rPr>
        <w:t>Auto-Regressive: the annual/seasonal generation model preserves the autocorrelation structure of the annual or seasonal totals, i.e. the extent to which a wet or dry season/year is followed by further wet or dry seasons/years.</w:t>
      </w:r>
    </w:p>
    <w:p w14:paraId="5E02513B" w14:textId="77777777" w:rsidR="007B29DD" w:rsidRDefault="007B29DD" w:rsidP="007B29DD">
      <w:pPr>
        <w:pStyle w:val="BodyText"/>
        <w:numPr>
          <w:ilvl w:val="0"/>
          <w:numId w:val="41"/>
        </w:numPr>
        <w:rPr>
          <w:lang w:eastAsia="en-AU"/>
        </w:rPr>
      </w:pPr>
      <w:r>
        <w:rPr>
          <w:lang w:eastAsia="en-AU"/>
        </w:rPr>
        <w:t>Produces outputs at daily, monthly, seasonal or annual time steps, by disaggregating the generated seasonal or annual totals using the method of fragments, with fragments selected using a kernel nearest neighbour approach.</w:t>
      </w:r>
    </w:p>
    <w:p w14:paraId="19F33368" w14:textId="77777777" w:rsidR="007B29DD" w:rsidRDefault="007B29DD" w:rsidP="007B29DD">
      <w:pPr>
        <w:pStyle w:val="BodyText"/>
        <w:rPr>
          <w:lang w:eastAsia="en-AU"/>
        </w:rPr>
      </w:pPr>
      <w:r>
        <w:rPr>
          <w:lang w:eastAsia="en-AU"/>
        </w:rPr>
        <w:t>Full details on MSSSCAR are provided in Kuczera (2020).</w:t>
      </w:r>
    </w:p>
    <w:p w14:paraId="2207D0A2" w14:textId="77777777" w:rsidR="007B29DD" w:rsidRDefault="007B29DD" w:rsidP="007B29DD">
      <w:pPr>
        <w:pStyle w:val="BodyText"/>
        <w:rPr>
          <w:lang w:eastAsia="en-AU"/>
        </w:rPr>
      </w:pPr>
      <w:r>
        <w:rPr>
          <w:lang w:eastAsia="en-AU"/>
        </w:rPr>
        <w:lastRenderedPageBreak/>
        <w:t>MSSSCAR has several features that advance it beyond the models that are available in SCL. The multi-season feature in MSSSCAR may be particularly useful for systems where there are clear shifts between wet and dry seasons (compared with SCL’s models, which first generate data on an annual time-step only). The multi-state feature in MSSSCAR also allows for conditioning of the stochastic data generation process using an underlying climate driver, which is not available in any of the SCL models. The kernel nearest neighbour approach in MSSSCAR also permits considerably more within-season (or within-year) variability in patterns than the disaggregation approach that is applied in most of the models in SCL.</w:t>
      </w:r>
    </w:p>
    <w:p w14:paraId="20DBA501" w14:textId="77777777" w:rsidR="007B29DD" w:rsidRDefault="007B29DD" w:rsidP="007B29DD">
      <w:pPr>
        <w:pStyle w:val="BodyText"/>
        <w:rPr>
          <w:lang w:eastAsia="en-AU"/>
        </w:rPr>
      </w:pPr>
      <w:r>
        <w:rPr>
          <w:lang w:eastAsia="en-AU"/>
        </w:rPr>
        <w:t>Although MSSSCAR could probably be used to produce sub-daily data, it is unlikely that it has actually been applied in practice to generate data at time-steps that are shorter than daily. Indeed, most of the applications of WATHNET and MSSSCAR have probably been in water supply systems with large multi-year storages, so the emphasis in testing the stochastic data generation processes has probably been on monthly, seasonal and annual statistics. For generating sub-daily rainfall data, the DRIP model (Heneker et al., 2001; Frost et al., 2004) (contained in SCL) is probably a more appropriate model than MSSSCAR, at least until further testing is carried out on MSSSCAR at sub-daily time steps.</w:t>
      </w:r>
    </w:p>
    <w:p w14:paraId="2555DC26" w14:textId="77777777" w:rsidR="007B29DD" w:rsidRDefault="007B29DD" w:rsidP="007B29DD">
      <w:pPr>
        <w:pStyle w:val="Heading4"/>
        <w:numPr>
          <w:ilvl w:val="3"/>
          <w:numId w:val="5"/>
        </w:numPr>
      </w:pPr>
      <w:r>
        <w:t>foreSIGHT package in R</w:t>
      </w:r>
    </w:p>
    <w:p w14:paraId="69EB6DE7" w14:textId="77777777" w:rsidR="007B29DD" w:rsidRDefault="007B29DD" w:rsidP="007B29DD">
      <w:pPr>
        <w:pStyle w:val="BodyText"/>
        <w:rPr>
          <w:lang w:eastAsia="en-AU"/>
        </w:rPr>
      </w:pPr>
      <w:r>
        <w:rPr>
          <w:lang w:eastAsia="en-AU"/>
        </w:rPr>
        <w:t>The Systems Insights from Generation of Hydroclimatic Timeseries (foreSIGHT) package has been developed in the R statistical analysis system (Bennett et al., 2018, 2019a; Bennett, 2019; Culley et al., 2019). foreSIGHT implements the stochastic data generation approach from (Richardson, 1981), which is a short to long time scale generator, generating daily rainfall occurrence and amount.</w:t>
      </w:r>
    </w:p>
    <w:p w14:paraId="07E4176E" w14:textId="77777777" w:rsidR="007B29DD" w:rsidRDefault="007B29DD" w:rsidP="007B29DD">
      <w:pPr>
        <w:pStyle w:val="BodyText"/>
        <w:rPr>
          <w:lang w:eastAsia="en-AU"/>
        </w:rPr>
      </w:pPr>
      <w:r>
        <w:rPr>
          <w:lang w:eastAsia="en-AU"/>
        </w:rPr>
        <w:t>foreSIGHT can be configured to undertake the water resources modelling, as well as generating the stochastic climate data for the simulations (Bennett et al., 2018, 2019a, 2019b; Culley et al., 2019). For example, the foreSIGHT documentation contains a package for simulation of a domestic rainwater tank system.</w:t>
      </w:r>
    </w:p>
    <w:p w14:paraId="546388A3" w14:textId="77777777" w:rsidR="007B29DD" w:rsidRDefault="007B29DD" w:rsidP="007B29DD">
      <w:pPr>
        <w:pStyle w:val="BodyText"/>
        <w:rPr>
          <w:lang w:eastAsia="en-AU"/>
        </w:rPr>
      </w:pPr>
      <w:r>
        <w:rPr>
          <w:lang w:eastAsia="en-AU"/>
        </w:rPr>
        <w:t>foreSIGHT has been developed to undertake scenario-based planning approaches, sometimes referred to as the “inverse approach”, whereby stochastic replicates are generated to sample the full plausible range of potential future exposure (Guo et al., 2018; Henley et al., 2019). For example, foreSIGHT may be used to test replicates that are generated for each combination of projected changes in mean annual rainfall and mean annual temperature, under projected climate change.</w:t>
      </w:r>
    </w:p>
    <w:p w14:paraId="097DBF78" w14:textId="77777777" w:rsidR="007B29DD" w:rsidRDefault="007B29DD" w:rsidP="007B29DD">
      <w:pPr>
        <w:pStyle w:val="Heading4"/>
        <w:numPr>
          <w:ilvl w:val="3"/>
          <w:numId w:val="5"/>
        </w:numPr>
      </w:pPr>
      <w:r>
        <w:t>Generators applying Wavelet or Empirical Mode Decomposition</w:t>
      </w:r>
    </w:p>
    <w:p w14:paraId="38270170" w14:textId="77777777" w:rsidR="007B29DD" w:rsidRDefault="007B29DD" w:rsidP="007B29DD">
      <w:pPr>
        <w:pStyle w:val="BodyText"/>
        <w:rPr>
          <w:lang w:eastAsia="en-AU"/>
        </w:rPr>
      </w:pPr>
      <w:r>
        <w:rPr>
          <w:lang w:eastAsia="en-AU"/>
        </w:rPr>
        <w:t>Wavelet Decomposition (WD) (Kwon et al., 2007; Steinschneider and Brown, 2013), Empirical Mode Decomposition (EMD) and Ensemble Empirical Mode Decomposition (EEMD) (Wu and Huang, 2004, 2009) are all long to short time scale stochastic generating approaches, which have been applied to separate out lower frequency (multi-decadal) fluctuations in climate or streamflow data from higher frequency (seasonal to multi-year) fluctuations. The statistical features of these lower and higher frequency variations can be used to drive stochastic data generation processes. Examples of application of EMD and EEMD approaches to stochastic data generation for Australian water resources systems include McMahon et al. (2008) and Peel et al. (2011). WD has been applied to analysis of a water resources system in the United States of America by Kwon et al. (2007) and Steinschneider and Brown (2013).</w:t>
      </w:r>
    </w:p>
    <w:p w14:paraId="4B6EEAEC" w14:textId="77777777" w:rsidR="007B29DD" w:rsidRDefault="007B29DD" w:rsidP="007B29DD">
      <w:pPr>
        <w:pStyle w:val="BodyText"/>
        <w:rPr>
          <w:lang w:eastAsia="en-AU"/>
        </w:rPr>
      </w:pPr>
      <w:r>
        <w:rPr>
          <w:lang w:eastAsia="en-AU"/>
        </w:rPr>
        <w:t>Using WD, EEMD or EMD to separate out the multi-decadal from the annual to multi-year signals allows the generated stochastic replicates to better capture long-term drivers of climate variability than alternative simpler approaches, such as auto-regressive models. They can be considered as an alternative approach to the multi-state component of MSSSCAR. It may be that WD, EEMD or EMD are better at reproducing the longer-term variability in Victorian climate, which is subject to several different long-term drivers, than a multi-state model that is only tied to one driver (such as IPO or ENSO). Further research would be required to resolve this issue.</w:t>
      </w:r>
    </w:p>
    <w:p w14:paraId="79373347" w14:textId="77777777" w:rsidR="007B29DD" w:rsidRDefault="007B29DD" w:rsidP="007B29DD">
      <w:pPr>
        <w:pStyle w:val="BodyText"/>
        <w:rPr>
          <w:lang w:eastAsia="en-AU"/>
        </w:rPr>
      </w:pPr>
      <w:r>
        <w:rPr>
          <w:lang w:eastAsia="en-AU"/>
        </w:rPr>
        <w:t>To the author’s knowledge, there is no software that can be readily accessed by water resources modellers to implement WD, EMD or EEMD methods. The algorithms for EEMD are set out in several journal publications (Wu and Huang, 2004, 2009; Peel et al., 2015). Similarly, the algorithms for implementation of wavelet decomposition are set out in Kwon et al. (2007) and Steinschneider and Brown (2013).</w:t>
      </w:r>
    </w:p>
    <w:p w14:paraId="55B718F0" w14:textId="77777777" w:rsidR="007B29DD" w:rsidRPr="0039421C" w:rsidRDefault="007B29DD" w:rsidP="007B29DD">
      <w:pPr>
        <w:pStyle w:val="Heading3"/>
      </w:pPr>
      <w:bookmarkStart w:id="1062" w:name="_Toc38957479"/>
      <w:bookmarkStart w:id="1063" w:name="_Toc43476546"/>
      <w:bookmarkStart w:id="1064" w:name="_Toc44928791"/>
      <w:bookmarkStart w:id="1065" w:name="_Toc51658062"/>
      <w:bookmarkStart w:id="1066" w:name="_Toc53585967"/>
      <w:bookmarkStart w:id="1067" w:name="_Toc57377218"/>
      <w:r w:rsidRPr="0039421C">
        <w:t>B.</w:t>
      </w:r>
      <w:r>
        <w:t>6</w:t>
      </w:r>
      <w:r w:rsidRPr="0039421C">
        <w:t>.</w:t>
      </w:r>
      <w:r>
        <w:t>5</w:t>
      </w:r>
      <w:r w:rsidRPr="0039421C">
        <w:t xml:space="preserve"> </w:t>
      </w:r>
      <w:r>
        <w:t>Multi-objective pareto front optimisation (</w:t>
      </w:r>
      <w:r w:rsidRPr="0039421C">
        <w:t>MOPFO</w:t>
      </w:r>
      <w:bookmarkEnd w:id="1062"/>
      <w:r>
        <w:t>)</w:t>
      </w:r>
      <w:bookmarkEnd w:id="1063"/>
      <w:bookmarkEnd w:id="1064"/>
      <w:bookmarkEnd w:id="1065"/>
      <w:bookmarkEnd w:id="1066"/>
      <w:bookmarkEnd w:id="1067"/>
    </w:p>
    <w:p w14:paraId="6C4489A0" w14:textId="77777777" w:rsidR="007B29DD" w:rsidRDefault="007B29DD" w:rsidP="007B29DD">
      <w:pPr>
        <w:pStyle w:val="BodyText"/>
        <w:rPr>
          <w:lang w:eastAsia="en-AU"/>
        </w:rPr>
      </w:pPr>
      <w:r>
        <w:rPr>
          <w:lang w:eastAsia="en-AU"/>
        </w:rPr>
        <w:t xml:space="preserve">MOPFO is a form of robust decision making that can be climate scenario neutral. The concept of MOPFO of major urban water supply systems was first developed and popularised in Australia in Cui and Kuczera (2010), </w:t>
      </w:r>
      <w:r>
        <w:rPr>
          <w:lang w:eastAsia="en-AU"/>
        </w:rPr>
        <w:lastRenderedPageBreak/>
        <w:t>which sought to optimise a combination of operating and infrastructure decisions for Sydney’s water supply system. Since that time, the approach has been further refined and applied to several applications, including but not limited to the optimisation of operating rules and infrastructure decisions for Newcastle (Mortazavi-Naeini et al., 2013; 2015), the optimisation of operating rules for Perth’s reservoirs after integration of multiple desalination plants into the supply system (Kuczera et al., 2015) and the optimisation of operation and planning decisions for the Melbourne supply system (e.g. Kularathna et al., 2015). Various water utilities have also utilised this type of approach in real-time to optimise daily operations for a range of operational uncertainties, including climate variability (e.g. Duncker et al., 2014; van Kalken et al., 2012).</w:t>
      </w:r>
    </w:p>
    <w:p w14:paraId="1C60A22F" w14:textId="77777777" w:rsidR="007B29DD" w:rsidRDefault="007B29DD" w:rsidP="007B29DD">
      <w:pPr>
        <w:pStyle w:val="BodyText"/>
        <w:rPr>
          <w:lang w:eastAsia="en-AU"/>
        </w:rPr>
      </w:pPr>
      <w:r>
        <w:rPr>
          <w:lang w:eastAsia="en-AU"/>
        </w:rPr>
        <w:t>The approach uses a hydro-economic model of a water supply system to find a range of optimal operating rules and infrastructure decisions over a planning horizon. These optimal solutions, of which there may be several, then serve to constrain decision making to a handful of alternative strategies. These alternative strategies can then be debated by decision makers, considering trade-offs between objective functions (e.g. trade-offs between optimality and robustness), as well as non-modelled performance criteria, to define a preferred strategy and/or operating regime.</w:t>
      </w:r>
    </w:p>
    <w:p w14:paraId="423A9DA5" w14:textId="77777777" w:rsidR="007B29DD" w:rsidRDefault="007B29DD" w:rsidP="007B29DD">
      <w:pPr>
        <w:pStyle w:val="BodyText"/>
        <w:rPr>
          <w:lang w:eastAsia="en-AU"/>
        </w:rPr>
      </w:pPr>
      <w:r>
        <w:rPr>
          <w:lang w:eastAsia="en-AU"/>
        </w:rPr>
        <w:t>MOPFO involves several steps:</w:t>
      </w:r>
    </w:p>
    <w:p w14:paraId="5DBEA219" w14:textId="77777777" w:rsidR="007B29DD" w:rsidRDefault="007B29DD" w:rsidP="007B29DD">
      <w:pPr>
        <w:pStyle w:val="BodyText"/>
        <w:numPr>
          <w:ilvl w:val="0"/>
          <w:numId w:val="54"/>
        </w:numPr>
        <w:rPr>
          <w:lang w:eastAsia="en-AU"/>
        </w:rPr>
      </w:pPr>
      <w:r>
        <w:rPr>
          <w:lang w:eastAsia="en-AU"/>
        </w:rPr>
        <w:t>Developing a hydro-economic model of a supply system that incorporates both water resource modelling and economic cost functions. This has been achieved to date by embedding cost functions into existing water resource models, or by developing a separate, simplified financial and water resource model to limit model complexity.</w:t>
      </w:r>
    </w:p>
    <w:p w14:paraId="755D8D25" w14:textId="77777777" w:rsidR="007B29DD" w:rsidRDefault="007B29DD" w:rsidP="007B29DD">
      <w:pPr>
        <w:pStyle w:val="BodyText"/>
        <w:numPr>
          <w:ilvl w:val="0"/>
          <w:numId w:val="54"/>
        </w:numPr>
        <w:rPr>
          <w:lang w:eastAsia="en-AU"/>
        </w:rPr>
      </w:pPr>
      <w:r>
        <w:rPr>
          <w:lang w:eastAsia="en-AU"/>
        </w:rPr>
        <w:t>Defining scenarios under which to test the supply system. These typically include any number of current and projected climate scenarios, but as a holistic optimisation process, it usually also includes other types of scenarios such as population projections as well.</w:t>
      </w:r>
    </w:p>
    <w:p w14:paraId="20FCAC25" w14:textId="77777777" w:rsidR="007B29DD" w:rsidRDefault="007B29DD" w:rsidP="007B29DD">
      <w:pPr>
        <w:pStyle w:val="BodyText"/>
        <w:numPr>
          <w:ilvl w:val="0"/>
          <w:numId w:val="54"/>
        </w:numPr>
        <w:rPr>
          <w:lang w:eastAsia="en-AU"/>
        </w:rPr>
      </w:pPr>
      <w:r>
        <w:rPr>
          <w:lang w:eastAsia="en-AU"/>
        </w:rPr>
        <w:t>Defining the decisions that can be varied within the supply system, such as supply enhancement or demand reduction options, and alternative operating strategies.</w:t>
      </w:r>
    </w:p>
    <w:p w14:paraId="1864C9E8" w14:textId="77777777" w:rsidR="007B29DD" w:rsidRDefault="007B29DD" w:rsidP="007B29DD">
      <w:pPr>
        <w:pStyle w:val="BodyText"/>
        <w:numPr>
          <w:ilvl w:val="0"/>
          <w:numId w:val="54"/>
        </w:numPr>
        <w:rPr>
          <w:lang w:eastAsia="en-AU"/>
        </w:rPr>
      </w:pPr>
      <w:r>
        <w:rPr>
          <w:lang w:eastAsia="en-AU"/>
        </w:rPr>
        <w:t>Setting of objective functions to define the optimal solution space, and the setting of constraints within which to search that solution space. Objectives to date have typically involved minimising net present cost over the planning horizon, and maximising a measure of robustness. One exception was Purves et al. (2015), which traded-off the likelihood of restrictions against a water restriction and operational cost function under stochastically generated current climate conditions.</w:t>
      </w:r>
    </w:p>
    <w:p w14:paraId="6DA2812D" w14:textId="77777777" w:rsidR="007B29DD" w:rsidRDefault="007B29DD" w:rsidP="007B29DD">
      <w:pPr>
        <w:pStyle w:val="BodyText"/>
        <w:numPr>
          <w:ilvl w:val="0"/>
          <w:numId w:val="54"/>
        </w:numPr>
        <w:rPr>
          <w:lang w:eastAsia="en-AU"/>
        </w:rPr>
      </w:pPr>
      <w:r>
        <w:rPr>
          <w:lang w:eastAsia="en-AU"/>
        </w:rPr>
        <w:t>Running the hydro-economic model through tens of thousands of stochastically generated scenarios of supply and demand.</w:t>
      </w:r>
    </w:p>
    <w:p w14:paraId="0E428886" w14:textId="77777777" w:rsidR="007B29DD" w:rsidRDefault="007B29DD" w:rsidP="007B29DD">
      <w:pPr>
        <w:pStyle w:val="BodyText"/>
        <w:numPr>
          <w:ilvl w:val="0"/>
          <w:numId w:val="54"/>
        </w:numPr>
        <w:rPr>
          <w:lang w:eastAsia="en-AU"/>
        </w:rPr>
      </w:pPr>
      <w:r>
        <w:rPr>
          <w:lang w:eastAsia="en-AU"/>
        </w:rPr>
        <w:t>Production of a pareto-front of optimal solutions.</w:t>
      </w:r>
    </w:p>
    <w:p w14:paraId="297C22D2" w14:textId="77777777" w:rsidR="007B29DD" w:rsidRDefault="007B29DD" w:rsidP="007B29DD">
      <w:pPr>
        <w:pStyle w:val="BodyText"/>
        <w:numPr>
          <w:ilvl w:val="0"/>
          <w:numId w:val="54"/>
        </w:numPr>
        <w:rPr>
          <w:lang w:eastAsia="en-AU"/>
        </w:rPr>
      </w:pPr>
      <w:r>
        <w:rPr>
          <w:lang w:eastAsia="en-AU"/>
        </w:rPr>
        <w:t>Identification of common types of strategies within that pareto-front to present to decision makers. This stage may also draw upon other decision-making support tools, such as multi-criteria assessment.</w:t>
      </w:r>
    </w:p>
    <w:p w14:paraId="1A50973A" w14:textId="77777777" w:rsidR="007B29DD" w:rsidRDefault="007B29DD" w:rsidP="007B29DD">
      <w:pPr>
        <w:pStyle w:val="BodyText"/>
        <w:rPr>
          <w:lang w:eastAsia="en-AU"/>
        </w:rPr>
      </w:pPr>
      <w:r>
        <w:rPr>
          <w:lang w:eastAsia="en-AU"/>
        </w:rPr>
        <w:t>In the context of climate change impact assessment, MOPFO can generate optimal and robust solutions under any number of input climate change scenarios.</w:t>
      </w:r>
    </w:p>
    <w:p w14:paraId="20C643BF" w14:textId="77777777" w:rsidR="007B29DD" w:rsidRDefault="007B29DD" w:rsidP="007B29DD">
      <w:pPr>
        <w:pStyle w:val="BodyText"/>
        <w:rPr>
          <w:lang w:eastAsia="en-AU"/>
        </w:rPr>
      </w:pPr>
      <w:r>
        <w:rPr>
          <w:lang w:eastAsia="en-AU"/>
        </w:rPr>
        <w:t xml:space="preserve">An example output from the MOPFO process is illustrated in </w:t>
      </w:r>
      <w:r>
        <w:rPr>
          <w:lang w:eastAsia="en-AU"/>
        </w:rPr>
        <w:fldChar w:fldCharType="begin"/>
      </w:r>
      <w:r>
        <w:rPr>
          <w:lang w:eastAsia="en-AU"/>
        </w:rPr>
        <w:instrText xml:space="preserve"> REF _Ref24535851 \h </w:instrText>
      </w:r>
      <w:r>
        <w:rPr>
          <w:lang w:eastAsia="en-AU"/>
        </w:rPr>
      </w:r>
      <w:r>
        <w:rPr>
          <w:lang w:eastAsia="en-AU"/>
        </w:rPr>
        <w:fldChar w:fldCharType="separate"/>
      </w:r>
      <w:r>
        <w:t xml:space="preserve">Figure </w:t>
      </w:r>
      <w:r>
        <w:rPr>
          <w:noProof/>
        </w:rPr>
        <w:t>44</w:t>
      </w:r>
      <w:r>
        <w:rPr>
          <w:lang w:eastAsia="en-AU"/>
        </w:rPr>
        <w:fldChar w:fldCharType="end"/>
      </w:r>
      <w:r>
        <w:rPr>
          <w:lang w:eastAsia="en-AU"/>
        </w:rPr>
        <w:t xml:space="preserve">. In this example, a very large number of stochastically generated scenarios, including climate change scenarios, were run through a hydro-economic model to optimise a water supply system’s operating rules and augmentation decisions. In this example, robustness is defined by minimising maximum regret on the vertical axis, but alternative measures of robustness are equally valid. This process mostly generates sub-optimal solutions, which can be discarded, plus a pareto front on the edge of the solution space, which consists of solutions that are optimised against the two objective functions. In this case, seven alternative strategies were selected from the pareto front (numbered 1 to 7 in </w:t>
      </w:r>
      <w:r>
        <w:rPr>
          <w:lang w:eastAsia="en-AU"/>
        </w:rPr>
        <w:fldChar w:fldCharType="begin"/>
      </w:r>
      <w:r>
        <w:rPr>
          <w:lang w:eastAsia="en-AU"/>
        </w:rPr>
        <w:instrText xml:space="preserve"> REF _Ref24535851 \h </w:instrText>
      </w:r>
      <w:r>
        <w:rPr>
          <w:lang w:eastAsia="en-AU"/>
        </w:rPr>
      </w:r>
      <w:r>
        <w:rPr>
          <w:lang w:eastAsia="en-AU"/>
        </w:rPr>
        <w:fldChar w:fldCharType="separate"/>
      </w:r>
      <w:r>
        <w:t xml:space="preserve">Figure </w:t>
      </w:r>
      <w:r>
        <w:rPr>
          <w:noProof/>
        </w:rPr>
        <w:t>44</w:t>
      </w:r>
      <w:r>
        <w:rPr>
          <w:lang w:eastAsia="en-AU"/>
        </w:rPr>
        <w:fldChar w:fldCharType="end"/>
      </w:r>
      <w:r>
        <w:rPr>
          <w:lang w:eastAsia="en-AU"/>
        </w:rPr>
        <w:t>), which then allow transparent trade-offs to be made between least cost solutions (e.g. solutions 1 and 2) against the most robust solutions (e.g. solutions 6 and 7) and intermediate solutions 3 to 5. This allows decision makers to consider, for example, whether they are more risk averse to say capital cost uncertainty (e.g. if projected economic uncertainty is high) or climate uncertainty (which is a main component of the range of costs associated with the maximum regret).</w:t>
      </w:r>
    </w:p>
    <w:p w14:paraId="7121A849" w14:textId="77777777" w:rsidR="007B29DD" w:rsidRDefault="007B29DD" w:rsidP="007B29DD">
      <w:pPr>
        <w:pStyle w:val="BodyText"/>
        <w:spacing w:after="0"/>
        <w:rPr>
          <w:lang w:eastAsia="en-AU"/>
        </w:rPr>
      </w:pPr>
      <w:r>
        <w:rPr>
          <w:noProof/>
        </w:rPr>
        <w:lastRenderedPageBreak/>
        <w:drawing>
          <wp:inline distT="0" distB="0" distL="0" distR="0" wp14:anchorId="1BD0F7FF" wp14:editId="21D1730C">
            <wp:extent cx="6200492" cy="3374600"/>
            <wp:effectExtent l="19050" t="19050" r="10160" b="16510"/>
            <wp:docPr id="1510002224" name="Picture 134" descr="This chart shows an example application of the Multi-Objective Pareto Front Optimisation (MOPFO) approach. Maximum regret is represented on the y-axis, in units of million dollars. Present worth cost is represented on the x-axis, in units of million dollars. Individual options are represented as dots, with a line drawn to represent the Pareto front of locally optimal solutions. Dots on the plot which are not adjacent to the Pareto front are sub-optima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101">
                      <a:extLst>
                        <a:ext uri="{28A0092B-C50C-407E-A947-70E740481C1C}">
                          <a14:useLocalDpi xmlns:a14="http://schemas.microsoft.com/office/drawing/2010/main" val="0"/>
                        </a:ext>
                      </a:extLst>
                    </a:blip>
                    <a:stretch>
                      <a:fillRect/>
                    </a:stretch>
                  </pic:blipFill>
                  <pic:spPr>
                    <a:xfrm>
                      <a:off x="0" y="0"/>
                      <a:ext cx="6208406" cy="3378907"/>
                    </a:xfrm>
                    <a:prstGeom prst="rect">
                      <a:avLst/>
                    </a:prstGeom>
                    <a:ln>
                      <a:solidFill>
                        <a:schemeClr val="bg1">
                          <a:lumMod val="65000"/>
                        </a:schemeClr>
                      </a:solidFill>
                    </a:ln>
                  </pic:spPr>
                </pic:pic>
              </a:graphicData>
            </a:graphic>
          </wp:inline>
        </w:drawing>
      </w:r>
    </w:p>
    <w:p w14:paraId="3341F7AD" w14:textId="77777777" w:rsidR="007B29DD" w:rsidRDefault="007B29DD" w:rsidP="007B29DD">
      <w:pPr>
        <w:pStyle w:val="Caption"/>
        <w:keepNext w:val="0"/>
        <w:spacing w:before="0"/>
      </w:pPr>
      <w:bookmarkStart w:id="1068" w:name="_Ref24535851"/>
      <w:bookmarkStart w:id="1069" w:name="_Toc24625802"/>
      <w:bookmarkStart w:id="1070" w:name="_Toc43476616"/>
      <w:bookmarkStart w:id="1071" w:name="_Toc44928859"/>
      <w:bookmarkStart w:id="1072" w:name="_Toc51237520"/>
      <w:bookmarkStart w:id="1073" w:name="_Toc53586035"/>
      <w:bookmarkStart w:id="1074" w:name="_Toc57377286"/>
      <w:r>
        <w:t xml:space="preserve">Figure </w:t>
      </w:r>
      <w:r>
        <w:fldChar w:fldCharType="begin"/>
      </w:r>
      <w:r>
        <w:instrText>SEQ Figure \* ARABIC</w:instrText>
      </w:r>
      <w:r>
        <w:fldChar w:fldCharType="separate"/>
      </w:r>
      <w:r>
        <w:rPr>
          <w:noProof/>
        </w:rPr>
        <w:t>44</w:t>
      </w:r>
      <w:r>
        <w:fldChar w:fldCharType="end"/>
      </w:r>
      <w:bookmarkEnd w:id="1068"/>
      <w:r>
        <w:t xml:space="preserve"> Example two-dimensional Pareto Front (Adapted from Cui and Kuczera, 2010)</w:t>
      </w:r>
      <w:bookmarkEnd w:id="1069"/>
      <w:bookmarkEnd w:id="1070"/>
      <w:bookmarkEnd w:id="1071"/>
      <w:bookmarkEnd w:id="1072"/>
      <w:bookmarkEnd w:id="1073"/>
      <w:bookmarkEnd w:id="1074"/>
    </w:p>
    <w:p w14:paraId="04C764C5" w14:textId="77777777" w:rsidR="007B29DD" w:rsidRDefault="007B29DD" w:rsidP="007B29DD">
      <w:pPr>
        <w:pStyle w:val="BodyText"/>
        <w:rPr>
          <w:lang w:eastAsia="en-AU"/>
        </w:rPr>
      </w:pPr>
      <w:r>
        <w:rPr>
          <w:lang w:eastAsia="en-AU"/>
        </w:rPr>
        <w:t xml:space="preserve">While this process is most easily communicated using only two objective functions, pareto fronts can also be prepared for more than two objective functions, particularly if non-financial objectives are also important. An example from optimisation investigations for the Melbourne system, which also considered environmental flow objectives, is illustrated in </w:t>
      </w:r>
      <w:r>
        <w:rPr>
          <w:lang w:eastAsia="en-AU"/>
        </w:rPr>
        <w:fldChar w:fldCharType="begin"/>
      </w:r>
      <w:r>
        <w:rPr>
          <w:lang w:eastAsia="en-AU"/>
        </w:rPr>
        <w:instrText xml:space="preserve"> REF _Ref24536683 \h </w:instrText>
      </w:r>
      <w:r>
        <w:rPr>
          <w:lang w:eastAsia="en-AU"/>
        </w:rPr>
      </w:r>
      <w:r>
        <w:rPr>
          <w:lang w:eastAsia="en-AU"/>
        </w:rPr>
        <w:fldChar w:fldCharType="separate"/>
      </w:r>
      <w:r>
        <w:t xml:space="preserve">Figure </w:t>
      </w:r>
      <w:r>
        <w:rPr>
          <w:noProof/>
        </w:rPr>
        <w:t>45</w:t>
      </w:r>
      <w:r>
        <w:rPr>
          <w:lang w:eastAsia="en-AU"/>
        </w:rPr>
        <w:fldChar w:fldCharType="end"/>
      </w:r>
      <w:r>
        <w:rPr>
          <w:lang w:eastAsia="en-AU"/>
        </w:rPr>
        <w:t>.</w:t>
      </w:r>
    </w:p>
    <w:p w14:paraId="70718087" w14:textId="77777777" w:rsidR="007B29DD" w:rsidRDefault="007B29DD" w:rsidP="007B29DD">
      <w:pPr>
        <w:pStyle w:val="BodyText"/>
        <w:rPr>
          <w:lang w:eastAsia="en-AU"/>
        </w:rPr>
      </w:pPr>
    </w:p>
    <w:p w14:paraId="4D5CA644" w14:textId="77777777" w:rsidR="007B29DD" w:rsidRDefault="007B29DD" w:rsidP="007B29DD">
      <w:pPr>
        <w:pStyle w:val="BodyText"/>
        <w:spacing w:after="0"/>
        <w:rPr>
          <w:lang w:eastAsia="en-AU"/>
        </w:rPr>
      </w:pPr>
      <w:r>
        <w:rPr>
          <w:noProof/>
        </w:rPr>
        <w:lastRenderedPageBreak/>
        <w:drawing>
          <wp:inline distT="0" distB="0" distL="0" distR="0" wp14:anchorId="742BBF03" wp14:editId="10FEB48F">
            <wp:extent cx="6057362" cy="4326687"/>
            <wp:effectExtent l="19050" t="19050" r="19685" b="17145"/>
            <wp:docPr id="537950443" name="Picture 135" descr="This chart shows an example application of the Multi-Objective Pareto Front Optimisation (MOPFO) approach using a three-dimensional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102">
                      <a:extLst>
                        <a:ext uri="{28A0092B-C50C-407E-A947-70E740481C1C}">
                          <a14:useLocalDpi xmlns:a14="http://schemas.microsoft.com/office/drawing/2010/main" val="0"/>
                        </a:ext>
                      </a:extLst>
                    </a:blip>
                    <a:stretch>
                      <a:fillRect/>
                    </a:stretch>
                  </pic:blipFill>
                  <pic:spPr>
                    <a:xfrm>
                      <a:off x="0" y="0"/>
                      <a:ext cx="6070848" cy="4336320"/>
                    </a:xfrm>
                    <a:prstGeom prst="rect">
                      <a:avLst/>
                    </a:prstGeom>
                    <a:ln>
                      <a:solidFill>
                        <a:schemeClr val="bg1">
                          <a:lumMod val="65000"/>
                        </a:schemeClr>
                      </a:solidFill>
                    </a:ln>
                  </pic:spPr>
                </pic:pic>
              </a:graphicData>
            </a:graphic>
          </wp:inline>
        </w:drawing>
      </w:r>
    </w:p>
    <w:p w14:paraId="766355D7" w14:textId="77777777" w:rsidR="007B29DD" w:rsidRDefault="007B29DD" w:rsidP="007B29DD">
      <w:pPr>
        <w:pStyle w:val="Caption"/>
        <w:keepNext w:val="0"/>
        <w:spacing w:before="0"/>
      </w:pPr>
      <w:bookmarkStart w:id="1075" w:name="_Ref24536683"/>
      <w:bookmarkStart w:id="1076" w:name="_Toc24625803"/>
      <w:bookmarkStart w:id="1077" w:name="_Toc43476617"/>
      <w:bookmarkStart w:id="1078" w:name="_Toc44928860"/>
      <w:bookmarkStart w:id="1079" w:name="_Toc51237521"/>
      <w:bookmarkStart w:id="1080" w:name="_Toc53586036"/>
      <w:bookmarkStart w:id="1081" w:name="_Toc57377287"/>
      <w:r>
        <w:t xml:space="preserve">Figure </w:t>
      </w:r>
      <w:r>
        <w:fldChar w:fldCharType="begin"/>
      </w:r>
      <w:r>
        <w:instrText>SEQ Figure \* ARABIC</w:instrText>
      </w:r>
      <w:r>
        <w:fldChar w:fldCharType="separate"/>
      </w:r>
      <w:r>
        <w:rPr>
          <w:noProof/>
        </w:rPr>
        <w:t>45</w:t>
      </w:r>
      <w:r>
        <w:fldChar w:fldCharType="end"/>
      </w:r>
      <w:bookmarkEnd w:id="1075"/>
      <w:r>
        <w:t xml:space="preserve"> Example three-dimensional Pareto Front (Kularathna et al., 2015)</w:t>
      </w:r>
      <w:bookmarkEnd w:id="1076"/>
      <w:bookmarkEnd w:id="1077"/>
      <w:bookmarkEnd w:id="1078"/>
      <w:bookmarkEnd w:id="1079"/>
      <w:bookmarkEnd w:id="1080"/>
      <w:bookmarkEnd w:id="1081"/>
    </w:p>
    <w:p w14:paraId="5BE122D3" w14:textId="77777777" w:rsidR="007B29DD" w:rsidRDefault="007B29DD" w:rsidP="007B29DD">
      <w:pPr>
        <w:pStyle w:val="BodyText"/>
        <w:rPr>
          <w:lang w:eastAsia="en-AU"/>
        </w:rPr>
      </w:pPr>
      <w:r>
        <w:rPr>
          <w:lang w:eastAsia="en-AU"/>
        </w:rPr>
        <w:t>The advantages of MOPFO are:</w:t>
      </w:r>
    </w:p>
    <w:p w14:paraId="6701CD18" w14:textId="77777777" w:rsidR="007B29DD" w:rsidRDefault="007B29DD" w:rsidP="007B29DD">
      <w:pPr>
        <w:pStyle w:val="BodyText"/>
        <w:numPr>
          <w:ilvl w:val="0"/>
          <w:numId w:val="50"/>
        </w:numPr>
        <w:rPr>
          <w:lang w:eastAsia="en-AU"/>
        </w:rPr>
      </w:pPr>
      <w:r>
        <w:rPr>
          <w:lang w:eastAsia="en-AU"/>
        </w:rPr>
        <w:t>It is climate scenario neutral, in that all climate change scenarios are considered equally likely and are limited in number only by the ability to prepare and process those scenarios.</w:t>
      </w:r>
    </w:p>
    <w:p w14:paraId="4B2606C2" w14:textId="77777777" w:rsidR="007B29DD" w:rsidRDefault="007B29DD" w:rsidP="007B29DD">
      <w:pPr>
        <w:pStyle w:val="BodyText"/>
        <w:numPr>
          <w:ilvl w:val="0"/>
          <w:numId w:val="50"/>
        </w:numPr>
        <w:rPr>
          <w:lang w:eastAsia="en-AU"/>
        </w:rPr>
      </w:pPr>
      <w:r>
        <w:rPr>
          <w:lang w:eastAsia="en-AU"/>
        </w:rPr>
        <w:t>As a decision support tool, it effectively helps to limit decisions to fewer, more preferred options from a potentially large range of options.</w:t>
      </w:r>
    </w:p>
    <w:p w14:paraId="0CDE0FAE" w14:textId="77777777" w:rsidR="007B29DD" w:rsidRDefault="007B29DD" w:rsidP="007B29DD">
      <w:pPr>
        <w:pStyle w:val="BodyText"/>
        <w:numPr>
          <w:ilvl w:val="0"/>
          <w:numId w:val="50"/>
        </w:numPr>
        <w:rPr>
          <w:lang w:eastAsia="en-AU"/>
        </w:rPr>
      </w:pPr>
      <w:r>
        <w:rPr>
          <w:lang w:eastAsia="en-AU"/>
        </w:rPr>
        <w:t>It is most effective when the available choices are large, and both the supply system objectives and the incremental differences in choice can be defined mathematically.</w:t>
      </w:r>
    </w:p>
    <w:p w14:paraId="3E0C3976" w14:textId="77777777" w:rsidR="007B29DD" w:rsidRDefault="007B29DD" w:rsidP="007B29DD">
      <w:pPr>
        <w:pStyle w:val="BodyText"/>
        <w:rPr>
          <w:lang w:eastAsia="en-AU"/>
        </w:rPr>
      </w:pPr>
      <w:r>
        <w:rPr>
          <w:lang w:eastAsia="en-AU"/>
        </w:rPr>
        <w:t>The disadvantages of MOPFO are:</w:t>
      </w:r>
    </w:p>
    <w:p w14:paraId="760546FF" w14:textId="77777777" w:rsidR="007B29DD" w:rsidRDefault="007B29DD" w:rsidP="007B29DD">
      <w:pPr>
        <w:pStyle w:val="BodyText"/>
        <w:numPr>
          <w:ilvl w:val="0"/>
          <w:numId w:val="49"/>
        </w:numPr>
        <w:rPr>
          <w:lang w:eastAsia="en-AU"/>
        </w:rPr>
      </w:pPr>
      <w:r>
        <w:rPr>
          <w:lang w:eastAsia="en-AU"/>
        </w:rPr>
        <w:t>The need for a water resource model that also incorporates cost functions (although it is acknowledged that the technique can also be applied to non-financial objective functions, such as supply system yield).</w:t>
      </w:r>
    </w:p>
    <w:p w14:paraId="43818A64" w14:textId="77777777" w:rsidR="007B29DD" w:rsidRDefault="007B29DD" w:rsidP="007B29DD">
      <w:pPr>
        <w:pStyle w:val="BodyText"/>
        <w:numPr>
          <w:ilvl w:val="0"/>
          <w:numId w:val="49"/>
        </w:numPr>
        <w:rPr>
          <w:lang w:eastAsia="en-AU"/>
        </w:rPr>
      </w:pPr>
      <w:r>
        <w:rPr>
          <w:lang w:eastAsia="en-AU"/>
        </w:rPr>
        <w:t>Considerable effort in data preparation, modelling and post-processing.</w:t>
      </w:r>
    </w:p>
    <w:p w14:paraId="5BA6EB94" w14:textId="77777777" w:rsidR="007B29DD" w:rsidRDefault="007B29DD" w:rsidP="007B29DD">
      <w:pPr>
        <w:pStyle w:val="BodyText"/>
        <w:numPr>
          <w:ilvl w:val="0"/>
          <w:numId w:val="49"/>
        </w:numPr>
        <w:rPr>
          <w:lang w:eastAsia="en-AU"/>
        </w:rPr>
      </w:pPr>
      <w:r>
        <w:rPr>
          <w:lang w:eastAsia="en-AU"/>
        </w:rPr>
        <w:t>Results are presented as an abstract curve that are not time-based projections, and therefore need to be coupled with other communication tools around the timing of actions. In this process, the nature of individual climate change projections is no longer transparent (which could also be regarded as an advantage to avoid focussing on any one projection).</w:t>
      </w:r>
    </w:p>
    <w:p w14:paraId="2DA87105" w14:textId="77777777" w:rsidR="007B29DD" w:rsidRDefault="007B29DD" w:rsidP="007B29DD">
      <w:pPr>
        <w:pStyle w:val="BodyText"/>
        <w:numPr>
          <w:ilvl w:val="0"/>
          <w:numId w:val="49"/>
        </w:numPr>
        <w:rPr>
          <w:lang w:eastAsia="en-AU"/>
        </w:rPr>
      </w:pPr>
      <w:r>
        <w:rPr>
          <w:lang w:eastAsia="en-AU"/>
        </w:rPr>
        <w:t xml:space="preserve">Like other analytical assessment techniques, the pareto front in and of itself does not usually identify the optimal solution, but rather only a range of optimal solutions. </w:t>
      </w:r>
    </w:p>
    <w:p w14:paraId="3204A801" w14:textId="77777777" w:rsidR="007B29DD" w:rsidRDefault="007B29DD" w:rsidP="007B29DD">
      <w:pPr>
        <w:pStyle w:val="BodyText"/>
        <w:numPr>
          <w:ilvl w:val="0"/>
          <w:numId w:val="49"/>
        </w:numPr>
        <w:rPr>
          <w:lang w:eastAsia="en-AU"/>
        </w:rPr>
      </w:pPr>
      <w:r>
        <w:rPr>
          <w:lang w:eastAsia="en-AU"/>
        </w:rPr>
        <w:t>Outcomes can be more difficult to communicate when there are more than two to three objective functions.</w:t>
      </w:r>
    </w:p>
    <w:p w14:paraId="77AE0A5F" w14:textId="77777777" w:rsidR="007B29DD" w:rsidRDefault="007B29DD" w:rsidP="007B29DD">
      <w:pPr>
        <w:pStyle w:val="BodyText"/>
        <w:numPr>
          <w:ilvl w:val="0"/>
          <w:numId w:val="49"/>
        </w:numPr>
        <w:rPr>
          <w:lang w:eastAsia="en-AU"/>
        </w:rPr>
      </w:pPr>
      <w:r>
        <w:rPr>
          <w:lang w:eastAsia="en-AU"/>
        </w:rPr>
        <w:t xml:space="preserve">The value of optimising operating rules over a planning horizon of several decades is questionable where changes are non-stochastic in nature, and actions can be modified over time. In this case, step-wise </w:t>
      </w:r>
      <w:r>
        <w:rPr>
          <w:lang w:eastAsia="en-AU"/>
        </w:rPr>
        <w:lastRenderedPageBreak/>
        <w:t>change of operating rules and/or demand/supply augmentations is typically the optimal solution, rather than a single set of operating rules or supply system configurations over the whole planning horizon. To date, perhaps due to the level of effort involved in applying the technique, MOPFO studies have focussed on optimising operating and infrastructure strategies over a wide range of time scales (i.e. to be valid over the whole 50+ year planning horizon), rather than also assessing shorter windows, which could result in sub-optimal outcomes over some periods within the planning horizon.</w:t>
      </w:r>
    </w:p>
    <w:p w14:paraId="6AD0E0CF" w14:textId="77777777" w:rsidR="007B29DD" w:rsidRPr="00D54D09" w:rsidRDefault="007B29DD" w:rsidP="007B29DD">
      <w:pPr>
        <w:pStyle w:val="BodyText"/>
        <w:rPr>
          <w:highlight w:val="yellow"/>
          <w:lang w:eastAsia="en-AU"/>
        </w:rPr>
      </w:pPr>
      <w:r>
        <w:rPr>
          <w:lang w:eastAsia="en-AU"/>
        </w:rPr>
        <w:t>In the context of the climate change impact assessment guidelines, MOPFO has typically been used to date for operational optimisation that includes, but is not specifically targeted at, climate change impact assessment.</w:t>
      </w:r>
    </w:p>
    <w:p w14:paraId="6A4D609B" w14:textId="77777777" w:rsidR="007B29DD" w:rsidRPr="00E44CBB" w:rsidRDefault="007B29DD" w:rsidP="007B29DD">
      <w:pPr>
        <w:pStyle w:val="Heading3"/>
        <w:rPr>
          <w:b/>
          <w:bCs/>
        </w:rPr>
      </w:pPr>
      <w:bookmarkStart w:id="1082" w:name="_Toc38957480"/>
      <w:bookmarkStart w:id="1083" w:name="_Toc43476547"/>
      <w:bookmarkStart w:id="1084" w:name="_Toc44928792"/>
      <w:bookmarkStart w:id="1085" w:name="_Toc51658063"/>
      <w:bookmarkStart w:id="1086" w:name="_Toc53585968"/>
      <w:bookmarkStart w:id="1087" w:name="_Toc57377219"/>
      <w:r w:rsidRPr="00E44CBB">
        <w:rPr>
          <w:b/>
          <w:bCs/>
          <w:color w:val="000000" w:themeColor="text1"/>
        </w:rPr>
        <w:t>B 6.6 Other approaches that the guidelines can support</w:t>
      </w:r>
      <w:bookmarkEnd w:id="1082"/>
      <w:bookmarkEnd w:id="1083"/>
      <w:bookmarkEnd w:id="1084"/>
      <w:bookmarkEnd w:id="1085"/>
      <w:bookmarkEnd w:id="1086"/>
      <w:bookmarkEnd w:id="1087"/>
    </w:p>
    <w:p w14:paraId="357FFA71" w14:textId="77777777" w:rsidR="007B29DD" w:rsidRDefault="007B29DD" w:rsidP="007B29DD">
      <w:pPr>
        <w:pStyle w:val="BodyText"/>
      </w:pPr>
      <w:r>
        <w:t>Application of the information presented in the guidelines is not necessarily limited to the additional planning approaches mentioned above, but could potentially also be applied to other approaches (e.g. those in Marchau et al, 2019). The approaches featured in these guidelines were considered to have particular utility for the guidelines, as they had previously been applied to water availability assessments.</w:t>
      </w:r>
    </w:p>
    <w:p w14:paraId="09B79C9E" w14:textId="77777777" w:rsidR="007B29DD" w:rsidRPr="00E44CBB" w:rsidRDefault="007B29DD" w:rsidP="007B29DD">
      <w:pPr>
        <w:pStyle w:val="Heading2"/>
        <w:rPr>
          <w:b/>
          <w:bCs/>
          <w:color w:val="000000" w:themeColor="text1"/>
        </w:rPr>
      </w:pPr>
      <w:bookmarkStart w:id="1088" w:name="_Ref51225813"/>
      <w:bookmarkStart w:id="1089" w:name="_Toc51658064"/>
      <w:bookmarkStart w:id="1090" w:name="_Toc53585969"/>
      <w:bookmarkStart w:id="1091" w:name="_Toc57377220"/>
      <w:r w:rsidRPr="00E44CBB">
        <w:rPr>
          <w:b/>
          <w:bCs/>
          <w:color w:val="000000" w:themeColor="text1"/>
        </w:rPr>
        <w:t>B.7 Supplementary guidance on sub-hourly rainfall</w:t>
      </w:r>
      <w:bookmarkEnd w:id="1088"/>
      <w:bookmarkEnd w:id="1089"/>
      <w:bookmarkEnd w:id="1090"/>
      <w:bookmarkEnd w:id="1091"/>
    </w:p>
    <w:p w14:paraId="64000B86" w14:textId="77777777" w:rsidR="007B29DD" w:rsidRDefault="007B29DD" w:rsidP="007B29DD">
      <w:pPr>
        <w:pStyle w:val="BodyText"/>
        <w:rPr>
          <w:lang w:eastAsia="en-AU"/>
        </w:rPr>
      </w:pPr>
      <w:r>
        <w:rPr>
          <w:lang w:eastAsia="en-AU"/>
        </w:rPr>
        <w:t xml:space="preserve">The following non-prescriptive guidance is provided for consideration when scaling sub-hourly peak rainfall for water supply systems sensitive to such changes. This information builds on the information presented in Section </w:t>
      </w:r>
      <w:r>
        <w:rPr>
          <w:lang w:eastAsia="en-AU"/>
        </w:rPr>
        <w:fldChar w:fldCharType="begin"/>
      </w:r>
      <w:r>
        <w:rPr>
          <w:lang w:eastAsia="en-AU"/>
        </w:rPr>
        <w:instrText xml:space="preserve"> REF _Ref40109156 \r \h </w:instrText>
      </w:r>
      <w:r>
        <w:rPr>
          <w:lang w:eastAsia="en-AU"/>
        </w:rPr>
      </w:r>
      <w:r>
        <w:rPr>
          <w:lang w:eastAsia="en-AU"/>
        </w:rPr>
        <w:fldChar w:fldCharType="separate"/>
      </w:r>
      <w:r>
        <w:rPr>
          <w:lang w:eastAsia="en-AU"/>
        </w:rPr>
        <w:t>5.9.4</w:t>
      </w:r>
      <w:r>
        <w:rPr>
          <w:lang w:eastAsia="en-AU"/>
        </w:rPr>
        <w:fldChar w:fldCharType="end"/>
      </w:r>
      <w:r>
        <w:rPr>
          <w:lang w:eastAsia="en-AU"/>
        </w:rPr>
        <w:t>.</w:t>
      </w:r>
    </w:p>
    <w:p w14:paraId="70C7015F" w14:textId="77777777" w:rsidR="007B29DD" w:rsidRDefault="007B29DD" w:rsidP="007B29DD">
      <w:pPr>
        <w:pStyle w:val="BodyText"/>
        <w:rPr>
          <w:lang w:eastAsia="en-AU"/>
        </w:rPr>
      </w:pPr>
      <w:r>
        <w:rPr>
          <w:lang w:eastAsia="en-AU"/>
        </w:rPr>
        <w:t xml:space="preserve">For water supply systems sensitive to increases in peak sub-hourly rainfall, a range of scaling factors, between 5% and 14% per degree warming, could be tested. When this range is combined with climate change projections, there are multiple combinations that result. For example, in the year 2040 as presented in </w:t>
      </w:r>
      <w:r>
        <w:rPr>
          <w:lang w:eastAsia="en-AU"/>
        </w:rPr>
        <w:fldChar w:fldCharType="begin"/>
      </w:r>
      <w:r>
        <w:rPr>
          <w:lang w:eastAsia="en-AU"/>
        </w:rPr>
        <w:instrText xml:space="preserve"> REF _Ref49868114 \h </w:instrText>
      </w:r>
      <w:r>
        <w:rPr>
          <w:lang w:eastAsia="en-AU"/>
        </w:rPr>
      </w:r>
      <w:r>
        <w:rPr>
          <w:lang w:eastAsia="en-AU"/>
        </w:rPr>
        <w:fldChar w:fldCharType="separate"/>
      </w:r>
      <w:r>
        <w:t xml:space="preserve">Figure </w:t>
      </w:r>
      <w:r>
        <w:rPr>
          <w:noProof/>
        </w:rPr>
        <w:t>46</w:t>
      </w:r>
      <w:r>
        <w:rPr>
          <w:lang w:eastAsia="en-AU"/>
        </w:rPr>
        <w:fldChar w:fldCharType="end"/>
      </w:r>
      <w:r>
        <w:rPr>
          <w:lang w:eastAsia="en-AU"/>
        </w:rPr>
        <w:t>, at one end of the range projected average annual rainfall could increase in combination with increased peak rainfall. On the other end of the range, an overall drying of the landscape could combine with increased rainfall intensities, leading to a much flashier system, with short sharp bursts of rainfall and not much rain in between.</w:t>
      </w:r>
    </w:p>
    <w:p w14:paraId="1D8C96B8" w14:textId="77777777" w:rsidR="007B29DD" w:rsidRDefault="007B29DD" w:rsidP="007B29DD">
      <w:pPr>
        <w:pStyle w:val="BodyText"/>
        <w:rPr>
          <w:lang w:eastAsia="en-AU"/>
        </w:rPr>
      </w:pPr>
      <w:r>
        <w:rPr>
          <w:lang w:eastAsia="en-AU"/>
        </w:rPr>
        <w:t xml:space="preserve">For water supply options sensitive to increases in peak sub-hourly rainfall, all six rainfall scenarios presented in </w:t>
      </w:r>
      <w:r>
        <w:rPr>
          <w:lang w:eastAsia="en-AU"/>
        </w:rPr>
        <w:fldChar w:fldCharType="begin"/>
      </w:r>
      <w:r>
        <w:rPr>
          <w:lang w:eastAsia="en-AU"/>
        </w:rPr>
        <w:instrText xml:space="preserve"> REF _Ref49868114 \h </w:instrText>
      </w:r>
      <w:r>
        <w:rPr>
          <w:lang w:eastAsia="en-AU"/>
        </w:rPr>
      </w:r>
      <w:r>
        <w:rPr>
          <w:lang w:eastAsia="en-AU"/>
        </w:rPr>
        <w:fldChar w:fldCharType="separate"/>
      </w:r>
      <w:r>
        <w:t xml:space="preserve">Figure </w:t>
      </w:r>
      <w:r>
        <w:rPr>
          <w:noProof/>
        </w:rPr>
        <w:t>46</w:t>
      </w:r>
      <w:r>
        <w:rPr>
          <w:lang w:eastAsia="en-AU"/>
        </w:rPr>
        <w:fldChar w:fldCharType="end"/>
      </w:r>
      <w:r>
        <w:rPr>
          <w:lang w:eastAsia="en-AU"/>
        </w:rPr>
        <w:t xml:space="preserve"> should be modelled to understand how water availability could be affected by projected climate change. This is consistent with the philosophy that all scenarios presented in these guidelines are equally plausible.</w:t>
      </w:r>
    </w:p>
    <w:p w14:paraId="357ED867" w14:textId="77777777" w:rsidR="007B29DD" w:rsidRDefault="007B29DD" w:rsidP="007B29DD">
      <w:pPr>
        <w:pStyle w:val="BodyText"/>
        <w:rPr>
          <w:lang w:eastAsia="en-AU"/>
        </w:rPr>
      </w:pPr>
      <w:r>
        <w:rPr>
          <w:lang w:eastAsia="en-AU"/>
        </w:rPr>
        <w:t xml:space="preserve">To prepare time series data, the scaling process can involve a single, simple adjustment of all sub-daily rainfalls above and below a rainfall threshold with a given return interval, as per Example A in </w:t>
      </w:r>
      <w:r>
        <w:rPr>
          <w:lang w:eastAsia="en-AU"/>
        </w:rPr>
        <w:fldChar w:fldCharType="begin"/>
      </w:r>
      <w:r>
        <w:rPr>
          <w:lang w:eastAsia="en-AU"/>
        </w:rPr>
        <w:instrText xml:space="preserve"> REF _Ref49868173 \h </w:instrText>
      </w:r>
      <w:r>
        <w:rPr>
          <w:lang w:eastAsia="en-AU"/>
        </w:rPr>
      </w:r>
      <w:r>
        <w:rPr>
          <w:lang w:eastAsia="en-AU"/>
        </w:rPr>
        <w:fldChar w:fldCharType="separate"/>
      </w:r>
      <w:r>
        <w:t xml:space="preserve">Figure </w:t>
      </w:r>
      <w:r>
        <w:rPr>
          <w:noProof/>
        </w:rPr>
        <w:t>47</w:t>
      </w:r>
      <w:r>
        <w:rPr>
          <w:lang w:eastAsia="en-AU"/>
        </w:rPr>
        <w:fldChar w:fldCharType="end"/>
      </w:r>
      <w:r>
        <w:rPr>
          <w:lang w:eastAsia="en-AU"/>
        </w:rPr>
        <w:t>. This approach resembles the approach described for daily rainfall and is designed to increase peak rainfall while accounting for projected changes to average annual totals. An iterative process may be required to ensure that the change to the peak 24-hour rainfall is within a feasible band (ideally it should increase by about 5% per degree warming).</w:t>
      </w:r>
    </w:p>
    <w:p w14:paraId="5E40ACCD" w14:textId="77777777" w:rsidR="007B29DD" w:rsidRDefault="007B29DD" w:rsidP="007B29DD">
      <w:pPr>
        <w:pStyle w:val="BodyText"/>
        <w:spacing w:after="0"/>
        <w:rPr>
          <w:lang w:eastAsia="en-AU"/>
        </w:rPr>
      </w:pPr>
      <w:r>
        <w:rPr>
          <w:noProof/>
        </w:rPr>
        <w:lastRenderedPageBreak/>
        <w:drawing>
          <wp:inline distT="0" distB="0" distL="0" distR="0" wp14:anchorId="6EF06971" wp14:editId="686F4EF7">
            <wp:extent cx="5848985" cy="4242512"/>
            <wp:effectExtent l="19050" t="19050" r="18415" b="24765"/>
            <wp:docPr id="34" name="Picture 34" descr="Infographic displaying plausible scenarios for 2040 which combine increases in peak sub-daily rainfall intensity with a low, medium and high climate change projection for average annual rainfall. The resultant scenarios range from a wetter scenario with much higher sub-daily peak rainfall, to a much flashier rainfall scenario where increases in peak sub-daily rainfall are underlain by an overall reduction in average annual rainf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3">
                      <a:extLst>
                        <a:ext uri="{28A0092B-C50C-407E-A947-70E740481C1C}">
                          <a14:useLocalDpi xmlns:a14="http://schemas.microsoft.com/office/drawing/2010/main" val="0"/>
                        </a:ext>
                      </a:extLst>
                    </a:blip>
                    <a:stretch>
                      <a:fillRect/>
                    </a:stretch>
                  </pic:blipFill>
                  <pic:spPr>
                    <a:xfrm>
                      <a:off x="0" y="0"/>
                      <a:ext cx="5878406" cy="4263852"/>
                    </a:xfrm>
                    <a:prstGeom prst="rect">
                      <a:avLst/>
                    </a:prstGeom>
                    <a:ln>
                      <a:solidFill>
                        <a:schemeClr val="bg1">
                          <a:lumMod val="65000"/>
                        </a:schemeClr>
                      </a:solidFill>
                    </a:ln>
                  </pic:spPr>
                </pic:pic>
              </a:graphicData>
            </a:graphic>
          </wp:inline>
        </w:drawing>
      </w:r>
    </w:p>
    <w:p w14:paraId="723215F4" w14:textId="77777777" w:rsidR="007B29DD" w:rsidRDefault="007B29DD" w:rsidP="007B29DD">
      <w:pPr>
        <w:pStyle w:val="Caption"/>
        <w:spacing w:before="0"/>
      </w:pPr>
      <w:bookmarkStart w:id="1092" w:name="_Ref49868114"/>
      <w:bookmarkStart w:id="1093" w:name="_Ref49868105"/>
      <w:bookmarkStart w:id="1094" w:name="_Toc51237522"/>
      <w:bookmarkStart w:id="1095" w:name="_Toc53586037"/>
      <w:bookmarkStart w:id="1096" w:name="_Toc57377288"/>
      <w:r>
        <w:t xml:space="preserve">Figure </w:t>
      </w:r>
      <w:r>
        <w:fldChar w:fldCharType="begin"/>
      </w:r>
      <w:r>
        <w:instrText>SEQ Figure \* ARABIC</w:instrText>
      </w:r>
      <w:r>
        <w:fldChar w:fldCharType="separate"/>
      </w:r>
      <w:r>
        <w:rPr>
          <w:noProof/>
        </w:rPr>
        <w:t>46</w:t>
      </w:r>
      <w:r>
        <w:fldChar w:fldCharType="end"/>
      </w:r>
      <w:bookmarkEnd w:id="1092"/>
      <w:r>
        <w:t xml:space="preserve"> Plausible scenarios of 2040 water availability, coupled with increases in peak sub-daily rainfall</w:t>
      </w:r>
      <w:bookmarkEnd w:id="1093"/>
      <w:bookmarkEnd w:id="1094"/>
      <w:bookmarkEnd w:id="1095"/>
      <w:bookmarkEnd w:id="1096"/>
    </w:p>
    <w:p w14:paraId="0681178C" w14:textId="77777777" w:rsidR="007B29DD" w:rsidRDefault="007B29DD" w:rsidP="007B29DD">
      <w:pPr>
        <w:pStyle w:val="BodyText"/>
        <w:spacing w:after="0"/>
        <w:rPr>
          <w:lang w:eastAsia="en-AU"/>
        </w:rPr>
      </w:pPr>
      <w:r>
        <w:rPr>
          <w:noProof/>
        </w:rPr>
        <w:drawing>
          <wp:inline distT="0" distB="0" distL="0" distR="0" wp14:anchorId="5495807F" wp14:editId="39268413">
            <wp:extent cx="5849393" cy="2880725"/>
            <wp:effectExtent l="19050" t="19050" r="18415" b="15240"/>
            <wp:docPr id="53" name="Picture 53" descr="Two methods to scale sub-hourly rainfall. The method illustrated by Example A makes use of a single scaling factor above and a single scaling factor below a rainfall threshold with a given return interval. Example B makes use of a sliding scale that better preserves rainfall intensities, whereby higher short-duration rainfalls below the cut-off point are mostly pre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04">
                      <a:extLst>
                        <a:ext uri="{28A0092B-C50C-407E-A947-70E740481C1C}">
                          <a14:useLocalDpi xmlns:a14="http://schemas.microsoft.com/office/drawing/2010/main" val="0"/>
                        </a:ext>
                      </a:extLst>
                    </a:blip>
                    <a:stretch>
                      <a:fillRect/>
                    </a:stretch>
                  </pic:blipFill>
                  <pic:spPr>
                    <a:xfrm>
                      <a:off x="0" y="0"/>
                      <a:ext cx="5895664" cy="2903513"/>
                    </a:xfrm>
                    <a:prstGeom prst="rect">
                      <a:avLst/>
                    </a:prstGeom>
                    <a:ln>
                      <a:solidFill>
                        <a:schemeClr val="bg1">
                          <a:lumMod val="65000"/>
                        </a:schemeClr>
                      </a:solidFill>
                    </a:ln>
                  </pic:spPr>
                </pic:pic>
              </a:graphicData>
            </a:graphic>
          </wp:inline>
        </w:drawing>
      </w:r>
    </w:p>
    <w:p w14:paraId="21710A89" w14:textId="77777777" w:rsidR="007B29DD" w:rsidRDefault="007B29DD" w:rsidP="007B29DD">
      <w:pPr>
        <w:pStyle w:val="Caption"/>
        <w:spacing w:before="0"/>
      </w:pPr>
      <w:bookmarkStart w:id="1097" w:name="_Ref49868173"/>
      <w:bookmarkStart w:id="1098" w:name="_Toc51237523"/>
      <w:bookmarkStart w:id="1099" w:name="_Toc53586038"/>
      <w:bookmarkStart w:id="1100" w:name="_Toc57377289"/>
      <w:r>
        <w:t xml:space="preserve">Figure </w:t>
      </w:r>
      <w:r>
        <w:fldChar w:fldCharType="begin"/>
      </w:r>
      <w:r>
        <w:instrText>SEQ Figure \* ARABIC</w:instrText>
      </w:r>
      <w:r>
        <w:fldChar w:fldCharType="separate"/>
      </w:r>
      <w:r>
        <w:rPr>
          <w:noProof/>
        </w:rPr>
        <w:t>47</w:t>
      </w:r>
      <w:r>
        <w:fldChar w:fldCharType="end"/>
      </w:r>
      <w:bookmarkEnd w:id="1097"/>
      <w:r>
        <w:t xml:space="preserve"> Example methods to scale sub-hourly rainfall (Example B after HARC, 2019).</w:t>
      </w:r>
      <w:bookmarkEnd w:id="1098"/>
      <w:bookmarkEnd w:id="1099"/>
      <w:bookmarkEnd w:id="1100"/>
    </w:p>
    <w:p w14:paraId="08ADF7D9" w14:textId="77777777" w:rsidR="007B29DD" w:rsidRDefault="007B29DD" w:rsidP="007B29DD">
      <w:pPr>
        <w:pStyle w:val="BodyText"/>
        <w:rPr>
          <w:lang w:eastAsia="en-AU"/>
        </w:rPr>
      </w:pPr>
      <w:r>
        <w:rPr>
          <w:lang w:eastAsia="en-AU"/>
        </w:rPr>
        <w:t xml:space="preserve">Note to </w:t>
      </w:r>
      <w:r>
        <w:rPr>
          <w:lang w:eastAsia="en-AU"/>
        </w:rPr>
        <w:fldChar w:fldCharType="begin"/>
      </w:r>
      <w:r>
        <w:rPr>
          <w:lang w:eastAsia="en-AU"/>
        </w:rPr>
        <w:instrText xml:space="preserve"> REF _Ref49868173 \h </w:instrText>
      </w:r>
      <w:r>
        <w:rPr>
          <w:lang w:eastAsia="en-AU"/>
        </w:rPr>
      </w:r>
      <w:r>
        <w:rPr>
          <w:lang w:eastAsia="en-AU"/>
        </w:rPr>
        <w:fldChar w:fldCharType="separate"/>
      </w:r>
      <w:r>
        <w:t xml:space="preserve">Figure </w:t>
      </w:r>
      <w:r>
        <w:rPr>
          <w:noProof/>
        </w:rPr>
        <w:t>47</w:t>
      </w:r>
      <w:r>
        <w:rPr>
          <w:lang w:eastAsia="en-AU"/>
        </w:rPr>
        <w:fldChar w:fldCharType="end"/>
      </w:r>
      <w:r>
        <w:rPr>
          <w:lang w:eastAsia="en-AU"/>
        </w:rPr>
        <w:t>: In some scenarios (e.g. low climate change at 2040) “z” could sit above 1.0.</w:t>
      </w:r>
    </w:p>
    <w:p w14:paraId="1509FDA7" w14:textId="77777777" w:rsidR="007B29DD" w:rsidRPr="00915F4E" w:rsidRDefault="007B29DD" w:rsidP="007B29DD">
      <w:pPr>
        <w:pStyle w:val="BodyText"/>
        <w:rPr>
          <w:lang w:eastAsia="en-AU"/>
        </w:rPr>
      </w:pPr>
    </w:p>
    <w:p w14:paraId="3B549D86" w14:textId="77777777" w:rsidR="007B29DD" w:rsidRDefault="007B29DD" w:rsidP="007B29DD">
      <w:pPr>
        <w:pStyle w:val="BodyText"/>
        <w:rPr>
          <w:lang w:eastAsia="en-AU"/>
        </w:rPr>
      </w:pPr>
      <w:r>
        <w:rPr>
          <w:lang w:eastAsia="en-AU"/>
        </w:rPr>
        <w:t>Alternatively, the scaling process can involve applying a sliding scale that better preserves rainfall intensities, whereby higher short-duration rainfalls below the cut-off point are mostly preserved, and very low rainfalls are all but eliminated. This approach can be justified on the basis that the more intense portions of a storm are expected to intensify under climate change (Wasko and Sharma, 2015).</w:t>
      </w:r>
    </w:p>
    <w:p w14:paraId="382BFDD0" w14:textId="77777777" w:rsidR="007B29DD" w:rsidRDefault="007B29DD" w:rsidP="007B29DD">
      <w:pPr>
        <w:pStyle w:val="BodyText"/>
        <w:rPr>
          <w:lang w:eastAsia="en-AU"/>
        </w:rPr>
      </w:pPr>
      <w:r>
        <w:rPr>
          <w:lang w:eastAsia="en-AU"/>
        </w:rPr>
        <w:lastRenderedPageBreak/>
        <w:t>This more complex approach was applied in HARC (2019) using a non-linear function, as per Example B, for the purposes of representing climate change projections for the modelling of Melbourne's sewer network. The scaling factor y was determined based on the applied scaling per degree warming, and the cut-off point x was assumed to be the 99</w:t>
      </w:r>
      <w:r w:rsidRPr="001F50A4">
        <w:rPr>
          <w:vertAlign w:val="superscript"/>
          <w:lang w:eastAsia="en-AU"/>
        </w:rPr>
        <w:t>th</w:t>
      </w:r>
      <w:r>
        <w:rPr>
          <w:lang w:eastAsia="en-AU"/>
        </w:rPr>
        <w:t xml:space="preserve"> percentile of non-zero 30-minute rainfall at several example locations within the study area. HARC (2019) assumed that extreme 30-minute rainfall would increase at 9% per degree warming, consistent with the findings of Wasko et al. (2018). In water supply applications this more complex approach may not be warranted but is provided herein as a proof of concept.</w:t>
      </w:r>
    </w:p>
    <w:p w14:paraId="0AB4F021" w14:textId="77777777" w:rsidR="007B29DD" w:rsidRPr="00E4157B" w:rsidRDefault="007B29DD" w:rsidP="007B29DD">
      <w:pPr>
        <w:pStyle w:val="BodyText"/>
        <w:rPr>
          <w:i/>
          <w:iCs/>
          <w:lang w:eastAsia="en-AU"/>
        </w:rPr>
      </w:pPr>
      <w:r w:rsidRPr="00E4157B">
        <w:rPr>
          <w:i/>
          <w:iCs/>
          <w:lang w:eastAsia="en-AU"/>
        </w:rPr>
        <w:t>Alternative approaches</w:t>
      </w:r>
    </w:p>
    <w:p w14:paraId="5A6CD41D" w14:textId="77777777" w:rsidR="007B29DD" w:rsidRDefault="007B29DD" w:rsidP="007B29DD">
      <w:pPr>
        <w:pStyle w:val="BodyText"/>
      </w:pPr>
      <w:r>
        <w:rPr>
          <w:lang w:eastAsia="en-AU"/>
        </w:rPr>
        <w:t>VCP19 application-ready datasets do not include datasets on a sub-daily time-step and are therefore not available to directly utilise for sub-daily rainfall climate change projections.</w:t>
      </w:r>
    </w:p>
    <w:p w14:paraId="1C124A3C" w14:textId="77777777" w:rsidR="007B29DD" w:rsidRPr="00E44CBB" w:rsidRDefault="007B29DD" w:rsidP="007B29DD">
      <w:pPr>
        <w:pStyle w:val="Heading2"/>
        <w:rPr>
          <w:b/>
          <w:bCs/>
        </w:rPr>
      </w:pPr>
      <w:bookmarkStart w:id="1101" w:name="_Toc38957467"/>
      <w:bookmarkStart w:id="1102" w:name="_Toc43476548"/>
      <w:bookmarkStart w:id="1103" w:name="_Toc44928793"/>
      <w:bookmarkStart w:id="1104" w:name="_Toc51658065"/>
      <w:bookmarkStart w:id="1105" w:name="_Toc53585970"/>
      <w:bookmarkStart w:id="1106" w:name="_Toc57377221"/>
      <w:r w:rsidRPr="00E44CBB">
        <w:rPr>
          <w:b/>
          <w:bCs/>
          <w:color w:val="000000" w:themeColor="text1"/>
        </w:rPr>
        <w:t>B.</w:t>
      </w:r>
      <w:bookmarkEnd w:id="1101"/>
      <w:r w:rsidRPr="00E44CBB">
        <w:rPr>
          <w:b/>
          <w:bCs/>
          <w:color w:val="000000" w:themeColor="text1"/>
        </w:rPr>
        <w:t>8 Supplementary guidance on runoff due to changes in snow cover</w:t>
      </w:r>
      <w:bookmarkEnd w:id="1102"/>
      <w:bookmarkEnd w:id="1103"/>
      <w:bookmarkEnd w:id="1104"/>
      <w:bookmarkEnd w:id="1105"/>
      <w:bookmarkEnd w:id="1106"/>
      <w:r w:rsidRPr="00E44CBB">
        <w:rPr>
          <w:b/>
          <w:bCs/>
          <w:color w:val="000000" w:themeColor="text1"/>
        </w:rPr>
        <w:t xml:space="preserve"> </w:t>
      </w:r>
    </w:p>
    <w:p w14:paraId="04B69048" w14:textId="77777777" w:rsidR="007B29DD" w:rsidRDefault="007B29DD" w:rsidP="007B29DD">
      <w:pPr>
        <w:pStyle w:val="BodyText"/>
        <w:rPr>
          <w:lang w:eastAsia="en-AU"/>
        </w:rPr>
      </w:pPr>
      <w:r>
        <w:rPr>
          <w:lang w:eastAsia="en-AU"/>
        </w:rPr>
        <w:t xml:space="preserve">Section </w:t>
      </w:r>
      <w:r>
        <w:rPr>
          <w:lang w:eastAsia="en-AU"/>
        </w:rPr>
        <w:fldChar w:fldCharType="begin"/>
      </w:r>
      <w:r>
        <w:rPr>
          <w:lang w:eastAsia="en-AU"/>
        </w:rPr>
        <w:instrText xml:space="preserve"> REF _Ref40191133 \r \h </w:instrText>
      </w:r>
      <w:r>
        <w:rPr>
          <w:lang w:eastAsia="en-AU"/>
        </w:rPr>
      </w:r>
      <w:r>
        <w:rPr>
          <w:lang w:eastAsia="en-AU"/>
        </w:rPr>
        <w:fldChar w:fldCharType="separate"/>
      </w:r>
      <w:r>
        <w:rPr>
          <w:lang w:eastAsia="en-AU"/>
        </w:rPr>
        <w:t>5.14.2</w:t>
      </w:r>
      <w:r>
        <w:rPr>
          <w:lang w:eastAsia="en-AU"/>
        </w:rPr>
        <w:fldChar w:fldCharType="end"/>
      </w:r>
      <w:r>
        <w:rPr>
          <w:lang w:eastAsia="en-AU"/>
        </w:rPr>
        <w:t xml:space="preserve"> provided an overview of the guidance on projected changes in runoff due to changes in snow cover under climate change. This appendix provides additional information on adjustments that can be made to the runoff projections if planning decisions may be at risk to changes in the seasonality of runoff associated with changes in snow cover under projected climate change.</w:t>
      </w:r>
    </w:p>
    <w:p w14:paraId="6AC9BB46" w14:textId="77777777" w:rsidR="007B29DD" w:rsidRDefault="007B29DD" w:rsidP="007B29DD">
      <w:pPr>
        <w:pStyle w:val="BodyText"/>
      </w:pPr>
      <w:r>
        <w:t xml:space="preserve">The decision process is shown in </w:t>
      </w:r>
      <w:r>
        <w:fldChar w:fldCharType="begin"/>
      </w:r>
      <w:r>
        <w:instrText xml:space="preserve"> REF _Ref40191461 \h </w:instrText>
      </w:r>
      <w:r>
        <w:fldChar w:fldCharType="separate"/>
      </w:r>
      <w:r>
        <w:t xml:space="preserve">Figure </w:t>
      </w:r>
      <w:r>
        <w:rPr>
          <w:noProof/>
        </w:rPr>
        <w:t>48</w:t>
      </w:r>
      <w:r>
        <w:fldChar w:fldCharType="end"/>
      </w:r>
      <w:r>
        <w:t xml:space="preserve">. </w:t>
      </w:r>
    </w:p>
    <w:p w14:paraId="58225135" w14:textId="77777777" w:rsidR="007B29DD" w:rsidRDefault="007B29DD" w:rsidP="007B29DD">
      <w:pPr>
        <w:pStyle w:val="BodyText"/>
        <w:spacing w:after="0"/>
      </w:pPr>
      <w:r>
        <w:rPr>
          <w:noProof/>
        </w:rPr>
        <w:drawing>
          <wp:inline distT="0" distB="0" distL="0" distR="0" wp14:anchorId="7B36982B" wp14:editId="02445ED7">
            <wp:extent cx="6297931" cy="3214540"/>
            <wp:effectExtent l="19050" t="19050" r="26670" b="24130"/>
            <wp:docPr id="119" name="Picture 119" descr="Infographic displaying the decision-making process for assessing potential risk associated with projected changes in snow cover.&#10;If proportion of surface water supply catchment area with elevation is above 1300 metres above sea level is zero then no separate assessment is required. If more than zero then risk should be considered. If the risk is considered negligible then no further assessment is recommended. If there is non-negligible additional risk then you must quantify th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5431" cy="3218368"/>
                    </a:xfrm>
                    <a:prstGeom prst="rect">
                      <a:avLst/>
                    </a:prstGeom>
                    <a:noFill/>
                    <a:ln>
                      <a:solidFill>
                        <a:schemeClr val="bg1">
                          <a:lumMod val="65000"/>
                        </a:schemeClr>
                      </a:solidFill>
                    </a:ln>
                  </pic:spPr>
                </pic:pic>
              </a:graphicData>
            </a:graphic>
          </wp:inline>
        </w:drawing>
      </w:r>
    </w:p>
    <w:p w14:paraId="379243EF" w14:textId="77777777" w:rsidR="007B29DD" w:rsidRDefault="007B29DD" w:rsidP="007B29DD">
      <w:pPr>
        <w:pStyle w:val="Caption"/>
        <w:keepNext w:val="0"/>
        <w:spacing w:before="0"/>
      </w:pPr>
      <w:bookmarkStart w:id="1107" w:name="_Ref40191461"/>
      <w:bookmarkStart w:id="1108" w:name="_Toc43476618"/>
      <w:bookmarkStart w:id="1109" w:name="_Toc44928861"/>
      <w:bookmarkStart w:id="1110" w:name="_Toc51237524"/>
      <w:bookmarkStart w:id="1111" w:name="_Toc53586039"/>
      <w:bookmarkStart w:id="1112" w:name="_Toc57377290"/>
      <w:r>
        <w:t xml:space="preserve">Figure </w:t>
      </w:r>
      <w:r>
        <w:fldChar w:fldCharType="begin"/>
      </w:r>
      <w:r>
        <w:instrText>SEQ Figure \* ARABIC</w:instrText>
      </w:r>
      <w:r>
        <w:fldChar w:fldCharType="separate"/>
      </w:r>
      <w:r>
        <w:rPr>
          <w:noProof/>
        </w:rPr>
        <w:t>48</w:t>
      </w:r>
      <w:r>
        <w:fldChar w:fldCharType="end"/>
      </w:r>
      <w:bookmarkEnd w:id="1107"/>
      <w:r>
        <w:t xml:space="preserve"> Decision process for assessing the potential risk associated with projected changes in snowfall, snowpack and snowmelt</w:t>
      </w:r>
      <w:bookmarkEnd w:id="1108"/>
      <w:bookmarkEnd w:id="1109"/>
      <w:bookmarkEnd w:id="1110"/>
      <w:bookmarkEnd w:id="1111"/>
      <w:bookmarkEnd w:id="1112"/>
    </w:p>
    <w:p w14:paraId="0144EDF6" w14:textId="77777777" w:rsidR="007B29DD" w:rsidRDefault="007B29DD" w:rsidP="007B29DD">
      <w:pPr>
        <w:pStyle w:val="BodyText"/>
        <w:rPr>
          <w:lang w:eastAsia="en-AU"/>
        </w:rPr>
      </w:pPr>
      <w:r>
        <w:rPr>
          <w:lang w:eastAsia="en-AU"/>
        </w:rPr>
        <w:t xml:space="preserve">In this decision process, where a water supply catchment includes areas above ~1300 metres elevation, a qualitative assessment of the additional risk associated with changes in snowpack can be undertaken. This additional risk is due only to the seasonal shift in runoff from spring to winter associated with changes in the snowpack volume. This risk is over and above any supply system risk attributable to projected changes in total precipitation (i.e. rainfall plus snow) under climate change. </w:t>
      </w:r>
    </w:p>
    <w:p w14:paraId="4C69AA71" w14:textId="77777777" w:rsidR="007B29DD" w:rsidRDefault="007B29DD" w:rsidP="007B29DD">
      <w:pPr>
        <w:pStyle w:val="BodyText"/>
        <w:rPr>
          <w:lang w:eastAsia="en-AU"/>
        </w:rPr>
      </w:pPr>
      <w:r>
        <w:rPr>
          <w:lang w:eastAsia="en-AU"/>
        </w:rPr>
        <w:t xml:space="preserve">In almost all water supply catchments, this additional risk is expected to be negligible because (i) the contributing catchment area covered by snow is small, (ii) projected available surface water in spring under climate change may be well in excess of supply system needs, (iii) under-utilised water entitlements from other sources may be available, (iv) the duration of periods of continuous snowpack accumulation is short, (v) snow depth is already naturally lower and non-existent at lower elevations in drought years, and (vi) more airspace in storages may become available in winter in a drying climate. </w:t>
      </w:r>
    </w:p>
    <w:p w14:paraId="0CBC941C" w14:textId="77777777" w:rsidR="007B29DD" w:rsidRDefault="007B29DD" w:rsidP="007B29DD">
      <w:pPr>
        <w:pStyle w:val="BodyText"/>
        <w:rPr>
          <w:lang w:eastAsia="en-AU"/>
        </w:rPr>
      </w:pPr>
      <w:r>
        <w:rPr>
          <w:lang w:eastAsia="en-AU"/>
        </w:rPr>
        <w:t>By way of example, Gippsland Water (2017) reported no additional risk to its water supply systems on the Tyers and Tanjil Rivers that are partially supplied from Mt Baw Baw, approximately 30 km upstream.</w:t>
      </w:r>
    </w:p>
    <w:p w14:paraId="398ABA0F" w14:textId="77777777" w:rsidR="007B29DD" w:rsidRDefault="007B29DD" w:rsidP="007B29DD">
      <w:pPr>
        <w:pStyle w:val="BodyText"/>
        <w:rPr>
          <w:lang w:eastAsia="en-AU"/>
        </w:rPr>
      </w:pPr>
      <w:r>
        <w:rPr>
          <w:lang w:eastAsia="en-AU"/>
        </w:rPr>
        <w:lastRenderedPageBreak/>
        <w:t>If a non-negligible additional risk is identified for a supply system, a manual adjustment of baseline supply system inflows is recommended to quantify this risk. This adjustment process can be informed by hydrologic advice specific to the location of interest, provided that it is transparently undertaken and reported. As a suggestion, DELWP offers the following process in the absence of specific local and informed hydrologic advice:</w:t>
      </w:r>
    </w:p>
    <w:p w14:paraId="1A109AA8" w14:textId="77777777" w:rsidR="007B29DD" w:rsidRDefault="007B29DD" w:rsidP="007B29DD">
      <w:pPr>
        <w:pStyle w:val="BodyText"/>
        <w:numPr>
          <w:ilvl w:val="0"/>
          <w:numId w:val="55"/>
        </w:numPr>
        <w:rPr>
          <w:lang w:eastAsia="en-AU"/>
        </w:rPr>
      </w:pPr>
      <w:r w:rsidRPr="001F50A4">
        <w:rPr>
          <w:b/>
          <w:bCs/>
          <w:lang w:eastAsia="en-AU"/>
        </w:rPr>
        <w:t>Step 1</w:t>
      </w:r>
      <w:r>
        <w:rPr>
          <w:lang w:eastAsia="en-AU"/>
        </w:rPr>
        <w:t xml:space="preserve"> — Factor supply system inflows for projected changes in runoff (as is done for all surface water systems based on the factors provided in the Guidelines) to assess changes in supply system reliability and yield relative to projected demand under climate change without considering changes in snowpack.</w:t>
      </w:r>
    </w:p>
    <w:p w14:paraId="0A09E445" w14:textId="77777777" w:rsidR="007B29DD" w:rsidRDefault="007B29DD" w:rsidP="007B29DD">
      <w:pPr>
        <w:pStyle w:val="BodyText"/>
        <w:numPr>
          <w:ilvl w:val="0"/>
          <w:numId w:val="55"/>
        </w:numPr>
        <w:rPr>
          <w:lang w:eastAsia="en-AU"/>
        </w:rPr>
      </w:pPr>
      <w:r w:rsidRPr="003B2C38">
        <w:rPr>
          <w:b/>
          <w:bCs/>
          <w:lang w:eastAsia="en-AU"/>
        </w:rPr>
        <w:t>Step 2</w:t>
      </w:r>
      <w:r>
        <w:rPr>
          <w:lang w:eastAsia="en-AU"/>
        </w:rPr>
        <w:t xml:space="preserve"> — Download historical snow depth information from DELWP, by visiting </w:t>
      </w:r>
      <w:hyperlink r:id="rId105" w:history="1">
        <w:r w:rsidRPr="003B2C38">
          <w:rPr>
            <w:rStyle w:val="Hyperlink"/>
          </w:rPr>
          <w:t>https://discover.data.vic.gov.au/</w:t>
        </w:r>
      </w:hyperlink>
      <w:r w:rsidRPr="003B2C38">
        <w:rPr>
          <w:rStyle w:val="Hyperlink"/>
        </w:rPr>
        <w:t xml:space="preserve"> and </w:t>
      </w:r>
      <w:r w:rsidRPr="003B2C38">
        <w:rPr>
          <w:lang w:eastAsia="en-AU"/>
        </w:rPr>
        <w:t>searching</w:t>
      </w:r>
      <w:r>
        <w:rPr>
          <w:lang w:eastAsia="en-AU"/>
        </w:rPr>
        <w:t xml:space="preserve"> for “Victorian alpine resorts” in the search window.</w:t>
      </w:r>
      <w:r>
        <w:t xml:space="preserve"> Then select the resort area that is likely to be representative of changes in snow depth within your water supply catchment, based on its proximity and elevation.</w:t>
      </w:r>
    </w:p>
    <w:p w14:paraId="3886D840" w14:textId="77777777" w:rsidR="007B29DD" w:rsidRDefault="007B29DD" w:rsidP="007B29DD">
      <w:pPr>
        <w:pStyle w:val="BodyText"/>
        <w:numPr>
          <w:ilvl w:val="0"/>
          <w:numId w:val="55"/>
        </w:numPr>
        <w:rPr>
          <w:lang w:eastAsia="en-AU"/>
        </w:rPr>
      </w:pPr>
      <w:r w:rsidRPr="003A2254">
        <w:rPr>
          <w:b/>
          <w:bCs/>
        </w:rPr>
        <w:t>Step 3</w:t>
      </w:r>
      <w:r>
        <w:t xml:space="preserve"> — Identify historic days of snowpack accumulation and depletion over the available period of record. Snow depth data associated with snowmaking is likely to only cover a small area of the natural snowpack extent and can be ignored for the purposes of water supply impact assessment.</w:t>
      </w:r>
    </w:p>
    <w:p w14:paraId="2822D708" w14:textId="77777777" w:rsidR="007B29DD" w:rsidRDefault="007B29DD" w:rsidP="007B29DD">
      <w:pPr>
        <w:pStyle w:val="BodyText"/>
        <w:numPr>
          <w:ilvl w:val="0"/>
          <w:numId w:val="55"/>
        </w:numPr>
        <w:rPr>
          <w:lang w:eastAsia="en-AU"/>
        </w:rPr>
      </w:pPr>
      <w:r w:rsidRPr="003A2254">
        <w:rPr>
          <w:b/>
          <w:bCs/>
        </w:rPr>
        <w:t>Step 4</w:t>
      </w:r>
      <w:r>
        <w:t xml:space="preserve"> — Based on Bhend et al. (2012) it is plausible that snowpack could be non-existent at lower elevation snowfields in Victoria, and reduced by 80–95% at higher elevation snowfields by 2050. For this analysis it can therefore be conservatively assumed that no snow accumulates in Victoria in both 2040 and 2065, acknowledging that this is a likely upper bound on projected impacts. In practice, in future decades some snow will continue to fall, and snowmaking will continue for as long as it is commercially viable to do so.</w:t>
      </w:r>
    </w:p>
    <w:p w14:paraId="5BA02832" w14:textId="77777777" w:rsidR="007B29DD" w:rsidRDefault="007B29DD" w:rsidP="007B29DD">
      <w:pPr>
        <w:pStyle w:val="BodyText"/>
        <w:numPr>
          <w:ilvl w:val="1"/>
          <w:numId w:val="55"/>
        </w:numPr>
        <w:rPr>
          <w:lang w:eastAsia="en-AU"/>
        </w:rPr>
      </w:pPr>
      <w:r>
        <w:t>On days of historical snowpack accumulation over the historic climate reference period, assume that all accumulated snow on that day runs off immediately. The rate of snow to equivalent rainfall can be assumed to be a notional 8% (due to the uncompressed nature of snow) (e.g. from United States Severe Storm Laboratory, 2020). The rate of runoff (as a proportion of precipitation) can be based on historical runoff rates for the streamflow gauge nearest the snowfield of interest. This additional runoff can then be added to the projected streamflow time series.</w:t>
      </w:r>
    </w:p>
    <w:p w14:paraId="2A32DB49" w14:textId="77777777" w:rsidR="007B29DD" w:rsidRDefault="007B29DD" w:rsidP="007B29DD">
      <w:pPr>
        <w:pStyle w:val="BodyText"/>
        <w:numPr>
          <w:ilvl w:val="1"/>
          <w:numId w:val="55"/>
        </w:numPr>
        <w:rPr>
          <w:lang w:eastAsia="en-AU"/>
        </w:rPr>
      </w:pPr>
      <w:r>
        <w:t>On days of historical snowpack depletion over the historic climate reference period, assume that runoff generated from that depletion is no longer available to runoff. These runoff volumes (again assuming a rate of runoff based on historical observations) can then be subtracted from the projected streamflow sequence.</w:t>
      </w:r>
    </w:p>
    <w:p w14:paraId="7C13402E" w14:textId="77777777" w:rsidR="007B29DD" w:rsidRDefault="007B29DD" w:rsidP="007B29DD">
      <w:pPr>
        <w:pStyle w:val="BodyText"/>
        <w:numPr>
          <w:ilvl w:val="0"/>
          <w:numId w:val="55"/>
        </w:numPr>
        <w:rPr>
          <w:lang w:eastAsia="en-AU"/>
        </w:rPr>
      </w:pPr>
      <w:r w:rsidRPr="009806E9">
        <w:rPr>
          <w:b/>
          <w:bCs/>
        </w:rPr>
        <w:t>Step 5</w:t>
      </w:r>
      <w:r>
        <w:t xml:space="preserve"> — Reassess reliability of supply with the adjusted streamflow sequence to quantify an upper bound on the likely additional risk associated with changes to snowfall, snowpack and snowmelt due to climate change.</w:t>
      </w:r>
    </w:p>
    <w:p w14:paraId="09921B8D" w14:textId="77777777" w:rsidR="007B29DD" w:rsidRDefault="007B29DD" w:rsidP="007B29DD">
      <w:pPr>
        <w:pStyle w:val="BodyText"/>
        <w:numPr>
          <w:ilvl w:val="0"/>
          <w:numId w:val="55"/>
        </w:numPr>
        <w:rPr>
          <w:lang w:eastAsia="en-AU"/>
        </w:rPr>
      </w:pPr>
      <w:r w:rsidRPr="009806E9">
        <w:rPr>
          <w:b/>
          <w:bCs/>
        </w:rPr>
        <w:t>Step 6</w:t>
      </w:r>
      <w:r>
        <w:t xml:space="preserve"> — Sensitivity testing can be undertaken on the runoff coefficient and rainfall to snow conversion if desired.</w:t>
      </w:r>
    </w:p>
    <w:p w14:paraId="4537A6FF" w14:textId="77777777" w:rsidR="007B29DD" w:rsidRDefault="007B29DD" w:rsidP="007B29DD">
      <w:pPr>
        <w:pStyle w:val="BodyText"/>
      </w:pPr>
      <w:r>
        <w:t xml:space="preserve">It is acknowledged that the period of available snow depth data may not fully cover the historic climate reference period (or its extended climate sequence), in which case the analysis can be conducted using a shorter period of analysis. Even an analysis in a representative year, such as that illustrated in </w:t>
      </w:r>
      <w:r>
        <w:fldChar w:fldCharType="begin"/>
      </w:r>
      <w:r>
        <w:instrText xml:space="preserve"> REF _Ref40191524 \h </w:instrText>
      </w:r>
      <w:r>
        <w:fldChar w:fldCharType="separate"/>
      </w:r>
      <w:r>
        <w:t xml:space="preserve">Figure </w:t>
      </w:r>
      <w:r>
        <w:rPr>
          <w:noProof/>
        </w:rPr>
        <w:t>49</w:t>
      </w:r>
      <w:r>
        <w:fldChar w:fldCharType="end"/>
      </w:r>
      <w:r>
        <w:t xml:space="preserve"> below, can provide insights about the level of additional risk posed by changes in snow cover.</w:t>
      </w:r>
    </w:p>
    <w:p w14:paraId="09CE0F06" w14:textId="43424211" w:rsidR="007B29DD" w:rsidRDefault="007B29DD" w:rsidP="00821F09">
      <w:pPr>
        <w:spacing w:after="200" w:line="276" w:lineRule="auto"/>
      </w:pPr>
      <w:r>
        <w:t>Where supply system risks are estimated to be high to very high, the option exists to estimate changes in runoff using a rainfall-runoff model that contains a dedicated snow module. There are several such models that exist, such as the “Snowmelt Runoff Model” (Martinec et al., 2008), which links temperature to precipitation and runoff behaviour. This approach is likely to be more accurate than the approach described above, but would involve additional effort that would only be warranted in supply systems identified as likely to be at high to very high risk from changes in snow behaviour.</w:t>
      </w:r>
    </w:p>
    <w:tbl>
      <w:tblPr>
        <w:tblStyle w:val="TableGrid"/>
        <w:tblW w:w="11402" w:type="dxa"/>
        <w:tblBorders>
          <w:top w:val="none" w:sz="0" w:space="0" w:color="auto"/>
          <w:bottom w:val="none" w:sz="0" w:space="0" w:color="auto"/>
          <w:insideH w:val="none" w:sz="0" w:space="0" w:color="auto"/>
        </w:tblBorders>
        <w:tblLook w:val="04A0" w:firstRow="1" w:lastRow="0" w:firstColumn="1" w:lastColumn="0" w:noHBand="0" w:noVBand="1"/>
      </w:tblPr>
      <w:tblGrid>
        <w:gridCol w:w="720"/>
        <w:gridCol w:w="720"/>
        <w:gridCol w:w="511"/>
        <w:gridCol w:w="209"/>
        <w:gridCol w:w="511"/>
        <w:gridCol w:w="720"/>
        <w:gridCol w:w="720"/>
        <w:gridCol w:w="5131"/>
        <w:gridCol w:w="720"/>
        <w:gridCol w:w="1440"/>
      </w:tblGrid>
      <w:tr w:rsidR="007B29DD" w14:paraId="29D5EC46" w14:textId="77777777" w:rsidTr="00306AF1">
        <w:trPr>
          <w:gridAfter w:val="2"/>
          <w:cnfStyle w:val="100000000000" w:firstRow="1" w:lastRow="0" w:firstColumn="0" w:lastColumn="0" w:oddVBand="0" w:evenVBand="0" w:oddHBand="0" w:evenHBand="0" w:firstRowFirstColumn="0" w:firstRowLastColumn="0" w:lastRowFirstColumn="0" w:lastRowLastColumn="0"/>
          <w:wAfter w:w="2160" w:type="dxa"/>
        </w:trPr>
        <w:tc>
          <w:tcPr>
            <w:cnfStyle w:val="000000000100" w:firstRow="0" w:lastRow="0" w:firstColumn="0" w:lastColumn="0" w:oddVBand="0" w:evenVBand="0" w:oddHBand="0" w:evenHBand="0" w:firstRowFirstColumn="1" w:firstRowLastColumn="0" w:lastRowFirstColumn="0" w:lastRowLastColumn="0"/>
            <w:tcW w:w="1951" w:type="dxa"/>
            <w:gridSpan w:val="3"/>
            <w:shd w:val="clear" w:color="auto" w:fill="auto"/>
            <w:hideMark/>
          </w:tcPr>
          <w:p w14:paraId="41231413" w14:textId="77777777" w:rsidR="007B29DD" w:rsidRDefault="007B29DD" w:rsidP="00306AF1">
            <w:pPr>
              <w:rPr>
                <w:b/>
              </w:rPr>
            </w:pPr>
          </w:p>
          <w:p w14:paraId="79C5EDE6" w14:textId="77777777" w:rsidR="007B29DD" w:rsidRDefault="007B29DD" w:rsidP="00306AF1">
            <w:pPr>
              <w:rPr>
                <w:b/>
              </w:rPr>
            </w:pPr>
            <w:r>
              <w:rPr>
                <w:b/>
              </w:rPr>
              <w:t>Step 1</w:t>
            </w:r>
          </w:p>
          <w:p w14:paraId="394477F5" w14:textId="77777777" w:rsidR="007B29DD" w:rsidRDefault="007B29DD" w:rsidP="00306AF1">
            <w:pPr>
              <w:rPr>
                <w:i/>
              </w:rPr>
            </w:pPr>
            <w:r>
              <w:rPr>
                <w:i/>
              </w:rPr>
              <w:t>Factor supply system inflows for projected changes in runoff</w:t>
            </w:r>
          </w:p>
        </w:tc>
        <w:tc>
          <w:tcPr>
            <w:tcW w:w="7291" w:type="dxa"/>
            <w:gridSpan w:val="5"/>
            <w:shd w:val="clear" w:color="auto" w:fill="auto"/>
          </w:tcPr>
          <w:p w14:paraId="12BABEF5" w14:textId="77777777" w:rsidR="007B29DD" w:rsidRDefault="007B29DD" w:rsidP="00306AF1">
            <w:pPr>
              <w:cnfStyle w:val="100000000000" w:firstRow="1" w:lastRow="0" w:firstColumn="0" w:lastColumn="0" w:oddVBand="0" w:evenVBand="0" w:oddHBand="0" w:evenHBand="0" w:firstRowFirstColumn="0" w:firstRowLastColumn="0" w:lastRowFirstColumn="0" w:lastRowLastColumn="0"/>
            </w:pPr>
          </w:p>
          <w:p w14:paraId="213C8563" w14:textId="77777777" w:rsidR="007B29DD" w:rsidRDefault="007B29DD" w:rsidP="00306AF1">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47A7BA5E" wp14:editId="6D88448E">
                  <wp:extent cx="2934335" cy="1924050"/>
                  <wp:effectExtent l="0" t="0" r="0" b="0"/>
                  <wp:docPr id="118" name="Picture 118" descr="Chart demonstrating projected runoff changes (e.g. showing projected runoff under projected rainfall change is lower than runoff under climate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34335" cy="1924050"/>
                          </a:xfrm>
                          <a:prstGeom prst="rect">
                            <a:avLst/>
                          </a:prstGeom>
                          <a:noFill/>
                          <a:ln>
                            <a:noFill/>
                          </a:ln>
                        </pic:spPr>
                      </pic:pic>
                    </a:graphicData>
                  </a:graphic>
                </wp:inline>
              </w:drawing>
            </w:r>
          </w:p>
        </w:tc>
      </w:tr>
      <w:tr w:rsidR="007B29DD" w14:paraId="1DA25F5A" w14:textId="77777777" w:rsidTr="00306AF1">
        <w:trPr>
          <w:gridBefore w:val="1"/>
          <w:gridAfter w:val="1"/>
          <w:wBefore w:w="720" w:type="dxa"/>
          <w:wAfter w:w="1440" w:type="dxa"/>
        </w:trPr>
        <w:tc>
          <w:tcPr>
            <w:tcW w:w="1951" w:type="dxa"/>
            <w:gridSpan w:val="4"/>
            <w:hideMark/>
          </w:tcPr>
          <w:p w14:paraId="0ED613F2" w14:textId="77777777" w:rsidR="007B29DD" w:rsidRDefault="007B29DD" w:rsidP="00306AF1">
            <w:pPr>
              <w:rPr>
                <w:b/>
              </w:rPr>
            </w:pPr>
          </w:p>
          <w:p w14:paraId="45C7EE93" w14:textId="77777777" w:rsidR="007B29DD" w:rsidRDefault="007B29DD" w:rsidP="00306AF1">
            <w:pPr>
              <w:rPr>
                <w:b/>
              </w:rPr>
            </w:pPr>
            <w:r>
              <w:rPr>
                <w:b/>
              </w:rPr>
              <w:t>Step 2</w:t>
            </w:r>
          </w:p>
          <w:p w14:paraId="22185811" w14:textId="77777777" w:rsidR="007B29DD" w:rsidRDefault="007B29DD" w:rsidP="00306AF1">
            <w:pPr>
              <w:rPr>
                <w:i/>
              </w:rPr>
            </w:pPr>
            <w:r>
              <w:rPr>
                <w:i/>
              </w:rPr>
              <w:t>Download historical snow depth information</w:t>
            </w:r>
          </w:p>
        </w:tc>
        <w:tc>
          <w:tcPr>
            <w:tcW w:w="7291" w:type="dxa"/>
            <w:gridSpan w:val="4"/>
            <w:hideMark/>
          </w:tcPr>
          <w:p w14:paraId="1AF755C6" w14:textId="77777777" w:rsidR="007B29DD" w:rsidRDefault="007B29DD" w:rsidP="00306AF1">
            <w:r>
              <w:rPr>
                <w:noProof/>
              </w:rPr>
              <w:drawing>
                <wp:inline distT="0" distB="0" distL="0" distR="0" wp14:anchorId="51810CAF" wp14:editId="59875196">
                  <wp:extent cx="2973705" cy="1939925"/>
                  <wp:effectExtent l="0" t="0" r="0" b="3175"/>
                  <wp:docPr id="636434848" name="Picture 117" descr="Example of chart displaying historical snow depth information over a referenc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07">
                            <a:extLst>
                              <a:ext uri="{28A0092B-C50C-407E-A947-70E740481C1C}">
                                <a14:useLocalDpi xmlns:a14="http://schemas.microsoft.com/office/drawing/2010/main" val="0"/>
                              </a:ext>
                            </a:extLst>
                          </a:blip>
                          <a:stretch>
                            <a:fillRect/>
                          </a:stretch>
                        </pic:blipFill>
                        <pic:spPr>
                          <a:xfrm>
                            <a:off x="0" y="0"/>
                            <a:ext cx="2973705" cy="1939925"/>
                          </a:xfrm>
                          <a:prstGeom prst="rect">
                            <a:avLst/>
                          </a:prstGeom>
                        </pic:spPr>
                      </pic:pic>
                    </a:graphicData>
                  </a:graphic>
                </wp:inline>
              </w:drawing>
            </w:r>
          </w:p>
        </w:tc>
      </w:tr>
      <w:tr w:rsidR="007B29DD" w14:paraId="4C14B994" w14:textId="77777777" w:rsidTr="00306AF1">
        <w:trPr>
          <w:gridBefore w:val="2"/>
          <w:wBefore w:w="1440" w:type="dxa"/>
        </w:trPr>
        <w:tc>
          <w:tcPr>
            <w:tcW w:w="1951" w:type="dxa"/>
            <w:gridSpan w:val="4"/>
            <w:hideMark/>
          </w:tcPr>
          <w:p w14:paraId="7930D20A" w14:textId="77777777" w:rsidR="007B29DD" w:rsidRDefault="007B29DD" w:rsidP="00306AF1">
            <w:pPr>
              <w:rPr>
                <w:b/>
              </w:rPr>
            </w:pPr>
          </w:p>
          <w:p w14:paraId="60F6BB5F" w14:textId="77777777" w:rsidR="007B29DD" w:rsidRDefault="007B29DD" w:rsidP="00306AF1">
            <w:pPr>
              <w:rPr>
                <w:b/>
              </w:rPr>
            </w:pPr>
            <w:r>
              <w:rPr>
                <w:b/>
              </w:rPr>
              <w:t>Step 3</w:t>
            </w:r>
          </w:p>
          <w:p w14:paraId="747F2185" w14:textId="77777777" w:rsidR="007B29DD" w:rsidRDefault="007B29DD" w:rsidP="00306AF1">
            <w:pPr>
              <w:rPr>
                <w:i/>
              </w:rPr>
            </w:pPr>
            <w:r>
              <w:rPr>
                <w:i/>
              </w:rPr>
              <w:t>Identify historic days of snowpack accumulation and depletion</w:t>
            </w:r>
          </w:p>
        </w:tc>
        <w:tc>
          <w:tcPr>
            <w:tcW w:w="7291" w:type="dxa"/>
            <w:gridSpan w:val="4"/>
            <w:hideMark/>
          </w:tcPr>
          <w:p w14:paraId="4C35EEBD" w14:textId="77777777" w:rsidR="007B29DD" w:rsidRDefault="007B29DD" w:rsidP="00306AF1">
            <w:r>
              <w:rPr>
                <w:noProof/>
              </w:rPr>
              <w:drawing>
                <wp:inline distT="0" distB="0" distL="0" distR="0" wp14:anchorId="7DEA4031" wp14:editId="359A07B3">
                  <wp:extent cx="2950210" cy="1932305"/>
                  <wp:effectExtent l="0" t="0" r="2540" b="0"/>
                  <wp:docPr id="1953909283" name="Picture 116" descr="Example of a chart showing the accumulation and depletion of snowpack over a referenc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108">
                            <a:extLst>
                              <a:ext uri="{28A0092B-C50C-407E-A947-70E740481C1C}">
                                <a14:useLocalDpi xmlns:a14="http://schemas.microsoft.com/office/drawing/2010/main" val="0"/>
                              </a:ext>
                            </a:extLst>
                          </a:blip>
                          <a:stretch>
                            <a:fillRect/>
                          </a:stretch>
                        </pic:blipFill>
                        <pic:spPr>
                          <a:xfrm>
                            <a:off x="0" y="0"/>
                            <a:ext cx="2950210" cy="1932305"/>
                          </a:xfrm>
                          <a:prstGeom prst="rect">
                            <a:avLst/>
                          </a:prstGeom>
                        </pic:spPr>
                      </pic:pic>
                    </a:graphicData>
                  </a:graphic>
                </wp:inline>
              </w:drawing>
            </w:r>
          </w:p>
        </w:tc>
      </w:tr>
      <w:tr w:rsidR="007B29DD" w14:paraId="01D4E4B1" w14:textId="77777777" w:rsidTr="00306AF1">
        <w:trPr>
          <w:gridBefore w:val="4"/>
          <w:wBefore w:w="2160" w:type="dxa"/>
        </w:trPr>
        <w:tc>
          <w:tcPr>
            <w:tcW w:w="1951" w:type="dxa"/>
            <w:gridSpan w:val="3"/>
            <w:hideMark/>
          </w:tcPr>
          <w:p w14:paraId="52203257" w14:textId="77777777" w:rsidR="007B29DD" w:rsidRDefault="007B29DD" w:rsidP="00306AF1">
            <w:pPr>
              <w:rPr>
                <w:b/>
              </w:rPr>
            </w:pPr>
          </w:p>
          <w:p w14:paraId="383809B3" w14:textId="77777777" w:rsidR="007B29DD" w:rsidRDefault="007B29DD" w:rsidP="00306AF1">
            <w:pPr>
              <w:rPr>
                <w:b/>
              </w:rPr>
            </w:pPr>
            <w:r>
              <w:rPr>
                <w:b/>
              </w:rPr>
              <w:t>Step 4</w:t>
            </w:r>
          </w:p>
          <w:p w14:paraId="58D8E68D" w14:textId="77777777" w:rsidR="007B29DD" w:rsidRDefault="007B29DD" w:rsidP="00306AF1">
            <w:pPr>
              <w:rPr>
                <w:i/>
              </w:rPr>
            </w:pPr>
            <w:r>
              <w:rPr>
                <w:i/>
              </w:rPr>
              <w:t>Adjust projected streamflow based on the assumption that snowpack accumulation no longer occurs</w:t>
            </w:r>
          </w:p>
        </w:tc>
        <w:tc>
          <w:tcPr>
            <w:tcW w:w="7291" w:type="dxa"/>
            <w:gridSpan w:val="3"/>
            <w:hideMark/>
          </w:tcPr>
          <w:p w14:paraId="141196DA" w14:textId="77777777" w:rsidR="007B29DD" w:rsidRDefault="007B29DD" w:rsidP="00306AF1">
            <w:r>
              <w:rPr>
                <w:noProof/>
              </w:rPr>
              <w:drawing>
                <wp:inline distT="0" distB="0" distL="0" distR="0" wp14:anchorId="05C123B3" wp14:editId="44B519EA">
                  <wp:extent cx="2950210" cy="1932305"/>
                  <wp:effectExtent l="0" t="0" r="2540" b="0"/>
                  <wp:docPr id="1900919035" name="Picture 115" descr="Example chart adjusting projected streamflow that compares projected runoff under projected rainfall change with and without snow cove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109">
                            <a:extLst>
                              <a:ext uri="{28A0092B-C50C-407E-A947-70E740481C1C}">
                                <a14:useLocalDpi xmlns:a14="http://schemas.microsoft.com/office/drawing/2010/main" val="0"/>
                              </a:ext>
                            </a:extLst>
                          </a:blip>
                          <a:stretch>
                            <a:fillRect/>
                          </a:stretch>
                        </pic:blipFill>
                        <pic:spPr>
                          <a:xfrm>
                            <a:off x="0" y="0"/>
                            <a:ext cx="2950210" cy="1932305"/>
                          </a:xfrm>
                          <a:prstGeom prst="rect">
                            <a:avLst/>
                          </a:prstGeom>
                        </pic:spPr>
                      </pic:pic>
                    </a:graphicData>
                  </a:graphic>
                </wp:inline>
              </w:drawing>
            </w:r>
          </w:p>
        </w:tc>
      </w:tr>
    </w:tbl>
    <w:p w14:paraId="5F561651" w14:textId="77777777" w:rsidR="007B29DD" w:rsidRDefault="007B29DD" w:rsidP="007B29DD">
      <w:pPr>
        <w:pStyle w:val="Caption"/>
        <w:keepNext w:val="0"/>
      </w:pPr>
      <w:bookmarkStart w:id="1113" w:name="_Ref40191524"/>
      <w:bookmarkStart w:id="1114" w:name="_Toc43476619"/>
      <w:bookmarkStart w:id="1115" w:name="_Toc44928862"/>
      <w:bookmarkStart w:id="1116" w:name="_Toc51237525"/>
      <w:bookmarkStart w:id="1117" w:name="_Toc53586040"/>
      <w:bookmarkStart w:id="1118" w:name="_Toc57377291"/>
      <w:r>
        <w:t xml:space="preserve">Figure </w:t>
      </w:r>
      <w:r>
        <w:fldChar w:fldCharType="begin"/>
      </w:r>
      <w:r>
        <w:instrText>SEQ Figure \* ARABIC</w:instrText>
      </w:r>
      <w:r>
        <w:fldChar w:fldCharType="separate"/>
      </w:r>
      <w:r>
        <w:rPr>
          <w:noProof/>
        </w:rPr>
        <w:t>49</w:t>
      </w:r>
      <w:r>
        <w:fldChar w:fldCharType="end"/>
      </w:r>
      <w:bookmarkEnd w:id="1113"/>
      <w:r>
        <w:t xml:space="preserve"> Example adjustment of runoff due to projected climate change in rainfall and snow depth</w:t>
      </w:r>
      <w:bookmarkEnd w:id="1114"/>
      <w:bookmarkEnd w:id="1115"/>
      <w:bookmarkEnd w:id="1116"/>
      <w:bookmarkEnd w:id="1117"/>
      <w:bookmarkEnd w:id="1118"/>
    </w:p>
    <w:p w14:paraId="04A30E3A" w14:textId="77777777" w:rsidR="007B29DD" w:rsidRPr="00E44CBB" w:rsidRDefault="007B29DD" w:rsidP="007B29DD">
      <w:pPr>
        <w:pStyle w:val="Heading2"/>
        <w:rPr>
          <w:b/>
          <w:bCs/>
          <w:color w:val="000000" w:themeColor="text1"/>
        </w:rPr>
      </w:pPr>
      <w:bookmarkStart w:id="1119" w:name="_Toc43476549"/>
      <w:bookmarkStart w:id="1120" w:name="_Toc44928794"/>
      <w:bookmarkStart w:id="1121" w:name="_Toc51658066"/>
      <w:bookmarkStart w:id="1122" w:name="_Toc53585971"/>
      <w:bookmarkStart w:id="1123" w:name="_Toc57377222"/>
      <w:r w:rsidRPr="00E44CBB">
        <w:rPr>
          <w:b/>
          <w:bCs/>
          <w:color w:val="000000" w:themeColor="text1"/>
        </w:rPr>
        <w:lastRenderedPageBreak/>
        <w:t>B.9 Additional information on observed shifts in rainfall-runoff behaviour</w:t>
      </w:r>
      <w:bookmarkEnd w:id="1119"/>
      <w:bookmarkEnd w:id="1120"/>
      <w:bookmarkEnd w:id="1121"/>
      <w:bookmarkEnd w:id="1122"/>
      <w:bookmarkEnd w:id="1123"/>
    </w:p>
    <w:p w14:paraId="7E6587A8" w14:textId="77777777" w:rsidR="007B29DD" w:rsidRDefault="007B29DD" w:rsidP="007B29DD">
      <w:pPr>
        <w:pStyle w:val="BodyText"/>
        <w:rPr>
          <w:lang w:eastAsia="en-AU"/>
        </w:rPr>
      </w:pPr>
      <w:r>
        <w:rPr>
          <w:lang w:eastAsia="en-AU"/>
        </w:rPr>
        <w:t>In addition to step changes in observed atmospheric climate influences and variables, t</w:t>
      </w:r>
      <w:r w:rsidRPr="0066125D">
        <w:rPr>
          <w:lang w:eastAsia="en-AU"/>
        </w:rPr>
        <w:t xml:space="preserve">he University of Melbourne </w:t>
      </w:r>
      <w:r>
        <w:rPr>
          <w:lang w:eastAsia="en-AU"/>
        </w:rPr>
        <w:t>has conducted research into recent changes in the rainfall-runoff relationship in Victorian catchments. This research has examined changes in rainfall-runoff behaviour during and after long-run droughts, with a particular emphasis on changes during and since the Millennium Drought. The findings to date (Saft et al., 2015; Saft et al., 2016; Fowler et al., 2016; Fowler et al., 2020) indicate the following:</w:t>
      </w:r>
    </w:p>
    <w:p w14:paraId="181227E7" w14:textId="77777777" w:rsidR="007B29DD" w:rsidRDefault="007B29DD" w:rsidP="007B29DD">
      <w:pPr>
        <w:pStyle w:val="BodyText"/>
        <w:numPr>
          <w:ilvl w:val="0"/>
          <w:numId w:val="56"/>
        </w:numPr>
        <w:rPr>
          <w:lang w:eastAsia="en-AU"/>
        </w:rPr>
      </w:pPr>
      <w:r>
        <w:rPr>
          <w:lang w:eastAsia="en-AU"/>
        </w:rPr>
        <w:t>Some catchments in Victoria exhibited a rainfall-runoff response in long-run droughts (</w:t>
      </w:r>
      <w:r w:rsidRPr="005371AB">
        <w:rPr>
          <w:lang w:eastAsia="en-AU"/>
        </w:rPr>
        <w:t>&gt;</w:t>
      </w:r>
      <w:r>
        <w:rPr>
          <w:lang w:eastAsia="en-AU"/>
        </w:rPr>
        <w:t xml:space="preserve"> 7 years below the average annual rainfall, such as the Millennium Drought), similar to that seen outside of those long-run droughts (see </w:t>
      </w:r>
      <w:r>
        <w:rPr>
          <w:lang w:eastAsia="en-AU"/>
        </w:rPr>
        <w:fldChar w:fldCharType="begin"/>
      </w:r>
      <w:r>
        <w:rPr>
          <w:lang w:eastAsia="en-AU"/>
        </w:rPr>
        <w:instrText xml:space="preserve"> REF _Ref39747280 \h  \* MERGEFORMAT </w:instrText>
      </w:r>
      <w:r>
        <w:rPr>
          <w:lang w:eastAsia="en-AU"/>
        </w:rPr>
      </w:r>
      <w:r>
        <w:rPr>
          <w:lang w:eastAsia="en-AU"/>
        </w:rPr>
        <w:fldChar w:fldCharType="separate"/>
      </w:r>
      <w:r>
        <w:rPr>
          <w:lang w:eastAsia="en-AU"/>
        </w:rPr>
        <w:t>Figure 50</w:t>
      </w:r>
      <w:r>
        <w:rPr>
          <w:lang w:eastAsia="en-AU"/>
        </w:rPr>
        <w:fldChar w:fldCharType="end"/>
      </w:r>
      <w:r>
        <w:rPr>
          <w:lang w:eastAsia="en-AU"/>
        </w:rPr>
        <w:t>a).</w:t>
      </w:r>
    </w:p>
    <w:p w14:paraId="0B9183BD" w14:textId="77777777" w:rsidR="007B29DD" w:rsidRDefault="007B29DD" w:rsidP="007B29DD">
      <w:pPr>
        <w:pStyle w:val="BodyText"/>
        <w:numPr>
          <w:ilvl w:val="0"/>
          <w:numId w:val="56"/>
        </w:numPr>
        <w:rPr>
          <w:lang w:eastAsia="en-AU"/>
        </w:rPr>
      </w:pPr>
      <w:r>
        <w:rPr>
          <w:lang w:eastAsia="en-AU"/>
        </w:rPr>
        <w:t xml:space="preserve">Some catchments exhibited a shift in the historical rainfall-runoff response in long-run droughts (see </w:t>
      </w:r>
      <w:r>
        <w:rPr>
          <w:lang w:eastAsia="en-AU"/>
        </w:rPr>
        <w:fldChar w:fldCharType="begin"/>
      </w:r>
      <w:r>
        <w:rPr>
          <w:lang w:eastAsia="en-AU"/>
        </w:rPr>
        <w:instrText xml:space="preserve"> REF _Ref39747280 \h  \* MERGEFORMAT </w:instrText>
      </w:r>
      <w:r>
        <w:rPr>
          <w:lang w:eastAsia="en-AU"/>
        </w:rPr>
      </w:r>
      <w:r>
        <w:rPr>
          <w:lang w:eastAsia="en-AU"/>
        </w:rPr>
        <w:fldChar w:fldCharType="separate"/>
      </w:r>
      <w:r>
        <w:rPr>
          <w:lang w:eastAsia="en-AU"/>
        </w:rPr>
        <w:t>Figure 50</w:t>
      </w:r>
      <w:r>
        <w:rPr>
          <w:lang w:eastAsia="en-AU"/>
        </w:rPr>
        <w:fldChar w:fldCharType="end"/>
      </w:r>
      <w:r>
        <w:rPr>
          <w:lang w:eastAsia="en-AU"/>
        </w:rPr>
        <w:t>b), whereby less runoff was generated for a given rainfall on a catchment. Of the 124 catchments examined, 57% displayed this behaviour, with a 30–70% reduction in runoff for a given annual rainfall relative to the response for the same rainfall outside of long-run drought periods.</w:t>
      </w:r>
    </w:p>
    <w:p w14:paraId="6877B3B0" w14:textId="77777777" w:rsidR="007B29DD" w:rsidRDefault="007B29DD" w:rsidP="007B29DD">
      <w:pPr>
        <w:pStyle w:val="BodyText"/>
        <w:numPr>
          <w:ilvl w:val="0"/>
          <w:numId w:val="56"/>
        </w:numPr>
        <w:rPr>
          <w:lang w:eastAsia="en-AU"/>
        </w:rPr>
      </w:pPr>
      <w:r>
        <w:rPr>
          <w:lang w:eastAsia="en-AU"/>
        </w:rPr>
        <w:t>Long-term drought is more likely to change the rainfall-runoff relationship in more arid, larger, flatter and less forested catchments. This was independent of any differences in meteorological forcings during these long-run droughts, such as the change in autumn rainfall. This suggests that this change is mostly attributable to catchment characteristics rather than seasonal or annual changes in meteorological forcings, although changes in rainfall from frontal weather systems was implicated in the change in rainfall-runoff relationship (van Rensch, pers. comm. 2020).</w:t>
      </w:r>
    </w:p>
    <w:p w14:paraId="53355275" w14:textId="77777777" w:rsidR="007B29DD" w:rsidRDefault="007B29DD" w:rsidP="007B29DD">
      <w:pPr>
        <w:pStyle w:val="BodyText"/>
        <w:numPr>
          <w:ilvl w:val="0"/>
          <w:numId w:val="56"/>
        </w:numPr>
        <w:rPr>
          <w:lang w:eastAsia="en-AU"/>
        </w:rPr>
      </w:pPr>
      <w:r>
        <w:rPr>
          <w:lang w:eastAsia="en-AU"/>
        </w:rPr>
        <w:t>Where a shift in the rainfall-runoff relationship had occurred, rainfall-runoff models consistently over-estimate runoff during long-run droughts (on average by ~80%). All six rainfall-runoff models examined performed poorly, but IHACRES outperformed all of the other models, with Sacramento and GR4J being better than SMARG, AWBM and SIMHYD.</w:t>
      </w:r>
    </w:p>
    <w:p w14:paraId="3FA94572" w14:textId="77777777" w:rsidR="007B29DD" w:rsidRDefault="007B29DD" w:rsidP="007B29DD">
      <w:pPr>
        <w:pStyle w:val="BodyText"/>
        <w:numPr>
          <w:ilvl w:val="0"/>
          <w:numId w:val="56"/>
        </w:numPr>
        <w:rPr>
          <w:lang w:eastAsia="en-AU"/>
        </w:rPr>
      </w:pPr>
      <w:r>
        <w:rPr>
          <w:lang w:eastAsia="en-AU"/>
        </w:rPr>
        <w:t>A multi-objective optimiser was used to identify the model performance Pareto-front over both dry and non-dry conditions for each r</w:t>
      </w:r>
      <w:r w:rsidRPr="00192F1C">
        <w:rPr>
          <w:lang w:eastAsia="en-AU"/>
        </w:rPr>
        <w:t>ainfall-runoff model</w:t>
      </w:r>
      <w:r>
        <w:rPr>
          <w:lang w:eastAsia="en-AU"/>
        </w:rPr>
        <w:t xml:space="preserve"> </w:t>
      </w:r>
      <w:r w:rsidRPr="00192F1C">
        <w:rPr>
          <w:lang w:eastAsia="en-AU"/>
        </w:rPr>
        <w:t>s</w:t>
      </w:r>
      <w:r>
        <w:rPr>
          <w:lang w:eastAsia="en-AU"/>
        </w:rPr>
        <w:t>tructure.</w:t>
      </w:r>
      <w:r w:rsidRPr="00192F1C">
        <w:rPr>
          <w:lang w:eastAsia="en-AU"/>
        </w:rPr>
        <w:t xml:space="preserve"> </w:t>
      </w:r>
      <w:r>
        <w:rPr>
          <w:lang w:eastAsia="en-AU"/>
        </w:rPr>
        <w:t>I</w:t>
      </w:r>
      <w:r w:rsidRPr="00192F1C">
        <w:rPr>
          <w:lang w:eastAsia="en-AU"/>
        </w:rPr>
        <w:t>n around one third of cases</w:t>
      </w:r>
      <w:r>
        <w:rPr>
          <w:lang w:eastAsia="en-AU"/>
        </w:rPr>
        <w:t>,</w:t>
      </w:r>
      <w:r w:rsidRPr="00192F1C">
        <w:rPr>
          <w:lang w:eastAsia="en-AU"/>
        </w:rPr>
        <w:t xml:space="preserve"> a </w:t>
      </w:r>
      <w:r>
        <w:rPr>
          <w:lang w:eastAsia="en-AU"/>
        </w:rPr>
        <w:t xml:space="preserve">robust </w:t>
      </w:r>
      <w:r w:rsidRPr="00192F1C">
        <w:rPr>
          <w:lang w:eastAsia="en-AU"/>
        </w:rPr>
        <w:t xml:space="preserve">parameter set suitable for both dry and non-dry periods could be found using traditional model calibration techniques. In the other two thirds of cases, traditional model calibration techniques </w:t>
      </w:r>
      <w:r>
        <w:rPr>
          <w:lang w:eastAsia="en-AU"/>
        </w:rPr>
        <w:t>did</w:t>
      </w:r>
      <w:r w:rsidRPr="00192F1C">
        <w:rPr>
          <w:lang w:eastAsia="en-AU"/>
        </w:rPr>
        <w:t xml:space="preserve"> not find a parameter set that could match both dry and/or non-dry period behaviour well. However, in half of these cases a robust parameter set capable of matching both periods </w:t>
      </w:r>
      <w:r>
        <w:rPr>
          <w:lang w:eastAsia="en-AU"/>
        </w:rPr>
        <w:t xml:space="preserve">did </w:t>
      </w:r>
      <w:r w:rsidRPr="00192F1C">
        <w:rPr>
          <w:lang w:eastAsia="en-AU"/>
        </w:rPr>
        <w:t xml:space="preserve">exist within the model but was not identified using traditional model calibration techniques. This suggests that in two thirds of cases rainfall-runoff models can suitably replicate both dry and/or non-dry period behaviour with a single parameter set, but identifying the appropriate parameter set to achieve this is difficult. Whereas in one third of cases no single parameter set existed </w:t>
      </w:r>
      <w:r>
        <w:rPr>
          <w:lang w:eastAsia="en-AU"/>
        </w:rPr>
        <w:t xml:space="preserve">within the model structure </w:t>
      </w:r>
      <w:r w:rsidRPr="00192F1C">
        <w:rPr>
          <w:lang w:eastAsia="en-AU"/>
        </w:rPr>
        <w:t>that could suitably replicate both dry and/or non-dry period behaviour well.</w:t>
      </w:r>
    </w:p>
    <w:p w14:paraId="5BD9F251" w14:textId="77777777" w:rsidR="007B29DD" w:rsidRDefault="007B29DD" w:rsidP="007B29DD">
      <w:pPr>
        <w:pStyle w:val="BodyText"/>
        <w:numPr>
          <w:ilvl w:val="0"/>
          <w:numId w:val="56"/>
        </w:numPr>
        <w:rPr>
          <w:lang w:eastAsia="en-AU"/>
        </w:rPr>
      </w:pPr>
      <w:r>
        <w:rPr>
          <w:lang w:eastAsia="en-AU"/>
        </w:rPr>
        <w:t>Many rainfall-runoff models lack the ability to represent long, slow, multi-year trends, like the Millennium Drought, within their modelled water stores. These stores generally fill and empty over the seasonal cycle and do not accumulate extended moisture deficits within the model over several years. This hampers their ability to model under progressively drying conditions.</w:t>
      </w:r>
    </w:p>
    <w:p w14:paraId="5331E757" w14:textId="71D6F2D3" w:rsidR="007B29DD" w:rsidRDefault="007B29DD" w:rsidP="00B04F7A">
      <w:pPr>
        <w:spacing w:after="0"/>
      </w:pPr>
      <w:r w:rsidRPr="002111BA">
        <w:rPr>
          <w:noProof/>
        </w:rPr>
        <w:drawing>
          <wp:inline distT="0" distB="0" distL="0" distR="0" wp14:anchorId="0E0978FB" wp14:editId="2867ABA8">
            <wp:extent cx="5086262" cy="1573267"/>
            <wp:effectExtent l="19050" t="19050" r="19685" b="27305"/>
            <wp:docPr id="1311563978" name="Picture 3" descr="Side by side plots for Myrtle Creek and Sunday Creek showing precipitation and runoff during the Millennium Drought, relative to the historic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5111766" cy="1581156"/>
                    </a:xfrm>
                    <a:prstGeom prst="rect">
                      <a:avLst/>
                    </a:prstGeom>
                    <a:noFill/>
                    <a:ln w="9525">
                      <a:solidFill>
                        <a:schemeClr val="bg1">
                          <a:lumMod val="65000"/>
                        </a:schemeClr>
                      </a:solidFill>
                      <a:miter lim="800000"/>
                      <a:headEnd/>
                      <a:tailEnd/>
                    </a:ln>
                  </pic:spPr>
                </pic:pic>
              </a:graphicData>
            </a:graphic>
          </wp:inline>
        </w:drawing>
      </w:r>
    </w:p>
    <w:p w14:paraId="3C84CD3F" w14:textId="1D5CEF1B" w:rsidR="007B29DD" w:rsidRDefault="00B04F7A" w:rsidP="00B04F7A">
      <w:pPr>
        <w:pStyle w:val="Caption"/>
        <w:spacing w:before="0" w:after="0"/>
      </w:pPr>
      <w:bookmarkStart w:id="1124" w:name="_Ref39747280"/>
      <w:bookmarkStart w:id="1125" w:name="_Toc43476620"/>
      <w:bookmarkStart w:id="1126" w:name="_Toc44928863"/>
      <w:bookmarkStart w:id="1127" w:name="_Toc51237526"/>
      <w:bookmarkStart w:id="1128" w:name="_Toc53586041"/>
      <w:bookmarkStart w:id="1129" w:name="_Toc57377292"/>
      <w:r>
        <w:t>F</w:t>
      </w:r>
      <w:r w:rsidR="007B29DD">
        <w:t xml:space="preserve">igure </w:t>
      </w:r>
      <w:r w:rsidR="007B29DD">
        <w:fldChar w:fldCharType="begin"/>
      </w:r>
      <w:r w:rsidR="007B29DD">
        <w:instrText>SEQ Figure \* ARABIC</w:instrText>
      </w:r>
      <w:r w:rsidR="007B29DD">
        <w:fldChar w:fldCharType="separate"/>
      </w:r>
      <w:r w:rsidR="007B29DD">
        <w:rPr>
          <w:noProof/>
        </w:rPr>
        <w:t>50</w:t>
      </w:r>
      <w:r w:rsidR="007B29DD">
        <w:fldChar w:fldCharType="end"/>
      </w:r>
      <w:bookmarkEnd w:id="1124"/>
      <w:r w:rsidR="007B29DD" w:rsidRPr="00FD1259">
        <w:t xml:space="preserve"> </w:t>
      </w:r>
      <w:r w:rsidR="007B29DD">
        <w:t>Box-Cox transformed annual runoff (Q) versus annual precipitation (P) for a 7 year dry period during the Millennium Drought relative to the historical record for two catchments (a and b) from Saft et al. (2015)</w:t>
      </w:r>
      <w:bookmarkEnd w:id="1125"/>
      <w:bookmarkEnd w:id="1126"/>
      <w:bookmarkEnd w:id="1127"/>
      <w:bookmarkEnd w:id="1128"/>
      <w:bookmarkEnd w:id="1129"/>
    </w:p>
    <w:p w14:paraId="4DC2BF28" w14:textId="77777777" w:rsidR="007B29DD" w:rsidRPr="00910CBA" w:rsidRDefault="007B29DD" w:rsidP="007B29DD">
      <w:pPr>
        <w:pStyle w:val="BodyText"/>
        <w:rPr>
          <w:lang w:eastAsia="en-AU"/>
        </w:rPr>
      </w:pPr>
    </w:p>
    <w:p w14:paraId="432C3022" w14:textId="77777777" w:rsidR="007B29DD" w:rsidRDefault="007B29DD" w:rsidP="007B29DD">
      <w:pPr>
        <w:pStyle w:val="BodyText"/>
      </w:pPr>
      <w:r>
        <w:lastRenderedPageBreak/>
        <w:t xml:space="preserve">The implications of this research, which is still ongoing, is that water availability during long-run droughts may be significantly over-estimated where that water availability has been estimated from rainfall-runoff models. Under climate change, where long-run droughts are considered likely to occur more frequently, rainfall-runoff models that do not perform well during historic long-run droughts may also over-estimate future water availability. </w:t>
      </w:r>
    </w:p>
    <w:p w14:paraId="113F5096" w14:textId="77777777" w:rsidR="007B29DD" w:rsidRDefault="007B29DD" w:rsidP="007B29DD">
      <w:pPr>
        <w:pStyle w:val="BodyText"/>
      </w:pPr>
      <w:r>
        <w:t>The SYMHYD rainfall-runoff models used to develop the projections in these guidelines were calibrated to a period that includes both before and during the Millennium Drought. To what extent they have represented the shift in relationship observed in some catchments is the subject of ongoing study, which is not yet available to summarise here. Any relevant conclusions from this work will be provided, as appropriate, to users of the guidelines as they become available.</w:t>
      </w:r>
    </w:p>
    <w:p w14:paraId="691F6CA6" w14:textId="6A506810" w:rsidR="006164AB" w:rsidRDefault="006164AB" w:rsidP="0090788B">
      <w:pPr>
        <w:autoSpaceDE w:val="0"/>
        <w:autoSpaceDN w:val="0"/>
        <w:adjustRightInd w:val="0"/>
        <w:spacing w:after="0" w:line="240" w:lineRule="auto"/>
        <w:rPr>
          <w:lang w:eastAsia="en-AU"/>
        </w:rPr>
      </w:pPr>
      <w:r>
        <w:rPr>
          <w:rFonts w:ascii="CIDFont+F1" w:hAnsi="CIDFont+F1" w:cs="CIDFont+F1"/>
          <w:sz w:val="20"/>
          <w:szCs w:val="20"/>
        </w:rPr>
        <w:t xml:space="preserve">More information about this research is outlined in </w:t>
      </w:r>
      <w:r w:rsidRPr="0090788B">
        <w:rPr>
          <w:rFonts w:ascii="CIDFont+F5" w:hAnsi="CIDFont+F5" w:cs="CIDFont+F5"/>
          <w:i/>
          <w:iCs/>
          <w:sz w:val="20"/>
          <w:szCs w:val="20"/>
        </w:rPr>
        <w:t>Victoria’s Water in a Changing Climate</w:t>
      </w:r>
      <w:r>
        <w:rPr>
          <w:rFonts w:ascii="CIDFont+F5" w:hAnsi="CIDFont+F5" w:cs="CIDFont+F5"/>
          <w:sz w:val="20"/>
          <w:szCs w:val="20"/>
        </w:rPr>
        <w:t xml:space="preserve"> </w:t>
      </w:r>
      <w:r>
        <w:rPr>
          <w:rFonts w:ascii="CIDFont+F1" w:hAnsi="CIDFont+F1" w:cs="CIDFont+F1"/>
          <w:sz w:val="20"/>
          <w:szCs w:val="20"/>
        </w:rPr>
        <w:t>(DELWP et al.,</w:t>
      </w:r>
      <w:r w:rsidR="00C43698">
        <w:rPr>
          <w:rFonts w:ascii="CIDFont+F1" w:hAnsi="CIDFont+F1" w:cs="CIDFont+F1"/>
          <w:sz w:val="20"/>
          <w:szCs w:val="20"/>
        </w:rPr>
        <w:t xml:space="preserve"> </w:t>
      </w:r>
      <w:r>
        <w:rPr>
          <w:rFonts w:ascii="CIDFont+F1" w:hAnsi="CIDFont+F1" w:cs="CIDFont+F1"/>
          <w:sz w:val="20"/>
          <w:szCs w:val="20"/>
        </w:rPr>
        <w:t>2020).</w:t>
      </w:r>
    </w:p>
    <w:p w14:paraId="450341DD" w14:textId="77777777" w:rsidR="007B29DD" w:rsidRPr="00E44CBB" w:rsidRDefault="007B29DD" w:rsidP="007B29DD">
      <w:pPr>
        <w:pStyle w:val="Heading2"/>
        <w:rPr>
          <w:b/>
          <w:bCs/>
          <w:color w:val="000000" w:themeColor="text1"/>
        </w:rPr>
      </w:pPr>
      <w:bookmarkStart w:id="1130" w:name="_Toc43476550"/>
      <w:bookmarkStart w:id="1131" w:name="_Toc44928795"/>
      <w:bookmarkStart w:id="1132" w:name="_Toc51658067"/>
      <w:bookmarkStart w:id="1133" w:name="_Toc53585972"/>
      <w:bookmarkStart w:id="1134" w:name="_Toc57377223"/>
      <w:r w:rsidRPr="00E44CBB">
        <w:rPr>
          <w:b/>
          <w:bCs/>
          <w:color w:val="000000" w:themeColor="text1"/>
        </w:rPr>
        <w:t>B.10 Additional information on groundwater recharge processes</w:t>
      </w:r>
      <w:bookmarkEnd w:id="1130"/>
      <w:bookmarkEnd w:id="1131"/>
      <w:bookmarkEnd w:id="1132"/>
      <w:bookmarkEnd w:id="1133"/>
      <w:bookmarkEnd w:id="1134"/>
    </w:p>
    <w:p w14:paraId="29029E0B" w14:textId="77777777" w:rsidR="007B29DD" w:rsidRPr="00E44CBB" w:rsidRDefault="007B29DD" w:rsidP="007B29DD">
      <w:pPr>
        <w:pStyle w:val="Heading3"/>
        <w:rPr>
          <w:b/>
          <w:bCs/>
          <w:color w:val="000000" w:themeColor="text1"/>
        </w:rPr>
      </w:pPr>
      <w:bookmarkStart w:id="1135" w:name="_Toc43476551"/>
      <w:bookmarkStart w:id="1136" w:name="_Toc44928796"/>
      <w:bookmarkStart w:id="1137" w:name="_Toc51658068"/>
      <w:bookmarkStart w:id="1138" w:name="_Toc53585973"/>
      <w:bookmarkStart w:id="1139" w:name="_Toc57377224"/>
      <w:r w:rsidRPr="00E44CBB">
        <w:rPr>
          <w:b/>
          <w:bCs/>
          <w:color w:val="000000" w:themeColor="text1"/>
        </w:rPr>
        <w:t>B.10.1 Influence of climate on groundwater resources</w:t>
      </w:r>
      <w:bookmarkEnd w:id="1135"/>
      <w:bookmarkEnd w:id="1136"/>
      <w:bookmarkEnd w:id="1137"/>
      <w:bookmarkEnd w:id="1138"/>
      <w:bookmarkEnd w:id="1139"/>
    </w:p>
    <w:p w14:paraId="6475CEE8" w14:textId="77777777" w:rsidR="007B29DD" w:rsidRPr="00291878" w:rsidRDefault="007B29DD" w:rsidP="007B29DD">
      <w:pPr>
        <w:pStyle w:val="BodyText"/>
        <w:rPr>
          <w:rFonts w:eastAsia="Arial"/>
        </w:rPr>
      </w:pPr>
      <w:r w:rsidRPr="4EB2DA53">
        <w:rPr>
          <w:rFonts w:eastAsia="Arial"/>
        </w:rPr>
        <w:t xml:space="preserve">Climate change processes will affect groundwater resources through changes in frequency, duration and quantity of rainfall and evapotranspiration. The combined impact of </w:t>
      </w:r>
      <w:r>
        <w:rPr>
          <w:rFonts w:eastAsia="Arial"/>
        </w:rPr>
        <w:t xml:space="preserve">(i) </w:t>
      </w:r>
      <w:r w:rsidRPr="4EB2DA53">
        <w:rPr>
          <w:rFonts w:eastAsia="Arial"/>
        </w:rPr>
        <w:t xml:space="preserve">potential increased storm event intensity, </w:t>
      </w:r>
      <w:r>
        <w:rPr>
          <w:rFonts w:eastAsia="Arial"/>
        </w:rPr>
        <w:t xml:space="preserve">(ii) </w:t>
      </w:r>
      <w:r w:rsidRPr="4EB2DA53">
        <w:rPr>
          <w:rFonts w:eastAsia="Arial"/>
        </w:rPr>
        <w:t xml:space="preserve">altered seasonality of rainfall and </w:t>
      </w:r>
      <w:r>
        <w:rPr>
          <w:rFonts w:eastAsia="Arial"/>
        </w:rPr>
        <w:t xml:space="preserve">(iii) </w:t>
      </w:r>
      <w:r w:rsidRPr="4EB2DA53">
        <w:rPr>
          <w:rFonts w:eastAsia="Arial"/>
        </w:rPr>
        <w:t>reduced annual rainfall volumes affects groundwater resources differently depending on the recharge mechanisms for the aquifer.</w:t>
      </w:r>
    </w:p>
    <w:p w14:paraId="168F7BFE" w14:textId="77777777" w:rsidR="007B29DD" w:rsidRPr="00291878" w:rsidRDefault="007B29DD" w:rsidP="007B29DD">
      <w:pPr>
        <w:pStyle w:val="BodyText"/>
      </w:pPr>
      <w:r w:rsidRPr="538CAE81">
        <w:rPr>
          <w:rFonts w:eastAsia="Arial"/>
        </w:rPr>
        <w:t>For watertable aquifers dependent on diffuse recharge (from infiltration of rain through the unsaturated zone profile to the watertable)</w:t>
      </w:r>
      <w:r>
        <w:rPr>
          <w:rFonts w:eastAsia="Arial"/>
        </w:rPr>
        <w:t>,</w:t>
      </w:r>
      <w:r w:rsidRPr="538CAE81">
        <w:rPr>
          <w:rFonts w:eastAsia="Arial"/>
        </w:rPr>
        <w:t xml:space="preserve"> the change in frequency, duration and seasonality of the rainfall will potentially reduce recharge rates. </w:t>
      </w:r>
    </w:p>
    <w:p w14:paraId="19946D5B" w14:textId="77777777" w:rsidR="007B29DD" w:rsidRPr="00291878" w:rsidRDefault="007B29DD" w:rsidP="007B29DD">
      <w:pPr>
        <w:pStyle w:val="BodyText"/>
      </w:pPr>
      <w:r w:rsidRPr="538CAE81">
        <w:rPr>
          <w:rFonts w:eastAsia="Arial"/>
        </w:rPr>
        <w:t>For confined aquifer systems, the recharge areas in outcropping aquifers will similarly be affected</w:t>
      </w:r>
      <w:r w:rsidRPr="538CAE81">
        <w:rPr>
          <w:rFonts w:eastAsia="Arial"/>
          <w:i/>
          <w:iCs/>
        </w:rPr>
        <w:t>.</w:t>
      </w:r>
      <w:r w:rsidRPr="538CAE81">
        <w:rPr>
          <w:rFonts w:eastAsia="Arial"/>
        </w:rPr>
        <w:t xml:space="preserve"> Throughflow to the deep confined parts of the aquifers would obviously take much longer (hundreds to thousands of years) so that changes in contemp</w:t>
      </w:r>
      <w:r>
        <w:rPr>
          <w:rFonts w:eastAsia="Arial"/>
        </w:rPr>
        <w:t>or</w:t>
      </w:r>
      <w:r w:rsidRPr="538CAE81">
        <w:rPr>
          <w:rFonts w:eastAsia="Arial"/>
        </w:rPr>
        <w:t xml:space="preserve">ary recharge won’t as yet be seen in these systems. </w:t>
      </w:r>
    </w:p>
    <w:p w14:paraId="6E340ABB" w14:textId="77777777" w:rsidR="007B29DD" w:rsidRDefault="007B29DD" w:rsidP="007B29DD">
      <w:pPr>
        <w:pStyle w:val="BodyText"/>
        <w:rPr>
          <w:rFonts w:eastAsia="Arial"/>
        </w:rPr>
      </w:pPr>
      <w:r w:rsidRPr="538CAE81">
        <w:rPr>
          <w:rFonts w:eastAsia="Arial"/>
        </w:rPr>
        <w:t xml:space="preserve">In some groundwater systems, such as in western Victoria, it is likely that the systems contain waters recharged millions of years ago, with little contemporary or recent recharge to the system. It is appropriate for systems such as this to assume either no contemporary recharge or very low recharge rates (&lt; 10 mm/yr), where the groundwater response is showing no response to recent (post-1975) climate conditions. </w:t>
      </w:r>
    </w:p>
    <w:p w14:paraId="5D8C9D7F" w14:textId="77777777" w:rsidR="007B29DD" w:rsidRPr="00E44CBB" w:rsidRDefault="007B29DD" w:rsidP="007B29DD">
      <w:pPr>
        <w:pStyle w:val="Heading3"/>
        <w:rPr>
          <w:b/>
          <w:bCs/>
          <w:color w:val="000000" w:themeColor="text1"/>
        </w:rPr>
      </w:pPr>
      <w:bookmarkStart w:id="1140" w:name="_Toc43476552"/>
      <w:bookmarkStart w:id="1141" w:name="_Toc44928797"/>
      <w:bookmarkStart w:id="1142" w:name="_Toc51658069"/>
      <w:bookmarkStart w:id="1143" w:name="_Toc53585974"/>
      <w:bookmarkStart w:id="1144" w:name="_Toc57377225"/>
      <w:r w:rsidRPr="00E44CBB">
        <w:rPr>
          <w:b/>
          <w:bCs/>
          <w:color w:val="000000" w:themeColor="text1"/>
        </w:rPr>
        <w:t>B.10.2 Dominant recharge mechanisms for Victoria’s groundwater systems</w:t>
      </w:r>
      <w:bookmarkEnd w:id="1140"/>
      <w:bookmarkEnd w:id="1141"/>
      <w:bookmarkEnd w:id="1142"/>
      <w:bookmarkEnd w:id="1143"/>
      <w:bookmarkEnd w:id="1144"/>
    </w:p>
    <w:p w14:paraId="7682EAD3" w14:textId="77777777" w:rsidR="007B29DD" w:rsidRPr="00291878" w:rsidRDefault="007B29DD" w:rsidP="007B29DD">
      <w:pPr>
        <w:pStyle w:val="BodyText"/>
        <w:rPr>
          <w:rFonts w:eastAsia="Arial"/>
        </w:rPr>
      </w:pPr>
      <w:r w:rsidRPr="538CAE81">
        <w:rPr>
          <w:rFonts w:eastAsia="Arial"/>
        </w:rPr>
        <w:t>Recharge can occur through diffuse mechanisms (over large areas in response to rainfall infiltrating the soil) and focused mechanisms (the movement of water from surface water bodies such as lakes or streams to an underlying aquifer) (</w:t>
      </w:r>
      <w:r>
        <w:rPr>
          <w:rFonts w:eastAsia="Arial"/>
        </w:rPr>
        <w:fldChar w:fldCharType="begin"/>
      </w:r>
      <w:r>
        <w:rPr>
          <w:rFonts w:eastAsia="Arial"/>
        </w:rPr>
        <w:instrText xml:space="preserve"> REF _Ref42704701 \h </w:instrText>
      </w:r>
      <w:r>
        <w:rPr>
          <w:rFonts w:eastAsia="Arial"/>
        </w:rPr>
      </w:r>
      <w:r>
        <w:rPr>
          <w:rFonts w:eastAsia="Arial"/>
        </w:rPr>
        <w:fldChar w:fldCharType="separate"/>
      </w:r>
      <w:r>
        <w:t xml:space="preserve">Figure </w:t>
      </w:r>
      <w:r>
        <w:rPr>
          <w:noProof/>
        </w:rPr>
        <w:t>51</w:t>
      </w:r>
      <w:r>
        <w:rPr>
          <w:rFonts w:eastAsia="Arial"/>
        </w:rPr>
        <w:fldChar w:fldCharType="end"/>
      </w:r>
      <w:r w:rsidRPr="538CAE81">
        <w:rPr>
          <w:rFonts w:eastAsia="Arial"/>
        </w:rPr>
        <w:t>). Diffuse and focused recharge varies temporally and spatially, and systematic trends are often linked to climate, land use and geology.</w:t>
      </w:r>
    </w:p>
    <w:p w14:paraId="17778AC1" w14:textId="77777777" w:rsidR="007B29DD" w:rsidRPr="00F02C11" w:rsidRDefault="007B29DD" w:rsidP="007B29DD">
      <w:pPr>
        <w:pStyle w:val="BodyText"/>
        <w:rPr>
          <w:rFonts w:eastAsia="Arial"/>
        </w:rPr>
      </w:pPr>
      <w:r w:rsidRPr="538CAE81">
        <w:rPr>
          <w:rFonts w:eastAsia="Arial"/>
        </w:rPr>
        <w:t>Many groundwater systems have been assessed to determine the availability of the resource for use. These assessments have independently determined recharge for areas of intensive use. Some of these assessments include both diffuse recharge, and irrigation accessions and/or flood recharge, all of which influence the groundwater system response.</w:t>
      </w:r>
    </w:p>
    <w:p w14:paraId="6012C961" w14:textId="77777777" w:rsidR="007B29DD" w:rsidRPr="00E44CBB" w:rsidRDefault="007B29DD" w:rsidP="007B29DD">
      <w:pPr>
        <w:pStyle w:val="Heading3"/>
        <w:rPr>
          <w:b/>
          <w:bCs/>
          <w:color w:val="000000" w:themeColor="text1"/>
        </w:rPr>
      </w:pPr>
      <w:bookmarkStart w:id="1145" w:name="_Toc43476553"/>
      <w:bookmarkStart w:id="1146" w:name="_Toc44928798"/>
      <w:bookmarkStart w:id="1147" w:name="_Toc51658070"/>
      <w:bookmarkStart w:id="1148" w:name="_Toc53585975"/>
      <w:bookmarkStart w:id="1149" w:name="_Toc57377226"/>
      <w:r w:rsidRPr="00E44CBB">
        <w:rPr>
          <w:b/>
          <w:bCs/>
          <w:color w:val="000000" w:themeColor="text1"/>
        </w:rPr>
        <w:t>B.10.3 Influence of rainfall quantum, intensity and timing</w:t>
      </w:r>
      <w:bookmarkEnd w:id="1145"/>
      <w:bookmarkEnd w:id="1146"/>
      <w:bookmarkEnd w:id="1147"/>
      <w:bookmarkEnd w:id="1148"/>
      <w:bookmarkEnd w:id="1149"/>
    </w:p>
    <w:p w14:paraId="4BC48214" w14:textId="77777777" w:rsidR="007B29DD" w:rsidRPr="00291878" w:rsidRDefault="007B29DD" w:rsidP="007B29DD">
      <w:pPr>
        <w:pStyle w:val="BodyText"/>
        <w:rPr>
          <w:rFonts w:eastAsia="Arial"/>
        </w:rPr>
      </w:pPr>
      <w:r w:rsidRPr="538CAE81">
        <w:rPr>
          <w:rFonts w:eastAsia="Arial"/>
        </w:rPr>
        <w:t>Groundwater recharge is a ‘threshold’ process with a minimum amount of rainfall required to generate any recharge. In Victoria, groundwater recharge is most significant during winter and spring. During these seasons</w:t>
      </w:r>
      <w:r>
        <w:rPr>
          <w:rFonts w:eastAsia="Arial"/>
        </w:rPr>
        <w:t>,</w:t>
      </w:r>
      <w:r w:rsidRPr="538CAE81">
        <w:rPr>
          <w:rFonts w:eastAsia="Arial"/>
        </w:rPr>
        <w:t xml:space="preserve"> rainfall can maintain a higher moisture content in the soil profile to facilitate recharge to the watertable. During summer and autumn, evaporation rates exceed precipitation and so do not generally facilitate recharge events.</w:t>
      </w:r>
    </w:p>
    <w:p w14:paraId="4CBF0C10" w14:textId="77777777" w:rsidR="007B29DD" w:rsidRPr="00291878" w:rsidRDefault="007B29DD" w:rsidP="007B29DD">
      <w:pPr>
        <w:pStyle w:val="BodyText"/>
      </w:pPr>
      <w:r w:rsidRPr="538CAE81">
        <w:rPr>
          <w:rFonts w:eastAsia="Arial"/>
        </w:rPr>
        <w:t>In arid and semi-arid regions</w:t>
      </w:r>
      <w:r>
        <w:rPr>
          <w:rFonts w:eastAsia="Arial"/>
        </w:rPr>
        <w:t>,</w:t>
      </w:r>
      <w:r w:rsidRPr="538CAE81">
        <w:rPr>
          <w:rFonts w:eastAsia="Arial"/>
        </w:rPr>
        <w:t xml:space="preserve"> such as in north-western Victoria</w:t>
      </w:r>
      <w:r>
        <w:rPr>
          <w:rFonts w:eastAsia="Arial"/>
        </w:rPr>
        <w:t>,</w:t>
      </w:r>
      <w:r w:rsidRPr="538CAE81">
        <w:rPr>
          <w:rFonts w:eastAsia="Arial"/>
        </w:rPr>
        <w:t xml:space="preserve"> it is storm events that provide the driving force for recharge events. Some studies indicate that intense daily rainfall for a period of 100 days is required for recharge to occur (Crosbie et al., 2013), with a minimum daily threshold of 10 mm/day. Other studies indicate that a 100 mm/month is required in arid regions. Most literature agrees that the annual rainfall total does not drive recharge</w:t>
      </w:r>
      <w:r>
        <w:rPr>
          <w:rFonts w:eastAsia="Arial"/>
        </w:rPr>
        <w:t>,</w:t>
      </w:r>
      <w:r w:rsidRPr="538CAE81">
        <w:rPr>
          <w:rFonts w:eastAsia="Arial"/>
        </w:rPr>
        <w:t xml:space="preserve"> but the seasonality and intensity of it does.</w:t>
      </w:r>
    </w:p>
    <w:p w14:paraId="583E90A3" w14:textId="77777777" w:rsidR="007B29DD" w:rsidRPr="00291878" w:rsidRDefault="007B29DD" w:rsidP="007B29DD">
      <w:pPr>
        <w:pStyle w:val="BodyText"/>
      </w:pPr>
      <w:r w:rsidRPr="538CAE81">
        <w:rPr>
          <w:rFonts w:eastAsia="Arial"/>
        </w:rPr>
        <w:lastRenderedPageBreak/>
        <w:t>Empirical evidence in some Victorian catchments indicates that approximately 350 mm/yr of rainfall is required for significant recharge to occur. This aligns with current knowledge about Victorian groundwater systems. There has not been any study into the influence of storm events on recharge to provide guidance on minimum rainfall within hourly or daily time periods to inform these guidelines (Barron et al., 2011).</w:t>
      </w:r>
    </w:p>
    <w:p w14:paraId="733F9A59" w14:textId="77777777" w:rsidR="007B29DD" w:rsidRPr="00291878" w:rsidRDefault="007B29DD" w:rsidP="007B29DD">
      <w:pPr>
        <w:pStyle w:val="BodyText"/>
        <w:rPr>
          <w:rFonts w:eastAsia="Arial"/>
        </w:rPr>
      </w:pPr>
    </w:p>
    <w:p w14:paraId="6A114011" w14:textId="77777777" w:rsidR="007B29DD" w:rsidRDefault="007B29DD" w:rsidP="00CF7E0D">
      <w:pPr>
        <w:spacing w:after="0"/>
      </w:pPr>
      <w:r>
        <w:rPr>
          <w:noProof/>
        </w:rPr>
        <w:drawing>
          <wp:inline distT="0" distB="0" distL="0" distR="0" wp14:anchorId="7E5A5850" wp14:editId="1AD22425">
            <wp:extent cx="6007996" cy="4253405"/>
            <wp:effectExtent l="19050" t="19050" r="12065" b="13970"/>
            <wp:docPr id="13" name="Picture 13" descr="Graphic showing diffuse and focused recharge processes in an exampl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19379" cy="4261464"/>
                    </a:xfrm>
                    <a:prstGeom prst="rect">
                      <a:avLst/>
                    </a:prstGeom>
                    <a:ln>
                      <a:solidFill>
                        <a:schemeClr val="bg1">
                          <a:lumMod val="65000"/>
                        </a:schemeClr>
                      </a:solidFill>
                    </a:ln>
                  </pic:spPr>
                </pic:pic>
              </a:graphicData>
            </a:graphic>
          </wp:inline>
        </w:drawing>
      </w:r>
    </w:p>
    <w:p w14:paraId="32D3B035" w14:textId="77777777" w:rsidR="007B29DD" w:rsidRPr="00291878" w:rsidRDefault="007B29DD" w:rsidP="007B29DD">
      <w:pPr>
        <w:pStyle w:val="Caption"/>
        <w:spacing w:before="0"/>
      </w:pPr>
      <w:bookmarkStart w:id="1150" w:name="_Ref42704701"/>
      <w:bookmarkStart w:id="1151" w:name="_Toc43476621"/>
      <w:bookmarkStart w:id="1152" w:name="_Toc44928864"/>
      <w:bookmarkStart w:id="1153" w:name="_Toc51237527"/>
      <w:bookmarkStart w:id="1154" w:name="_Toc53586042"/>
      <w:bookmarkStart w:id="1155" w:name="_Toc57377293"/>
      <w:r>
        <w:t xml:space="preserve">Figure </w:t>
      </w:r>
      <w:r>
        <w:fldChar w:fldCharType="begin"/>
      </w:r>
      <w:r>
        <w:instrText>SEQ Figure \* ARABIC</w:instrText>
      </w:r>
      <w:r>
        <w:fldChar w:fldCharType="separate"/>
      </w:r>
      <w:r>
        <w:rPr>
          <w:noProof/>
        </w:rPr>
        <w:t>51</w:t>
      </w:r>
      <w:r>
        <w:fldChar w:fldCharType="end"/>
      </w:r>
      <w:bookmarkEnd w:id="1150"/>
      <w:r>
        <w:t xml:space="preserve"> Conceptual diagram showing diffuse and focused recharge processes</w:t>
      </w:r>
      <w:bookmarkEnd w:id="1151"/>
      <w:bookmarkEnd w:id="1152"/>
      <w:bookmarkEnd w:id="1153"/>
      <w:bookmarkEnd w:id="1154"/>
      <w:bookmarkEnd w:id="1155"/>
    </w:p>
    <w:p w14:paraId="7E1BA788" w14:textId="77777777" w:rsidR="007B29DD" w:rsidRPr="006E06D9" w:rsidRDefault="007B29DD" w:rsidP="007B29DD">
      <w:pPr>
        <w:pStyle w:val="BodyText"/>
        <w:rPr>
          <w:lang w:eastAsia="en-AU"/>
        </w:rPr>
      </w:pPr>
    </w:p>
    <w:p w14:paraId="05F71B26" w14:textId="77777777" w:rsidR="007B29DD" w:rsidRPr="00E44CBB" w:rsidRDefault="007B29DD" w:rsidP="007B29DD">
      <w:pPr>
        <w:pStyle w:val="Heading3"/>
        <w:rPr>
          <w:b/>
          <w:bCs/>
          <w:color w:val="000000" w:themeColor="text1"/>
        </w:rPr>
      </w:pPr>
      <w:bookmarkStart w:id="1156" w:name="_Toc43476554"/>
      <w:bookmarkStart w:id="1157" w:name="_Toc44928799"/>
      <w:bookmarkStart w:id="1158" w:name="_Toc51658071"/>
      <w:bookmarkStart w:id="1159" w:name="_Toc53585976"/>
      <w:bookmarkStart w:id="1160" w:name="_Toc57377227"/>
      <w:r w:rsidRPr="00E44CBB">
        <w:rPr>
          <w:b/>
          <w:bCs/>
          <w:color w:val="000000" w:themeColor="text1"/>
        </w:rPr>
        <w:t xml:space="preserve">B.10.4 </w:t>
      </w:r>
      <w:r w:rsidRPr="00E44CBB">
        <w:rPr>
          <w:rFonts w:eastAsia="Arial"/>
          <w:b/>
          <w:bCs/>
          <w:color w:val="000000" w:themeColor="text1"/>
        </w:rPr>
        <w:t>Projected changes in recharge due to climate change</w:t>
      </w:r>
      <w:bookmarkEnd w:id="1156"/>
      <w:bookmarkEnd w:id="1157"/>
      <w:bookmarkEnd w:id="1158"/>
      <w:bookmarkEnd w:id="1159"/>
      <w:bookmarkEnd w:id="1160"/>
      <w:r w:rsidRPr="00E44CBB">
        <w:rPr>
          <w:rFonts w:eastAsia="Arial"/>
          <w:b/>
          <w:bCs/>
          <w:color w:val="000000" w:themeColor="text1"/>
        </w:rPr>
        <w:t xml:space="preserve"> </w:t>
      </w:r>
    </w:p>
    <w:p w14:paraId="73D93554" w14:textId="77777777" w:rsidR="007B29DD" w:rsidRPr="00291878" w:rsidRDefault="007B29DD" w:rsidP="007B29DD">
      <w:pPr>
        <w:pStyle w:val="BodyText"/>
        <w:rPr>
          <w:rFonts w:eastAsia="Arial"/>
        </w:rPr>
      </w:pPr>
      <w:r w:rsidRPr="538CAE81">
        <w:rPr>
          <w:rFonts w:eastAsia="Arial"/>
        </w:rPr>
        <w:t>Reductions in winter rainfall when diffuse recharge occurs will impact on recharge in the longer term (hundreds of years).</w:t>
      </w:r>
    </w:p>
    <w:p w14:paraId="6EDFBE04" w14:textId="77777777" w:rsidR="007B29DD" w:rsidRPr="00291878" w:rsidRDefault="007B29DD" w:rsidP="007B29DD">
      <w:pPr>
        <w:pStyle w:val="BodyText"/>
      </w:pPr>
      <w:r w:rsidRPr="538CAE81">
        <w:rPr>
          <w:rFonts w:eastAsia="Arial"/>
        </w:rPr>
        <w:t>Increased summer rainfall is unlikely to increase recharge but may reduce extraction rates in areas of groundwater use (i.e. in dryland agricultural areas or where farm dams are used) thereby reducing declines in groundwater levels.</w:t>
      </w:r>
    </w:p>
    <w:p w14:paraId="18898BE1" w14:textId="77777777" w:rsidR="007B29DD" w:rsidRDefault="007B29DD" w:rsidP="007B29DD">
      <w:pPr>
        <w:pStyle w:val="BodyText"/>
        <w:rPr>
          <w:rFonts w:eastAsia="Arial"/>
        </w:rPr>
      </w:pPr>
      <w:r w:rsidRPr="538CAE81">
        <w:rPr>
          <w:rFonts w:eastAsia="Arial"/>
        </w:rPr>
        <w:t>Reductions in annual rainfall may affect groundwater recharge occurrence in those catchments with low annual rainfall where it may drop below the 350 mm/yr threshold.</w:t>
      </w:r>
    </w:p>
    <w:p w14:paraId="6FC7E3EB" w14:textId="77777777" w:rsidR="007B29DD" w:rsidRDefault="007B29DD" w:rsidP="007B29DD">
      <w:pPr>
        <w:pStyle w:val="BodyText"/>
        <w:rPr>
          <w:rFonts w:eastAsia="Arial"/>
        </w:rPr>
      </w:pPr>
    </w:p>
    <w:p w14:paraId="627F9C84" w14:textId="77777777" w:rsidR="007B29DD" w:rsidRPr="00E44CBB" w:rsidRDefault="007B29DD" w:rsidP="007B29DD">
      <w:pPr>
        <w:pStyle w:val="Heading8"/>
        <w:framePr w:wrap="around"/>
        <w:rPr>
          <w:color w:val="000000" w:themeColor="text1"/>
        </w:rPr>
      </w:pPr>
      <w:bookmarkStart w:id="1161" w:name="_Ref50629404"/>
      <w:bookmarkStart w:id="1162" w:name="_Toc51658072"/>
      <w:bookmarkStart w:id="1163" w:name="_Toc53585977"/>
      <w:bookmarkStart w:id="1164" w:name="_Toc57377228"/>
      <w:r w:rsidRPr="00E44CBB">
        <w:rPr>
          <w:color w:val="000000" w:themeColor="text1"/>
        </w:rPr>
        <w:lastRenderedPageBreak/>
        <w:t>Guidelines version log</w:t>
      </w:r>
      <w:bookmarkEnd w:id="1161"/>
      <w:bookmarkEnd w:id="1162"/>
      <w:bookmarkEnd w:id="1163"/>
      <w:bookmarkEnd w:id="1164"/>
    </w:p>
    <w:p w14:paraId="54A44E64" w14:textId="3840A6E9" w:rsidR="007B29DD" w:rsidRDefault="007B29DD" w:rsidP="007B29DD">
      <w:pPr>
        <w:pStyle w:val="BodyText"/>
        <w:rPr>
          <w:rFonts w:eastAsia="Arial"/>
        </w:rPr>
      </w:pPr>
      <w:r>
        <w:rPr>
          <w:rFonts w:eastAsia="Arial"/>
        </w:rPr>
        <w:t>The following table tracks minor and major updates to the guidelines, commencing from the November 2020</w:t>
      </w:r>
      <w:r w:rsidR="00F8469B">
        <w:rPr>
          <w:rFonts w:eastAsia="Arial"/>
        </w:rPr>
        <w:t xml:space="preserve"> edition</w:t>
      </w:r>
      <w:r>
        <w:rPr>
          <w:rFonts w:eastAsia="Arial"/>
        </w:rPr>
        <w:t>.</w:t>
      </w:r>
    </w:p>
    <w:p w14:paraId="3E603562" w14:textId="77777777" w:rsidR="007B29DD" w:rsidRDefault="007B29DD" w:rsidP="007B29DD">
      <w:pPr>
        <w:pStyle w:val="Caption"/>
        <w:rPr>
          <w:rFonts w:eastAsia="Arial"/>
        </w:rPr>
      </w:pPr>
      <w:bookmarkStart w:id="1165" w:name="_Toc51237476"/>
      <w:bookmarkStart w:id="1166" w:name="_Toc53585991"/>
      <w:bookmarkStart w:id="1167" w:name="_Toc57377242"/>
      <w:r>
        <w:t xml:space="preserve">Table </w:t>
      </w:r>
      <w:r>
        <w:fldChar w:fldCharType="begin"/>
      </w:r>
      <w:r>
        <w:instrText>SEQ Table \* ARABIC</w:instrText>
      </w:r>
      <w:r>
        <w:fldChar w:fldCharType="separate"/>
      </w:r>
      <w:r>
        <w:rPr>
          <w:noProof/>
        </w:rPr>
        <w:t>14</w:t>
      </w:r>
      <w:r>
        <w:fldChar w:fldCharType="end"/>
      </w:r>
      <w:r>
        <w:t xml:space="preserve"> </w:t>
      </w:r>
      <w:r>
        <w:rPr>
          <w:rFonts w:eastAsia="Arial"/>
        </w:rPr>
        <w:t>‘Guidelines for Assessing the Impact of Climate Change on Water Availability in Victoria’ — Version log</w:t>
      </w:r>
      <w:bookmarkEnd w:id="1165"/>
      <w:bookmarkEnd w:id="1166"/>
      <w:bookmarkEnd w:id="1167"/>
    </w:p>
    <w:tbl>
      <w:tblPr>
        <w:tblStyle w:val="TableGrid"/>
        <w:tblW w:w="0" w:type="auto"/>
        <w:tblLook w:val="04A0" w:firstRow="1" w:lastRow="0" w:firstColumn="1" w:lastColumn="0" w:noHBand="0" w:noVBand="1"/>
      </w:tblPr>
      <w:tblGrid>
        <w:gridCol w:w="2127"/>
        <w:gridCol w:w="4299"/>
        <w:gridCol w:w="1796"/>
      </w:tblGrid>
      <w:tr w:rsidR="007B29DD" w14:paraId="10C52531" w14:textId="77777777" w:rsidTr="00A91BE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shd w:val="clear" w:color="auto" w:fill="D0CECE" w:themeFill="background2" w:themeFillShade="E6"/>
          </w:tcPr>
          <w:p w14:paraId="0BECCF64" w14:textId="77777777" w:rsidR="007B29DD" w:rsidRDefault="007B29DD" w:rsidP="00306AF1">
            <w:pPr>
              <w:pStyle w:val="BodyText"/>
              <w:rPr>
                <w:rFonts w:eastAsia="Arial"/>
              </w:rPr>
            </w:pPr>
            <w:r>
              <w:rPr>
                <w:rFonts w:eastAsia="Arial"/>
              </w:rPr>
              <w:t>Version</w:t>
            </w:r>
          </w:p>
        </w:tc>
        <w:tc>
          <w:tcPr>
            <w:tcW w:w="4299" w:type="dxa"/>
            <w:shd w:val="clear" w:color="auto" w:fill="D0CECE" w:themeFill="background2" w:themeFillShade="E6"/>
          </w:tcPr>
          <w:p w14:paraId="16DCDA31" w14:textId="77777777" w:rsidR="007B29DD" w:rsidRDefault="007B29DD" w:rsidP="00306AF1">
            <w:pPr>
              <w:pStyle w:val="BodyText"/>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Details</w:t>
            </w:r>
          </w:p>
        </w:tc>
        <w:tc>
          <w:tcPr>
            <w:tcW w:w="1796" w:type="dxa"/>
            <w:shd w:val="clear" w:color="auto" w:fill="D0CECE" w:themeFill="background2" w:themeFillShade="E6"/>
          </w:tcPr>
          <w:p w14:paraId="31AB3962" w14:textId="77777777" w:rsidR="007B29DD" w:rsidRDefault="007B29DD" w:rsidP="00306AF1">
            <w:pPr>
              <w:pStyle w:val="BodyText"/>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Date issued</w:t>
            </w:r>
          </w:p>
        </w:tc>
      </w:tr>
      <w:tr w:rsidR="007B29DD" w14:paraId="12603C9A" w14:textId="77777777" w:rsidTr="00306AF1">
        <w:tc>
          <w:tcPr>
            <w:tcW w:w="2127" w:type="dxa"/>
          </w:tcPr>
          <w:p w14:paraId="7630924D" w14:textId="77777777" w:rsidR="007B29DD" w:rsidRDefault="007B29DD" w:rsidP="00306AF1">
            <w:pPr>
              <w:pStyle w:val="BodyText"/>
              <w:rPr>
                <w:rFonts w:eastAsia="Arial"/>
              </w:rPr>
            </w:pPr>
            <w:r>
              <w:rPr>
                <w:rFonts w:eastAsia="Arial"/>
              </w:rPr>
              <w:t>Final, 2020 edition</w:t>
            </w:r>
          </w:p>
        </w:tc>
        <w:tc>
          <w:tcPr>
            <w:tcW w:w="4299" w:type="dxa"/>
          </w:tcPr>
          <w:p w14:paraId="40699B71" w14:textId="77777777" w:rsidR="007B29DD" w:rsidRDefault="007B29DD" w:rsidP="00306AF1">
            <w:pPr>
              <w:pStyle w:val="BodyText"/>
              <w:rPr>
                <w:rFonts w:eastAsia="Arial"/>
              </w:rPr>
            </w:pPr>
            <w:r>
              <w:rPr>
                <w:rFonts w:eastAsia="Arial"/>
              </w:rPr>
              <w:t xml:space="preserve">Edition to update and replace the </w:t>
            </w:r>
            <w:r w:rsidRPr="006D1643">
              <w:rPr>
                <w:rFonts w:eastAsia="Arial"/>
                <w:i/>
                <w:iCs/>
              </w:rPr>
              <w:t>Guidelines for assessing the impact of Climate Chane on Water Supplies in Victoria</w:t>
            </w:r>
            <w:r>
              <w:rPr>
                <w:rFonts w:eastAsia="Arial"/>
              </w:rPr>
              <w:t xml:space="preserve"> (DELWP, 2016).</w:t>
            </w:r>
          </w:p>
        </w:tc>
        <w:tc>
          <w:tcPr>
            <w:tcW w:w="1796" w:type="dxa"/>
          </w:tcPr>
          <w:p w14:paraId="2E7D277A" w14:textId="77777777" w:rsidR="007B29DD" w:rsidRDefault="007B29DD" w:rsidP="00306AF1">
            <w:pPr>
              <w:pStyle w:val="BodyText"/>
              <w:rPr>
                <w:rFonts w:eastAsia="Arial"/>
              </w:rPr>
            </w:pPr>
            <w:r>
              <w:rPr>
                <w:rFonts w:eastAsia="Arial"/>
              </w:rPr>
              <w:t>November 2020</w:t>
            </w:r>
          </w:p>
        </w:tc>
      </w:tr>
    </w:tbl>
    <w:p w14:paraId="694F2DD7" w14:textId="77777777" w:rsidR="00C4219A" w:rsidRDefault="00C4219A"/>
    <w:sectPr w:rsidR="00C421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88102" w14:textId="77777777" w:rsidR="005242E9" w:rsidRDefault="005242E9" w:rsidP="007B29DD">
      <w:pPr>
        <w:spacing w:after="0" w:line="240" w:lineRule="auto"/>
      </w:pPr>
      <w:r>
        <w:separator/>
      </w:r>
    </w:p>
  </w:endnote>
  <w:endnote w:type="continuationSeparator" w:id="0">
    <w:p w14:paraId="00FD8E9A" w14:textId="77777777" w:rsidR="005242E9" w:rsidRDefault="005242E9" w:rsidP="007B29DD">
      <w:pPr>
        <w:spacing w:after="0" w:line="240" w:lineRule="auto"/>
      </w:pPr>
      <w:r>
        <w:continuationSeparator/>
      </w:r>
    </w:p>
  </w:endnote>
  <w:endnote w:type="continuationNotice" w:id="1">
    <w:p w14:paraId="337C53CB" w14:textId="77777777" w:rsidR="005242E9" w:rsidRDefault="00524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06AF1" w14:paraId="0F1B14E5" w14:textId="77777777" w:rsidTr="00306AF1">
      <w:trPr>
        <w:trHeight w:val="397"/>
      </w:trPr>
      <w:tc>
        <w:tcPr>
          <w:tcW w:w="340" w:type="dxa"/>
        </w:tcPr>
        <w:p w14:paraId="49265AD4" w14:textId="77777777" w:rsidR="00306AF1" w:rsidRPr="00D55628" w:rsidRDefault="00306AF1" w:rsidP="00306AF1">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5F775859" w14:textId="77777777" w:rsidR="00306AF1" w:rsidRDefault="00306AF1" w:rsidP="00306AF1">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Guidelines for Assessing the Impact of Climate Change on Water Availability in Victoria</w:t>
          </w:r>
          <w:r>
            <w:rPr>
              <w:rStyle w:val="Bold"/>
            </w:rPr>
            <w:fldChar w:fldCharType="end"/>
          </w:r>
        </w:p>
        <w:p w14:paraId="0085264D" w14:textId="77777777" w:rsidR="00306AF1" w:rsidRPr="00810C40" w:rsidRDefault="006C5210" w:rsidP="00306AF1">
          <w:pPr>
            <w:pStyle w:val="FooterEven"/>
          </w:pPr>
          <w:r>
            <w:fldChar w:fldCharType="begin"/>
          </w:r>
          <w:r>
            <w:instrText>DOCPROPERTY  xFooterSubtitle  \* MERGEFORMAT</w:instrText>
          </w:r>
          <w:r>
            <w:fldChar w:fldCharType="separate"/>
          </w:r>
          <w:r w:rsidR="00306AF1">
            <w:t>Final, November 2020</w:t>
          </w:r>
          <w:r>
            <w:fldChar w:fldCharType="end"/>
          </w:r>
        </w:p>
      </w:tc>
    </w:tr>
  </w:tbl>
  <w:p w14:paraId="1CFD3C28" w14:textId="77777777" w:rsidR="00306AF1" w:rsidRDefault="00306AF1" w:rsidP="00306AF1">
    <w:pPr>
      <w:pStyle w:val="FooterEven"/>
    </w:pPr>
    <w:r w:rsidRPr="00D55628">
      <w:rPr>
        <w:noProof/>
      </w:rPr>
      <mc:AlternateContent>
        <mc:Choice Requires="wps">
          <w:drawing>
            <wp:anchor distT="0" distB="0" distL="114300" distR="114300" simplePos="0" relativeHeight="251658241" behindDoc="1" locked="1" layoutInCell="1" allowOverlap="1" wp14:anchorId="6EFF9F93" wp14:editId="2462FFBC">
              <wp:simplePos x="0" y="0"/>
              <wp:positionH relativeFrom="page">
                <wp:align>center</wp:align>
              </wp:positionH>
              <wp:positionV relativeFrom="page">
                <wp:align>center</wp:align>
              </wp:positionV>
              <wp:extent cx="7560000" cy="1796400"/>
              <wp:effectExtent l="0" t="0" r="0" b="0"/>
              <wp:wrapNone/>
              <wp:docPr id="55"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CE63"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F9F93" id="_x0000_t202" coordsize="21600,21600" o:spt="202" path="m,l,21600r21600,l21600,xe">
              <v:stroke joinstyle="miter"/>
              <v:path gradientshapeok="t" o:connecttype="rect"/>
            </v:shapetype>
            <v:shape id="Text Box 224" o:spid="_x0000_s1026"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BpuDAn0AQAAygMAAA4AAAAAAAAAAAAAAAAALgIAAGRycy9l&#10;Mm9Eb2MueG1sUEsBAi0AFAAGAAgAAAAhADTFRM7bAAAABgEAAA8AAAAAAAAAAAAAAAAATgQAAGRy&#10;cy9kb3ducmV2LnhtbFBLBQYAAAAABAAEAPMAAABWBQAAAAA=&#10;" filled="f" stroked="f">
              <v:textbox>
                <w:txbxContent>
                  <w:p w14:paraId="16BCCE63"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9F99AE4" w14:textId="77777777" w:rsidR="00306AF1" w:rsidRPr="00211CA6" w:rsidRDefault="00306AF1" w:rsidP="00306A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06AF1" w14:paraId="2D92AD30" w14:textId="77777777" w:rsidTr="00306AF1">
      <w:trPr>
        <w:trHeight w:val="397"/>
      </w:trPr>
      <w:tc>
        <w:tcPr>
          <w:tcW w:w="9071" w:type="dxa"/>
        </w:tcPr>
        <w:p w14:paraId="29466B42" w14:textId="6FA3A751" w:rsidR="00306AF1" w:rsidRDefault="00B96E93" w:rsidP="00306AF1">
          <w:pPr>
            <w:pStyle w:val="FooterOdd"/>
            <w:rPr>
              <w:rStyle w:val="Bold"/>
            </w:rPr>
          </w:pPr>
          <w:r>
            <w:rPr>
              <w:b/>
              <w:noProof/>
            </w:rPr>
            <mc:AlternateContent>
              <mc:Choice Requires="wps">
                <w:drawing>
                  <wp:anchor distT="0" distB="0" distL="114300" distR="114300" simplePos="0" relativeHeight="251659270" behindDoc="0" locked="0" layoutInCell="0" allowOverlap="1" wp14:anchorId="7456B407" wp14:editId="0E049C28">
                    <wp:simplePos x="0" y="0"/>
                    <wp:positionH relativeFrom="page">
                      <wp:align>center</wp:align>
                    </wp:positionH>
                    <wp:positionV relativeFrom="page">
                      <wp:align>bottom</wp:align>
                    </wp:positionV>
                    <wp:extent cx="7772400" cy="463550"/>
                    <wp:effectExtent l="0" t="0" r="0" b="12700"/>
                    <wp:wrapNone/>
                    <wp:docPr id="1" name="MSIPCMd0f1487c97dc2a77a462011c"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03CF2D" w14:textId="00C1C750" w:rsidR="00B96E93" w:rsidRPr="00B96E93" w:rsidRDefault="00B96E93" w:rsidP="00B96E93">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56B407" id="_x0000_t202" coordsize="21600,21600" o:spt="202" path="m,l,21600r21600,l21600,xe">
                    <v:stroke joinstyle="miter"/>
                    <v:path gradientshapeok="t" o:connecttype="rect"/>
                  </v:shapetype>
                  <v:shape id="MSIPCMd0f1487c97dc2a77a462011c" o:spid="_x0000_s1027"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59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MnTsq2sAgAAWAUAAA4AAAAAAAAAAAAA&#10;AAAALgIAAGRycy9lMm9Eb2MueG1sUEsBAi0AFAAGAAgAAAAhAL4fCrfaAAAABQEAAA8AAAAAAAAA&#10;AAAAAAAABgUAAGRycy9kb3ducmV2LnhtbFBLBQYAAAAABAAEAPMAAAANBgAAAAA=&#10;" o:allowincell="f" filled="f" stroked="f" strokeweight=".5pt">
                    <v:textbox inset=",0,,0">
                      <w:txbxContent>
                        <w:p w14:paraId="2803CF2D" w14:textId="00C1C750" w:rsidR="00B96E93" w:rsidRPr="00B96E93" w:rsidRDefault="00B96E93" w:rsidP="00B96E93">
                          <w:pPr>
                            <w:spacing w:after="0"/>
                            <w:jc w:val="center"/>
                            <w:rPr>
                              <w:rFonts w:ascii="Calibri" w:hAnsi="Calibri" w:cs="Calibri"/>
                              <w:color w:val="000000"/>
                              <w:sz w:val="24"/>
                            </w:rPr>
                          </w:pPr>
                        </w:p>
                      </w:txbxContent>
                    </v:textbox>
                    <w10:wrap anchorx="page" anchory="page"/>
                  </v:shape>
                </w:pict>
              </mc:Fallback>
            </mc:AlternateContent>
          </w:r>
          <w:r w:rsidR="00306AF1">
            <w:rPr>
              <w:rStyle w:val="Bold"/>
            </w:rPr>
            <w:fldChar w:fldCharType="begin"/>
          </w:r>
          <w:r w:rsidR="00306AF1">
            <w:rPr>
              <w:rStyle w:val="Bold"/>
            </w:rPr>
            <w:instrText xml:space="preserve"> DOCPROPERTY  xFooterTitle  \* MERGEFORMAT </w:instrText>
          </w:r>
          <w:r w:rsidR="00306AF1">
            <w:rPr>
              <w:rStyle w:val="Bold"/>
            </w:rPr>
            <w:fldChar w:fldCharType="separate"/>
          </w:r>
          <w:r w:rsidR="00306AF1">
            <w:rPr>
              <w:rStyle w:val="Bold"/>
            </w:rPr>
            <w:t>Guidelines for Assessing the Impact of Climate Change on Water Availability in Victoria</w:t>
          </w:r>
          <w:r w:rsidR="00306AF1">
            <w:rPr>
              <w:rStyle w:val="Bold"/>
            </w:rPr>
            <w:fldChar w:fldCharType="end"/>
          </w:r>
        </w:p>
        <w:p w14:paraId="0D8D97E0" w14:textId="77777777" w:rsidR="00306AF1" w:rsidRPr="00CB1FB7" w:rsidRDefault="006C5210" w:rsidP="00306AF1">
          <w:pPr>
            <w:pStyle w:val="FooterOdd"/>
            <w:rPr>
              <w:b/>
            </w:rPr>
          </w:pPr>
          <w:r>
            <w:fldChar w:fldCharType="begin"/>
          </w:r>
          <w:r>
            <w:instrText>DOCPROPERTY  xFooterSubtitle  \* MERGEFORMAT</w:instrText>
          </w:r>
          <w:r>
            <w:fldChar w:fldCharType="separate"/>
          </w:r>
          <w:r w:rsidR="00306AF1">
            <w:t>Final, November 2020</w:t>
          </w:r>
          <w:r>
            <w:fldChar w:fldCharType="end"/>
          </w:r>
        </w:p>
      </w:tc>
      <w:tc>
        <w:tcPr>
          <w:tcW w:w="340" w:type="dxa"/>
        </w:tcPr>
        <w:p w14:paraId="0C081823" w14:textId="77777777" w:rsidR="00306AF1" w:rsidRPr="00D55628" w:rsidRDefault="00306AF1" w:rsidP="00306AF1">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6F0AE64C" w14:textId="77777777" w:rsidR="00306AF1" w:rsidRDefault="00306AF1" w:rsidP="00306AF1">
    <w:pPr>
      <w:pStyle w:val="Footer"/>
    </w:pPr>
    <w:r w:rsidRPr="00D55628">
      <w:rPr>
        <w:noProof/>
      </w:rPr>
      <mc:AlternateContent>
        <mc:Choice Requires="wps">
          <w:drawing>
            <wp:anchor distT="0" distB="0" distL="114300" distR="114300" simplePos="0" relativeHeight="251658240" behindDoc="1" locked="1" layoutInCell="1" allowOverlap="1" wp14:anchorId="251EE62F" wp14:editId="0B590E4A">
              <wp:simplePos x="0" y="0"/>
              <wp:positionH relativeFrom="page">
                <wp:align>center</wp:align>
              </wp:positionH>
              <wp:positionV relativeFrom="page">
                <wp:align>center</wp:align>
              </wp:positionV>
              <wp:extent cx="7560000" cy="1796400"/>
              <wp:effectExtent l="0" t="0" r="0" b="0"/>
              <wp:wrapNone/>
              <wp:docPr id="54"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CD9B"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E62F" id="_x0000_s1028"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I/xalX3AQAA0QMAAA4AAAAAAAAAAAAAAAAALgIAAGRy&#10;cy9lMm9Eb2MueG1sUEsBAi0AFAAGAAgAAAAhADTFRM7bAAAABgEAAA8AAAAAAAAAAAAAAAAAUQQA&#10;AGRycy9kb3ducmV2LnhtbFBLBQYAAAAABAAEAPMAAABZBQAAAAA=&#10;" filled="f" stroked="f">
              <v:textbox>
                <w:txbxContent>
                  <w:p w14:paraId="7CB3CD9B"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031E5FA" w14:textId="77777777" w:rsidR="00306AF1" w:rsidRPr="00211CA6" w:rsidRDefault="00306AF1" w:rsidP="00306A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342D" w14:textId="77777777" w:rsidR="000101EC" w:rsidRDefault="000101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06AF1" w14:paraId="25F67DE5" w14:textId="77777777" w:rsidTr="00306AF1">
      <w:trPr>
        <w:trHeight w:val="397"/>
      </w:trPr>
      <w:tc>
        <w:tcPr>
          <w:tcW w:w="340" w:type="dxa"/>
        </w:tcPr>
        <w:p w14:paraId="771319A4" w14:textId="77777777" w:rsidR="00306AF1" w:rsidRPr="00D55628" w:rsidRDefault="00306AF1" w:rsidP="00306AF1">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32CB9AFF" w14:textId="77777777" w:rsidR="00306AF1" w:rsidRDefault="006C5210" w:rsidP="00306AF1">
          <w:pPr>
            <w:pStyle w:val="FooterEven"/>
          </w:pPr>
          <w:r>
            <w:fldChar w:fldCharType="begin"/>
          </w:r>
          <w:r>
            <w:instrText>DOCPROPERTY  xFooterTitle  \* MERGEFORMAT</w:instrText>
          </w:r>
          <w:r>
            <w:fldChar w:fldCharType="separate"/>
          </w:r>
          <w:r w:rsidR="00306AF1">
            <w:t>Guidelines for Assessing the Impact of Climate Change on Water Availability in Victoria</w:t>
          </w:r>
          <w:r>
            <w:fldChar w:fldCharType="end"/>
          </w:r>
        </w:p>
        <w:p w14:paraId="4805EA33" w14:textId="77777777" w:rsidR="00306AF1" w:rsidRPr="00810C40" w:rsidRDefault="006C5210" w:rsidP="00306AF1">
          <w:pPr>
            <w:pStyle w:val="FooterEven"/>
          </w:pPr>
          <w:r>
            <w:fldChar w:fldCharType="begin"/>
          </w:r>
          <w:r>
            <w:instrText>DOCPROPERTY  xFooterSubtitle  \* MERGEFORMAT</w:instrText>
          </w:r>
          <w:r>
            <w:fldChar w:fldCharType="separate"/>
          </w:r>
          <w:r w:rsidR="00306AF1">
            <w:t>Final, November 2020</w:t>
          </w:r>
          <w:r>
            <w:fldChar w:fldCharType="end"/>
          </w:r>
        </w:p>
      </w:tc>
    </w:tr>
  </w:tbl>
  <w:p w14:paraId="7C488C16" w14:textId="77777777" w:rsidR="00306AF1" w:rsidRDefault="00306AF1" w:rsidP="00306AF1">
    <w:pPr>
      <w:pStyle w:val="FooterEven"/>
    </w:pPr>
    <w:r w:rsidRPr="00D55628">
      <w:rPr>
        <w:noProof/>
      </w:rPr>
      <mc:AlternateContent>
        <mc:Choice Requires="wps">
          <w:drawing>
            <wp:anchor distT="0" distB="0" distL="114300" distR="114300" simplePos="0" relativeHeight="251658244" behindDoc="1" locked="1" layoutInCell="1" allowOverlap="1" wp14:anchorId="731EBA84" wp14:editId="7285D3FE">
              <wp:simplePos x="0" y="0"/>
              <wp:positionH relativeFrom="page">
                <wp:align>center</wp:align>
              </wp:positionH>
              <wp:positionV relativeFrom="page">
                <wp:align>center</wp:align>
              </wp:positionV>
              <wp:extent cx="7560000" cy="1796400"/>
              <wp:effectExtent l="0" t="0" r="0" b="0"/>
              <wp:wrapNone/>
              <wp:docPr id="59"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F37A"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EBA84" id="_x0000_t202" coordsize="21600,21600" o:spt="202" path="m,l,21600r21600,l21600,xe">
              <v:stroke joinstyle="miter"/>
              <v:path gradientshapeok="t" o:connecttype="rect"/>
            </v:shapetype>
            <v:shape id="_x0000_s1029"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U6HDv3AQAA0QMAAA4AAAAAAAAAAAAAAAAALgIAAGRy&#10;cy9lMm9Eb2MueG1sUEsBAi0AFAAGAAgAAAAhADTFRM7bAAAABgEAAA8AAAAAAAAAAAAAAAAAUQQA&#10;AGRycy9kb3ducmV2LnhtbFBLBQYAAAAABAAEAPMAAABZBQAAAAA=&#10;" filled="f" stroked="f">
              <v:textbox>
                <w:txbxContent>
                  <w:p w14:paraId="7039F37A"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633164A" w14:textId="77777777" w:rsidR="00306AF1" w:rsidRPr="00B5221E" w:rsidRDefault="00306AF1" w:rsidP="00306A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06AF1" w14:paraId="7550204E" w14:textId="77777777" w:rsidTr="00306AF1">
      <w:trPr>
        <w:trHeight w:val="397"/>
      </w:trPr>
      <w:tc>
        <w:tcPr>
          <w:tcW w:w="9071" w:type="dxa"/>
        </w:tcPr>
        <w:p w14:paraId="7C3D2A43" w14:textId="37AC2DB6" w:rsidR="00306AF1" w:rsidRDefault="00306AF1" w:rsidP="00306AF1">
          <w:pPr>
            <w:pStyle w:val="FooterOdd"/>
          </w:pPr>
          <w:r>
            <w:rPr>
              <w:noProof/>
            </w:rPr>
            <mc:AlternateContent>
              <mc:Choice Requires="wps">
                <w:drawing>
                  <wp:anchor distT="0" distB="0" distL="114300" distR="114300" simplePos="0" relativeHeight="251660294" behindDoc="0" locked="0" layoutInCell="0" allowOverlap="1" wp14:anchorId="63626EB0" wp14:editId="67F7C09B">
                    <wp:simplePos x="0" y="0"/>
                    <wp:positionH relativeFrom="page">
                      <wp:align>center</wp:align>
                    </wp:positionH>
                    <wp:positionV relativeFrom="page">
                      <wp:align>bottom</wp:align>
                    </wp:positionV>
                    <wp:extent cx="7772400" cy="463550"/>
                    <wp:effectExtent l="0" t="0" r="0" b="12700"/>
                    <wp:wrapNone/>
                    <wp:docPr id="6" name="MSIPCM64ba45638385ff521f16ae5c" descr="{&quot;HashCode&quot;:-174724769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1149C" w14:textId="146B454E" w:rsidR="00306AF1" w:rsidRPr="00B96E93" w:rsidRDefault="00306AF1" w:rsidP="00B96E93">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626EB0" id="_x0000_t202" coordsize="21600,21600" o:spt="202" path="m,l,21600r21600,l21600,xe">
                    <v:stroke joinstyle="miter"/>
                    <v:path gradientshapeok="t" o:connecttype="rect"/>
                  </v:shapetype>
                  <v:shape id="MSIPCM64ba45638385ff521f16ae5c" o:spid="_x0000_s1030" type="#_x0000_t202" alt="{&quot;HashCode&quot;:-1747247690,&quot;Height&quot;:9999999.0,&quot;Width&quot;:9999999.0,&quot;Placement&quot;:&quot;Footer&quot;,&quot;Index&quot;:&quot;Primary&quot;,&quot;Section&quot;:2,&quot;Top&quot;:0.0,&quot;Left&quot;:0.0}" style="position:absolute;left:0;text-align:left;margin-left:0;margin-top:0;width:612pt;height:36.5pt;z-index:25166029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DI24BivAgAAWAUAAA4AAAAAAAAA&#10;AAAAAAAALgIAAGRycy9lMm9Eb2MueG1sUEsBAi0AFAAGAAgAAAAhAL4fCrfaAAAABQEAAA8AAAAA&#10;AAAAAAAAAAAACQUAAGRycy9kb3ducmV2LnhtbFBLBQYAAAAABAAEAPMAAAAQBgAAAAA=&#10;" o:allowincell="f" filled="f" stroked="f" strokeweight=".5pt">
                    <v:textbox inset=",0,,0">
                      <w:txbxContent>
                        <w:p w14:paraId="1FB1149C" w14:textId="146B454E" w:rsidR="00306AF1" w:rsidRPr="00B96E93" w:rsidRDefault="00306AF1" w:rsidP="00B96E93">
                          <w:pPr>
                            <w:spacing w:after="0"/>
                            <w:jc w:val="center"/>
                            <w:rPr>
                              <w:rFonts w:ascii="Calibri" w:hAnsi="Calibri" w:cs="Calibri"/>
                              <w:color w:val="000000"/>
                              <w:sz w:val="24"/>
                            </w:rPr>
                          </w:pPr>
                        </w:p>
                      </w:txbxContent>
                    </v:textbox>
                    <w10:wrap anchorx="page" anchory="page"/>
                  </v:shape>
                </w:pict>
              </mc:Fallback>
            </mc:AlternateContent>
          </w:r>
          <w:r w:rsidR="006C5210">
            <w:fldChar w:fldCharType="begin"/>
          </w:r>
          <w:r w:rsidR="006C5210">
            <w:instrText>DOCPROPERTY  xFooterTitle  \* MERGEFORMAT</w:instrText>
          </w:r>
          <w:r w:rsidR="006C5210">
            <w:fldChar w:fldCharType="separate"/>
          </w:r>
          <w:r>
            <w:t>Guidelines for Assessing the Impact of Climate Change on Water Availability in Victoria</w:t>
          </w:r>
          <w:r w:rsidR="006C5210">
            <w:fldChar w:fldCharType="end"/>
          </w:r>
        </w:p>
        <w:p w14:paraId="518B3444" w14:textId="77777777" w:rsidR="00306AF1" w:rsidRPr="00CB1FB7" w:rsidRDefault="006C5210" w:rsidP="00306AF1">
          <w:pPr>
            <w:pStyle w:val="FooterOdd"/>
            <w:rPr>
              <w:b/>
            </w:rPr>
          </w:pPr>
          <w:r>
            <w:fldChar w:fldCharType="begin"/>
          </w:r>
          <w:r>
            <w:instrText>DOCPROPERTY  xFooterSubtitle  \* MERGEFORMAT</w:instrText>
          </w:r>
          <w:r>
            <w:fldChar w:fldCharType="separate"/>
          </w:r>
          <w:r w:rsidR="00306AF1">
            <w:t>Final, November 2020</w:t>
          </w:r>
          <w:r>
            <w:fldChar w:fldCharType="end"/>
          </w:r>
        </w:p>
      </w:tc>
      <w:tc>
        <w:tcPr>
          <w:tcW w:w="340" w:type="dxa"/>
        </w:tcPr>
        <w:p w14:paraId="6460EC24" w14:textId="77777777" w:rsidR="00306AF1" w:rsidRPr="00D55628" w:rsidRDefault="00306AF1" w:rsidP="00306AF1">
          <w:pPr>
            <w:pStyle w:val="FooterOddPageNumber"/>
          </w:pPr>
          <w:r>
            <w:fldChar w:fldCharType="begin"/>
          </w:r>
          <w:r>
            <w:instrText xml:space="preserve"> PAGE  \* Arabic  \* MERGEFORMAT </w:instrText>
          </w:r>
          <w:r>
            <w:fldChar w:fldCharType="separate"/>
          </w:r>
          <w:r>
            <w:rPr>
              <w:noProof/>
            </w:rPr>
            <w:t>12</w:t>
          </w:r>
          <w:r>
            <w:fldChar w:fldCharType="end"/>
          </w:r>
        </w:p>
      </w:tc>
    </w:tr>
  </w:tbl>
  <w:p w14:paraId="1DF43A83" w14:textId="77777777" w:rsidR="00306AF1" w:rsidRDefault="00306AF1" w:rsidP="00306AF1">
    <w:pPr>
      <w:pStyle w:val="Footer"/>
    </w:pPr>
    <w:r w:rsidRPr="00D55628">
      <w:rPr>
        <w:noProof/>
      </w:rPr>
      <mc:AlternateContent>
        <mc:Choice Requires="wps">
          <w:drawing>
            <wp:anchor distT="0" distB="0" distL="114300" distR="114300" simplePos="0" relativeHeight="251658242" behindDoc="1" locked="1" layoutInCell="1" allowOverlap="1" wp14:anchorId="2923C4A0" wp14:editId="1322B070">
              <wp:simplePos x="0" y="0"/>
              <wp:positionH relativeFrom="page">
                <wp:align>center</wp:align>
              </wp:positionH>
              <wp:positionV relativeFrom="page">
                <wp:align>center</wp:align>
              </wp:positionV>
              <wp:extent cx="7560000" cy="1796400"/>
              <wp:effectExtent l="0" t="0" r="0" b="0"/>
              <wp:wrapNone/>
              <wp:docPr id="37"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FDC5"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3C4A0" id="_x0000_s1031"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CBCehG+AEAANEDAAAOAAAAAAAAAAAAAAAAAC4CAABk&#10;cnMvZTJvRG9jLnhtbFBLAQItABQABgAIAAAAIQA0xUTO2wAAAAYBAAAPAAAAAAAAAAAAAAAAAFIE&#10;AABkcnMvZG93bnJldi54bWxQSwUGAAAAAAQABADzAAAAWgUAAAAA&#10;" filled="f" stroked="f">
              <v:textbox>
                <w:txbxContent>
                  <w:p w14:paraId="4CB5FDC5" w14:textId="77777777" w:rsidR="00306AF1" w:rsidRPr="0001226A" w:rsidRDefault="00306AF1" w:rsidP="00306AF1">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D7575E7" w14:textId="77777777" w:rsidR="00306AF1" w:rsidRDefault="00306AF1" w:rsidP="00306A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BDDA4" w14:textId="77777777" w:rsidR="00306AF1" w:rsidRDefault="00306AF1" w:rsidP="00306AF1">
    <w:pPr>
      <w:pStyle w:val="Footer"/>
    </w:pPr>
    <w:r w:rsidRPr="00D55628">
      <w:rPr>
        <w:noProof/>
      </w:rPr>
      <mc:AlternateContent>
        <mc:Choice Requires="wps">
          <w:drawing>
            <wp:anchor distT="0" distB="0" distL="114300" distR="114300" simplePos="0" relativeHeight="251658243" behindDoc="1" locked="1" layoutInCell="1" allowOverlap="1" wp14:anchorId="5EA4EC4C" wp14:editId="34D7613A">
              <wp:simplePos x="0" y="0"/>
              <wp:positionH relativeFrom="page">
                <wp:align>center</wp:align>
              </wp:positionH>
              <wp:positionV relativeFrom="page">
                <wp:align>center</wp:align>
              </wp:positionV>
              <wp:extent cx="7560000" cy="1796400"/>
              <wp:effectExtent l="0" t="0" r="0" b="0"/>
              <wp:wrapNone/>
              <wp:docPr id="43"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162E" w14:textId="77777777" w:rsidR="00306AF1" w:rsidRPr="0001226A" w:rsidRDefault="00306AF1" w:rsidP="00306AF1">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4EC4C" id="_x0000_t202" coordsize="21600,21600" o:spt="202" path="m,l,21600r21600,l21600,xe">
              <v:stroke joinstyle="miter"/>
              <v:path gradientshapeok="t" o:connecttype="rect"/>
            </v:shapetype>
            <v:shape id="Text Box 225" o:spid="_x0000_s1032"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B4FKaZ+AEAANEDAAAOAAAAAAAAAAAAAAAAAC4CAABk&#10;cnMvZTJvRG9jLnhtbFBLAQItABQABgAIAAAAIQA0xUTO2wAAAAYBAAAPAAAAAAAAAAAAAAAAAFIE&#10;AABkcnMvZG93bnJldi54bWxQSwUGAAAAAAQABADzAAAAWgUAAAAA&#10;" filled="f" stroked="f">
              <v:textbox>
                <w:txbxContent>
                  <w:p w14:paraId="1CB2162E" w14:textId="77777777" w:rsidR="00306AF1" w:rsidRPr="0001226A" w:rsidRDefault="00306AF1" w:rsidP="00306AF1">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8629B38" w14:textId="77777777" w:rsidR="00306AF1" w:rsidRDefault="00306AF1" w:rsidP="00306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BD6DA" w14:textId="77777777" w:rsidR="005242E9" w:rsidRDefault="005242E9" w:rsidP="007B29DD">
      <w:pPr>
        <w:spacing w:after="0" w:line="240" w:lineRule="auto"/>
      </w:pPr>
      <w:r>
        <w:separator/>
      </w:r>
    </w:p>
  </w:footnote>
  <w:footnote w:type="continuationSeparator" w:id="0">
    <w:p w14:paraId="3B0742A9" w14:textId="77777777" w:rsidR="005242E9" w:rsidRDefault="005242E9" w:rsidP="007B29DD">
      <w:pPr>
        <w:spacing w:after="0" w:line="240" w:lineRule="auto"/>
      </w:pPr>
      <w:r>
        <w:continuationSeparator/>
      </w:r>
    </w:p>
  </w:footnote>
  <w:footnote w:type="continuationNotice" w:id="1">
    <w:p w14:paraId="16034F7B" w14:textId="77777777" w:rsidR="005242E9" w:rsidRDefault="005242E9">
      <w:pPr>
        <w:spacing w:after="0" w:line="240" w:lineRule="auto"/>
      </w:pPr>
    </w:p>
  </w:footnote>
  <w:footnote w:id="2">
    <w:p w14:paraId="3A8B8D69" w14:textId="77777777" w:rsidR="00306AF1" w:rsidRDefault="00306AF1" w:rsidP="007B29DD">
      <w:pPr>
        <w:pStyle w:val="FootnoteText"/>
      </w:pPr>
      <w:r>
        <w:rPr>
          <w:rStyle w:val="FootnoteReference"/>
        </w:rPr>
        <w:footnoteRef/>
      </w:r>
      <w:r>
        <w:t xml:space="preserve"> An attribution of -4% indicates that the </w:t>
      </w:r>
      <w:r w:rsidRPr="0089606A">
        <w:t>25th</w:t>
      </w:r>
      <w:r>
        <w:t xml:space="preserve"> percentile GCM result projects conditions that are wetter than observed prior to the observed decline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A7FC" w14:textId="77777777" w:rsidR="000101EC" w:rsidRDefault="00010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4DF0B" w14:textId="77777777" w:rsidR="000101EC" w:rsidRDefault="000101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0A108" w14:textId="77777777" w:rsidR="000101EC" w:rsidRDefault="000101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F7E55" w14:textId="77777777" w:rsidR="00306AF1" w:rsidRDefault="00306A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CD69" w14:textId="77777777" w:rsidR="00306AF1" w:rsidRDefault="00306AF1" w:rsidP="00306AF1">
    <w:pPr>
      <w:pStyle w:val="Header"/>
    </w:pPr>
  </w:p>
  <w:p w14:paraId="0C111EB9" w14:textId="77777777" w:rsidR="00306AF1" w:rsidRPr="00393205" w:rsidRDefault="00306AF1" w:rsidP="00306A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EEC93" w14:textId="77777777" w:rsidR="00306AF1" w:rsidRDefault="00306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279AA"/>
    <w:multiLevelType w:val="hybridMultilevel"/>
    <w:tmpl w:val="7248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2F11DD"/>
    <w:multiLevelType w:val="hybridMultilevel"/>
    <w:tmpl w:val="E79270FA"/>
    <w:lvl w:ilvl="0" w:tplc="7196F992">
      <w:start w:val="1"/>
      <w:numFmt w:val="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tplc="0C090001">
      <w:start w:val="1"/>
      <w:numFmt w:val="bullet"/>
      <w:lvlText w:val=""/>
      <w:lvlJc w:val="left"/>
      <w:pPr>
        <w:tabs>
          <w:tab w:val="num" w:pos="312"/>
        </w:tabs>
        <w:ind w:left="312" w:hanging="170"/>
      </w:pPr>
      <w:rPr>
        <w:rFonts w:ascii="Symbol" w:hAnsi="Symbol" w:hint="default"/>
        <w:b w:val="0"/>
        <w:i w:val="0"/>
        <w:color w:val="auto"/>
        <w:position w:val="2"/>
        <w:sz w:val="20"/>
      </w:rPr>
    </w:lvl>
    <w:lvl w:ilvl="2" w:tplc="0F023508">
      <w:start w:val="1"/>
      <w:numFmt w:val="bullet"/>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tplc="019037FE">
      <w:start w:val="1"/>
      <w:numFmt w:val="none"/>
      <w:lvlText w:val=""/>
      <w:lvlJc w:val="left"/>
      <w:pPr>
        <w:tabs>
          <w:tab w:val="num" w:pos="850"/>
        </w:tabs>
        <w:ind w:left="850" w:hanging="170"/>
      </w:pPr>
      <w:rPr>
        <w:rFonts w:hint="default"/>
      </w:rPr>
    </w:lvl>
    <w:lvl w:ilvl="4" w:tplc="8EE2F1B6">
      <w:start w:val="1"/>
      <w:numFmt w:val="none"/>
      <w:lvlText w:val=""/>
      <w:lvlJc w:val="left"/>
      <w:pPr>
        <w:tabs>
          <w:tab w:val="num" w:pos="1020"/>
        </w:tabs>
        <w:ind w:left="1020" w:hanging="170"/>
      </w:pPr>
      <w:rPr>
        <w:rFonts w:hint="default"/>
      </w:rPr>
    </w:lvl>
    <w:lvl w:ilvl="5" w:tplc="653E8D4A">
      <w:start w:val="1"/>
      <w:numFmt w:val="none"/>
      <w:lvlText w:val=""/>
      <w:lvlJc w:val="left"/>
      <w:pPr>
        <w:tabs>
          <w:tab w:val="num" w:pos="1190"/>
        </w:tabs>
        <w:ind w:left="1190" w:hanging="170"/>
      </w:pPr>
      <w:rPr>
        <w:rFonts w:hint="default"/>
      </w:rPr>
    </w:lvl>
    <w:lvl w:ilvl="6" w:tplc="E0500488">
      <w:start w:val="1"/>
      <w:numFmt w:val="none"/>
      <w:lvlText w:val=""/>
      <w:lvlJc w:val="left"/>
      <w:pPr>
        <w:tabs>
          <w:tab w:val="num" w:pos="1360"/>
        </w:tabs>
        <w:ind w:left="1360" w:hanging="170"/>
      </w:pPr>
      <w:rPr>
        <w:rFonts w:hint="default"/>
      </w:rPr>
    </w:lvl>
    <w:lvl w:ilvl="7" w:tplc="437C7D1E">
      <w:start w:val="1"/>
      <w:numFmt w:val="none"/>
      <w:lvlText w:val=""/>
      <w:lvlJc w:val="left"/>
      <w:pPr>
        <w:tabs>
          <w:tab w:val="num" w:pos="1530"/>
        </w:tabs>
        <w:ind w:left="1530" w:hanging="170"/>
      </w:pPr>
      <w:rPr>
        <w:rFonts w:hint="default"/>
      </w:rPr>
    </w:lvl>
    <w:lvl w:ilvl="8" w:tplc="6F50E6C0">
      <w:start w:val="1"/>
      <w:numFmt w:val="none"/>
      <w:lvlText w:val=""/>
      <w:lvlJc w:val="left"/>
      <w:pPr>
        <w:tabs>
          <w:tab w:val="num" w:pos="1700"/>
        </w:tabs>
        <w:ind w:left="1700" w:hanging="170"/>
      </w:pPr>
      <w:rPr>
        <w:rFonts w:hint="default"/>
      </w:rPr>
    </w:lvl>
  </w:abstractNum>
  <w:abstractNum w:abstractNumId="3" w15:restartNumberingAfterBreak="0">
    <w:nsid w:val="068B37FE"/>
    <w:multiLevelType w:val="hybridMultilevel"/>
    <w:tmpl w:val="BE02D8C6"/>
    <w:name w:val="DEPIListBullets"/>
    <w:lvl w:ilvl="0" w:tplc="D2CEA4D0">
      <w:start w:val="1"/>
      <w:numFmt w:val="bullet"/>
      <w:pStyle w:val="List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tplc="F9BC61FA">
      <w:start w:val="1"/>
      <w:numFmt w:val="bullet"/>
      <w:pStyle w:val="ListBullet2"/>
      <w:lvlText w:val="–"/>
      <w:lvlJc w:val="left"/>
      <w:pPr>
        <w:tabs>
          <w:tab w:val="num" w:pos="312"/>
        </w:tabs>
        <w:ind w:left="312" w:hanging="170"/>
      </w:pPr>
      <w:rPr>
        <w:rFonts w:ascii="Times New Roman" w:hAnsi="Times New Roman" w:cs="Times New Roman" w:hint="default"/>
        <w:b w:val="0"/>
        <w:i w:val="0"/>
        <w:color w:val="auto"/>
        <w:position w:val="2"/>
        <w:sz w:val="20"/>
      </w:rPr>
    </w:lvl>
    <w:lvl w:ilvl="2" w:tplc="0F023508">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tplc="019037FE">
      <w:start w:val="1"/>
      <w:numFmt w:val="none"/>
      <w:lvlText w:val=""/>
      <w:lvlJc w:val="left"/>
      <w:pPr>
        <w:tabs>
          <w:tab w:val="num" w:pos="850"/>
        </w:tabs>
        <w:ind w:left="850" w:hanging="170"/>
      </w:pPr>
      <w:rPr>
        <w:rFonts w:hint="default"/>
      </w:rPr>
    </w:lvl>
    <w:lvl w:ilvl="4" w:tplc="8EE2F1B6">
      <w:start w:val="1"/>
      <w:numFmt w:val="none"/>
      <w:lvlText w:val=""/>
      <w:lvlJc w:val="left"/>
      <w:pPr>
        <w:tabs>
          <w:tab w:val="num" w:pos="1020"/>
        </w:tabs>
        <w:ind w:left="1020" w:hanging="170"/>
      </w:pPr>
      <w:rPr>
        <w:rFonts w:hint="default"/>
      </w:rPr>
    </w:lvl>
    <w:lvl w:ilvl="5" w:tplc="653E8D4A">
      <w:start w:val="1"/>
      <w:numFmt w:val="none"/>
      <w:lvlText w:val=""/>
      <w:lvlJc w:val="left"/>
      <w:pPr>
        <w:tabs>
          <w:tab w:val="num" w:pos="1190"/>
        </w:tabs>
        <w:ind w:left="1190" w:hanging="170"/>
      </w:pPr>
      <w:rPr>
        <w:rFonts w:hint="default"/>
      </w:rPr>
    </w:lvl>
    <w:lvl w:ilvl="6" w:tplc="E0500488">
      <w:start w:val="1"/>
      <w:numFmt w:val="none"/>
      <w:lvlText w:val=""/>
      <w:lvlJc w:val="left"/>
      <w:pPr>
        <w:tabs>
          <w:tab w:val="num" w:pos="1360"/>
        </w:tabs>
        <w:ind w:left="1360" w:hanging="170"/>
      </w:pPr>
      <w:rPr>
        <w:rFonts w:hint="default"/>
      </w:rPr>
    </w:lvl>
    <w:lvl w:ilvl="7" w:tplc="437C7D1E">
      <w:start w:val="1"/>
      <w:numFmt w:val="none"/>
      <w:lvlText w:val=""/>
      <w:lvlJc w:val="left"/>
      <w:pPr>
        <w:tabs>
          <w:tab w:val="num" w:pos="1530"/>
        </w:tabs>
        <w:ind w:left="1530" w:hanging="170"/>
      </w:pPr>
      <w:rPr>
        <w:rFonts w:hint="default"/>
      </w:rPr>
    </w:lvl>
    <w:lvl w:ilvl="8" w:tplc="6F50E6C0">
      <w:start w:val="1"/>
      <w:numFmt w:val="none"/>
      <w:lvlText w:val=""/>
      <w:lvlJc w:val="left"/>
      <w:pPr>
        <w:tabs>
          <w:tab w:val="num" w:pos="1700"/>
        </w:tabs>
        <w:ind w:left="1700" w:hanging="170"/>
      </w:pPr>
      <w:rPr>
        <w:rFonts w:hint="default"/>
      </w:rPr>
    </w:lvl>
  </w:abstractNum>
  <w:abstractNum w:abstractNumId="4" w15:restartNumberingAfterBreak="0">
    <w:nsid w:val="072F47CD"/>
    <w:multiLevelType w:val="hybridMultilevel"/>
    <w:tmpl w:val="B22CCD56"/>
    <w:lvl w:ilvl="0" w:tplc="0C09001B">
      <w:start w:val="1"/>
      <w:numFmt w:val="lowerRoman"/>
      <w:lvlText w:val="%1."/>
      <w:lvlJc w:val="right"/>
      <w:pPr>
        <w:ind w:left="47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73C5B"/>
    <w:multiLevelType w:val="hybridMultilevel"/>
    <w:tmpl w:val="6F581B3A"/>
    <w:lvl w:ilvl="0" w:tplc="0C090001">
      <w:start w:val="1"/>
      <w:numFmt w:val="bullet"/>
      <w:lvlText w:val=""/>
      <w:lvlJc w:val="left"/>
      <w:pPr>
        <w:ind w:left="930" w:hanging="5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901A4"/>
    <w:multiLevelType w:val="multilevel"/>
    <w:tmpl w:val="A36281D8"/>
    <w:name w:val="DELWP 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B2573F"/>
    <w:multiLevelType w:val="hybridMultilevel"/>
    <w:tmpl w:val="D18EE714"/>
    <w:name w:val="TableFootnotes"/>
    <w:lvl w:ilvl="0" w:tplc="61882F32">
      <w:start w:val="1"/>
      <w:numFmt w:val="lowerLetter"/>
      <w:pStyle w:val="Footnotes"/>
      <w:lvlText w:val="%1."/>
      <w:lvlJc w:val="left"/>
      <w:pPr>
        <w:ind w:left="284" w:hanging="284"/>
      </w:pPr>
      <w:rPr>
        <w:rFonts w:hint="default"/>
        <w:spacing w:val="-10"/>
      </w:rPr>
    </w:lvl>
    <w:lvl w:ilvl="1" w:tplc="E1F4E63A">
      <w:start w:val="1"/>
      <w:numFmt w:val="lowerRoman"/>
      <w:pStyle w:val="Footnotes2"/>
      <w:lvlText w:val="%2."/>
      <w:lvlJc w:val="left"/>
      <w:pPr>
        <w:tabs>
          <w:tab w:val="num" w:pos="567"/>
        </w:tabs>
        <w:ind w:left="567" w:hanging="283"/>
      </w:pPr>
      <w:rPr>
        <w:rFonts w:hint="default"/>
        <w:spacing w:val="0"/>
        <w:w w:val="100"/>
        <w:kern w:val="0"/>
        <w:position w:val="0"/>
      </w:rPr>
    </w:lvl>
    <w:lvl w:ilvl="2" w:tplc="CD3035C2">
      <w:start w:val="1"/>
      <w:numFmt w:val="none"/>
      <w:lvlRestart w:val="1"/>
      <w:lvlText w:val=""/>
      <w:lvlJc w:val="left"/>
      <w:pPr>
        <w:tabs>
          <w:tab w:val="num" w:pos="0"/>
        </w:tabs>
        <w:ind w:left="0" w:firstLine="0"/>
      </w:pPr>
      <w:rPr>
        <w:rFonts w:hint="default"/>
        <w:color w:val="auto"/>
        <w:spacing w:val="-4"/>
      </w:rPr>
    </w:lvl>
    <w:lvl w:ilvl="3" w:tplc="E07A5194">
      <w:start w:val="1"/>
      <w:numFmt w:val="none"/>
      <w:lvlText w:val=""/>
      <w:lvlJc w:val="left"/>
      <w:pPr>
        <w:tabs>
          <w:tab w:val="num" w:pos="0"/>
        </w:tabs>
        <w:ind w:left="0" w:hanging="5670"/>
      </w:pPr>
      <w:rPr>
        <w:rFonts w:hint="default"/>
        <w:spacing w:val="-10"/>
        <w:w w:val="100"/>
      </w:rPr>
    </w:lvl>
    <w:lvl w:ilvl="4" w:tplc="EFA8A92A">
      <w:start w:val="1"/>
      <w:numFmt w:val="none"/>
      <w:lvlText w:val=""/>
      <w:lvlJc w:val="left"/>
      <w:pPr>
        <w:tabs>
          <w:tab w:val="num" w:pos="0"/>
        </w:tabs>
        <w:ind w:left="0" w:firstLine="0"/>
      </w:pPr>
      <w:rPr>
        <w:rFonts w:hint="default"/>
      </w:rPr>
    </w:lvl>
    <w:lvl w:ilvl="5" w:tplc="3CDC45BC">
      <w:start w:val="1"/>
      <w:numFmt w:val="none"/>
      <w:lvlText w:val=""/>
      <w:lvlJc w:val="left"/>
      <w:pPr>
        <w:tabs>
          <w:tab w:val="num" w:pos="0"/>
        </w:tabs>
        <w:ind w:left="0" w:firstLine="0"/>
      </w:pPr>
      <w:rPr>
        <w:rFonts w:hint="default"/>
      </w:rPr>
    </w:lvl>
    <w:lvl w:ilvl="6" w:tplc="A84AC27C">
      <w:start w:val="1"/>
      <w:numFmt w:val="none"/>
      <w:lvlRestart w:val="1"/>
      <w:lvlText w:val="%7"/>
      <w:lvlJc w:val="left"/>
      <w:pPr>
        <w:tabs>
          <w:tab w:val="num" w:pos="0"/>
        </w:tabs>
        <w:ind w:left="0" w:firstLine="0"/>
      </w:pPr>
      <w:rPr>
        <w:rFonts w:hint="default"/>
      </w:rPr>
    </w:lvl>
    <w:lvl w:ilvl="7" w:tplc="8B0E108A">
      <w:start w:val="1"/>
      <w:numFmt w:val="none"/>
      <w:lvlText w:val="%8."/>
      <w:lvlJc w:val="left"/>
      <w:pPr>
        <w:tabs>
          <w:tab w:val="num" w:pos="0"/>
        </w:tabs>
        <w:ind w:left="0" w:firstLine="0"/>
      </w:pPr>
      <w:rPr>
        <w:rFonts w:hint="default"/>
        <w:position w:val="0"/>
      </w:rPr>
    </w:lvl>
    <w:lvl w:ilvl="8" w:tplc="D40091F0">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2DB0F07"/>
    <w:multiLevelType w:val="hybridMultilevel"/>
    <w:tmpl w:val="5CF8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F0B05"/>
    <w:multiLevelType w:val="hybridMultilevel"/>
    <w:tmpl w:val="D34488F2"/>
    <w:lvl w:ilvl="0" w:tplc="0C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hybridMultilevel"/>
    <w:tmpl w:val="75CA4D72"/>
    <w:name w:val="DEPITableBullets"/>
    <w:lvl w:ilvl="0" w:tplc="D6C871A6">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tplc="68061EE2">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3D880FB4">
      <w:start w:val="1"/>
      <w:numFmt w:val="bullet"/>
      <w:pStyle w:val="TableTextBullet3"/>
      <w:lvlText w:val=""/>
      <w:lvlJc w:val="left"/>
      <w:pPr>
        <w:tabs>
          <w:tab w:val="num" w:pos="624"/>
        </w:tabs>
        <w:ind w:left="624" w:hanging="170"/>
      </w:pPr>
      <w:rPr>
        <w:rFonts w:ascii="Symbol" w:hAnsi="Symbol" w:hint="default"/>
        <w:position w:val="3"/>
        <w:sz w:val="18"/>
      </w:rPr>
    </w:lvl>
    <w:lvl w:ilvl="3" w:tplc="EBA6BC90">
      <w:start w:val="1"/>
      <w:numFmt w:val="none"/>
      <w:lvlText w:val=""/>
      <w:lvlJc w:val="left"/>
      <w:pPr>
        <w:ind w:left="2767" w:hanging="360"/>
      </w:pPr>
      <w:rPr>
        <w:rFonts w:hint="default"/>
      </w:rPr>
    </w:lvl>
    <w:lvl w:ilvl="4" w:tplc="79869782">
      <w:start w:val="1"/>
      <w:numFmt w:val="none"/>
      <w:lvlText w:val=""/>
      <w:lvlJc w:val="left"/>
      <w:pPr>
        <w:ind w:left="3487" w:hanging="360"/>
      </w:pPr>
      <w:rPr>
        <w:rFonts w:hint="default"/>
      </w:rPr>
    </w:lvl>
    <w:lvl w:ilvl="5" w:tplc="BF2C7590">
      <w:start w:val="1"/>
      <w:numFmt w:val="none"/>
      <w:lvlText w:val=""/>
      <w:lvlJc w:val="left"/>
      <w:pPr>
        <w:ind w:left="4207" w:hanging="360"/>
      </w:pPr>
      <w:rPr>
        <w:rFonts w:hint="default"/>
      </w:rPr>
    </w:lvl>
    <w:lvl w:ilvl="6" w:tplc="9B92A640">
      <w:start w:val="1"/>
      <w:numFmt w:val="none"/>
      <w:lvlText w:val=""/>
      <w:lvlJc w:val="left"/>
      <w:pPr>
        <w:ind w:left="4927" w:hanging="360"/>
      </w:pPr>
      <w:rPr>
        <w:rFonts w:hint="default"/>
      </w:rPr>
    </w:lvl>
    <w:lvl w:ilvl="7" w:tplc="64E62D10">
      <w:start w:val="1"/>
      <w:numFmt w:val="none"/>
      <w:lvlText w:val=""/>
      <w:lvlJc w:val="left"/>
      <w:pPr>
        <w:ind w:left="5647" w:hanging="360"/>
      </w:pPr>
      <w:rPr>
        <w:rFonts w:hint="default"/>
      </w:rPr>
    </w:lvl>
    <w:lvl w:ilvl="8" w:tplc="1108A74A">
      <w:start w:val="1"/>
      <w:numFmt w:val="none"/>
      <w:lvlText w:val=""/>
      <w:lvlJc w:val="left"/>
      <w:pPr>
        <w:ind w:left="6367" w:hanging="360"/>
      </w:pPr>
      <w:rPr>
        <w:rFonts w:hint="default"/>
      </w:rPr>
    </w:lvl>
  </w:abstractNum>
  <w:abstractNum w:abstractNumId="11" w15:restartNumberingAfterBreak="0">
    <w:nsid w:val="1BF12EAA"/>
    <w:multiLevelType w:val="hybridMultilevel"/>
    <w:tmpl w:val="E932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25021CF"/>
    <w:multiLevelType w:val="hybridMultilevel"/>
    <w:tmpl w:val="A914D13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F5639"/>
    <w:multiLevelType w:val="hybridMultilevel"/>
    <w:tmpl w:val="FBE8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F6656"/>
    <w:multiLevelType w:val="hybridMultilevel"/>
    <w:tmpl w:val="91AC1D36"/>
    <w:lvl w:ilvl="0" w:tplc="7196F992">
      <w:start w:val="1"/>
      <w:numFmt w:val="bullet"/>
      <w:lvlText w:val="•"/>
      <w:lvlJc w:val="left"/>
      <w:pPr>
        <w:tabs>
          <w:tab w:val="num" w:pos="340"/>
        </w:tabs>
        <w:ind w:left="340" w:hanging="170"/>
      </w:pPr>
      <w:rPr>
        <w:rFonts w:ascii="Calibri" w:hAnsi="Calibri" w:cs="Times New Roman" w:hint="default"/>
        <w:b w:val="0"/>
        <w:i w:val="0"/>
        <w:color w:val="000000" w:themeColor="text1"/>
        <w:position w:val="0"/>
        <w:sz w:val="20"/>
      </w:rPr>
    </w:lvl>
    <w:lvl w:ilvl="1" w:tplc="0C090001">
      <w:start w:val="1"/>
      <w:numFmt w:val="bullet"/>
      <w:lvlText w:val=""/>
      <w:lvlJc w:val="left"/>
      <w:pPr>
        <w:tabs>
          <w:tab w:val="num" w:pos="312"/>
        </w:tabs>
        <w:ind w:left="312" w:hanging="170"/>
      </w:pPr>
      <w:rPr>
        <w:rFonts w:ascii="Symbol" w:hAnsi="Symbol" w:hint="default"/>
        <w:b w:val="0"/>
        <w:i w:val="0"/>
        <w:color w:val="auto"/>
        <w:position w:val="2"/>
        <w:sz w:val="20"/>
      </w:rPr>
    </w:lvl>
    <w:lvl w:ilvl="2" w:tplc="0F023508">
      <w:start w:val="1"/>
      <w:numFmt w:val="bullet"/>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tplc="019037FE">
      <w:start w:val="1"/>
      <w:numFmt w:val="none"/>
      <w:lvlText w:val=""/>
      <w:lvlJc w:val="left"/>
      <w:pPr>
        <w:tabs>
          <w:tab w:val="num" w:pos="850"/>
        </w:tabs>
        <w:ind w:left="850" w:hanging="170"/>
      </w:pPr>
      <w:rPr>
        <w:rFonts w:hint="default"/>
      </w:rPr>
    </w:lvl>
    <w:lvl w:ilvl="4" w:tplc="8EE2F1B6">
      <w:start w:val="1"/>
      <w:numFmt w:val="none"/>
      <w:lvlText w:val=""/>
      <w:lvlJc w:val="left"/>
      <w:pPr>
        <w:tabs>
          <w:tab w:val="num" w:pos="1020"/>
        </w:tabs>
        <w:ind w:left="1020" w:hanging="170"/>
      </w:pPr>
      <w:rPr>
        <w:rFonts w:hint="default"/>
      </w:rPr>
    </w:lvl>
    <w:lvl w:ilvl="5" w:tplc="653E8D4A">
      <w:start w:val="1"/>
      <w:numFmt w:val="none"/>
      <w:lvlText w:val=""/>
      <w:lvlJc w:val="left"/>
      <w:pPr>
        <w:tabs>
          <w:tab w:val="num" w:pos="1190"/>
        </w:tabs>
        <w:ind w:left="1190" w:hanging="170"/>
      </w:pPr>
      <w:rPr>
        <w:rFonts w:hint="default"/>
      </w:rPr>
    </w:lvl>
    <w:lvl w:ilvl="6" w:tplc="E0500488">
      <w:start w:val="1"/>
      <w:numFmt w:val="none"/>
      <w:lvlText w:val=""/>
      <w:lvlJc w:val="left"/>
      <w:pPr>
        <w:tabs>
          <w:tab w:val="num" w:pos="1360"/>
        </w:tabs>
        <w:ind w:left="1360" w:hanging="170"/>
      </w:pPr>
      <w:rPr>
        <w:rFonts w:hint="default"/>
      </w:rPr>
    </w:lvl>
    <w:lvl w:ilvl="7" w:tplc="437C7D1E">
      <w:start w:val="1"/>
      <w:numFmt w:val="none"/>
      <w:lvlText w:val=""/>
      <w:lvlJc w:val="left"/>
      <w:pPr>
        <w:tabs>
          <w:tab w:val="num" w:pos="1530"/>
        </w:tabs>
        <w:ind w:left="1530" w:hanging="170"/>
      </w:pPr>
      <w:rPr>
        <w:rFonts w:hint="default"/>
      </w:rPr>
    </w:lvl>
    <w:lvl w:ilvl="8" w:tplc="6F50E6C0">
      <w:start w:val="1"/>
      <w:numFmt w:val="none"/>
      <w:lvlText w:val=""/>
      <w:lvlJc w:val="left"/>
      <w:pPr>
        <w:tabs>
          <w:tab w:val="num" w:pos="1700"/>
        </w:tabs>
        <w:ind w:left="1700" w:hanging="170"/>
      </w:pPr>
      <w:rPr>
        <w:rFonts w:hint="default"/>
      </w:rPr>
    </w:lvl>
  </w:abstractNum>
  <w:abstractNum w:abstractNumId="16" w15:restartNumberingAfterBreak="0">
    <w:nsid w:val="269E235A"/>
    <w:multiLevelType w:val="hybridMultilevel"/>
    <w:tmpl w:val="F9CC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E55C71"/>
    <w:multiLevelType w:val="hybridMultilevel"/>
    <w:tmpl w:val="24A0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C5655"/>
    <w:multiLevelType w:val="hybridMultilevel"/>
    <w:tmpl w:val="B9E07D6E"/>
    <w:styleLink w:val="DELWPAppendices"/>
    <w:lvl w:ilvl="0" w:tplc="875C66CC">
      <w:start w:val="1"/>
      <w:numFmt w:val="upperLetter"/>
      <w:lvlRestart w:val="0"/>
      <w:pStyle w:val="Heading8"/>
      <w:lvlText w:val="Appendix %1"/>
      <w:lvlJc w:val="left"/>
      <w:pPr>
        <w:tabs>
          <w:tab w:val="num" w:pos="3685"/>
        </w:tabs>
        <w:ind w:left="3685" w:hanging="2551"/>
      </w:pPr>
    </w:lvl>
    <w:lvl w:ilvl="1" w:tplc="360EFE86">
      <w:start w:val="1"/>
      <w:numFmt w:val="lowerLetter"/>
      <w:lvlText w:val="%2)"/>
      <w:lvlJc w:val="left"/>
      <w:pPr>
        <w:ind w:left="720" w:hanging="360"/>
      </w:pPr>
    </w:lvl>
    <w:lvl w:ilvl="2" w:tplc="1DBAD506">
      <w:start w:val="1"/>
      <w:numFmt w:val="lowerRoman"/>
      <w:lvlText w:val="%3)"/>
      <w:lvlJc w:val="left"/>
      <w:pPr>
        <w:ind w:left="1080" w:hanging="360"/>
      </w:pPr>
    </w:lvl>
    <w:lvl w:ilvl="3" w:tplc="F6C44A08">
      <w:start w:val="1"/>
      <w:numFmt w:val="decimal"/>
      <w:lvlText w:val="(%4)"/>
      <w:lvlJc w:val="left"/>
      <w:pPr>
        <w:ind w:left="1440" w:hanging="360"/>
      </w:pPr>
    </w:lvl>
    <w:lvl w:ilvl="4" w:tplc="9C4CA668">
      <w:start w:val="1"/>
      <w:numFmt w:val="lowerLetter"/>
      <w:lvlText w:val="(%5)"/>
      <w:lvlJc w:val="left"/>
      <w:pPr>
        <w:ind w:left="1800" w:hanging="360"/>
      </w:pPr>
    </w:lvl>
    <w:lvl w:ilvl="5" w:tplc="50122892">
      <w:start w:val="1"/>
      <w:numFmt w:val="lowerRoman"/>
      <w:lvlText w:val="(%6)"/>
      <w:lvlJc w:val="left"/>
      <w:pPr>
        <w:ind w:left="2160" w:hanging="360"/>
      </w:pPr>
    </w:lvl>
    <w:lvl w:ilvl="6" w:tplc="EE3C1B3A">
      <w:start w:val="1"/>
      <w:numFmt w:val="decimal"/>
      <w:lvlText w:val="%7."/>
      <w:lvlJc w:val="left"/>
      <w:pPr>
        <w:ind w:left="2520" w:hanging="360"/>
      </w:pPr>
    </w:lvl>
    <w:lvl w:ilvl="7" w:tplc="F65E0A94">
      <w:start w:val="1"/>
      <w:numFmt w:val="lowerLetter"/>
      <w:lvlText w:val="%8."/>
      <w:lvlJc w:val="left"/>
      <w:pPr>
        <w:ind w:left="2880" w:hanging="360"/>
      </w:pPr>
    </w:lvl>
    <w:lvl w:ilvl="8" w:tplc="27CE62AA">
      <w:start w:val="1"/>
      <w:numFmt w:val="lowerRoman"/>
      <w:lvlText w:val="%9."/>
      <w:lvlJc w:val="left"/>
      <w:pPr>
        <w:ind w:left="3240" w:hanging="360"/>
      </w:pPr>
    </w:lvl>
  </w:abstractNum>
  <w:abstractNum w:abstractNumId="19" w15:restartNumberingAfterBreak="0">
    <w:nsid w:val="2C72580B"/>
    <w:multiLevelType w:val="hybridMultilevel"/>
    <w:tmpl w:val="151AC338"/>
    <w:name w:val="PullOutBoxNumbering"/>
    <w:lvl w:ilvl="0" w:tplc="FAA2A496">
      <w:start w:val="1"/>
      <w:numFmt w:val="decimal"/>
      <w:pStyle w:val="PullOutBoxNumbered"/>
      <w:lvlText w:val="%1."/>
      <w:lvlJc w:val="left"/>
      <w:pPr>
        <w:tabs>
          <w:tab w:val="num" w:pos="482"/>
        </w:tabs>
        <w:ind w:left="482" w:hanging="340"/>
      </w:pPr>
      <w:rPr>
        <w:rFonts w:hint="default"/>
      </w:rPr>
    </w:lvl>
    <w:lvl w:ilvl="1" w:tplc="7EC81E82">
      <w:start w:val="1"/>
      <w:numFmt w:val="lowerLetter"/>
      <w:pStyle w:val="PullOutBoxNumbered2"/>
      <w:lvlText w:val="%2."/>
      <w:lvlJc w:val="left"/>
      <w:pPr>
        <w:tabs>
          <w:tab w:val="num" w:pos="822"/>
        </w:tabs>
        <w:ind w:left="822" w:hanging="340"/>
      </w:pPr>
      <w:rPr>
        <w:rFonts w:hint="default"/>
        <w:color w:val="000000" w:themeColor="text1"/>
      </w:rPr>
    </w:lvl>
    <w:lvl w:ilvl="2" w:tplc="BAA62CAE">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9E7C89C4">
      <w:start w:val="1"/>
      <w:numFmt w:val="none"/>
      <w:lvlText w:val=""/>
      <w:lvlJc w:val="left"/>
      <w:pPr>
        <w:ind w:left="1440" w:hanging="360"/>
      </w:pPr>
      <w:rPr>
        <w:rFonts w:hint="default"/>
      </w:rPr>
    </w:lvl>
    <w:lvl w:ilvl="4" w:tplc="89027F3E">
      <w:start w:val="1"/>
      <w:numFmt w:val="none"/>
      <w:lvlText w:val=""/>
      <w:lvlJc w:val="left"/>
      <w:pPr>
        <w:ind w:left="1800" w:hanging="360"/>
      </w:pPr>
      <w:rPr>
        <w:rFonts w:hint="default"/>
      </w:rPr>
    </w:lvl>
    <w:lvl w:ilvl="5" w:tplc="D2E63FBC">
      <w:start w:val="1"/>
      <w:numFmt w:val="none"/>
      <w:lvlText w:val=""/>
      <w:lvlJc w:val="left"/>
      <w:pPr>
        <w:ind w:left="2160" w:hanging="360"/>
      </w:pPr>
      <w:rPr>
        <w:rFonts w:hint="default"/>
      </w:rPr>
    </w:lvl>
    <w:lvl w:ilvl="6" w:tplc="91A04F8C">
      <w:start w:val="1"/>
      <w:numFmt w:val="none"/>
      <w:lvlText w:val=""/>
      <w:lvlJc w:val="left"/>
      <w:pPr>
        <w:ind w:left="2520" w:hanging="360"/>
      </w:pPr>
      <w:rPr>
        <w:rFonts w:hint="default"/>
      </w:rPr>
    </w:lvl>
    <w:lvl w:ilvl="7" w:tplc="443AB4B4">
      <w:start w:val="1"/>
      <w:numFmt w:val="none"/>
      <w:lvlText w:val=""/>
      <w:lvlJc w:val="left"/>
      <w:pPr>
        <w:ind w:left="2880" w:hanging="360"/>
      </w:pPr>
      <w:rPr>
        <w:rFonts w:hint="default"/>
      </w:rPr>
    </w:lvl>
    <w:lvl w:ilvl="8" w:tplc="D2B64D76">
      <w:start w:val="1"/>
      <w:numFmt w:val="none"/>
      <w:lvlText w:val=""/>
      <w:lvlJc w:val="left"/>
      <w:pPr>
        <w:ind w:left="3240" w:hanging="360"/>
      </w:pPr>
      <w:rPr>
        <w:rFonts w:hint="default"/>
      </w:rPr>
    </w:lvl>
  </w:abstractNum>
  <w:abstractNum w:abstractNumId="20" w15:restartNumberingAfterBreak="0">
    <w:nsid w:val="320F2659"/>
    <w:multiLevelType w:val="hybridMultilevel"/>
    <w:tmpl w:val="BBF2B4B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1" w15:restartNumberingAfterBreak="0">
    <w:nsid w:val="346427B9"/>
    <w:multiLevelType w:val="hybridMultilevel"/>
    <w:tmpl w:val="420673E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23AD4"/>
    <w:multiLevelType w:val="hybridMultilevel"/>
    <w:tmpl w:val="C3FC21F4"/>
    <w:name w:val="DEPIPullOutBoxBullets"/>
    <w:lvl w:ilvl="0" w:tplc="53D2251E">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5F8E3364">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D19262E4">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539A8D94">
      <w:start w:val="1"/>
      <w:numFmt w:val="none"/>
      <w:lvlText w:val=""/>
      <w:lvlJc w:val="left"/>
      <w:pPr>
        <w:ind w:left="0" w:firstLine="0"/>
      </w:pPr>
      <w:rPr>
        <w:rFonts w:hint="default"/>
      </w:rPr>
    </w:lvl>
    <w:lvl w:ilvl="4" w:tplc="D0946624">
      <w:start w:val="1"/>
      <w:numFmt w:val="none"/>
      <w:lvlText w:val=""/>
      <w:lvlJc w:val="left"/>
      <w:pPr>
        <w:ind w:left="0" w:firstLine="0"/>
      </w:pPr>
      <w:rPr>
        <w:rFonts w:hint="default"/>
      </w:rPr>
    </w:lvl>
    <w:lvl w:ilvl="5" w:tplc="03A40C5C">
      <w:start w:val="1"/>
      <w:numFmt w:val="none"/>
      <w:lvlText w:val=""/>
      <w:lvlJc w:val="left"/>
      <w:pPr>
        <w:ind w:left="0" w:firstLine="0"/>
      </w:pPr>
      <w:rPr>
        <w:rFonts w:hint="default"/>
      </w:rPr>
    </w:lvl>
    <w:lvl w:ilvl="6" w:tplc="880CD96A">
      <w:start w:val="1"/>
      <w:numFmt w:val="none"/>
      <w:lvlText w:val=""/>
      <w:lvlJc w:val="left"/>
      <w:pPr>
        <w:ind w:left="0" w:firstLine="0"/>
      </w:pPr>
      <w:rPr>
        <w:rFonts w:hint="default"/>
      </w:rPr>
    </w:lvl>
    <w:lvl w:ilvl="7" w:tplc="7494CB80">
      <w:start w:val="1"/>
      <w:numFmt w:val="none"/>
      <w:lvlText w:val=""/>
      <w:lvlJc w:val="left"/>
      <w:pPr>
        <w:ind w:left="0" w:firstLine="0"/>
      </w:pPr>
      <w:rPr>
        <w:rFonts w:hint="default"/>
      </w:rPr>
    </w:lvl>
    <w:lvl w:ilvl="8" w:tplc="7D745978">
      <w:start w:val="1"/>
      <w:numFmt w:val="none"/>
      <w:lvlText w:val=""/>
      <w:lvlJc w:val="left"/>
      <w:pPr>
        <w:ind w:left="0" w:firstLine="0"/>
      </w:pPr>
      <w:rPr>
        <w:rFonts w:hint="default"/>
      </w:rPr>
    </w:lvl>
  </w:abstractNum>
  <w:abstractNum w:abstractNumId="23" w15:restartNumberingAfterBreak="0">
    <w:nsid w:val="3CFD75B0"/>
    <w:multiLevelType w:val="hybridMultilevel"/>
    <w:tmpl w:val="0409001D"/>
    <w:styleLink w:val="1ai"/>
    <w:lvl w:ilvl="0" w:tplc="CDC6D16A">
      <w:start w:val="1"/>
      <w:numFmt w:val="decimal"/>
      <w:lvlText w:val="%1)"/>
      <w:lvlJc w:val="left"/>
      <w:pPr>
        <w:tabs>
          <w:tab w:val="num" w:pos="360"/>
        </w:tabs>
        <w:ind w:left="360" w:hanging="360"/>
      </w:pPr>
    </w:lvl>
    <w:lvl w:ilvl="1" w:tplc="6CF6A822">
      <w:start w:val="1"/>
      <w:numFmt w:val="lowerLetter"/>
      <w:lvlText w:val="%2)"/>
      <w:lvlJc w:val="left"/>
      <w:pPr>
        <w:tabs>
          <w:tab w:val="num" w:pos="720"/>
        </w:tabs>
        <w:ind w:left="720" w:hanging="360"/>
      </w:pPr>
    </w:lvl>
    <w:lvl w:ilvl="2" w:tplc="C3DC74B4">
      <w:start w:val="1"/>
      <w:numFmt w:val="lowerRoman"/>
      <w:lvlText w:val="%3)"/>
      <w:lvlJc w:val="left"/>
      <w:pPr>
        <w:tabs>
          <w:tab w:val="num" w:pos="1080"/>
        </w:tabs>
        <w:ind w:left="1080" w:hanging="360"/>
      </w:pPr>
    </w:lvl>
    <w:lvl w:ilvl="3" w:tplc="A12222C6">
      <w:start w:val="1"/>
      <w:numFmt w:val="decimal"/>
      <w:lvlText w:val="(%4)"/>
      <w:lvlJc w:val="left"/>
      <w:pPr>
        <w:tabs>
          <w:tab w:val="num" w:pos="1440"/>
        </w:tabs>
        <w:ind w:left="1440" w:hanging="360"/>
      </w:pPr>
    </w:lvl>
    <w:lvl w:ilvl="4" w:tplc="4BEACD84">
      <w:start w:val="1"/>
      <w:numFmt w:val="lowerLetter"/>
      <w:lvlText w:val="(%5)"/>
      <w:lvlJc w:val="left"/>
      <w:pPr>
        <w:tabs>
          <w:tab w:val="num" w:pos="1800"/>
        </w:tabs>
        <w:ind w:left="1800" w:hanging="360"/>
      </w:pPr>
    </w:lvl>
    <w:lvl w:ilvl="5" w:tplc="DB643EBE">
      <w:start w:val="1"/>
      <w:numFmt w:val="lowerRoman"/>
      <w:lvlText w:val="(%6)"/>
      <w:lvlJc w:val="left"/>
      <w:pPr>
        <w:tabs>
          <w:tab w:val="num" w:pos="2160"/>
        </w:tabs>
        <w:ind w:left="2160" w:hanging="360"/>
      </w:pPr>
    </w:lvl>
    <w:lvl w:ilvl="6" w:tplc="7542DAD0">
      <w:start w:val="1"/>
      <w:numFmt w:val="decimal"/>
      <w:lvlText w:val="%7."/>
      <w:lvlJc w:val="left"/>
      <w:pPr>
        <w:tabs>
          <w:tab w:val="num" w:pos="2520"/>
        </w:tabs>
        <w:ind w:left="2520" w:hanging="360"/>
      </w:pPr>
    </w:lvl>
    <w:lvl w:ilvl="7" w:tplc="DF1CD46E">
      <w:start w:val="1"/>
      <w:numFmt w:val="lowerLetter"/>
      <w:lvlText w:val="%8."/>
      <w:lvlJc w:val="left"/>
      <w:pPr>
        <w:tabs>
          <w:tab w:val="num" w:pos="2880"/>
        </w:tabs>
        <w:ind w:left="2880" w:hanging="360"/>
      </w:pPr>
    </w:lvl>
    <w:lvl w:ilvl="8" w:tplc="2DCC5C7C">
      <w:start w:val="1"/>
      <w:numFmt w:val="lowerRoman"/>
      <w:lvlText w:val="%9."/>
      <w:lvlJc w:val="left"/>
      <w:pPr>
        <w:tabs>
          <w:tab w:val="num" w:pos="3240"/>
        </w:tabs>
        <w:ind w:left="3240" w:hanging="360"/>
      </w:pPr>
    </w:lvl>
  </w:abstractNum>
  <w:abstractNum w:abstractNumId="24" w15:restartNumberingAfterBreak="0">
    <w:nsid w:val="3EB14A90"/>
    <w:multiLevelType w:val="hybridMultilevel"/>
    <w:tmpl w:val="6F36E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986587"/>
    <w:multiLevelType w:val="hybridMultilevel"/>
    <w:tmpl w:val="B9E07D6E"/>
    <w:name w:val="DELWP Appendices"/>
    <w:numStyleLink w:val="DELWPAppendices"/>
  </w:abstractNum>
  <w:abstractNum w:abstractNumId="26" w15:restartNumberingAfterBreak="0">
    <w:nsid w:val="40177B53"/>
    <w:multiLevelType w:val="hybridMultilevel"/>
    <w:tmpl w:val="CA4EC39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hybridMultilevel"/>
    <w:tmpl w:val="AEEC30DE"/>
    <w:lvl w:ilvl="0" w:tplc="7ABE43D8">
      <w:start w:val="1"/>
      <w:numFmt w:val="bullet"/>
      <w:pStyle w:val="SmallBullet"/>
      <w:lvlText w:val="•"/>
      <w:lvlJc w:val="left"/>
      <w:pPr>
        <w:ind w:left="170" w:hanging="170"/>
      </w:pPr>
      <w:rPr>
        <w:rFonts w:ascii="Arial" w:hAnsi="Arial" w:hint="default"/>
        <w:color w:val="000000" w:themeColor="text1"/>
      </w:rPr>
    </w:lvl>
    <w:lvl w:ilvl="1" w:tplc="3D6A7338">
      <w:start w:val="1"/>
      <w:numFmt w:val="bullet"/>
      <w:lvlText w:val="o"/>
      <w:lvlJc w:val="left"/>
      <w:pPr>
        <w:ind w:left="1440" w:hanging="360"/>
      </w:pPr>
      <w:rPr>
        <w:rFonts w:ascii="Courier New" w:hAnsi="Courier New" w:cs="Courier New" w:hint="default"/>
      </w:rPr>
    </w:lvl>
    <w:lvl w:ilvl="2" w:tplc="ABD8262C">
      <w:start w:val="1"/>
      <w:numFmt w:val="bullet"/>
      <w:lvlText w:val=""/>
      <w:lvlJc w:val="left"/>
      <w:pPr>
        <w:ind w:left="2160" w:hanging="360"/>
      </w:pPr>
      <w:rPr>
        <w:rFonts w:ascii="Wingdings" w:hAnsi="Wingdings" w:hint="default"/>
      </w:rPr>
    </w:lvl>
    <w:lvl w:ilvl="3" w:tplc="F2E01DA8">
      <w:start w:val="1"/>
      <w:numFmt w:val="bullet"/>
      <w:lvlText w:val=""/>
      <w:lvlJc w:val="left"/>
      <w:pPr>
        <w:ind w:left="2880" w:hanging="360"/>
      </w:pPr>
      <w:rPr>
        <w:rFonts w:ascii="Symbol" w:hAnsi="Symbol" w:hint="default"/>
      </w:rPr>
    </w:lvl>
    <w:lvl w:ilvl="4" w:tplc="19F41CFE">
      <w:start w:val="1"/>
      <w:numFmt w:val="bullet"/>
      <w:lvlText w:val="o"/>
      <w:lvlJc w:val="left"/>
      <w:pPr>
        <w:ind w:left="3600" w:hanging="360"/>
      </w:pPr>
      <w:rPr>
        <w:rFonts w:ascii="Courier New" w:hAnsi="Courier New" w:cs="Courier New" w:hint="default"/>
      </w:rPr>
    </w:lvl>
    <w:lvl w:ilvl="5" w:tplc="805E386E">
      <w:start w:val="1"/>
      <w:numFmt w:val="bullet"/>
      <w:lvlText w:val=""/>
      <w:lvlJc w:val="left"/>
      <w:pPr>
        <w:ind w:left="4320" w:hanging="360"/>
      </w:pPr>
      <w:rPr>
        <w:rFonts w:ascii="Wingdings" w:hAnsi="Wingdings" w:hint="default"/>
      </w:rPr>
    </w:lvl>
    <w:lvl w:ilvl="6" w:tplc="3D962422">
      <w:start w:val="1"/>
      <w:numFmt w:val="bullet"/>
      <w:lvlText w:val=""/>
      <w:lvlJc w:val="left"/>
      <w:pPr>
        <w:ind w:left="5040" w:hanging="360"/>
      </w:pPr>
      <w:rPr>
        <w:rFonts w:ascii="Symbol" w:hAnsi="Symbol" w:hint="default"/>
      </w:rPr>
    </w:lvl>
    <w:lvl w:ilvl="7" w:tplc="8892D80C">
      <w:start w:val="1"/>
      <w:numFmt w:val="bullet"/>
      <w:lvlText w:val="o"/>
      <w:lvlJc w:val="left"/>
      <w:pPr>
        <w:ind w:left="5760" w:hanging="360"/>
      </w:pPr>
      <w:rPr>
        <w:rFonts w:ascii="Courier New" w:hAnsi="Courier New" w:cs="Courier New" w:hint="default"/>
      </w:rPr>
    </w:lvl>
    <w:lvl w:ilvl="8" w:tplc="FF4CBD0A">
      <w:start w:val="1"/>
      <w:numFmt w:val="bullet"/>
      <w:lvlText w:val=""/>
      <w:lvlJc w:val="left"/>
      <w:pPr>
        <w:ind w:left="6480" w:hanging="360"/>
      </w:pPr>
      <w:rPr>
        <w:rFonts w:ascii="Wingdings" w:hAnsi="Wingdings" w:hint="default"/>
      </w:rPr>
    </w:lvl>
  </w:abstractNum>
  <w:abstractNum w:abstractNumId="28" w15:restartNumberingAfterBreak="0">
    <w:nsid w:val="496D1605"/>
    <w:multiLevelType w:val="multilevel"/>
    <w:tmpl w:val="07B4CFA6"/>
    <w:lvl w:ilvl="0">
      <w:start w:val="1"/>
      <w:numFmt w:val="decimal"/>
      <w:pStyle w:val="HA"/>
      <w:lvlText w:val="%1."/>
      <w:lvlJc w:val="left"/>
      <w:pPr>
        <w:ind w:left="360" w:hanging="360"/>
      </w:pPr>
      <w:rPr>
        <w:rFonts w:hint="default"/>
      </w:rPr>
    </w:lvl>
    <w:lvl w:ilvl="1">
      <w:start w:val="1"/>
      <w:numFmt w:val="decimal"/>
      <w:pStyle w:val="HB"/>
      <w:lvlText w:val="%1.%2."/>
      <w:lvlJc w:val="left"/>
      <w:pPr>
        <w:ind w:left="0" w:firstLine="0"/>
      </w:pPr>
      <w:rPr>
        <w:rFonts w:hint="default"/>
      </w:rPr>
    </w:lvl>
    <w:lvl w:ilvl="2">
      <w:start w:val="1"/>
      <w:numFmt w:val="decimal"/>
      <w:pStyle w:val="HC"/>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286FC8"/>
    <w:multiLevelType w:val="hybridMultilevel"/>
    <w:tmpl w:val="2D9E8094"/>
    <w:lvl w:ilvl="0" w:tplc="8DCA1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351DE4"/>
    <w:multiLevelType w:val="hybridMultilevel"/>
    <w:tmpl w:val="B12C98A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545EC4"/>
    <w:multiLevelType w:val="hybridMultilevel"/>
    <w:tmpl w:val="6A42EC7C"/>
    <w:name w:val="HighlightBoxBullet"/>
    <w:lvl w:ilvl="0" w:tplc="52E24272">
      <w:start w:val="1"/>
      <w:numFmt w:val="bullet"/>
      <w:lvlRestart w:val="0"/>
      <w:pStyle w:val="HighlightBoxBullet"/>
      <w:lvlText w:val="•"/>
      <w:lvlJc w:val="left"/>
      <w:pPr>
        <w:ind w:left="454" w:hanging="227"/>
      </w:pPr>
      <w:rPr>
        <w:rFonts w:ascii="Arial" w:hAnsi="Arial" w:cs="Arial" w:hint="default"/>
        <w:color w:val="FFFFFF"/>
        <w:sz w:val="24"/>
      </w:rPr>
    </w:lvl>
    <w:lvl w:ilvl="1" w:tplc="926A703E">
      <w:start w:val="1"/>
      <w:numFmt w:val="bullet"/>
      <w:lvlText w:val="o"/>
      <w:lvlJc w:val="left"/>
      <w:pPr>
        <w:ind w:left="1667" w:hanging="360"/>
      </w:pPr>
      <w:rPr>
        <w:rFonts w:ascii="Courier New" w:hAnsi="Courier New" w:cs="Courier New" w:hint="default"/>
      </w:rPr>
    </w:lvl>
    <w:lvl w:ilvl="2" w:tplc="9B9AEEA4">
      <w:start w:val="1"/>
      <w:numFmt w:val="bullet"/>
      <w:lvlText w:val=""/>
      <w:lvlJc w:val="left"/>
      <w:pPr>
        <w:ind w:left="2387" w:hanging="360"/>
      </w:pPr>
      <w:rPr>
        <w:rFonts w:ascii="Wingdings" w:hAnsi="Wingdings" w:hint="default"/>
      </w:rPr>
    </w:lvl>
    <w:lvl w:ilvl="3" w:tplc="D02A6FF0">
      <w:start w:val="1"/>
      <w:numFmt w:val="bullet"/>
      <w:lvlText w:val=""/>
      <w:lvlJc w:val="left"/>
      <w:pPr>
        <w:ind w:left="3107" w:hanging="360"/>
      </w:pPr>
      <w:rPr>
        <w:rFonts w:ascii="Symbol" w:hAnsi="Symbol" w:hint="default"/>
      </w:rPr>
    </w:lvl>
    <w:lvl w:ilvl="4" w:tplc="C77C91CE">
      <w:start w:val="1"/>
      <w:numFmt w:val="bullet"/>
      <w:lvlText w:val="o"/>
      <w:lvlJc w:val="left"/>
      <w:pPr>
        <w:ind w:left="3827" w:hanging="360"/>
      </w:pPr>
      <w:rPr>
        <w:rFonts w:ascii="Courier New" w:hAnsi="Courier New" w:cs="Courier New" w:hint="default"/>
      </w:rPr>
    </w:lvl>
    <w:lvl w:ilvl="5" w:tplc="0BA620FA">
      <w:start w:val="1"/>
      <w:numFmt w:val="bullet"/>
      <w:lvlText w:val=""/>
      <w:lvlJc w:val="left"/>
      <w:pPr>
        <w:ind w:left="4547" w:hanging="360"/>
      </w:pPr>
      <w:rPr>
        <w:rFonts w:ascii="Wingdings" w:hAnsi="Wingdings" w:hint="default"/>
      </w:rPr>
    </w:lvl>
    <w:lvl w:ilvl="6" w:tplc="70584566">
      <w:start w:val="1"/>
      <w:numFmt w:val="bullet"/>
      <w:lvlText w:val=""/>
      <w:lvlJc w:val="left"/>
      <w:pPr>
        <w:ind w:left="5267" w:hanging="360"/>
      </w:pPr>
      <w:rPr>
        <w:rFonts w:ascii="Symbol" w:hAnsi="Symbol" w:hint="default"/>
      </w:rPr>
    </w:lvl>
    <w:lvl w:ilvl="7" w:tplc="B74ECD06">
      <w:start w:val="1"/>
      <w:numFmt w:val="bullet"/>
      <w:lvlText w:val="o"/>
      <w:lvlJc w:val="left"/>
      <w:pPr>
        <w:ind w:left="5987" w:hanging="360"/>
      </w:pPr>
      <w:rPr>
        <w:rFonts w:ascii="Courier New" w:hAnsi="Courier New" w:cs="Courier New" w:hint="default"/>
      </w:rPr>
    </w:lvl>
    <w:lvl w:ilvl="8" w:tplc="106A1B5A">
      <w:start w:val="1"/>
      <w:numFmt w:val="bullet"/>
      <w:lvlText w:val=""/>
      <w:lvlJc w:val="left"/>
      <w:pPr>
        <w:ind w:left="6707" w:hanging="360"/>
      </w:pPr>
      <w:rPr>
        <w:rFonts w:ascii="Wingdings" w:hAnsi="Wingdings" w:hint="default"/>
      </w:rPr>
    </w:lvl>
  </w:abstractNum>
  <w:abstractNum w:abstractNumId="32" w15:restartNumberingAfterBreak="0">
    <w:nsid w:val="4DDA65C0"/>
    <w:multiLevelType w:val="hybridMultilevel"/>
    <w:tmpl w:val="62DCF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932F5C"/>
    <w:multiLevelType w:val="hybridMultilevel"/>
    <w:tmpl w:val="2C96D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117AAE"/>
    <w:multiLevelType w:val="hybridMultilevel"/>
    <w:tmpl w:val="8DFCA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DB25BF"/>
    <w:multiLevelType w:val="hybridMultilevel"/>
    <w:tmpl w:val="829C4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2C289E"/>
    <w:multiLevelType w:val="hybridMultilevel"/>
    <w:tmpl w:val="DAB28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90CA9"/>
    <w:multiLevelType w:val="hybridMultilevel"/>
    <w:tmpl w:val="D3FE310C"/>
    <w:lvl w:ilvl="0" w:tplc="FDB0D50E">
      <w:numFmt w:val="bullet"/>
      <w:lvlText w:val="•"/>
      <w:lvlJc w:val="left"/>
      <w:pPr>
        <w:ind w:left="930" w:hanging="57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05BCB"/>
    <w:multiLevelType w:val="multilevel"/>
    <w:tmpl w:val="85EE83AE"/>
    <w:lvl w:ilvl="0">
      <w:start w:val="1"/>
      <w:numFmt w:val="decimal"/>
      <w:lvlText w:val="%1."/>
      <w:lvlJc w:val="left"/>
      <w:pPr>
        <w:tabs>
          <w:tab w:val="num" w:pos="1247"/>
        </w:tabs>
        <w:ind w:left="1247" w:hanging="340"/>
      </w:pPr>
      <w:rPr>
        <w:rFonts w:hint="default"/>
        <w:color w:val="000000" w:themeColor="text1"/>
        <w:spacing w:val="0"/>
        <w:sz w:val="20"/>
      </w:rPr>
    </w:lvl>
    <w:lvl w:ilvl="1">
      <w:start w:val="1"/>
      <w:numFmt w:val="lowerLetter"/>
      <w:lvlText w:val="%2."/>
      <w:lvlJc w:val="left"/>
      <w:pPr>
        <w:tabs>
          <w:tab w:val="num" w:pos="1587"/>
        </w:tabs>
        <w:ind w:left="1587" w:hanging="340"/>
      </w:pPr>
      <w:rPr>
        <w:rFonts w:hint="default"/>
        <w:color w:val="000000" w:themeColor="text1"/>
        <w:spacing w:val="0"/>
        <w:sz w:val="20"/>
      </w:rPr>
    </w:lvl>
    <w:lvl w:ilvl="2">
      <w:start w:val="1"/>
      <w:numFmt w:val="lowerRoman"/>
      <w:lvlText w:val="%3."/>
      <w:lvlJc w:val="left"/>
      <w:pPr>
        <w:tabs>
          <w:tab w:val="num" w:pos="1956"/>
        </w:tabs>
        <w:ind w:left="1956" w:hanging="369"/>
      </w:pPr>
      <w:rPr>
        <w:rFonts w:hint="default"/>
        <w:color w:val="000000" w:themeColor="text1"/>
        <w:spacing w:val="0"/>
        <w:position w:val="0"/>
        <w:sz w:val="20"/>
        <w:szCs w:val="16"/>
      </w:rPr>
    </w:lvl>
    <w:lvl w:ilvl="3">
      <w:start w:val="1"/>
      <w:numFmt w:val="none"/>
      <w:lvlText w:val=""/>
      <w:lvlJc w:val="left"/>
      <w:pPr>
        <w:tabs>
          <w:tab w:val="num" w:pos="-30773"/>
        </w:tabs>
        <w:ind w:left="-31860" w:firstLine="0"/>
      </w:pPr>
      <w:rPr>
        <w:rFonts w:hint="default"/>
      </w:rPr>
    </w:lvl>
    <w:lvl w:ilvl="4">
      <w:start w:val="1"/>
      <w:numFmt w:val="none"/>
      <w:lvlText w:val=""/>
      <w:lvlJc w:val="left"/>
      <w:pPr>
        <w:tabs>
          <w:tab w:val="num" w:pos="-30773"/>
        </w:tabs>
        <w:ind w:left="-31860" w:firstLine="0"/>
      </w:pPr>
      <w:rPr>
        <w:rFonts w:hint="default"/>
      </w:rPr>
    </w:lvl>
    <w:lvl w:ilvl="5">
      <w:start w:val="1"/>
      <w:numFmt w:val="none"/>
      <w:lvlText w:val=""/>
      <w:lvlJc w:val="left"/>
      <w:pPr>
        <w:tabs>
          <w:tab w:val="num" w:pos="-30773"/>
        </w:tabs>
        <w:ind w:left="-31860" w:firstLine="0"/>
      </w:pPr>
      <w:rPr>
        <w:rFonts w:hint="default"/>
      </w:rPr>
    </w:lvl>
    <w:lvl w:ilvl="6">
      <w:start w:val="1"/>
      <w:numFmt w:val="none"/>
      <w:lvlText w:val=""/>
      <w:lvlJc w:val="left"/>
      <w:pPr>
        <w:tabs>
          <w:tab w:val="num" w:pos="-30773"/>
        </w:tabs>
        <w:ind w:left="-31860" w:firstLine="0"/>
      </w:pPr>
      <w:rPr>
        <w:rFonts w:hint="default"/>
      </w:rPr>
    </w:lvl>
    <w:lvl w:ilvl="7">
      <w:start w:val="1"/>
      <w:numFmt w:val="none"/>
      <w:lvlText w:val=""/>
      <w:lvlJc w:val="left"/>
      <w:pPr>
        <w:tabs>
          <w:tab w:val="num" w:pos="-30773"/>
        </w:tabs>
        <w:ind w:left="-31860" w:firstLine="0"/>
      </w:pPr>
      <w:rPr>
        <w:rFonts w:hint="default"/>
      </w:rPr>
    </w:lvl>
    <w:lvl w:ilvl="8">
      <w:start w:val="1"/>
      <w:numFmt w:val="none"/>
      <w:lvlText w:val=""/>
      <w:lvlJc w:val="left"/>
      <w:pPr>
        <w:tabs>
          <w:tab w:val="num" w:pos="-30773"/>
        </w:tabs>
        <w:ind w:left="-31860" w:firstLine="0"/>
      </w:pPr>
      <w:rPr>
        <w:rFonts w:hint="default"/>
      </w:rPr>
    </w:lvl>
  </w:abstractNum>
  <w:abstractNum w:abstractNumId="39" w15:restartNumberingAfterBreak="0">
    <w:nsid w:val="683045B3"/>
    <w:multiLevelType w:val="hybridMultilevel"/>
    <w:tmpl w:val="B038DBA4"/>
    <w:lvl w:ilvl="0" w:tplc="BE402490">
      <w:start w:val="1"/>
      <w:numFmt w:val="bullet"/>
      <w:lvlText w:val=""/>
      <w:lvlJc w:val="left"/>
      <w:pPr>
        <w:ind w:left="947" w:hanging="360"/>
      </w:pPr>
      <w:rPr>
        <w:rFonts w:ascii="Symbol" w:hAnsi="Symbol" w:hint="default"/>
        <w:color w:val="auto"/>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6A866452"/>
    <w:multiLevelType w:val="hybridMultilevel"/>
    <w:tmpl w:val="D3A4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52617D"/>
    <w:multiLevelType w:val="hybridMultilevel"/>
    <w:tmpl w:val="25FA4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E130CF"/>
    <w:multiLevelType w:val="hybridMultilevel"/>
    <w:tmpl w:val="4B8209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1D40AC"/>
    <w:multiLevelType w:val="hybridMultilevel"/>
    <w:tmpl w:val="4A4219B0"/>
    <w:name w:val="TableNumbering"/>
    <w:lvl w:ilvl="0" w:tplc="E05EF7C8">
      <w:start w:val="1"/>
      <w:numFmt w:val="decimal"/>
      <w:pStyle w:val="TableTextNumbered"/>
      <w:lvlText w:val="%1."/>
      <w:lvlJc w:val="left"/>
      <w:pPr>
        <w:tabs>
          <w:tab w:val="num" w:pos="482"/>
        </w:tabs>
        <w:ind w:left="482" w:hanging="369"/>
      </w:pPr>
      <w:rPr>
        <w:rFonts w:hint="default"/>
      </w:rPr>
    </w:lvl>
    <w:lvl w:ilvl="1" w:tplc="591ACB80">
      <w:start w:val="1"/>
      <w:numFmt w:val="lowerLetter"/>
      <w:pStyle w:val="TableTextNumbered2"/>
      <w:lvlText w:val="%2."/>
      <w:lvlJc w:val="left"/>
      <w:pPr>
        <w:tabs>
          <w:tab w:val="num" w:pos="822"/>
        </w:tabs>
        <w:ind w:left="822" w:hanging="340"/>
      </w:pPr>
      <w:rPr>
        <w:rFonts w:hint="default"/>
      </w:rPr>
    </w:lvl>
    <w:lvl w:ilvl="2" w:tplc="7E4455E8">
      <w:start w:val="1"/>
      <w:numFmt w:val="lowerRoman"/>
      <w:pStyle w:val="TableTextNumbered3"/>
      <w:lvlText w:val="%3."/>
      <w:lvlJc w:val="left"/>
      <w:pPr>
        <w:tabs>
          <w:tab w:val="num" w:pos="1219"/>
        </w:tabs>
        <w:ind w:left="1219" w:hanging="397"/>
      </w:pPr>
      <w:rPr>
        <w:rFonts w:hint="default"/>
      </w:rPr>
    </w:lvl>
    <w:lvl w:ilvl="3" w:tplc="32A68864">
      <w:start w:val="1"/>
      <w:numFmt w:val="none"/>
      <w:lvlText w:val=""/>
      <w:lvlJc w:val="left"/>
      <w:pPr>
        <w:ind w:left="1440" w:hanging="360"/>
      </w:pPr>
      <w:rPr>
        <w:rFonts w:hint="default"/>
      </w:rPr>
    </w:lvl>
    <w:lvl w:ilvl="4" w:tplc="E7343DB0">
      <w:start w:val="1"/>
      <w:numFmt w:val="none"/>
      <w:lvlText w:val=""/>
      <w:lvlJc w:val="left"/>
      <w:pPr>
        <w:ind w:left="1800" w:hanging="360"/>
      </w:pPr>
      <w:rPr>
        <w:rFonts w:hint="default"/>
      </w:rPr>
    </w:lvl>
    <w:lvl w:ilvl="5" w:tplc="E8C6856A">
      <w:start w:val="1"/>
      <w:numFmt w:val="none"/>
      <w:lvlText w:val=""/>
      <w:lvlJc w:val="left"/>
      <w:pPr>
        <w:ind w:left="2160" w:hanging="360"/>
      </w:pPr>
      <w:rPr>
        <w:rFonts w:hint="default"/>
      </w:rPr>
    </w:lvl>
    <w:lvl w:ilvl="6" w:tplc="B9661230">
      <w:start w:val="1"/>
      <w:numFmt w:val="none"/>
      <w:lvlText w:val=""/>
      <w:lvlJc w:val="left"/>
      <w:pPr>
        <w:ind w:left="2520" w:hanging="360"/>
      </w:pPr>
      <w:rPr>
        <w:rFonts w:hint="default"/>
      </w:rPr>
    </w:lvl>
    <w:lvl w:ilvl="7" w:tplc="10CA94C2">
      <w:start w:val="1"/>
      <w:numFmt w:val="none"/>
      <w:lvlText w:val=""/>
      <w:lvlJc w:val="left"/>
      <w:pPr>
        <w:ind w:left="2880" w:hanging="360"/>
      </w:pPr>
      <w:rPr>
        <w:rFonts w:hint="default"/>
      </w:rPr>
    </w:lvl>
    <w:lvl w:ilvl="8" w:tplc="6B2E59AE">
      <w:start w:val="1"/>
      <w:numFmt w:val="none"/>
      <w:lvlText w:val=""/>
      <w:lvlJc w:val="left"/>
      <w:pPr>
        <w:ind w:left="3240" w:hanging="360"/>
      </w:pPr>
      <w:rPr>
        <w:rFonts w:hint="default"/>
      </w:rPr>
    </w:lvl>
  </w:abstractNum>
  <w:abstractNum w:abstractNumId="44" w15:restartNumberingAfterBreak="0">
    <w:nsid w:val="6E840C17"/>
    <w:multiLevelType w:val="hybridMultilevel"/>
    <w:tmpl w:val="0D18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250B03"/>
    <w:multiLevelType w:val="hybridMultilevel"/>
    <w:tmpl w:val="F3EA2326"/>
    <w:name w:val="DEPIQuoteBullets"/>
    <w:lvl w:ilvl="0" w:tplc="61B2875C">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588EC50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D282E0E">
      <w:start w:val="1"/>
      <w:numFmt w:val="bullet"/>
      <w:lvlText w:val="‒"/>
      <w:lvlJc w:val="left"/>
      <w:pPr>
        <w:tabs>
          <w:tab w:val="num" w:pos="1418"/>
        </w:tabs>
        <w:ind w:left="1418" w:hanging="283"/>
      </w:pPr>
      <w:rPr>
        <w:rFonts w:ascii="Calibri" w:hAnsi="Calibri" w:hint="default"/>
        <w:color w:val="44546A" w:themeColor="text2"/>
      </w:rPr>
    </w:lvl>
    <w:lvl w:ilvl="3" w:tplc="5864554A">
      <w:start w:val="1"/>
      <w:numFmt w:val="bullet"/>
      <w:lvlText w:val=""/>
      <w:lvlJc w:val="left"/>
      <w:pPr>
        <w:ind w:left="1136" w:firstLine="283"/>
      </w:pPr>
      <w:rPr>
        <w:rFonts w:ascii="Symbol" w:hAnsi="Symbol" w:hint="default"/>
      </w:rPr>
    </w:lvl>
    <w:lvl w:ilvl="4" w:tplc="919A2BB8">
      <w:start w:val="1"/>
      <w:numFmt w:val="bullet"/>
      <w:lvlText w:val=""/>
      <w:lvlJc w:val="left"/>
      <w:pPr>
        <w:ind w:left="1420" w:firstLine="283"/>
      </w:pPr>
      <w:rPr>
        <w:rFonts w:ascii="Symbol" w:hAnsi="Symbol" w:hint="default"/>
      </w:rPr>
    </w:lvl>
    <w:lvl w:ilvl="5" w:tplc="8F32EFB6">
      <w:start w:val="1"/>
      <w:numFmt w:val="bullet"/>
      <w:lvlText w:val=""/>
      <w:lvlJc w:val="left"/>
      <w:pPr>
        <w:ind w:left="1704" w:firstLine="283"/>
      </w:pPr>
      <w:rPr>
        <w:rFonts w:ascii="Wingdings" w:hAnsi="Wingdings" w:hint="default"/>
      </w:rPr>
    </w:lvl>
    <w:lvl w:ilvl="6" w:tplc="C8A03FF4">
      <w:start w:val="1"/>
      <w:numFmt w:val="bullet"/>
      <w:lvlText w:val=""/>
      <w:lvlJc w:val="left"/>
      <w:pPr>
        <w:ind w:left="1988" w:firstLine="283"/>
      </w:pPr>
      <w:rPr>
        <w:rFonts w:ascii="Wingdings" w:hAnsi="Wingdings" w:hint="default"/>
      </w:rPr>
    </w:lvl>
    <w:lvl w:ilvl="7" w:tplc="FB404842">
      <w:start w:val="1"/>
      <w:numFmt w:val="bullet"/>
      <w:lvlText w:val=""/>
      <w:lvlJc w:val="left"/>
      <w:pPr>
        <w:ind w:left="2272" w:firstLine="283"/>
      </w:pPr>
      <w:rPr>
        <w:rFonts w:ascii="Symbol" w:hAnsi="Symbol" w:hint="default"/>
      </w:rPr>
    </w:lvl>
    <w:lvl w:ilvl="8" w:tplc="6638F76C">
      <w:start w:val="1"/>
      <w:numFmt w:val="bullet"/>
      <w:lvlText w:val=""/>
      <w:lvlJc w:val="left"/>
      <w:pPr>
        <w:ind w:left="2556" w:firstLine="283"/>
      </w:pPr>
      <w:rPr>
        <w:rFonts w:ascii="Symbol" w:hAnsi="Symbol" w:hint="default"/>
      </w:rPr>
    </w:lvl>
  </w:abstractNum>
  <w:abstractNum w:abstractNumId="46" w15:restartNumberingAfterBreak="0">
    <w:nsid w:val="70F5437F"/>
    <w:multiLevelType w:val="hybridMultilevel"/>
    <w:tmpl w:val="345AC2D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19E1A1A"/>
    <w:multiLevelType w:val="hybridMultilevel"/>
    <w:tmpl w:val="2EAE3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2D5D82"/>
    <w:multiLevelType w:val="hybridMultilevel"/>
    <w:tmpl w:val="F7E84410"/>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73DB7053"/>
    <w:multiLevelType w:val="hybridMultilevel"/>
    <w:tmpl w:val="D982F884"/>
    <w:lvl w:ilvl="0" w:tplc="CF7A092A">
      <w:numFmt w:val="bullet"/>
      <w:lvlText w:val="•"/>
      <w:lvlJc w:val="left"/>
      <w:pPr>
        <w:ind w:left="930" w:hanging="57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5D82611"/>
    <w:multiLevelType w:val="hybridMultilevel"/>
    <w:tmpl w:val="2F52E2E2"/>
    <w:lvl w:ilvl="0" w:tplc="0C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39021E"/>
    <w:multiLevelType w:val="hybridMultilevel"/>
    <w:tmpl w:val="F96C3DAC"/>
    <w:name w:val="DEPIListNumbering"/>
    <w:lvl w:ilvl="0" w:tplc="9DAAF430">
      <w:start w:val="1"/>
      <w:numFmt w:val="lowerRoman"/>
      <w:pStyle w:val="ListNumber"/>
      <w:lvlText w:val="(%1)"/>
      <w:lvlJc w:val="left"/>
      <w:pPr>
        <w:tabs>
          <w:tab w:val="num" w:pos="1247"/>
        </w:tabs>
        <w:ind w:left="1247" w:hanging="340"/>
      </w:pPr>
      <w:rPr>
        <w:rFonts w:hint="default"/>
        <w:color w:val="000000" w:themeColor="text1"/>
        <w:spacing w:val="0"/>
        <w:sz w:val="20"/>
      </w:rPr>
    </w:lvl>
    <w:lvl w:ilvl="1" w:tplc="9DECD554">
      <w:start w:val="1"/>
      <w:numFmt w:val="lowerLetter"/>
      <w:pStyle w:val="ListNumber2"/>
      <w:lvlText w:val="%2."/>
      <w:lvlJc w:val="left"/>
      <w:pPr>
        <w:tabs>
          <w:tab w:val="num" w:pos="1587"/>
        </w:tabs>
        <w:ind w:left="1587" w:hanging="340"/>
      </w:pPr>
      <w:rPr>
        <w:rFonts w:hint="default"/>
        <w:color w:val="000000" w:themeColor="text1"/>
        <w:spacing w:val="0"/>
        <w:sz w:val="20"/>
      </w:rPr>
    </w:lvl>
    <w:lvl w:ilvl="2" w:tplc="8362DD76">
      <w:start w:val="1"/>
      <w:numFmt w:val="lowerRoman"/>
      <w:pStyle w:val="ListNumber3"/>
      <w:lvlText w:val="%3."/>
      <w:lvlJc w:val="left"/>
      <w:pPr>
        <w:tabs>
          <w:tab w:val="num" w:pos="1956"/>
        </w:tabs>
        <w:ind w:left="1956" w:hanging="369"/>
      </w:pPr>
      <w:rPr>
        <w:rFonts w:hint="default"/>
        <w:color w:val="000000" w:themeColor="text1"/>
        <w:spacing w:val="0"/>
        <w:position w:val="0"/>
        <w:sz w:val="20"/>
        <w:szCs w:val="16"/>
      </w:rPr>
    </w:lvl>
    <w:lvl w:ilvl="3" w:tplc="945AB896">
      <w:start w:val="1"/>
      <w:numFmt w:val="none"/>
      <w:lvlText w:val=""/>
      <w:lvlJc w:val="left"/>
      <w:pPr>
        <w:tabs>
          <w:tab w:val="num" w:pos="-30773"/>
        </w:tabs>
        <w:ind w:left="-31860" w:firstLine="0"/>
      </w:pPr>
      <w:rPr>
        <w:rFonts w:hint="default"/>
      </w:rPr>
    </w:lvl>
    <w:lvl w:ilvl="4" w:tplc="028E7232">
      <w:start w:val="1"/>
      <w:numFmt w:val="none"/>
      <w:lvlText w:val=""/>
      <w:lvlJc w:val="left"/>
      <w:pPr>
        <w:tabs>
          <w:tab w:val="num" w:pos="-30773"/>
        </w:tabs>
        <w:ind w:left="-31860" w:firstLine="0"/>
      </w:pPr>
      <w:rPr>
        <w:rFonts w:hint="default"/>
      </w:rPr>
    </w:lvl>
    <w:lvl w:ilvl="5" w:tplc="63FA08DC">
      <w:start w:val="1"/>
      <w:numFmt w:val="none"/>
      <w:lvlText w:val=""/>
      <w:lvlJc w:val="left"/>
      <w:pPr>
        <w:tabs>
          <w:tab w:val="num" w:pos="-30773"/>
        </w:tabs>
        <w:ind w:left="-31860" w:firstLine="0"/>
      </w:pPr>
      <w:rPr>
        <w:rFonts w:hint="default"/>
      </w:rPr>
    </w:lvl>
    <w:lvl w:ilvl="6" w:tplc="25D0E79E">
      <w:start w:val="1"/>
      <w:numFmt w:val="none"/>
      <w:lvlText w:val=""/>
      <w:lvlJc w:val="left"/>
      <w:pPr>
        <w:tabs>
          <w:tab w:val="num" w:pos="-30773"/>
        </w:tabs>
        <w:ind w:left="-31860" w:firstLine="0"/>
      </w:pPr>
      <w:rPr>
        <w:rFonts w:hint="default"/>
      </w:rPr>
    </w:lvl>
    <w:lvl w:ilvl="7" w:tplc="13ECA58A">
      <w:start w:val="1"/>
      <w:numFmt w:val="none"/>
      <w:lvlText w:val=""/>
      <w:lvlJc w:val="left"/>
      <w:pPr>
        <w:tabs>
          <w:tab w:val="num" w:pos="-30773"/>
        </w:tabs>
        <w:ind w:left="-31860" w:firstLine="0"/>
      </w:pPr>
      <w:rPr>
        <w:rFonts w:hint="default"/>
      </w:rPr>
    </w:lvl>
    <w:lvl w:ilvl="8" w:tplc="31EA3982">
      <w:start w:val="1"/>
      <w:numFmt w:val="none"/>
      <w:lvlText w:val=""/>
      <w:lvlJc w:val="left"/>
      <w:pPr>
        <w:tabs>
          <w:tab w:val="num" w:pos="-30773"/>
        </w:tabs>
        <w:ind w:left="-31860" w:firstLine="0"/>
      </w:pPr>
      <w:rPr>
        <w:rFonts w:hint="default"/>
      </w:rPr>
    </w:lvl>
  </w:abstractNum>
  <w:abstractNum w:abstractNumId="52" w15:restartNumberingAfterBreak="0">
    <w:nsid w:val="7A4F7FF2"/>
    <w:multiLevelType w:val="hybridMultilevel"/>
    <w:tmpl w:val="6E949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6"/>
  </w:num>
  <w:num w:numId="4">
    <w:abstractNumId w:val="4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43"/>
  </w:num>
  <w:num w:numId="8">
    <w:abstractNumId w:val="51"/>
  </w:num>
  <w:num w:numId="9">
    <w:abstractNumId w:val="19"/>
  </w:num>
  <w:num w:numId="10">
    <w:abstractNumId w:val="7"/>
  </w:num>
  <w:num w:numId="11">
    <w:abstractNumId w:val="3"/>
  </w:num>
  <w:num w:numId="12">
    <w:abstractNumId w:val="45"/>
  </w:num>
  <w:num w:numId="13">
    <w:abstractNumId w:val="10"/>
  </w:num>
  <w:num w:numId="14">
    <w:abstractNumId w:val="22"/>
  </w:num>
  <w:num w:numId="15">
    <w:abstractNumId w:val="12"/>
  </w:num>
  <w:num w:numId="16">
    <w:abstractNumId w:val="27"/>
  </w:num>
  <w:num w:numId="17">
    <w:abstractNumId w:val="31"/>
  </w:num>
  <w:num w:numId="18">
    <w:abstractNumId w:val="18"/>
  </w:num>
  <w:num w:numId="19">
    <w:abstractNumId w:val="25"/>
  </w:num>
  <w:num w:numId="20">
    <w:abstractNumId w:val="37"/>
  </w:num>
  <w:num w:numId="21">
    <w:abstractNumId w:val="48"/>
  </w:num>
  <w:num w:numId="22">
    <w:abstractNumId w:val="49"/>
  </w:num>
  <w:num w:numId="23">
    <w:abstractNumId w:val="44"/>
  </w:num>
  <w:num w:numId="24">
    <w:abstractNumId w:val="16"/>
  </w:num>
  <w:num w:numId="25">
    <w:abstractNumId w:val="28"/>
  </w:num>
  <w:num w:numId="26">
    <w:abstractNumId w:val="41"/>
  </w:num>
  <w:num w:numId="27">
    <w:abstractNumId w:val="1"/>
  </w:num>
  <w:num w:numId="28">
    <w:abstractNumId w:val="29"/>
  </w:num>
  <w:num w:numId="29">
    <w:abstractNumId w:val="11"/>
  </w:num>
  <w:num w:numId="30">
    <w:abstractNumId w:val="13"/>
  </w:num>
  <w:num w:numId="31">
    <w:abstractNumId w:val="17"/>
  </w:num>
  <w:num w:numId="32">
    <w:abstractNumId w:val="8"/>
  </w:num>
  <w:num w:numId="33">
    <w:abstractNumId w:val="36"/>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num>
  <w:num w:numId="36">
    <w:abstractNumId w:val="34"/>
  </w:num>
  <w:num w:numId="37">
    <w:abstractNumId w:val="32"/>
  </w:num>
  <w:num w:numId="38">
    <w:abstractNumId w:val="52"/>
  </w:num>
  <w:num w:numId="39">
    <w:abstractNumId w:val="35"/>
  </w:num>
  <w:num w:numId="40">
    <w:abstractNumId w:val="33"/>
  </w:num>
  <w:num w:numId="41">
    <w:abstractNumId w:val="14"/>
  </w:num>
  <w:num w:numId="42">
    <w:abstractNumId w:val="39"/>
  </w:num>
  <w:num w:numId="43">
    <w:abstractNumId w:val="20"/>
  </w:num>
  <w:num w:numId="44">
    <w:abstractNumId w:val="2"/>
  </w:num>
  <w:num w:numId="45">
    <w:abstractNumId w:val="15"/>
  </w:num>
  <w:num w:numId="46">
    <w:abstractNumId w:val="38"/>
  </w:num>
  <w:num w:numId="47">
    <w:abstractNumId w:val="42"/>
  </w:num>
  <w:num w:numId="48">
    <w:abstractNumId w:val="26"/>
  </w:num>
  <w:num w:numId="49">
    <w:abstractNumId w:val="9"/>
  </w:num>
  <w:num w:numId="50">
    <w:abstractNumId w:val="50"/>
  </w:num>
  <w:num w:numId="51">
    <w:abstractNumId w:val="30"/>
  </w:num>
  <w:num w:numId="52">
    <w:abstractNumId w:val="21"/>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num>
  <w:num w:numId="55">
    <w:abstractNumId w:val="46"/>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19A"/>
    <w:rsid w:val="0000239E"/>
    <w:rsid w:val="000101EC"/>
    <w:rsid w:val="000150A6"/>
    <w:rsid w:val="0002231C"/>
    <w:rsid w:val="00026670"/>
    <w:rsid w:val="00031A34"/>
    <w:rsid w:val="0004635D"/>
    <w:rsid w:val="000510E2"/>
    <w:rsid w:val="00051EAA"/>
    <w:rsid w:val="00056CD1"/>
    <w:rsid w:val="0006565D"/>
    <w:rsid w:val="00070CBA"/>
    <w:rsid w:val="000725CF"/>
    <w:rsid w:val="00080A14"/>
    <w:rsid w:val="00090E7B"/>
    <w:rsid w:val="000A0996"/>
    <w:rsid w:val="000A4318"/>
    <w:rsid w:val="000B0C4A"/>
    <w:rsid w:val="000B12CD"/>
    <w:rsid w:val="000B3F43"/>
    <w:rsid w:val="000C00E5"/>
    <w:rsid w:val="000C4330"/>
    <w:rsid w:val="000D5F93"/>
    <w:rsid w:val="000F27B1"/>
    <w:rsid w:val="000F4063"/>
    <w:rsid w:val="001000F0"/>
    <w:rsid w:val="00105BC0"/>
    <w:rsid w:val="0010628B"/>
    <w:rsid w:val="001116B7"/>
    <w:rsid w:val="00124CBB"/>
    <w:rsid w:val="001254A5"/>
    <w:rsid w:val="00131A97"/>
    <w:rsid w:val="0013788B"/>
    <w:rsid w:val="00137FF4"/>
    <w:rsid w:val="00151976"/>
    <w:rsid w:val="0015767F"/>
    <w:rsid w:val="00161B50"/>
    <w:rsid w:val="001710ED"/>
    <w:rsid w:val="00172B59"/>
    <w:rsid w:val="00181C75"/>
    <w:rsid w:val="00186147"/>
    <w:rsid w:val="00192177"/>
    <w:rsid w:val="001A1D56"/>
    <w:rsid w:val="001C2387"/>
    <w:rsid w:val="001C35C9"/>
    <w:rsid w:val="001C5C34"/>
    <w:rsid w:val="001E11C7"/>
    <w:rsid w:val="001F0D5B"/>
    <w:rsid w:val="001F5048"/>
    <w:rsid w:val="002274AD"/>
    <w:rsid w:val="00235ED2"/>
    <w:rsid w:val="00240CF6"/>
    <w:rsid w:val="00241947"/>
    <w:rsid w:val="002449B2"/>
    <w:rsid w:val="002525E0"/>
    <w:rsid w:val="00263F5F"/>
    <w:rsid w:val="00266F93"/>
    <w:rsid w:val="00270418"/>
    <w:rsid w:val="00276A01"/>
    <w:rsid w:val="00276E24"/>
    <w:rsid w:val="002800C5"/>
    <w:rsid w:val="002817E1"/>
    <w:rsid w:val="002837A3"/>
    <w:rsid w:val="00286964"/>
    <w:rsid w:val="002A7F52"/>
    <w:rsid w:val="002D0F70"/>
    <w:rsid w:val="002F11B4"/>
    <w:rsid w:val="002F1B60"/>
    <w:rsid w:val="002F3BA7"/>
    <w:rsid w:val="002F6C70"/>
    <w:rsid w:val="00306AF1"/>
    <w:rsid w:val="003123B0"/>
    <w:rsid w:val="003178A9"/>
    <w:rsid w:val="00336AFF"/>
    <w:rsid w:val="00336F96"/>
    <w:rsid w:val="00347C52"/>
    <w:rsid w:val="00347F5F"/>
    <w:rsid w:val="00354571"/>
    <w:rsid w:val="0035548F"/>
    <w:rsid w:val="00361D8C"/>
    <w:rsid w:val="003676AF"/>
    <w:rsid w:val="003716BC"/>
    <w:rsid w:val="00394990"/>
    <w:rsid w:val="003A1B6C"/>
    <w:rsid w:val="003B1540"/>
    <w:rsid w:val="003B4F96"/>
    <w:rsid w:val="003B6F39"/>
    <w:rsid w:val="003D22A9"/>
    <w:rsid w:val="003E30E9"/>
    <w:rsid w:val="003F0AD5"/>
    <w:rsid w:val="003F54F1"/>
    <w:rsid w:val="003F6E9E"/>
    <w:rsid w:val="00410AA7"/>
    <w:rsid w:val="0042022E"/>
    <w:rsid w:val="00420670"/>
    <w:rsid w:val="00430048"/>
    <w:rsid w:val="00435CF4"/>
    <w:rsid w:val="004506D7"/>
    <w:rsid w:val="00454E9F"/>
    <w:rsid w:val="00455AF7"/>
    <w:rsid w:val="00463C89"/>
    <w:rsid w:val="0047016A"/>
    <w:rsid w:val="004710F9"/>
    <w:rsid w:val="0049193E"/>
    <w:rsid w:val="004A366A"/>
    <w:rsid w:val="004B2334"/>
    <w:rsid w:val="004B262E"/>
    <w:rsid w:val="004B4ED2"/>
    <w:rsid w:val="004C3B31"/>
    <w:rsid w:val="004D072F"/>
    <w:rsid w:val="004E642A"/>
    <w:rsid w:val="004E71A1"/>
    <w:rsid w:val="004F53D8"/>
    <w:rsid w:val="0050087E"/>
    <w:rsid w:val="00513EDE"/>
    <w:rsid w:val="005242E9"/>
    <w:rsid w:val="0052750E"/>
    <w:rsid w:val="00537013"/>
    <w:rsid w:val="00547BD6"/>
    <w:rsid w:val="00547C82"/>
    <w:rsid w:val="00550599"/>
    <w:rsid w:val="00554BD0"/>
    <w:rsid w:val="00564FD3"/>
    <w:rsid w:val="00570C5C"/>
    <w:rsid w:val="00572C2B"/>
    <w:rsid w:val="00584151"/>
    <w:rsid w:val="005A26E0"/>
    <w:rsid w:val="005B0B16"/>
    <w:rsid w:val="005B719E"/>
    <w:rsid w:val="005D0956"/>
    <w:rsid w:val="005D7FA5"/>
    <w:rsid w:val="005E0E0D"/>
    <w:rsid w:val="005E1B05"/>
    <w:rsid w:val="005E343B"/>
    <w:rsid w:val="005F2221"/>
    <w:rsid w:val="006164AB"/>
    <w:rsid w:val="00623D5E"/>
    <w:rsid w:val="00630E8F"/>
    <w:rsid w:val="00632B5E"/>
    <w:rsid w:val="006374E2"/>
    <w:rsid w:val="00642ADD"/>
    <w:rsid w:val="00646328"/>
    <w:rsid w:val="0064669B"/>
    <w:rsid w:val="00654D92"/>
    <w:rsid w:val="00670932"/>
    <w:rsid w:val="00680FC5"/>
    <w:rsid w:val="00683EA1"/>
    <w:rsid w:val="006875AD"/>
    <w:rsid w:val="00695C20"/>
    <w:rsid w:val="006C176E"/>
    <w:rsid w:val="006C3CB6"/>
    <w:rsid w:val="006C49FA"/>
    <w:rsid w:val="006C5210"/>
    <w:rsid w:val="006D3A7D"/>
    <w:rsid w:val="006E1A0B"/>
    <w:rsid w:val="00703340"/>
    <w:rsid w:val="0071464D"/>
    <w:rsid w:val="00724096"/>
    <w:rsid w:val="00737107"/>
    <w:rsid w:val="0075716C"/>
    <w:rsid w:val="0076075B"/>
    <w:rsid w:val="00772B4A"/>
    <w:rsid w:val="00774710"/>
    <w:rsid w:val="00776844"/>
    <w:rsid w:val="007831D4"/>
    <w:rsid w:val="00784422"/>
    <w:rsid w:val="00793737"/>
    <w:rsid w:val="00793858"/>
    <w:rsid w:val="00795F57"/>
    <w:rsid w:val="007A4AF6"/>
    <w:rsid w:val="007B29DD"/>
    <w:rsid w:val="007B7C6E"/>
    <w:rsid w:val="007D778E"/>
    <w:rsid w:val="007F01C3"/>
    <w:rsid w:val="007F1EDA"/>
    <w:rsid w:val="007F3971"/>
    <w:rsid w:val="007F63A2"/>
    <w:rsid w:val="007F747D"/>
    <w:rsid w:val="007F75E4"/>
    <w:rsid w:val="00804DDC"/>
    <w:rsid w:val="00811ED7"/>
    <w:rsid w:val="00821F09"/>
    <w:rsid w:val="00846954"/>
    <w:rsid w:val="008539B7"/>
    <w:rsid w:val="00856302"/>
    <w:rsid w:val="00862DB3"/>
    <w:rsid w:val="00872CCE"/>
    <w:rsid w:val="008919A7"/>
    <w:rsid w:val="0089606A"/>
    <w:rsid w:val="008B0AB5"/>
    <w:rsid w:val="008C58A3"/>
    <w:rsid w:val="008D1030"/>
    <w:rsid w:val="008E0F2B"/>
    <w:rsid w:val="008E29E2"/>
    <w:rsid w:val="008E4E22"/>
    <w:rsid w:val="008E662D"/>
    <w:rsid w:val="008F52E9"/>
    <w:rsid w:val="008F65D1"/>
    <w:rsid w:val="0090788B"/>
    <w:rsid w:val="00921025"/>
    <w:rsid w:val="00923748"/>
    <w:rsid w:val="00931586"/>
    <w:rsid w:val="00937245"/>
    <w:rsid w:val="009407DE"/>
    <w:rsid w:val="00945BCB"/>
    <w:rsid w:val="00946660"/>
    <w:rsid w:val="0095049A"/>
    <w:rsid w:val="009527C4"/>
    <w:rsid w:val="00963718"/>
    <w:rsid w:val="00982A0F"/>
    <w:rsid w:val="00982FD6"/>
    <w:rsid w:val="009841D2"/>
    <w:rsid w:val="00995C8D"/>
    <w:rsid w:val="00997D4A"/>
    <w:rsid w:val="009B11CA"/>
    <w:rsid w:val="009B1598"/>
    <w:rsid w:val="009D4E68"/>
    <w:rsid w:val="009E6165"/>
    <w:rsid w:val="00A0747E"/>
    <w:rsid w:val="00A37260"/>
    <w:rsid w:val="00A50E84"/>
    <w:rsid w:val="00A53B5F"/>
    <w:rsid w:val="00A5733D"/>
    <w:rsid w:val="00A578A8"/>
    <w:rsid w:val="00A65EE1"/>
    <w:rsid w:val="00A87FB5"/>
    <w:rsid w:val="00A91BE6"/>
    <w:rsid w:val="00AB0A0C"/>
    <w:rsid w:val="00AB5170"/>
    <w:rsid w:val="00AB5AE0"/>
    <w:rsid w:val="00AB6007"/>
    <w:rsid w:val="00AC7C35"/>
    <w:rsid w:val="00AD426D"/>
    <w:rsid w:val="00AD513D"/>
    <w:rsid w:val="00AE5651"/>
    <w:rsid w:val="00AF202D"/>
    <w:rsid w:val="00AF6551"/>
    <w:rsid w:val="00B00774"/>
    <w:rsid w:val="00B04F7A"/>
    <w:rsid w:val="00B167CD"/>
    <w:rsid w:val="00B21D9E"/>
    <w:rsid w:val="00B22065"/>
    <w:rsid w:val="00B2568D"/>
    <w:rsid w:val="00B31F39"/>
    <w:rsid w:val="00B42040"/>
    <w:rsid w:val="00B535E6"/>
    <w:rsid w:val="00B61999"/>
    <w:rsid w:val="00B63DB5"/>
    <w:rsid w:val="00B7346C"/>
    <w:rsid w:val="00B860CE"/>
    <w:rsid w:val="00B96E93"/>
    <w:rsid w:val="00BA7FE7"/>
    <w:rsid w:val="00BC58B1"/>
    <w:rsid w:val="00BC72AE"/>
    <w:rsid w:val="00BD6BEB"/>
    <w:rsid w:val="00BE4F7C"/>
    <w:rsid w:val="00C104DB"/>
    <w:rsid w:val="00C2106D"/>
    <w:rsid w:val="00C25277"/>
    <w:rsid w:val="00C25E20"/>
    <w:rsid w:val="00C274CA"/>
    <w:rsid w:val="00C4219A"/>
    <w:rsid w:val="00C43698"/>
    <w:rsid w:val="00C44B1E"/>
    <w:rsid w:val="00C812BD"/>
    <w:rsid w:val="00C8673D"/>
    <w:rsid w:val="00CB3899"/>
    <w:rsid w:val="00CB40B3"/>
    <w:rsid w:val="00CC1352"/>
    <w:rsid w:val="00CE1AA5"/>
    <w:rsid w:val="00CF1794"/>
    <w:rsid w:val="00CF7E0D"/>
    <w:rsid w:val="00D038F2"/>
    <w:rsid w:val="00D2229C"/>
    <w:rsid w:val="00D23C13"/>
    <w:rsid w:val="00D2559E"/>
    <w:rsid w:val="00D4645B"/>
    <w:rsid w:val="00D50FB8"/>
    <w:rsid w:val="00D52ABF"/>
    <w:rsid w:val="00D612DD"/>
    <w:rsid w:val="00D66983"/>
    <w:rsid w:val="00D67FBF"/>
    <w:rsid w:val="00D768A8"/>
    <w:rsid w:val="00D969BD"/>
    <w:rsid w:val="00DB29BE"/>
    <w:rsid w:val="00DB2E86"/>
    <w:rsid w:val="00DB384C"/>
    <w:rsid w:val="00DB39D2"/>
    <w:rsid w:val="00DD2C7E"/>
    <w:rsid w:val="00DD75B9"/>
    <w:rsid w:val="00DE1099"/>
    <w:rsid w:val="00DE1A29"/>
    <w:rsid w:val="00DF09D2"/>
    <w:rsid w:val="00E02538"/>
    <w:rsid w:val="00E02737"/>
    <w:rsid w:val="00E1518B"/>
    <w:rsid w:val="00E27B92"/>
    <w:rsid w:val="00E315C5"/>
    <w:rsid w:val="00E44CBB"/>
    <w:rsid w:val="00E668D6"/>
    <w:rsid w:val="00E7043F"/>
    <w:rsid w:val="00E80CA9"/>
    <w:rsid w:val="00E845D6"/>
    <w:rsid w:val="00E87BF0"/>
    <w:rsid w:val="00E9155D"/>
    <w:rsid w:val="00E919EA"/>
    <w:rsid w:val="00E92E5C"/>
    <w:rsid w:val="00E97C02"/>
    <w:rsid w:val="00EA46B5"/>
    <w:rsid w:val="00EA4B6E"/>
    <w:rsid w:val="00EA6F4C"/>
    <w:rsid w:val="00EB52FB"/>
    <w:rsid w:val="00EB570B"/>
    <w:rsid w:val="00EB693C"/>
    <w:rsid w:val="00EC4C3E"/>
    <w:rsid w:val="00ED110F"/>
    <w:rsid w:val="00ED4B0A"/>
    <w:rsid w:val="00EF2472"/>
    <w:rsid w:val="00EF5842"/>
    <w:rsid w:val="00F13402"/>
    <w:rsid w:val="00F138C9"/>
    <w:rsid w:val="00F14C5F"/>
    <w:rsid w:val="00F20027"/>
    <w:rsid w:val="00F240C3"/>
    <w:rsid w:val="00F304CA"/>
    <w:rsid w:val="00F31F12"/>
    <w:rsid w:val="00F438F5"/>
    <w:rsid w:val="00F511AB"/>
    <w:rsid w:val="00F67B18"/>
    <w:rsid w:val="00F71B0F"/>
    <w:rsid w:val="00F72283"/>
    <w:rsid w:val="00F72D57"/>
    <w:rsid w:val="00F76665"/>
    <w:rsid w:val="00F8469B"/>
    <w:rsid w:val="00F86EE8"/>
    <w:rsid w:val="00F8719D"/>
    <w:rsid w:val="00F9159E"/>
    <w:rsid w:val="00FB0367"/>
    <w:rsid w:val="00FB0B7C"/>
    <w:rsid w:val="00FC36A1"/>
    <w:rsid w:val="00FE39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757232"/>
  <w15:chartTrackingRefBased/>
  <w15:docId w15:val="{11F022BA-057E-44E8-8EC7-D9A225771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C4219A"/>
    <w:pPr>
      <w:keepNext/>
      <w:keepLines/>
      <w:tabs>
        <w:tab w:val="num" w:pos="0"/>
      </w:tabs>
      <w:spacing w:before="300" w:after="360" w:line="440" w:lineRule="exact"/>
      <w:outlineLvl w:val="0"/>
    </w:pPr>
    <w:rPr>
      <w:rFonts w:eastAsia="Times New Roman" w:cs="Arial"/>
      <w:b/>
      <w:bCs/>
      <w:color w:val="44546A" w:themeColor="text2"/>
      <w:kern w:val="32"/>
      <w:sz w:val="40"/>
      <w:szCs w:val="32"/>
      <w:lang w:eastAsia="en-AU"/>
    </w:rPr>
  </w:style>
  <w:style w:type="paragraph" w:styleId="Heading2">
    <w:name w:val="heading 2"/>
    <w:basedOn w:val="Normal"/>
    <w:next w:val="Normal"/>
    <w:link w:val="Heading2Char"/>
    <w:uiPriority w:val="9"/>
    <w:unhideWhenUsed/>
    <w:qFormat/>
    <w:rsid w:val="00C421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21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BodyText"/>
    <w:link w:val="Heading4Char"/>
    <w:qFormat/>
    <w:rsid w:val="00C4219A"/>
    <w:pPr>
      <w:keepNext/>
      <w:keepLines/>
      <w:tabs>
        <w:tab w:val="num" w:pos="0"/>
        <w:tab w:val="left" w:pos="1418"/>
        <w:tab w:val="left" w:pos="1701"/>
        <w:tab w:val="left" w:pos="1985"/>
      </w:tabs>
      <w:spacing w:before="200" w:after="100" w:line="240" w:lineRule="atLeast"/>
      <w:outlineLvl w:val="3"/>
    </w:pPr>
    <w:rPr>
      <w:rFonts w:asciiTheme="majorHAnsi" w:eastAsiaTheme="majorEastAsia" w:hAnsiTheme="majorHAnsi" w:cstheme="majorBidi"/>
      <w:b/>
      <w:bCs/>
      <w:i/>
      <w:iCs/>
      <w:color w:val="494847"/>
      <w:sz w:val="20"/>
      <w:szCs w:val="20"/>
      <w:lang w:eastAsia="en-AU"/>
    </w:rPr>
  </w:style>
  <w:style w:type="paragraph" w:styleId="Heading5">
    <w:name w:val="heading 5"/>
    <w:basedOn w:val="Normal"/>
    <w:next w:val="BodyText"/>
    <w:link w:val="Heading5Char"/>
    <w:qFormat/>
    <w:rsid w:val="00C4219A"/>
    <w:pPr>
      <w:keepNext/>
      <w:keepLines/>
      <w:tabs>
        <w:tab w:val="num" w:pos="0"/>
      </w:tabs>
      <w:spacing w:before="200" w:after="100" w:line="240" w:lineRule="atLeast"/>
      <w:outlineLvl w:val="4"/>
    </w:pPr>
    <w:rPr>
      <w:rFonts w:asciiTheme="majorHAnsi" w:eastAsiaTheme="majorEastAsia" w:hAnsiTheme="majorHAnsi" w:cstheme="majorBidi"/>
      <w:i/>
      <w:color w:val="494847"/>
      <w:sz w:val="20"/>
      <w:szCs w:val="20"/>
      <w:lang w:eastAsia="en-AU"/>
    </w:rPr>
  </w:style>
  <w:style w:type="paragraph" w:styleId="Heading6">
    <w:name w:val="heading 6"/>
    <w:basedOn w:val="Normal"/>
    <w:next w:val="BodyText"/>
    <w:link w:val="Heading6Char"/>
    <w:semiHidden/>
    <w:qFormat/>
    <w:rsid w:val="007B29DD"/>
    <w:pPr>
      <w:keepNext/>
      <w:keepLines/>
      <w:spacing w:before="100" w:after="100" w:line="240" w:lineRule="atLeast"/>
      <w:outlineLvl w:val="5"/>
    </w:pPr>
    <w:rPr>
      <w:rFonts w:asciiTheme="majorHAnsi" w:eastAsiaTheme="majorEastAsia" w:hAnsiTheme="majorHAnsi" w:cstheme="majorBidi"/>
      <w:i/>
      <w:iCs/>
      <w:color w:val="44546A" w:themeColor="text2"/>
      <w:sz w:val="20"/>
      <w:szCs w:val="20"/>
      <w:lang w:eastAsia="en-AU"/>
    </w:rPr>
  </w:style>
  <w:style w:type="paragraph" w:styleId="Heading7">
    <w:name w:val="heading 7"/>
    <w:basedOn w:val="Normal"/>
    <w:next w:val="Normal"/>
    <w:link w:val="Heading7Char"/>
    <w:semiHidden/>
    <w:rsid w:val="007B29DD"/>
    <w:pPr>
      <w:keepNext/>
      <w:keepLines/>
      <w:spacing w:before="2820" w:after="180" w:line="240" w:lineRule="atLeast"/>
      <w:outlineLvl w:val="6"/>
    </w:pPr>
    <w:rPr>
      <w:rFonts w:asciiTheme="majorHAnsi" w:eastAsiaTheme="majorEastAsia" w:hAnsiTheme="majorHAnsi" w:cstheme="majorBidi"/>
      <w:b/>
      <w:iCs/>
      <w:color w:val="FFFFFF"/>
      <w:sz w:val="20"/>
      <w:szCs w:val="20"/>
      <w:lang w:eastAsia="en-AU"/>
    </w:rPr>
  </w:style>
  <w:style w:type="paragraph" w:styleId="Heading8">
    <w:name w:val="heading 8"/>
    <w:aliases w:val="Appendix Title"/>
    <w:basedOn w:val="Normal"/>
    <w:next w:val="BodyText"/>
    <w:link w:val="Heading8Char"/>
    <w:qFormat/>
    <w:rsid w:val="007B29DD"/>
    <w:pPr>
      <w:keepNext/>
      <w:keepLines/>
      <w:pageBreakBefore/>
      <w:framePr w:w="11907" w:h="1985" w:hRule="exact" w:hSpace="11340" w:vSpace="284" w:wrap="around" w:vAnchor="page" w:hAnchor="page" w:yAlign="top"/>
      <w:numPr>
        <w:numId w:val="34"/>
      </w:numPr>
      <w:spacing w:before="1300" w:after="440" w:line="440" w:lineRule="exact"/>
      <w:ind w:right="1134"/>
      <w:outlineLvl w:val="7"/>
    </w:pPr>
    <w:rPr>
      <w:rFonts w:asciiTheme="majorHAnsi" w:eastAsiaTheme="majorEastAsia" w:hAnsiTheme="majorHAnsi" w:cstheme="majorBidi"/>
      <w:b/>
      <w:color w:val="44546A" w:themeColor="text2"/>
      <w:sz w:val="40"/>
      <w:szCs w:val="20"/>
      <w:lang w:eastAsia="en-AU"/>
    </w:rPr>
  </w:style>
  <w:style w:type="paragraph" w:styleId="Heading9">
    <w:name w:val="heading 9"/>
    <w:aliases w:val="Appendix Heading 1"/>
    <w:basedOn w:val="Normal"/>
    <w:next w:val="BodyText"/>
    <w:link w:val="Heading9Char"/>
    <w:uiPriority w:val="1"/>
    <w:rsid w:val="007B29DD"/>
    <w:pPr>
      <w:keepNext/>
      <w:keepLines/>
      <w:tabs>
        <w:tab w:val="left" w:pos="1559"/>
        <w:tab w:val="left" w:pos="1843"/>
        <w:tab w:val="left" w:pos="2126"/>
        <w:tab w:val="left" w:pos="2410"/>
      </w:tabs>
      <w:spacing w:before="240" w:after="100" w:line="280" w:lineRule="exact"/>
      <w:outlineLvl w:val="8"/>
    </w:pPr>
    <w:rPr>
      <w:rFonts w:eastAsia="Times New Roman" w:cs="Arial"/>
      <w:b/>
      <w:color w:val="44546A"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lack">
    <w:name w:val="Title Black"/>
    <w:basedOn w:val="Title"/>
    <w:uiPriority w:val="99"/>
    <w:rsid w:val="00C4219A"/>
    <w:pPr>
      <w:spacing w:after="360" w:line="580" w:lineRule="exact"/>
      <w:contextualSpacing w:val="0"/>
    </w:pPr>
    <w:rPr>
      <w:b/>
      <w:spacing w:val="-2"/>
      <w:kern w:val="0"/>
      <w:sz w:val="52"/>
      <w:szCs w:val="52"/>
      <w:lang w:eastAsia="en-AU"/>
    </w:rPr>
  </w:style>
  <w:style w:type="paragraph" w:styleId="Title">
    <w:name w:val="Title"/>
    <w:basedOn w:val="Normal"/>
    <w:next w:val="Normal"/>
    <w:link w:val="TitleChar"/>
    <w:uiPriority w:val="99"/>
    <w:qFormat/>
    <w:rsid w:val="00C421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C4219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4219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4219A"/>
    <w:rPr>
      <w:color w:val="0563C1" w:themeColor="hyperlink"/>
      <w:u w:val="single"/>
    </w:rPr>
  </w:style>
  <w:style w:type="character" w:styleId="UnresolvedMention">
    <w:name w:val="Unresolved Mention"/>
    <w:basedOn w:val="DefaultParagraphFont"/>
    <w:uiPriority w:val="99"/>
    <w:unhideWhenUsed/>
    <w:rsid w:val="00C4219A"/>
    <w:rPr>
      <w:color w:val="605E5C"/>
      <w:shd w:val="clear" w:color="auto" w:fill="E1DFDD"/>
    </w:rPr>
  </w:style>
  <w:style w:type="paragraph" w:styleId="ListParagraph">
    <w:name w:val="List Paragraph"/>
    <w:basedOn w:val="Normal"/>
    <w:uiPriority w:val="34"/>
    <w:qFormat/>
    <w:rsid w:val="00C4219A"/>
    <w:pPr>
      <w:ind w:left="720"/>
      <w:contextualSpacing/>
    </w:pPr>
  </w:style>
  <w:style w:type="character" w:customStyle="1" w:styleId="Heading3Char">
    <w:name w:val="Heading 3 Char"/>
    <w:basedOn w:val="DefaultParagraphFont"/>
    <w:link w:val="Heading3"/>
    <w:uiPriority w:val="9"/>
    <w:rsid w:val="00C4219A"/>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C4219A"/>
    <w:rPr>
      <w:rFonts w:eastAsia="Times New Roman" w:cs="Arial"/>
      <w:b/>
      <w:bCs/>
      <w:color w:val="44546A" w:themeColor="text2"/>
      <w:kern w:val="32"/>
      <w:sz w:val="40"/>
      <w:szCs w:val="32"/>
      <w:lang w:eastAsia="en-AU"/>
    </w:rPr>
  </w:style>
  <w:style w:type="character" w:customStyle="1" w:styleId="Heading4Char">
    <w:name w:val="Heading 4 Char"/>
    <w:basedOn w:val="DefaultParagraphFont"/>
    <w:link w:val="Heading4"/>
    <w:rsid w:val="00C4219A"/>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C4219A"/>
    <w:rPr>
      <w:rFonts w:asciiTheme="majorHAnsi" w:eastAsiaTheme="majorEastAsia" w:hAnsiTheme="majorHAnsi" w:cstheme="majorBidi"/>
      <w:i/>
      <w:color w:val="494847"/>
      <w:sz w:val="20"/>
      <w:szCs w:val="20"/>
      <w:lang w:eastAsia="en-AU"/>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C4219A"/>
    <w:pPr>
      <w:spacing w:before="60" w:after="120" w:line="240" w:lineRule="atLeast"/>
    </w:pPr>
    <w:rPr>
      <w:rFonts w:eastAsia="Times New Roman" w:cs="Times New Roman"/>
      <w:color w:val="000000" w:themeColor="text1"/>
      <w:sz w:val="20"/>
      <w:szCs w:val="20"/>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C4219A"/>
    <w:rPr>
      <w:rFonts w:eastAsia="Times New Roman" w:cs="Times New Roman"/>
      <w:color w:val="000000" w:themeColor="text1"/>
      <w:sz w:val="20"/>
      <w:szCs w:val="20"/>
    </w:rPr>
  </w:style>
  <w:style w:type="paragraph" w:styleId="TOCHeading">
    <w:name w:val="TOC Heading"/>
    <w:basedOn w:val="Normal"/>
    <w:uiPriority w:val="99"/>
    <w:rsid w:val="00C4219A"/>
    <w:pPr>
      <w:tabs>
        <w:tab w:val="left" w:pos="1134"/>
        <w:tab w:val="left" w:pos="2268"/>
        <w:tab w:val="left" w:pos="3402"/>
        <w:tab w:val="left" w:pos="4536"/>
        <w:tab w:val="left" w:pos="5103"/>
      </w:tabs>
      <w:spacing w:after="360" w:line="240" w:lineRule="auto"/>
    </w:pPr>
    <w:rPr>
      <w:rFonts w:eastAsia="Times New Roman" w:cs="Arial"/>
      <w:b/>
      <w:color w:val="44546A" w:themeColor="text2"/>
      <w:sz w:val="40"/>
      <w:szCs w:val="40"/>
      <w:lang w:eastAsia="en-AU"/>
    </w:rPr>
  </w:style>
  <w:style w:type="paragraph" w:customStyle="1" w:styleId="SummaryHeading2">
    <w:name w:val="Summary Heading 2"/>
    <w:basedOn w:val="BodyText"/>
    <w:next w:val="BodyText"/>
    <w:qFormat/>
    <w:rsid w:val="00C4219A"/>
    <w:pPr>
      <w:keepNext/>
      <w:spacing w:before="240" w:after="100"/>
    </w:pPr>
    <w:rPr>
      <w:rFonts w:cs="Arial"/>
      <w:b/>
      <w:bCs/>
      <w:iCs/>
      <w:color w:val="44546A" w:themeColor="text2"/>
      <w:kern w:val="20"/>
      <w:sz w:val="24"/>
      <w:szCs w:val="28"/>
      <w:lang w:eastAsia="en-AU"/>
    </w:rPr>
  </w:style>
  <w:style w:type="numbering" w:customStyle="1" w:styleId="DELWPHeadings">
    <w:name w:val="DELWP Headings"/>
    <w:basedOn w:val="NoList"/>
    <w:rsid w:val="00C4219A"/>
    <w:pPr>
      <w:numPr>
        <w:numId w:val="2"/>
      </w:numPr>
    </w:pPr>
  </w:style>
  <w:style w:type="paragraph" w:styleId="TOC1">
    <w:name w:val="toc 1"/>
    <w:basedOn w:val="Normal"/>
    <w:next w:val="Normal"/>
    <w:autoRedefine/>
    <w:uiPriority w:val="39"/>
    <w:unhideWhenUsed/>
    <w:rsid w:val="007B29DD"/>
    <w:pPr>
      <w:spacing w:after="100"/>
    </w:pPr>
  </w:style>
  <w:style w:type="paragraph" w:styleId="TOC2">
    <w:name w:val="toc 2"/>
    <w:basedOn w:val="Normal"/>
    <w:next w:val="Normal"/>
    <w:autoRedefine/>
    <w:uiPriority w:val="39"/>
    <w:unhideWhenUsed/>
    <w:rsid w:val="007B29DD"/>
    <w:pPr>
      <w:spacing w:after="100"/>
      <w:ind w:left="220"/>
    </w:pPr>
  </w:style>
  <w:style w:type="paragraph" w:styleId="TOC3">
    <w:name w:val="toc 3"/>
    <w:basedOn w:val="Normal"/>
    <w:next w:val="Normal"/>
    <w:autoRedefine/>
    <w:uiPriority w:val="39"/>
    <w:unhideWhenUsed/>
    <w:rsid w:val="007B29DD"/>
    <w:pPr>
      <w:spacing w:after="100"/>
      <w:ind w:left="440"/>
    </w:pPr>
  </w:style>
  <w:style w:type="paragraph" w:styleId="TOC8">
    <w:name w:val="toc 8"/>
    <w:basedOn w:val="Normal"/>
    <w:next w:val="Normal"/>
    <w:autoRedefine/>
    <w:uiPriority w:val="39"/>
    <w:unhideWhenUsed/>
    <w:rsid w:val="00051EAA"/>
    <w:pPr>
      <w:tabs>
        <w:tab w:val="left" w:pos="1760"/>
      </w:tabs>
      <w:spacing w:after="100" w:line="240" w:lineRule="auto"/>
      <w:ind w:left="1540"/>
    </w:pPr>
  </w:style>
  <w:style w:type="character" w:customStyle="1" w:styleId="Heading6Char">
    <w:name w:val="Heading 6 Char"/>
    <w:basedOn w:val="DefaultParagraphFont"/>
    <w:link w:val="Heading6"/>
    <w:semiHidden/>
    <w:rsid w:val="007B29DD"/>
    <w:rPr>
      <w:rFonts w:asciiTheme="majorHAnsi" w:eastAsiaTheme="majorEastAsia" w:hAnsiTheme="majorHAnsi" w:cstheme="majorBidi"/>
      <w:i/>
      <w:iCs/>
      <w:color w:val="44546A" w:themeColor="text2"/>
      <w:sz w:val="20"/>
      <w:szCs w:val="20"/>
      <w:lang w:eastAsia="en-AU"/>
    </w:rPr>
  </w:style>
  <w:style w:type="character" w:customStyle="1" w:styleId="Heading7Char">
    <w:name w:val="Heading 7 Char"/>
    <w:basedOn w:val="DefaultParagraphFont"/>
    <w:link w:val="Heading7"/>
    <w:semiHidden/>
    <w:rsid w:val="007B29DD"/>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7B29DD"/>
    <w:rPr>
      <w:rFonts w:asciiTheme="majorHAnsi" w:eastAsiaTheme="majorEastAsia" w:hAnsiTheme="majorHAnsi" w:cstheme="majorBidi"/>
      <w:b/>
      <w:color w:val="44546A" w:themeColor="text2"/>
      <w:sz w:val="40"/>
      <w:szCs w:val="20"/>
      <w:lang w:eastAsia="en-AU"/>
    </w:rPr>
  </w:style>
  <w:style w:type="character" w:customStyle="1" w:styleId="Heading9Char">
    <w:name w:val="Heading 9 Char"/>
    <w:aliases w:val="Appendix Heading 1 Char"/>
    <w:basedOn w:val="DefaultParagraphFont"/>
    <w:link w:val="Heading9"/>
    <w:uiPriority w:val="1"/>
    <w:rsid w:val="007B29DD"/>
    <w:rPr>
      <w:rFonts w:eastAsia="Times New Roman" w:cs="Arial"/>
      <w:b/>
      <w:color w:val="44546A" w:themeColor="text2"/>
      <w:sz w:val="24"/>
      <w:szCs w:val="20"/>
      <w:lang w:eastAsia="en-AU"/>
    </w:rPr>
  </w:style>
  <w:style w:type="paragraph" w:styleId="Header">
    <w:name w:val="header"/>
    <w:basedOn w:val="Normal"/>
    <w:link w:val="HeaderChar"/>
    <w:uiPriority w:val="99"/>
    <w:rsid w:val="007B29DD"/>
    <w:pPr>
      <w:spacing w:after="0" w:line="240" w:lineRule="auto"/>
    </w:pPr>
    <w:rPr>
      <w:rFonts w:eastAsia="Times New Roman" w:cs="Arial"/>
      <w:color w:val="000000" w:themeColor="text1"/>
      <w:sz w:val="20"/>
      <w:szCs w:val="20"/>
      <w:lang w:eastAsia="en-AU"/>
    </w:rPr>
  </w:style>
  <w:style w:type="character" w:customStyle="1" w:styleId="HeaderChar">
    <w:name w:val="Header Char"/>
    <w:basedOn w:val="DefaultParagraphFont"/>
    <w:link w:val="Header"/>
    <w:uiPriority w:val="99"/>
    <w:rsid w:val="007B29DD"/>
    <w:rPr>
      <w:rFonts w:eastAsia="Times New Roman" w:cs="Arial"/>
      <w:color w:val="000000" w:themeColor="text1"/>
      <w:sz w:val="20"/>
      <w:szCs w:val="20"/>
      <w:lang w:eastAsia="en-AU"/>
    </w:rPr>
  </w:style>
  <w:style w:type="paragraph" w:styleId="Footer">
    <w:name w:val="footer"/>
    <w:basedOn w:val="Normal"/>
    <w:link w:val="FooterChar"/>
    <w:rsid w:val="007B29DD"/>
    <w:pPr>
      <w:spacing w:after="0" w:line="200" w:lineRule="atLeast"/>
    </w:pPr>
    <w:rPr>
      <w:rFonts w:eastAsia="Times New Roman" w:cs="Arial"/>
      <w:color w:val="000000" w:themeColor="text1"/>
      <w:sz w:val="16"/>
      <w:szCs w:val="20"/>
      <w:lang w:eastAsia="en-AU"/>
    </w:rPr>
  </w:style>
  <w:style w:type="character" w:customStyle="1" w:styleId="FooterChar">
    <w:name w:val="Footer Char"/>
    <w:basedOn w:val="DefaultParagraphFont"/>
    <w:link w:val="Footer"/>
    <w:rsid w:val="007B29DD"/>
    <w:rPr>
      <w:rFonts w:eastAsia="Times New Roman" w:cs="Arial"/>
      <w:color w:val="000000" w:themeColor="text1"/>
      <w:sz w:val="16"/>
      <w:szCs w:val="20"/>
      <w:lang w:eastAsia="en-AU"/>
    </w:rPr>
  </w:style>
  <w:style w:type="paragraph" w:customStyle="1" w:styleId="xDisclaimertext3">
    <w:name w:val="xDisclaimer text 3"/>
    <w:basedOn w:val="xDisclaimerText"/>
    <w:rsid w:val="007B29DD"/>
    <w:pPr>
      <w:spacing w:before="60" w:after="60"/>
    </w:pPr>
  </w:style>
  <w:style w:type="character" w:styleId="PageNumber">
    <w:name w:val="page number"/>
    <w:basedOn w:val="DefaultParagraphFont"/>
    <w:semiHidden/>
    <w:rsid w:val="007B29DD"/>
    <w:rPr>
      <w:rFonts w:ascii="Arial" w:hAnsi="Arial"/>
      <w:b/>
      <w:color w:val="auto"/>
      <w:sz w:val="16"/>
    </w:rPr>
  </w:style>
  <w:style w:type="paragraph" w:customStyle="1" w:styleId="FooterOdd">
    <w:name w:val="Footer Odd"/>
    <w:next w:val="Footer"/>
    <w:rsid w:val="007B29DD"/>
    <w:pPr>
      <w:spacing w:after="0" w:line="200" w:lineRule="atLeast"/>
      <w:jc w:val="right"/>
    </w:pPr>
    <w:rPr>
      <w:rFonts w:eastAsia="Times New Roman" w:cs="Arial"/>
      <w:color w:val="000000" w:themeColor="text1"/>
      <w:spacing w:val="2"/>
      <w:sz w:val="16"/>
      <w:szCs w:val="20"/>
      <w:lang w:eastAsia="en-AU"/>
    </w:rPr>
  </w:style>
  <w:style w:type="table" w:styleId="TableGrid">
    <w:name w:val="Table Grid"/>
    <w:basedOn w:val="TableNormal"/>
    <w:uiPriority w:val="39"/>
    <w:rsid w:val="007B29DD"/>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StylePr>
  </w:style>
  <w:style w:type="paragraph" w:customStyle="1" w:styleId="FooterEven">
    <w:name w:val="Footer Even"/>
    <w:next w:val="Footer"/>
    <w:rsid w:val="007B29DD"/>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7B29DD"/>
    <w:pPr>
      <w:ind w:right="28"/>
    </w:pPr>
    <w:rPr>
      <w:b/>
      <w:color w:val="4472C4" w:themeColor="accent1"/>
    </w:rPr>
  </w:style>
  <w:style w:type="paragraph" w:customStyle="1" w:styleId="FootnoteSeparator">
    <w:name w:val="Footnote Separator"/>
    <w:basedOn w:val="Normal"/>
    <w:unhideWhenUsed/>
    <w:rsid w:val="007B29DD"/>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7B29DD"/>
    <w:pPr>
      <w:spacing w:after="0" w:line="240" w:lineRule="atLeast"/>
    </w:pPr>
    <w:rPr>
      <w:rFonts w:eastAsia="Times New Roman" w:cs="Arial"/>
      <w:color w:val="000000" w:themeColor="text1"/>
      <w:sz w:val="16"/>
      <w:szCs w:val="16"/>
      <w:lang w:eastAsia="en-AU"/>
    </w:rPr>
  </w:style>
  <w:style w:type="character" w:customStyle="1" w:styleId="Italics">
    <w:name w:val="Italics"/>
    <w:rsid w:val="007B29DD"/>
    <w:rPr>
      <w:i/>
    </w:rPr>
  </w:style>
  <w:style w:type="paragraph" w:styleId="ListContinue">
    <w:name w:val="List Continue"/>
    <w:basedOn w:val="Normal"/>
    <w:semiHidden/>
    <w:qFormat/>
    <w:rsid w:val="007B29DD"/>
    <w:pPr>
      <w:spacing w:before="220" w:after="220" w:line="240" w:lineRule="atLeast"/>
      <w:ind w:left="340"/>
    </w:pPr>
    <w:rPr>
      <w:rFonts w:eastAsia="Times New Roman" w:cs="Arial"/>
      <w:color w:val="000000" w:themeColor="text1"/>
      <w:sz w:val="20"/>
      <w:szCs w:val="20"/>
      <w:lang w:eastAsia="en-AU"/>
    </w:rPr>
  </w:style>
  <w:style w:type="paragraph" w:styleId="ListContinue2">
    <w:name w:val="List Continue 2"/>
    <w:basedOn w:val="Normal"/>
    <w:semiHidden/>
    <w:qFormat/>
    <w:rsid w:val="007B29DD"/>
    <w:pPr>
      <w:spacing w:before="220" w:after="220" w:line="240" w:lineRule="atLeast"/>
      <w:ind w:left="680"/>
    </w:pPr>
    <w:rPr>
      <w:rFonts w:eastAsia="Times New Roman" w:cs="Arial"/>
      <w:color w:val="000000" w:themeColor="text1"/>
      <w:sz w:val="20"/>
      <w:szCs w:val="20"/>
      <w:lang w:eastAsia="en-AU"/>
    </w:rPr>
  </w:style>
  <w:style w:type="paragraph" w:styleId="ListNumber">
    <w:name w:val="List Number"/>
    <w:basedOn w:val="Normal"/>
    <w:qFormat/>
    <w:rsid w:val="007B29DD"/>
    <w:pPr>
      <w:numPr>
        <w:numId w:val="8"/>
      </w:numPr>
      <w:spacing w:before="120" w:after="120" w:line="240" w:lineRule="atLeast"/>
    </w:pPr>
    <w:rPr>
      <w:rFonts w:eastAsia="Times New Roman" w:cs="Arial"/>
      <w:color w:val="000000" w:themeColor="text1"/>
      <w:sz w:val="20"/>
      <w:szCs w:val="20"/>
      <w:lang w:eastAsia="en-AU"/>
    </w:rPr>
  </w:style>
  <w:style w:type="paragraph" w:styleId="ListNumber2">
    <w:name w:val="List Number 2"/>
    <w:basedOn w:val="Normal"/>
    <w:qFormat/>
    <w:rsid w:val="007B29DD"/>
    <w:pPr>
      <w:numPr>
        <w:ilvl w:val="1"/>
        <w:numId w:val="8"/>
      </w:numPr>
      <w:spacing w:before="120" w:after="120" w:line="240" w:lineRule="atLeast"/>
    </w:pPr>
    <w:rPr>
      <w:rFonts w:eastAsia="Times New Roman" w:cs="Arial"/>
      <w:color w:val="000000" w:themeColor="text1"/>
      <w:sz w:val="20"/>
      <w:szCs w:val="20"/>
      <w:lang w:eastAsia="en-AU"/>
    </w:rPr>
  </w:style>
  <w:style w:type="paragraph" w:styleId="ListNumber3">
    <w:name w:val="List Number 3"/>
    <w:basedOn w:val="Normal"/>
    <w:qFormat/>
    <w:rsid w:val="007B29DD"/>
    <w:pPr>
      <w:numPr>
        <w:ilvl w:val="2"/>
        <w:numId w:val="8"/>
      </w:numPr>
      <w:spacing w:before="120" w:after="120" w:line="240" w:lineRule="atLeast"/>
    </w:pPr>
    <w:rPr>
      <w:rFonts w:eastAsia="Times New Roman" w:cs="Arial"/>
      <w:color w:val="000000" w:themeColor="text1"/>
      <w:sz w:val="20"/>
      <w:szCs w:val="20"/>
      <w:lang w:eastAsia="en-AU"/>
    </w:rPr>
  </w:style>
  <w:style w:type="numbering" w:styleId="1ai">
    <w:name w:val="Outline List 1"/>
    <w:basedOn w:val="NoList"/>
    <w:rsid w:val="007B29DD"/>
    <w:pPr>
      <w:numPr>
        <w:numId w:val="6"/>
      </w:numPr>
    </w:pPr>
  </w:style>
  <w:style w:type="paragraph" w:styleId="BalloonText">
    <w:name w:val="Balloon Text"/>
    <w:basedOn w:val="Normal"/>
    <w:link w:val="BalloonTextChar"/>
    <w:uiPriority w:val="99"/>
    <w:semiHidden/>
    <w:unhideWhenUsed/>
    <w:rsid w:val="007B29DD"/>
    <w:pPr>
      <w:spacing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7B29DD"/>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7B29DD"/>
    <w:pPr>
      <w:numPr>
        <w:ilvl w:val="1"/>
      </w:numPr>
      <w:tabs>
        <w:tab w:val="clear" w:pos="454"/>
        <w:tab w:val="num" w:pos="1587"/>
      </w:tabs>
      <w:ind w:left="1587" w:hanging="340"/>
    </w:pPr>
    <w:rPr>
      <w:bCs/>
    </w:rPr>
  </w:style>
  <w:style w:type="paragraph" w:customStyle="1" w:styleId="TableTextBullet3">
    <w:name w:val="Table Text Bullet 3"/>
    <w:basedOn w:val="TableTextBullet2"/>
    <w:qFormat/>
    <w:rsid w:val="007B29DD"/>
    <w:pPr>
      <w:numPr>
        <w:ilvl w:val="2"/>
      </w:numPr>
      <w:tabs>
        <w:tab w:val="clear" w:pos="624"/>
        <w:tab w:val="num" w:pos="1956"/>
      </w:tabs>
      <w:ind w:left="1956" w:hanging="369"/>
    </w:pPr>
    <w:rPr>
      <w:bCs w:val="0"/>
    </w:rPr>
  </w:style>
  <w:style w:type="paragraph" w:customStyle="1" w:styleId="xDoublePic">
    <w:name w:val="xDoublePic"/>
    <w:basedOn w:val="xInlineShape"/>
    <w:semiHidden/>
    <w:rsid w:val="007B29DD"/>
    <w:pPr>
      <w:spacing w:before="0" w:after="0"/>
    </w:pPr>
  </w:style>
  <w:style w:type="paragraph" w:customStyle="1" w:styleId="Footnotes">
    <w:name w:val="Footnotes"/>
    <w:basedOn w:val="Normal"/>
    <w:rsid w:val="007B29DD"/>
    <w:pPr>
      <w:keepLines/>
      <w:numPr>
        <w:numId w:val="10"/>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7B29DD"/>
    <w:pPr>
      <w:keepNext/>
      <w:keepLines/>
    </w:pPr>
    <w:rPr>
      <w:b/>
      <w:color w:val="FFFFFF"/>
    </w:rPr>
  </w:style>
  <w:style w:type="character" w:customStyle="1" w:styleId="Superscript">
    <w:name w:val="Superscript"/>
    <w:semiHidden/>
    <w:rsid w:val="007B29DD"/>
    <w:rPr>
      <w:vertAlign w:val="superscript"/>
    </w:rPr>
  </w:style>
  <w:style w:type="paragraph" w:styleId="Caption">
    <w:name w:val="caption"/>
    <w:basedOn w:val="Normal"/>
    <w:next w:val="BodyText"/>
    <w:qFormat/>
    <w:rsid w:val="007B29DD"/>
    <w:pPr>
      <w:keepNext/>
      <w:spacing w:before="360" w:after="240" w:line="200" w:lineRule="atLeast"/>
    </w:pPr>
    <w:rPr>
      <w:rFonts w:eastAsia="Times New Roman" w:cs="Arial"/>
      <w:b/>
      <w:bCs/>
      <w:color w:val="000000" w:themeColor="text1"/>
      <w:sz w:val="16"/>
      <w:szCs w:val="20"/>
      <w:lang w:eastAsia="en-AU"/>
    </w:rPr>
  </w:style>
  <w:style w:type="character" w:styleId="FootnoteReference">
    <w:name w:val="footnote reference"/>
    <w:basedOn w:val="DefaultParagraphFont"/>
    <w:rsid w:val="007B29DD"/>
    <w:rPr>
      <w:color w:val="000000" w:themeColor="text1"/>
      <w:vertAlign w:val="superscript"/>
    </w:rPr>
  </w:style>
  <w:style w:type="paragraph" w:styleId="FootnoteText">
    <w:name w:val="footnote text"/>
    <w:basedOn w:val="Normal"/>
    <w:link w:val="FootnoteTextChar"/>
    <w:rsid w:val="007B29DD"/>
    <w:pPr>
      <w:tabs>
        <w:tab w:val="left" w:pos="284"/>
      </w:tabs>
      <w:spacing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7B29DD"/>
    <w:rPr>
      <w:rFonts w:eastAsia="Times New Roman" w:cs="Arial"/>
      <w:color w:val="000000" w:themeColor="text1"/>
      <w:kern w:val="16"/>
      <w:sz w:val="14"/>
      <w:szCs w:val="20"/>
      <w:lang w:eastAsia="en-AU"/>
    </w:rPr>
  </w:style>
  <w:style w:type="paragraph" w:styleId="ListBullet">
    <w:name w:val="List Bullet"/>
    <w:basedOn w:val="Normal"/>
    <w:unhideWhenUsed/>
    <w:qFormat/>
    <w:rsid w:val="007B29DD"/>
    <w:pPr>
      <w:numPr>
        <w:numId w:val="11"/>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7B29DD"/>
    <w:pPr>
      <w:numPr>
        <w:ilvl w:val="1"/>
      </w:numPr>
    </w:pPr>
  </w:style>
  <w:style w:type="paragraph" w:styleId="ListBullet3">
    <w:name w:val="List Bullet 3"/>
    <w:basedOn w:val="Normal"/>
    <w:unhideWhenUsed/>
    <w:rsid w:val="007B29DD"/>
    <w:pPr>
      <w:numPr>
        <w:ilvl w:val="2"/>
        <w:numId w:val="11"/>
      </w:numPr>
      <w:spacing w:before="120" w:after="120" w:line="240" w:lineRule="atLeast"/>
    </w:pPr>
    <w:rPr>
      <w:rFonts w:eastAsia="Times New Roman" w:cs="Arial"/>
      <w:color w:val="000000" w:themeColor="text1"/>
      <w:sz w:val="20"/>
      <w:szCs w:val="20"/>
      <w:lang w:eastAsia="en-AU"/>
    </w:rPr>
  </w:style>
  <w:style w:type="paragraph" w:styleId="Subtitle">
    <w:name w:val="Subtitle"/>
    <w:basedOn w:val="Normal"/>
    <w:next w:val="Normal"/>
    <w:link w:val="SubtitleChar"/>
    <w:uiPriority w:val="99"/>
    <w:rsid w:val="007B29DD"/>
    <w:pPr>
      <w:numPr>
        <w:ilvl w:val="1"/>
      </w:numPr>
      <w:spacing w:after="0" w:line="400" w:lineRule="exact"/>
      <w:jc w:val="right"/>
    </w:pPr>
    <w:rPr>
      <w:rFonts w:asciiTheme="majorHAnsi" w:eastAsiaTheme="majorEastAsia" w:hAnsiTheme="majorHAnsi" w:cstheme="majorBidi"/>
      <w:iCs/>
      <w:color w:val="FFFFFF" w:themeColor="background1"/>
      <w:sz w:val="32"/>
      <w:szCs w:val="24"/>
      <w:lang w:eastAsia="en-AU"/>
    </w:rPr>
  </w:style>
  <w:style w:type="character" w:customStyle="1" w:styleId="SubtitleChar">
    <w:name w:val="Subtitle Char"/>
    <w:basedOn w:val="DefaultParagraphFont"/>
    <w:link w:val="Subtitle"/>
    <w:uiPriority w:val="99"/>
    <w:rsid w:val="007B29DD"/>
    <w:rPr>
      <w:rFonts w:asciiTheme="majorHAnsi" w:eastAsiaTheme="majorEastAsia" w:hAnsiTheme="majorHAnsi" w:cstheme="majorBidi"/>
      <w:iCs/>
      <w:color w:val="FFFFFF" w:themeColor="background1"/>
      <w:sz w:val="32"/>
      <w:szCs w:val="24"/>
      <w:lang w:eastAsia="en-AU"/>
    </w:rPr>
  </w:style>
  <w:style w:type="paragraph" w:customStyle="1" w:styleId="TableTextLeft">
    <w:name w:val="Table Text Left"/>
    <w:basedOn w:val="Normal"/>
    <w:link w:val="TableTextLeftChar"/>
    <w:qFormat/>
    <w:rsid w:val="007B29DD"/>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7B29D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7B29DD"/>
    <w:pPr>
      <w:numPr>
        <w:numId w:val="13"/>
      </w:numPr>
      <w:tabs>
        <w:tab w:val="clear" w:pos="284"/>
        <w:tab w:val="num" w:pos="1247"/>
      </w:tabs>
      <w:ind w:left="1247" w:hanging="340"/>
    </w:pPr>
  </w:style>
  <w:style w:type="paragraph" w:customStyle="1" w:styleId="TableTextNumbered">
    <w:name w:val="Table Text Numbered"/>
    <w:basedOn w:val="TableTextLeft"/>
    <w:qFormat/>
    <w:rsid w:val="007B29DD"/>
    <w:pPr>
      <w:numPr>
        <w:numId w:val="7"/>
      </w:numPr>
      <w:tabs>
        <w:tab w:val="clear" w:pos="482"/>
        <w:tab w:val="num" w:pos="0"/>
      </w:tabs>
      <w:ind w:left="0" w:firstLine="0"/>
    </w:pPr>
  </w:style>
  <w:style w:type="paragraph" w:customStyle="1" w:styleId="TableTextNumbered2">
    <w:name w:val="Table Text Numbered 2"/>
    <w:basedOn w:val="TableTextNumbered"/>
    <w:qFormat/>
    <w:rsid w:val="007B29DD"/>
    <w:pPr>
      <w:numPr>
        <w:ilvl w:val="1"/>
      </w:numPr>
      <w:tabs>
        <w:tab w:val="clear" w:pos="822"/>
        <w:tab w:val="num" w:pos="0"/>
      </w:tabs>
      <w:ind w:left="0" w:firstLine="0"/>
    </w:pPr>
  </w:style>
  <w:style w:type="paragraph" w:customStyle="1" w:styleId="TableTextNumbered3">
    <w:name w:val="Table Text Numbered 3"/>
    <w:basedOn w:val="TableTextNumbered2"/>
    <w:qFormat/>
    <w:rsid w:val="007B29DD"/>
    <w:pPr>
      <w:numPr>
        <w:ilvl w:val="2"/>
      </w:numPr>
      <w:tabs>
        <w:tab w:val="clear" w:pos="1219"/>
        <w:tab w:val="num" w:pos="0"/>
      </w:tabs>
      <w:ind w:left="0" w:firstLine="0"/>
    </w:pPr>
  </w:style>
  <w:style w:type="character" w:styleId="PlaceholderText">
    <w:name w:val="Placeholder Text"/>
    <w:basedOn w:val="DefaultParagraphFont"/>
    <w:uiPriority w:val="99"/>
    <w:rsid w:val="007B29DD"/>
    <w:rPr>
      <w:color w:val="808080"/>
    </w:rPr>
  </w:style>
  <w:style w:type="paragraph" w:customStyle="1" w:styleId="TableTextLeftBold">
    <w:name w:val="Table Text Left Bold"/>
    <w:basedOn w:val="TableTextLeft"/>
    <w:qFormat/>
    <w:rsid w:val="007B29DD"/>
    <w:rPr>
      <w:b/>
    </w:rPr>
  </w:style>
  <w:style w:type="paragraph" w:customStyle="1" w:styleId="BoldHeading">
    <w:name w:val="Bold Heading"/>
    <w:basedOn w:val="Normal"/>
    <w:next w:val="BodyText"/>
    <w:qFormat/>
    <w:rsid w:val="007B29DD"/>
    <w:pPr>
      <w:spacing w:before="280" w:after="240" w:line="240" w:lineRule="atLeast"/>
    </w:pPr>
    <w:rPr>
      <w:rFonts w:eastAsia="Times New Roman" w:cs="Arial"/>
      <w:b/>
      <w:color w:val="000000" w:themeColor="text1"/>
      <w:sz w:val="20"/>
      <w:szCs w:val="20"/>
      <w:lang w:eastAsia="en-AU"/>
    </w:rPr>
  </w:style>
  <w:style w:type="paragraph" w:customStyle="1" w:styleId="xInlineShape">
    <w:name w:val="xInlineShape"/>
    <w:basedOn w:val="Normal"/>
    <w:next w:val="BodyText"/>
    <w:uiPriority w:val="3"/>
    <w:semiHidden/>
    <w:rsid w:val="007B29DD"/>
    <w:pPr>
      <w:keepNext/>
      <w:spacing w:before="120" w:after="20" w:line="240" w:lineRule="auto"/>
    </w:pPr>
    <w:rPr>
      <w:rFonts w:eastAsia="Times New Roman" w:cs="Arial"/>
      <w:color w:val="000000" w:themeColor="text1"/>
      <w:sz w:val="20"/>
      <w:szCs w:val="20"/>
      <w:lang w:eastAsia="en-AU"/>
    </w:rPr>
  </w:style>
  <w:style w:type="paragraph" w:customStyle="1" w:styleId="xDisclaimerHeading">
    <w:name w:val="xDisclaimer Heading"/>
    <w:basedOn w:val="Normal"/>
    <w:rsid w:val="007B29DD"/>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7B29D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7B29DD"/>
    <w:pPr>
      <w:tabs>
        <w:tab w:val="right" w:leader="dot" w:pos="9582"/>
      </w:tabs>
      <w:spacing w:before="60" w:after="60" w:line="240" w:lineRule="atLeast"/>
      <w:ind w:left="284" w:right="851"/>
    </w:pPr>
    <w:rPr>
      <w:rFonts w:eastAsia="Times New Roman" w:cs="Arial"/>
      <w:noProof/>
      <w:color w:val="4F4E4E"/>
      <w:sz w:val="20"/>
      <w:szCs w:val="20"/>
      <w:lang w:eastAsia="en-AU"/>
    </w:rPr>
  </w:style>
  <w:style w:type="paragraph" w:styleId="TableofFigures">
    <w:name w:val="table of figures"/>
    <w:basedOn w:val="Normal"/>
    <w:next w:val="Normal"/>
    <w:uiPriority w:val="99"/>
    <w:rsid w:val="007B29DD"/>
    <w:pPr>
      <w:tabs>
        <w:tab w:val="right" w:leader="dot" w:pos="9582"/>
      </w:tabs>
      <w:spacing w:before="60" w:after="60" w:line="240" w:lineRule="atLeast"/>
      <w:ind w:right="851"/>
    </w:pPr>
    <w:rPr>
      <w:rFonts w:eastAsia="Times New Roman" w:cs="Arial"/>
      <w:color w:val="000000" w:themeColor="text1"/>
      <w:sz w:val="20"/>
      <w:szCs w:val="20"/>
      <w:lang w:eastAsia="en-AU"/>
    </w:rPr>
  </w:style>
  <w:style w:type="paragraph" w:customStyle="1" w:styleId="TOFHeading">
    <w:name w:val="TOF Heading"/>
    <w:basedOn w:val="Normal"/>
    <w:uiPriority w:val="99"/>
    <w:rsid w:val="007B29DD"/>
    <w:pPr>
      <w:keepNext/>
      <w:tabs>
        <w:tab w:val="left" w:pos="2268"/>
      </w:tabs>
      <w:spacing w:before="240" w:after="60" w:line="240" w:lineRule="atLeast"/>
    </w:pPr>
    <w:rPr>
      <w:rFonts w:eastAsia="Times New Roman" w:cs="Arial"/>
      <w:b/>
      <w:color w:val="44546A" w:themeColor="text2"/>
      <w:sz w:val="24"/>
      <w:szCs w:val="32"/>
      <w:lang w:eastAsia="en-AU"/>
    </w:rPr>
  </w:style>
  <w:style w:type="paragraph" w:customStyle="1" w:styleId="BodyText12ptBefore">
    <w:name w:val="Body Text 12pt Before"/>
    <w:basedOn w:val="BodyText"/>
    <w:next w:val="BodyText"/>
    <w:qFormat/>
    <w:rsid w:val="007B29DD"/>
    <w:pPr>
      <w:spacing w:before="240"/>
    </w:pPr>
  </w:style>
  <w:style w:type="paragraph" w:customStyle="1" w:styleId="AppendixHeading3">
    <w:name w:val="Appendix Heading 3"/>
    <w:basedOn w:val="Normal"/>
    <w:next w:val="BodyText"/>
    <w:uiPriority w:val="2"/>
    <w:rsid w:val="007B29DD"/>
    <w:pPr>
      <w:keepNext/>
      <w:keepLines/>
      <w:tabs>
        <w:tab w:val="left" w:pos="1559"/>
        <w:tab w:val="left" w:pos="1843"/>
        <w:tab w:val="left" w:pos="2126"/>
        <w:tab w:val="left" w:pos="2410"/>
        <w:tab w:val="left" w:pos="6804"/>
      </w:tabs>
      <w:spacing w:before="200" w:after="100" w:line="240" w:lineRule="exact"/>
    </w:pPr>
    <w:rPr>
      <w:rFonts w:asciiTheme="majorHAnsi" w:eastAsia="Times New Roman" w:hAnsiTheme="majorHAnsi" w:cs="Arial"/>
      <w:b/>
      <w:i/>
      <w:color w:val="494847"/>
      <w:sz w:val="20"/>
      <w:szCs w:val="20"/>
      <w:lang w:eastAsia="en-AU"/>
    </w:rPr>
  </w:style>
  <w:style w:type="paragraph" w:customStyle="1" w:styleId="TableofContents2">
    <w:name w:val="TableofContents2"/>
    <w:basedOn w:val="Normal"/>
    <w:semiHidden/>
    <w:rsid w:val="007B29DD"/>
    <w:pPr>
      <w:keepNext/>
      <w:spacing w:after="12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7B29DD"/>
    <w:pPr>
      <w:tabs>
        <w:tab w:val="right" w:pos="9582"/>
      </w:tabs>
      <w:spacing w:before="240" w:after="60" w:line="240" w:lineRule="atLeast"/>
      <w:ind w:right="851"/>
    </w:pPr>
    <w:rPr>
      <w:rFonts w:eastAsia="Times New Roman" w:cs="Arial"/>
      <w:b/>
      <w:color w:val="44546A" w:themeColor="text2"/>
      <w:sz w:val="24"/>
      <w:szCs w:val="20"/>
      <w:lang w:eastAsia="en-AU"/>
    </w:rPr>
  </w:style>
  <w:style w:type="paragraph" w:styleId="TOC6">
    <w:name w:val="toc 6"/>
    <w:basedOn w:val="Normal"/>
    <w:next w:val="Normal"/>
    <w:autoRedefine/>
    <w:uiPriority w:val="39"/>
    <w:rsid w:val="007B29DD"/>
    <w:pPr>
      <w:spacing w:after="100" w:line="240" w:lineRule="atLeast"/>
      <w:ind w:left="1000"/>
    </w:pPr>
    <w:rPr>
      <w:rFonts w:eastAsia="Times New Roman" w:cs="Arial"/>
      <w:color w:val="000000" w:themeColor="text1"/>
      <w:sz w:val="20"/>
      <w:szCs w:val="20"/>
      <w:lang w:eastAsia="en-AU"/>
    </w:rPr>
  </w:style>
  <w:style w:type="paragraph" w:styleId="TOC7">
    <w:name w:val="toc 7"/>
    <w:basedOn w:val="Normal"/>
    <w:next w:val="Normal"/>
    <w:autoRedefine/>
    <w:uiPriority w:val="39"/>
    <w:rsid w:val="007B29DD"/>
    <w:pPr>
      <w:spacing w:after="100" w:line="240" w:lineRule="atLeast"/>
      <w:ind w:left="1200"/>
    </w:pPr>
    <w:rPr>
      <w:rFonts w:eastAsia="Times New Roman" w:cs="Arial"/>
      <w:color w:val="000000" w:themeColor="text1"/>
      <w:sz w:val="20"/>
      <w:szCs w:val="20"/>
      <w:lang w:eastAsia="en-AU"/>
    </w:rPr>
  </w:style>
  <w:style w:type="character" w:customStyle="1" w:styleId="Bold">
    <w:name w:val="Bold"/>
    <w:rsid w:val="007B29DD"/>
    <w:rPr>
      <w:b/>
    </w:rPr>
  </w:style>
  <w:style w:type="paragraph" w:customStyle="1" w:styleId="xContactDetails">
    <w:name w:val="xContact Details"/>
    <w:basedOn w:val="TableTextLeft"/>
    <w:uiPriority w:val="3"/>
    <w:semiHidden/>
    <w:rsid w:val="007B29DD"/>
    <w:pPr>
      <w:spacing w:before="40"/>
      <w:contextualSpacing/>
    </w:pPr>
    <w:rPr>
      <w:sz w:val="16"/>
    </w:rPr>
  </w:style>
  <w:style w:type="paragraph" w:customStyle="1" w:styleId="xEntityDetails">
    <w:name w:val="xEntity Details"/>
    <w:basedOn w:val="xContactDetails"/>
    <w:uiPriority w:val="3"/>
    <w:semiHidden/>
    <w:rsid w:val="007B29DD"/>
    <w:pPr>
      <w:framePr w:wrap="around" w:hAnchor="text"/>
    </w:pPr>
  </w:style>
  <w:style w:type="paragraph" w:customStyle="1" w:styleId="xStatus">
    <w:name w:val="xStatus"/>
    <w:basedOn w:val="Normal"/>
    <w:uiPriority w:val="3"/>
    <w:semiHidden/>
    <w:rsid w:val="007B29DD"/>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200"/>
      <w:szCs w:val="24"/>
      <w:lang w:eastAsia="en-AU"/>
    </w:rPr>
  </w:style>
  <w:style w:type="paragraph" w:customStyle="1" w:styleId="AppendixHeading2">
    <w:name w:val="Appendix Heading 2"/>
    <w:basedOn w:val="Normal"/>
    <w:next w:val="BodyText"/>
    <w:uiPriority w:val="2"/>
    <w:rsid w:val="007B29DD"/>
    <w:pPr>
      <w:keepNext/>
      <w:keepLines/>
      <w:tabs>
        <w:tab w:val="left" w:pos="1559"/>
        <w:tab w:val="left" w:pos="1843"/>
        <w:tab w:val="left" w:pos="2126"/>
        <w:tab w:val="left" w:pos="2410"/>
      </w:tabs>
      <w:spacing w:before="200" w:after="100" w:line="240" w:lineRule="exact"/>
    </w:pPr>
    <w:rPr>
      <w:rFonts w:eastAsia="Times New Roman" w:cs="Arial"/>
      <w:b/>
      <w:color w:val="494847"/>
      <w:sz w:val="20"/>
      <w:szCs w:val="20"/>
      <w:lang w:eastAsia="en-AU"/>
    </w:rPr>
  </w:style>
  <w:style w:type="paragraph" w:styleId="Quote">
    <w:name w:val="Quote"/>
    <w:basedOn w:val="Normal"/>
    <w:link w:val="QuoteChar"/>
    <w:qFormat/>
    <w:rsid w:val="007B29DD"/>
    <w:pPr>
      <w:tabs>
        <w:tab w:val="left" w:pos="1134"/>
      </w:tabs>
      <w:spacing w:before="120" w:after="120" w:line="240" w:lineRule="atLeast"/>
      <w:ind w:left="284"/>
    </w:pPr>
    <w:rPr>
      <w:rFonts w:eastAsia="Times New Roman" w:cs="Arial"/>
      <w:i/>
      <w:iCs/>
      <w:color w:val="000000" w:themeColor="text1"/>
      <w:sz w:val="20"/>
      <w:szCs w:val="20"/>
      <w:lang w:eastAsia="en-AU"/>
    </w:rPr>
  </w:style>
  <w:style w:type="character" w:customStyle="1" w:styleId="QuoteChar">
    <w:name w:val="Quote Char"/>
    <w:basedOn w:val="DefaultParagraphFont"/>
    <w:link w:val="Quote"/>
    <w:rsid w:val="007B29DD"/>
    <w:rPr>
      <w:rFonts w:eastAsia="Times New Roman" w:cs="Arial"/>
      <w:i/>
      <w:iCs/>
      <w:color w:val="000000" w:themeColor="text1"/>
      <w:sz w:val="20"/>
      <w:szCs w:val="20"/>
      <w:lang w:eastAsia="en-AU"/>
    </w:rPr>
  </w:style>
  <w:style w:type="character" w:styleId="IntenseEmphasis">
    <w:name w:val="Intense Emphasis"/>
    <w:rsid w:val="007B29DD"/>
    <w:rPr>
      <w:b/>
      <w:bCs/>
      <w:i/>
      <w:iCs/>
      <w:color w:val="auto"/>
    </w:rPr>
  </w:style>
  <w:style w:type="paragraph" w:styleId="BlockText">
    <w:name w:val="Block Text"/>
    <w:basedOn w:val="Normal"/>
    <w:semiHidden/>
    <w:unhideWhenUsed/>
    <w:rsid w:val="007B29DD"/>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after="0" w:line="240" w:lineRule="atLeast"/>
      <w:ind w:left="1152" w:right="1152"/>
    </w:pPr>
    <w:rPr>
      <w:rFonts w:eastAsiaTheme="minorEastAsia"/>
      <w:i/>
      <w:iCs/>
      <w:color w:val="44546A" w:themeColor="text2"/>
      <w:sz w:val="20"/>
      <w:szCs w:val="20"/>
      <w:lang w:eastAsia="en-AU"/>
    </w:rPr>
  </w:style>
  <w:style w:type="paragraph" w:styleId="IntenseQuote">
    <w:name w:val="Intense Quote"/>
    <w:basedOn w:val="Normal"/>
    <w:next w:val="Normal"/>
    <w:link w:val="IntenseQuoteChar"/>
    <w:rsid w:val="007B29DD"/>
    <w:pPr>
      <w:pBdr>
        <w:bottom w:val="single" w:sz="4" w:space="4" w:color="4472C4" w:themeColor="accent1"/>
      </w:pBdr>
      <w:spacing w:before="200" w:after="280" w:line="240" w:lineRule="atLeast"/>
      <w:ind w:left="936" w:right="936"/>
    </w:pPr>
    <w:rPr>
      <w:rFonts w:eastAsia="Times New Roman" w:cs="Arial"/>
      <w:b/>
      <w:bCs/>
      <w:i/>
      <w:iCs/>
      <w:color w:val="E7E6E6" w:themeColor="background2"/>
      <w:sz w:val="20"/>
      <w:szCs w:val="20"/>
      <w:lang w:eastAsia="en-AU"/>
    </w:rPr>
  </w:style>
  <w:style w:type="character" w:customStyle="1" w:styleId="IntenseQuoteChar">
    <w:name w:val="Intense Quote Char"/>
    <w:basedOn w:val="DefaultParagraphFont"/>
    <w:link w:val="IntenseQuote"/>
    <w:rsid w:val="007B29DD"/>
    <w:rPr>
      <w:rFonts w:eastAsia="Times New Roman" w:cs="Arial"/>
      <w:b/>
      <w:bCs/>
      <w:i/>
      <w:iCs/>
      <w:color w:val="E7E6E6" w:themeColor="background2"/>
      <w:sz w:val="20"/>
      <w:szCs w:val="20"/>
      <w:lang w:eastAsia="en-AU"/>
    </w:rPr>
  </w:style>
  <w:style w:type="paragraph" w:customStyle="1" w:styleId="PullOutBoxBodyText">
    <w:name w:val="Pull Out Box Body Text"/>
    <w:basedOn w:val="Normal"/>
    <w:qFormat/>
    <w:rsid w:val="007B29DD"/>
    <w:pPr>
      <w:spacing w:before="120" w:after="120" w:line="240" w:lineRule="atLeast"/>
      <w:ind w:left="142" w:right="142"/>
    </w:pPr>
    <w:rPr>
      <w:rFonts w:eastAsia="Times New Roman" w:cs="Arial"/>
      <w:color w:val="000000" w:themeColor="text1"/>
      <w:sz w:val="20"/>
      <w:szCs w:val="20"/>
      <w:lang w:eastAsia="en-AU"/>
    </w:rPr>
  </w:style>
  <w:style w:type="paragraph" w:customStyle="1" w:styleId="PullOutBoxHeading">
    <w:name w:val="Pull Out Box Heading"/>
    <w:basedOn w:val="PullOutBoxBodyText"/>
    <w:next w:val="PullOutBoxBodyText"/>
    <w:qFormat/>
    <w:rsid w:val="007B29DD"/>
    <w:pPr>
      <w:keepNext/>
      <w:keepLines/>
    </w:pPr>
    <w:rPr>
      <w:b/>
      <w:szCs w:val="24"/>
    </w:rPr>
  </w:style>
  <w:style w:type="paragraph" w:customStyle="1" w:styleId="PullOutBoxBullet">
    <w:name w:val="Pull Out Box Bullet"/>
    <w:basedOn w:val="PullOutBoxBodyText"/>
    <w:qFormat/>
    <w:rsid w:val="007B29DD"/>
    <w:pPr>
      <w:numPr>
        <w:numId w:val="14"/>
      </w:numPr>
    </w:pPr>
  </w:style>
  <w:style w:type="paragraph" w:customStyle="1" w:styleId="PullOutBoxBullet2">
    <w:name w:val="Pull Out Box Bullet 2"/>
    <w:basedOn w:val="PullOutBoxBodyText"/>
    <w:qFormat/>
    <w:rsid w:val="007B29DD"/>
    <w:pPr>
      <w:numPr>
        <w:ilvl w:val="1"/>
        <w:numId w:val="14"/>
      </w:numPr>
    </w:pPr>
  </w:style>
  <w:style w:type="paragraph" w:customStyle="1" w:styleId="PullOutBoxBullet3">
    <w:name w:val="Pull Out Box Bullet 3"/>
    <w:basedOn w:val="PullOutBoxBodyText"/>
    <w:qFormat/>
    <w:rsid w:val="007B29DD"/>
    <w:pPr>
      <w:numPr>
        <w:ilvl w:val="2"/>
        <w:numId w:val="14"/>
      </w:numPr>
    </w:pPr>
  </w:style>
  <w:style w:type="paragraph" w:customStyle="1" w:styleId="xBackPageWebAddress">
    <w:name w:val="xBack Page Web Address"/>
    <w:basedOn w:val="Normal"/>
    <w:semiHidden/>
    <w:rsid w:val="007B29DD"/>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7B29DD"/>
    <w:pPr>
      <w:spacing w:after="0" w:line="240" w:lineRule="atLeast"/>
    </w:pPr>
    <w:rPr>
      <w:rFonts w:eastAsia="Times New Roman" w:cs="Arial"/>
      <w:color w:val="FFFFFF"/>
      <w:sz w:val="20"/>
      <w:szCs w:val="20"/>
      <w:lang w:eastAsia="en-AU"/>
    </w:rPr>
  </w:style>
  <w:style w:type="paragraph" w:customStyle="1" w:styleId="Source">
    <w:name w:val="Source"/>
    <w:basedOn w:val="Normal"/>
    <w:next w:val="BodyText"/>
    <w:rsid w:val="007B29DD"/>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7B29DD"/>
    <w:pPr>
      <w:spacing w:before="0" w:after="0" w:line="175" w:lineRule="atLeast"/>
      <w:ind w:left="0" w:right="0"/>
      <w:contextualSpacing w:val="0"/>
    </w:pPr>
  </w:style>
  <w:style w:type="paragraph" w:customStyle="1" w:styleId="IntroFeatureText">
    <w:name w:val="Intro/Feature Text"/>
    <w:basedOn w:val="Normal"/>
    <w:next w:val="BodyText"/>
    <w:qFormat/>
    <w:rsid w:val="007B29DD"/>
    <w:pPr>
      <w:spacing w:before="60" w:after="180" w:line="360" w:lineRule="exact"/>
    </w:pPr>
    <w:rPr>
      <w:rFonts w:eastAsia="Times New Roman" w:cs="Arial"/>
      <w:color w:val="44546A" w:themeColor="text2"/>
      <w:spacing w:val="-2"/>
      <w:sz w:val="32"/>
      <w:szCs w:val="20"/>
      <w:lang w:eastAsia="en-AU"/>
    </w:rPr>
  </w:style>
  <w:style w:type="character" w:customStyle="1" w:styleId="BoldAndItalics">
    <w:name w:val="Bold And Italics"/>
    <w:semiHidden/>
    <w:rsid w:val="007B29DD"/>
    <w:rPr>
      <w:b/>
      <w:i/>
    </w:rPr>
  </w:style>
  <w:style w:type="paragraph" w:customStyle="1" w:styleId="TableTextRight">
    <w:name w:val="Table Text Right"/>
    <w:basedOn w:val="TableTextLeft"/>
    <w:qFormat/>
    <w:rsid w:val="007B29DD"/>
    <w:pPr>
      <w:jc w:val="right"/>
    </w:pPr>
  </w:style>
  <w:style w:type="paragraph" w:customStyle="1" w:styleId="CaptionDescriptive">
    <w:name w:val="Caption Descriptive"/>
    <w:basedOn w:val="BodyText"/>
    <w:next w:val="BodyText"/>
    <w:rsid w:val="007B29DD"/>
    <w:pPr>
      <w:spacing w:after="60" w:line="240" w:lineRule="auto"/>
      <w:ind w:right="227"/>
    </w:pPr>
    <w:rPr>
      <w:i/>
      <w:sz w:val="18"/>
      <w:szCs w:val="14"/>
    </w:rPr>
  </w:style>
  <w:style w:type="table" w:customStyle="1" w:styleId="PullOutBoxTable">
    <w:name w:val="Pull Out Box Table"/>
    <w:basedOn w:val="TableNormal"/>
    <w:uiPriority w:val="99"/>
    <w:rsid w:val="007B29DD"/>
    <w:pPr>
      <w:spacing w:after="0" w:line="240" w:lineRule="auto"/>
    </w:pPr>
    <w:rPr>
      <w:rFonts w:eastAsia="Times New Roman" w:cs="Arial"/>
      <w:color w:val="000000" w:themeColor="text1"/>
      <w:sz w:val="20"/>
      <w:szCs w:val="20"/>
      <w:lang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7B29DD"/>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rsid w:val="007B29DD"/>
    <w:pPr>
      <w:spacing w:after="0" w:line="240" w:lineRule="atLeast"/>
    </w:pPr>
    <w:rPr>
      <w:rFonts w:eastAsia="Times New Roman" w:cs="Arial"/>
      <w:b/>
      <w:color w:val="FFFFFF"/>
      <w:sz w:val="36"/>
      <w:szCs w:val="20"/>
      <w:lang w:eastAsia="en-AU"/>
    </w:rPr>
  </w:style>
  <w:style w:type="character" w:customStyle="1" w:styleId="DateChar">
    <w:name w:val="Date Char"/>
    <w:basedOn w:val="DefaultParagraphFont"/>
    <w:link w:val="Date"/>
    <w:semiHidden/>
    <w:rsid w:val="007B29DD"/>
    <w:rPr>
      <w:rFonts w:eastAsia="Times New Roman" w:cs="Arial"/>
      <w:b/>
      <w:color w:val="FFFFFF"/>
      <w:sz w:val="36"/>
      <w:szCs w:val="20"/>
      <w:lang w:eastAsia="en-AU"/>
    </w:rPr>
  </w:style>
  <w:style w:type="paragraph" w:styleId="NormalWeb">
    <w:name w:val="Normal (Web)"/>
    <w:basedOn w:val="Normal"/>
    <w:uiPriority w:val="99"/>
    <w:unhideWhenUsed/>
    <w:rsid w:val="007B29DD"/>
    <w:pPr>
      <w:spacing w:after="0" w:line="240" w:lineRule="atLeast"/>
    </w:pPr>
    <w:rPr>
      <w:rFonts w:eastAsiaTheme="minorEastAsia" w:cs="Times New Roman"/>
      <w:color w:val="000000" w:themeColor="text1"/>
      <w:sz w:val="20"/>
      <w:szCs w:val="24"/>
      <w:lang w:eastAsia="en-AU"/>
    </w:rPr>
  </w:style>
  <w:style w:type="character" w:customStyle="1" w:styleId="MySuperscript">
    <w:name w:val="MySuperscript"/>
    <w:uiPriority w:val="1"/>
    <w:semiHidden/>
    <w:rsid w:val="007B29DD"/>
    <w:rPr>
      <w:vertAlign w:val="superscript"/>
    </w:rPr>
  </w:style>
  <w:style w:type="character" w:customStyle="1" w:styleId="MySubscript">
    <w:name w:val="MySubscript"/>
    <w:uiPriority w:val="1"/>
    <w:semiHidden/>
    <w:rsid w:val="007B29DD"/>
    <w:rPr>
      <w:vertAlign w:val="subscript"/>
    </w:rPr>
  </w:style>
  <w:style w:type="character" w:customStyle="1" w:styleId="MySuperscriptItalics">
    <w:name w:val="MySuperscript&amp;Italics"/>
    <w:uiPriority w:val="1"/>
    <w:semiHidden/>
    <w:rsid w:val="007B29DD"/>
    <w:rPr>
      <w:i/>
      <w:vertAlign w:val="superscript"/>
    </w:rPr>
  </w:style>
  <w:style w:type="character" w:customStyle="1" w:styleId="MySubscriptItalics">
    <w:name w:val="MySubscript&amp;Italics"/>
    <w:uiPriority w:val="1"/>
    <w:semiHidden/>
    <w:rsid w:val="007B29DD"/>
    <w:rPr>
      <w:i/>
      <w:vertAlign w:val="subscript"/>
    </w:rPr>
  </w:style>
  <w:style w:type="paragraph" w:customStyle="1" w:styleId="QuoteBullet">
    <w:name w:val="Quote Bullet"/>
    <w:basedOn w:val="Quote"/>
    <w:qFormat/>
    <w:rsid w:val="007B29DD"/>
    <w:pPr>
      <w:numPr>
        <w:numId w:val="12"/>
      </w:numPr>
    </w:pPr>
  </w:style>
  <w:style w:type="paragraph" w:customStyle="1" w:styleId="QuoteBullet2">
    <w:name w:val="Quote Bullet 2"/>
    <w:basedOn w:val="Quote"/>
    <w:qFormat/>
    <w:rsid w:val="007B29DD"/>
    <w:pPr>
      <w:numPr>
        <w:ilvl w:val="1"/>
        <w:numId w:val="12"/>
      </w:numPr>
      <w:tabs>
        <w:tab w:val="clear" w:pos="1134"/>
      </w:tabs>
    </w:pPr>
  </w:style>
  <w:style w:type="character" w:styleId="CommentReference">
    <w:name w:val="annotation reference"/>
    <w:basedOn w:val="DefaultParagraphFont"/>
    <w:uiPriority w:val="99"/>
    <w:semiHidden/>
    <w:rsid w:val="007B29DD"/>
    <w:rPr>
      <w:sz w:val="16"/>
      <w:szCs w:val="16"/>
    </w:rPr>
  </w:style>
  <w:style w:type="paragraph" w:styleId="CommentText">
    <w:name w:val="annotation text"/>
    <w:basedOn w:val="Normal"/>
    <w:link w:val="CommentTextChar"/>
    <w:uiPriority w:val="99"/>
    <w:semiHidden/>
    <w:rsid w:val="007B29DD"/>
    <w:pPr>
      <w:spacing w:after="0" w:line="240" w:lineRule="auto"/>
    </w:pPr>
    <w:rPr>
      <w:rFonts w:eastAsia="Times New Roman" w:cs="Arial"/>
      <w:color w:val="000000" w:themeColor="text1"/>
      <w:sz w:val="20"/>
      <w:szCs w:val="20"/>
      <w:lang w:eastAsia="en-AU"/>
    </w:rPr>
  </w:style>
  <w:style w:type="character" w:customStyle="1" w:styleId="CommentTextChar">
    <w:name w:val="Comment Text Char"/>
    <w:basedOn w:val="DefaultParagraphFont"/>
    <w:link w:val="CommentText"/>
    <w:uiPriority w:val="99"/>
    <w:semiHidden/>
    <w:rsid w:val="007B29DD"/>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7B29DD"/>
    <w:rPr>
      <w:b/>
      <w:bCs/>
    </w:rPr>
  </w:style>
  <w:style w:type="character" w:customStyle="1" w:styleId="CommentSubjectChar">
    <w:name w:val="Comment Subject Char"/>
    <w:basedOn w:val="CommentTextChar"/>
    <w:link w:val="CommentSubject"/>
    <w:semiHidden/>
    <w:rsid w:val="007B29DD"/>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7B29DD"/>
    <w:pPr>
      <w:numPr>
        <w:numId w:val="9"/>
      </w:numPr>
    </w:pPr>
  </w:style>
  <w:style w:type="paragraph" w:customStyle="1" w:styleId="PullOutBoxNumbered2">
    <w:name w:val="Pull Out Box Numbered 2"/>
    <w:basedOn w:val="PullOutBoxBodyText"/>
    <w:qFormat/>
    <w:rsid w:val="007B29DD"/>
    <w:pPr>
      <w:numPr>
        <w:ilvl w:val="1"/>
        <w:numId w:val="9"/>
      </w:numPr>
    </w:pPr>
  </w:style>
  <w:style w:type="paragraph" w:customStyle="1" w:styleId="PullOutBoxNumbered3">
    <w:name w:val="Pull Out Box Numbered 3"/>
    <w:basedOn w:val="PullOutBoxBodyText"/>
    <w:qFormat/>
    <w:rsid w:val="007B29DD"/>
    <w:pPr>
      <w:numPr>
        <w:ilvl w:val="2"/>
        <w:numId w:val="9"/>
      </w:numPr>
    </w:pPr>
  </w:style>
  <w:style w:type="table" w:styleId="TableGrid1">
    <w:name w:val="Table Grid 1"/>
    <w:basedOn w:val="TableNormal"/>
    <w:rsid w:val="007B29D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7B29D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7B29D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7B29D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7B29DD"/>
    <w:pPr>
      <w:spacing w:before="180" w:after="170"/>
    </w:pPr>
  </w:style>
  <w:style w:type="paragraph" w:customStyle="1" w:styleId="Heading1TopofPage">
    <w:name w:val="Heading 1 Top of Page"/>
    <w:basedOn w:val="Heading1"/>
    <w:next w:val="BodyText"/>
    <w:link w:val="Heading1TopofPageChar"/>
    <w:rsid w:val="007B29DD"/>
    <w:pPr>
      <w:pageBreakBefore/>
      <w:tabs>
        <w:tab w:val="clear" w:pos="0"/>
        <w:tab w:val="num" w:pos="3685"/>
      </w:tabs>
      <w:ind w:left="3685" w:hanging="2551"/>
    </w:pPr>
  </w:style>
  <w:style w:type="paragraph" w:customStyle="1" w:styleId="SectionHeading">
    <w:name w:val="Section Heading"/>
    <w:basedOn w:val="Normal"/>
    <w:next w:val="BodyText"/>
    <w:semiHidden/>
    <w:qFormat/>
    <w:rsid w:val="007B29DD"/>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eastAsia="Times New Roman" w:cs="Arial"/>
      <w:b/>
      <w:color w:val="FFFFFF" w:themeColor="background1"/>
      <w:sz w:val="52"/>
      <w:szCs w:val="40"/>
      <w:lang w:eastAsia="en-AU"/>
    </w:rPr>
  </w:style>
  <w:style w:type="paragraph" w:customStyle="1" w:styleId="HighlightBoxText">
    <w:name w:val="Highlight Box Text"/>
    <w:basedOn w:val="Normal"/>
    <w:qFormat/>
    <w:rsid w:val="007B29DD"/>
    <w:pPr>
      <w:spacing w:before="120" w:after="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7B29DD"/>
    <w:rPr>
      <w:color w:val="954F72" w:themeColor="followedHyperlink"/>
      <w:u w:val="single"/>
    </w:rPr>
  </w:style>
  <w:style w:type="paragraph" w:customStyle="1" w:styleId="TitleBarText">
    <w:name w:val="Title Bar Text"/>
    <w:basedOn w:val="Normal"/>
    <w:uiPriority w:val="99"/>
    <w:qFormat/>
    <w:rsid w:val="007B29DD"/>
    <w:pPr>
      <w:spacing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7B29D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7B29DD"/>
    <w:pPr>
      <w:jc w:val="right"/>
    </w:pPr>
    <w:rPr>
      <w:rFonts w:cs="Times New Roman"/>
    </w:rPr>
  </w:style>
  <w:style w:type="paragraph" w:customStyle="1" w:styleId="xCoverStatus">
    <w:name w:val="xCoverStatus"/>
    <w:basedOn w:val="Normal"/>
    <w:semiHidden/>
    <w:rsid w:val="007B29DD"/>
    <w:pPr>
      <w:spacing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7B29DD"/>
    <w:pPr>
      <w:jc w:val="center"/>
    </w:pPr>
  </w:style>
  <w:style w:type="paragraph" w:customStyle="1" w:styleId="TableHeadingCentre">
    <w:name w:val="Table Heading Centre"/>
    <w:basedOn w:val="TableHeadingLeft"/>
    <w:qFormat/>
    <w:rsid w:val="007B29DD"/>
    <w:pPr>
      <w:jc w:val="center"/>
    </w:pPr>
  </w:style>
  <w:style w:type="paragraph" w:customStyle="1" w:styleId="Footnotes2">
    <w:name w:val="Footnotes 2"/>
    <w:basedOn w:val="Normal"/>
    <w:rsid w:val="007B29DD"/>
    <w:pPr>
      <w:numPr>
        <w:ilvl w:val="1"/>
        <w:numId w:val="10"/>
      </w:numPr>
      <w:spacing w:after="100" w:afterAutospacing="1" w:line="180" w:lineRule="atLeast"/>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7B29D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7B29DD"/>
    <w:rPr>
      <w:color w:val="44546A" w:themeColor="text2"/>
    </w:rPr>
  </w:style>
  <w:style w:type="paragraph" w:customStyle="1" w:styleId="CaptionImageorFigure">
    <w:name w:val="Caption Image or Figure"/>
    <w:basedOn w:val="Caption"/>
    <w:qFormat/>
    <w:rsid w:val="007B29DD"/>
    <w:pPr>
      <w:spacing w:before="60" w:after="120"/>
    </w:pPr>
  </w:style>
  <w:style w:type="paragraph" w:customStyle="1" w:styleId="PhotoCredit">
    <w:name w:val="Photo Credit"/>
    <w:basedOn w:val="CaptionDescriptive"/>
    <w:next w:val="BodyText"/>
    <w:qFormat/>
    <w:rsid w:val="007B29DD"/>
    <w:rPr>
      <w:i w:val="0"/>
      <w:sz w:val="16"/>
    </w:rPr>
  </w:style>
  <w:style w:type="paragraph" w:customStyle="1" w:styleId="ListAlpha">
    <w:name w:val="List Alpha"/>
    <w:basedOn w:val="Normal"/>
    <w:qFormat/>
    <w:rsid w:val="007B29DD"/>
    <w:pPr>
      <w:numPr>
        <w:numId w:val="15"/>
      </w:numPr>
      <w:spacing w:before="120" w:after="120" w:line="240" w:lineRule="atLeast"/>
    </w:pPr>
    <w:rPr>
      <w:rFonts w:eastAsia="Times New Roman" w:cs="Arial"/>
      <w:color w:val="000000" w:themeColor="text1"/>
      <w:sz w:val="20"/>
      <w:szCs w:val="20"/>
      <w:lang w:eastAsia="en-AU"/>
    </w:rPr>
  </w:style>
  <w:style w:type="paragraph" w:customStyle="1" w:styleId="ListAlpha2">
    <w:name w:val="List Alpha 2"/>
    <w:basedOn w:val="Normal"/>
    <w:qFormat/>
    <w:rsid w:val="007B29DD"/>
    <w:pPr>
      <w:numPr>
        <w:ilvl w:val="1"/>
        <w:numId w:val="15"/>
      </w:numPr>
      <w:spacing w:before="120" w:after="120" w:line="240" w:lineRule="atLeast"/>
    </w:pPr>
    <w:rPr>
      <w:rFonts w:eastAsia="Times New Roman" w:cs="Arial"/>
      <w:color w:val="000000" w:themeColor="text1"/>
      <w:sz w:val="20"/>
      <w:szCs w:val="20"/>
      <w:lang w:eastAsia="en-AU"/>
    </w:rPr>
  </w:style>
  <w:style w:type="paragraph" w:customStyle="1" w:styleId="ListAlpha3">
    <w:name w:val="List Alpha 3"/>
    <w:basedOn w:val="Normal"/>
    <w:qFormat/>
    <w:rsid w:val="007B29DD"/>
    <w:pPr>
      <w:numPr>
        <w:ilvl w:val="2"/>
        <w:numId w:val="15"/>
      </w:numPr>
      <w:spacing w:before="120" w:after="120" w:line="240" w:lineRule="atLeast"/>
    </w:pPr>
    <w:rPr>
      <w:rFonts w:eastAsia="Times New Roman" w:cs="Arial"/>
      <w:color w:val="000000" w:themeColor="text1"/>
      <w:sz w:val="20"/>
      <w:szCs w:val="20"/>
      <w:lang w:eastAsia="en-AU"/>
    </w:rPr>
  </w:style>
  <w:style w:type="paragraph" w:customStyle="1" w:styleId="HighlightBoxHeading">
    <w:name w:val="Highlight Box Heading"/>
    <w:basedOn w:val="HighlightBoxText"/>
    <w:qFormat/>
    <w:rsid w:val="007B29DD"/>
    <w:rPr>
      <w:b/>
    </w:rPr>
  </w:style>
  <w:style w:type="paragraph" w:customStyle="1" w:styleId="HighlightBoxBullet">
    <w:name w:val="Highlight Box Bullet"/>
    <w:basedOn w:val="HighlightBoxText"/>
    <w:qFormat/>
    <w:rsid w:val="007B29DD"/>
    <w:pPr>
      <w:numPr>
        <w:numId w:val="17"/>
      </w:numPr>
      <w:tabs>
        <w:tab w:val="left" w:pos="454"/>
      </w:tabs>
    </w:pPr>
  </w:style>
  <w:style w:type="character" w:customStyle="1" w:styleId="MyUnderline">
    <w:name w:val="MyUnderline"/>
    <w:uiPriority w:val="1"/>
    <w:semiHidden/>
    <w:rsid w:val="007B29DD"/>
    <w:rPr>
      <w:u w:val="single"/>
      <w:lang w:eastAsia="en-AU"/>
    </w:rPr>
  </w:style>
  <w:style w:type="character" w:customStyle="1" w:styleId="MyBoldItalicsUnderline">
    <w:name w:val="MyBoldItalicsUnderline"/>
    <w:uiPriority w:val="1"/>
    <w:semiHidden/>
    <w:rsid w:val="007B29DD"/>
    <w:rPr>
      <w:b/>
      <w:i/>
      <w:u w:val="single"/>
    </w:rPr>
  </w:style>
  <w:style w:type="character" w:customStyle="1" w:styleId="MyBoldUnderline">
    <w:name w:val="MyBoldUnderline"/>
    <w:uiPriority w:val="1"/>
    <w:semiHidden/>
    <w:rsid w:val="007B29DD"/>
    <w:rPr>
      <w:b/>
      <w:u w:val="single"/>
    </w:rPr>
  </w:style>
  <w:style w:type="character" w:customStyle="1" w:styleId="MyItalicsUnderline">
    <w:name w:val="MyItalicsUnderline"/>
    <w:uiPriority w:val="1"/>
    <w:semiHidden/>
    <w:rsid w:val="007B29DD"/>
    <w:rPr>
      <w:i/>
      <w:u w:val="single"/>
    </w:rPr>
  </w:style>
  <w:style w:type="paragraph" w:customStyle="1" w:styleId="SmallBodyText">
    <w:name w:val="Small Body Text"/>
    <w:basedOn w:val="xDisclaimerText"/>
    <w:qFormat/>
    <w:rsid w:val="007B29DD"/>
    <w:pPr>
      <w:spacing w:before="40" w:after="40" w:line="220" w:lineRule="atLeast"/>
    </w:pPr>
    <w:rPr>
      <w:sz w:val="18"/>
    </w:rPr>
  </w:style>
  <w:style w:type="paragraph" w:customStyle="1" w:styleId="SmallBullet">
    <w:name w:val="Small Bullet"/>
    <w:basedOn w:val="SmallBodyText"/>
    <w:qFormat/>
    <w:rsid w:val="007B29DD"/>
    <w:pPr>
      <w:numPr>
        <w:numId w:val="16"/>
      </w:numPr>
      <w:tabs>
        <w:tab w:val="num" w:pos="340"/>
      </w:tabs>
      <w:ind w:left="340"/>
    </w:pPr>
  </w:style>
  <w:style w:type="paragraph" w:customStyle="1" w:styleId="SmallHeading">
    <w:name w:val="Small Heading"/>
    <w:basedOn w:val="xDisclaimerHeading"/>
    <w:next w:val="SmallBodyText"/>
    <w:qFormat/>
    <w:rsid w:val="007B29DD"/>
    <w:pPr>
      <w:spacing w:after="40" w:line="220" w:lineRule="atLeast"/>
    </w:pPr>
    <w:rPr>
      <w:sz w:val="18"/>
    </w:rPr>
  </w:style>
  <w:style w:type="paragraph" w:customStyle="1" w:styleId="xWeb">
    <w:name w:val="xWeb"/>
    <w:basedOn w:val="Normal"/>
    <w:semiHidden/>
    <w:qFormat/>
    <w:rsid w:val="007B29DD"/>
    <w:pPr>
      <w:spacing w:after="0" w:line="240" w:lineRule="auto"/>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7B29DD"/>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7B29DD"/>
    <w:pPr>
      <w:spacing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7B29DD"/>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7B29DD"/>
    <w:pPr>
      <w:framePr w:wrap="around" w:vAnchor="page" w:hAnchor="margin" w:yAlign="bottom"/>
    </w:pPr>
    <w:rPr>
      <w:b/>
      <w:color w:val="4472C4" w:themeColor="accent1"/>
    </w:rPr>
  </w:style>
  <w:style w:type="character" w:customStyle="1" w:styleId="HiddenText">
    <w:name w:val="Hidden Text"/>
    <w:basedOn w:val="DefaultParagraphFont"/>
    <w:uiPriority w:val="1"/>
    <w:qFormat/>
    <w:rsid w:val="007B29DD"/>
    <w:rPr>
      <w:vanish/>
      <w:color w:val="FF0000"/>
      <w:sz w:val="20"/>
      <w:u w:val="dotted"/>
    </w:rPr>
  </w:style>
  <w:style w:type="paragraph" w:customStyle="1" w:styleId="xWebCoverPage">
    <w:name w:val="xWebCoverPage"/>
    <w:basedOn w:val="xWeb"/>
    <w:semiHidden/>
    <w:qFormat/>
    <w:rsid w:val="007B29DD"/>
    <w:rPr>
      <w:color w:val="00B2A9"/>
    </w:rPr>
  </w:style>
  <w:style w:type="character" w:customStyle="1" w:styleId="TableTextLeftChar">
    <w:name w:val="Table Text Left Char"/>
    <w:basedOn w:val="DefaultParagraphFont"/>
    <w:link w:val="TableTextLeft"/>
    <w:rsid w:val="007B29DD"/>
    <w:rPr>
      <w:rFonts w:eastAsia="Times New Roman" w:cs="Arial"/>
      <w:color w:val="000000" w:themeColor="text1"/>
      <w:sz w:val="18"/>
      <w:szCs w:val="20"/>
      <w:lang w:eastAsia="en-AU"/>
    </w:rPr>
  </w:style>
  <w:style w:type="paragraph" w:customStyle="1" w:styleId="SubtitleBlack">
    <w:name w:val="Subtitle Black"/>
    <w:basedOn w:val="Subtitle"/>
    <w:uiPriority w:val="99"/>
    <w:qFormat/>
    <w:rsid w:val="007B29DD"/>
    <w:pPr>
      <w:jc w:val="left"/>
    </w:pPr>
    <w:rPr>
      <w:color w:val="auto"/>
    </w:rPr>
  </w:style>
  <w:style w:type="paragraph" w:customStyle="1" w:styleId="Heading1NoNumber">
    <w:name w:val="Heading 1 No Number"/>
    <w:basedOn w:val="Heading1"/>
    <w:next w:val="BodyText"/>
    <w:rsid w:val="007B29DD"/>
    <w:pPr>
      <w:tabs>
        <w:tab w:val="clear" w:pos="0"/>
      </w:tabs>
      <w:spacing w:before="0" w:line="460" w:lineRule="exact"/>
    </w:pPr>
  </w:style>
  <w:style w:type="paragraph" w:customStyle="1" w:styleId="SummaryHeading3">
    <w:name w:val="Summary Heading 3"/>
    <w:basedOn w:val="BodyText"/>
    <w:next w:val="BodyText"/>
    <w:qFormat/>
    <w:rsid w:val="007B29DD"/>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7B29DD"/>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B29DD"/>
    <w:rPr>
      <w:b w:val="0"/>
    </w:rPr>
  </w:style>
  <w:style w:type="character" w:customStyle="1" w:styleId="GlossaryTerm">
    <w:name w:val="Glossary Term"/>
    <w:uiPriority w:val="1"/>
    <w:rsid w:val="007B29DD"/>
    <w:rPr>
      <w:b w:val="0"/>
    </w:rPr>
  </w:style>
  <w:style w:type="numbering" w:customStyle="1" w:styleId="DELWPAppendices">
    <w:name w:val="DELWP Appendices"/>
    <w:basedOn w:val="NoList"/>
    <w:rsid w:val="007B29DD"/>
    <w:pPr>
      <w:numPr>
        <w:numId w:val="18"/>
      </w:numPr>
    </w:pPr>
  </w:style>
  <w:style w:type="character" w:customStyle="1" w:styleId="Heading1TopofPageChar">
    <w:name w:val="Heading 1 Top of Page Char"/>
    <w:basedOn w:val="DefaultParagraphFont"/>
    <w:link w:val="Heading1TopofPage"/>
    <w:rsid w:val="007B29DD"/>
    <w:rPr>
      <w:rFonts w:eastAsia="Times New Roman" w:cs="Arial"/>
      <w:b/>
      <w:bCs/>
      <w:color w:val="44546A" w:themeColor="text2"/>
      <w:kern w:val="32"/>
      <w:sz w:val="40"/>
      <w:szCs w:val="32"/>
      <w:lang w:eastAsia="en-AU"/>
    </w:rPr>
  </w:style>
  <w:style w:type="paragraph" w:customStyle="1" w:styleId="References">
    <w:name w:val="References"/>
    <w:basedOn w:val="BodyText"/>
    <w:qFormat/>
    <w:rsid w:val="007B29DD"/>
    <w:pPr>
      <w:ind w:left="709" w:hanging="709"/>
    </w:pPr>
  </w:style>
  <w:style w:type="paragraph" w:customStyle="1" w:styleId="xDisclaimertext4">
    <w:name w:val="xDisclaimer text 4"/>
    <w:basedOn w:val="xDisclaimertext3"/>
    <w:qFormat/>
    <w:rsid w:val="007B29DD"/>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7B29DD"/>
    <w:pPr>
      <w:framePr w:wrap="around"/>
      <w:spacing w:before="120" w:after="120"/>
    </w:pPr>
    <w:rPr>
      <w:b/>
      <w:color w:val="4472C4" w:themeColor="accent1"/>
      <w:sz w:val="20"/>
    </w:rPr>
  </w:style>
  <w:style w:type="paragraph" w:customStyle="1" w:styleId="xDisclaimertext5">
    <w:name w:val="xDisclaimer text 5"/>
    <w:basedOn w:val="xDisclaimertext4"/>
    <w:qFormat/>
    <w:rsid w:val="007B29DD"/>
    <w:pPr>
      <w:framePr w:wrap="around"/>
      <w:spacing w:after="100"/>
      <w:ind w:right="3119"/>
    </w:pPr>
  </w:style>
  <w:style w:type="paragraph" w:styleId="TOC9">
    <w:name w:val="toc 9"/>
    <w:basedOn w:val="Normal"/>
    <w:next w:val="Normal"/>
    <w:autoRedefine/>
    <w:uiPriority w:val="39"/>
    <w:unhideWhenUsed/>
    <w:rsid w:val="007B29DD"/>
    <w:pPr>
      <w:spacing w:after="100"/>
      <w:ind w:left="1760"/>
    </w:pPr>
    <w:rPr>
      <w:rFonts w:eastAsiaTheme="minorEastAsia"/>
      <w:lang w:val="en-US" w:eastAsia="zh-CN"/>
    </w:rPr>
  </w:style>
  <w:style w:type="paragraph" w:customStyle="1" w:styleId="HA">
    <w:name w:val="_HA"/>
    <w:next w:val="Normal"/>
    <w:uiPriority w:val="2"/>
    <w:qFormat/>
    <w:rsid w:val="007B29DD"/>
    <w:pPr>
      <w:numPr>
        <w:numId w:val="25"/>
      </w:numPr>
      <w:spacing w:after="600" w:line="460" w:lineRule="atLeast"/>
      <w:outlineLvl w:val="0"/>
    </w:pPr>
    <w:rPr>
      <w:rFonts w:ascii="Calibri" w:eastAsia="Times New Roman" w:hAnsi="Calibri" w:cs="Arial"/>
      <w:color w:val="228591"/>
      <w:sz w:val="40"/>
      <w:szCs w:val="24"/>
      <w:lang w:val="en-US"/>
    </w:rPr>
  </w:style>
  <w:style w:type="paragraph" w:customStyle="1" w:styleId="HB">
    <w:name w:val="_HB"/>
    <w:next w:val="Normal"/>
    <w:uiPriority w:val="2"/>
    <w:qFormat/>
    <w:rsid w:val="007B29DD"/>
    <w:pPr>
      <w:numPr>
        <w:ilvl w:val="1"/>
        <w:numId w:val="25"/>
      </w:numPr>
      <w:spacing w:before="180" w:after="113" w:line="300" w:lineRule="atLeast"/>
      <w:outlineLvl w:val="0"/>
    </w:pPr>
    <w:rPr>
      <w:rFonts w:ascii="Calibri" w:eastAsia="Times New Roman" w:hAnsi="Calibri" w:cs="Arial"/>
      <w:b/>
      <w:color w:val="228591"/>
      <w:sz w:val="28"/>
      <w:szCs w:val="24"/>
    </w:rPr>
  </w:style>
  <w:style w:type="paragraph" w:customStyle="1" w:styleId="HC">
    <w:name w:val="_HC"/>
    <w:next w:val="Normal"/>
    <w:uiPriority w:val="2"/>
    <w:qFormat/>
    <w:rsid w:val="007B29DD"/>
    <w:pPr>
      <w:numPr>
        <w:ilvl w:val="2"/>
        <w:numId w:val="25"/>
      </w:numPr>
      <w:spacing w:before="140" w:after="57" w:line="220" w:lineRule="atLeast"/>
    </w:pPr>
    <w:rPr>
      <w:rFonts w:ascii="Calibri" w:eastAsia="Times New Roman" w:hAnsi="Calibri" w:cs="Arial"/>
      <w:b/>
      <w:sz w:val="24"/>
      <w:szCs w:val="24"/>
    </w:rPr>
  </w:style>
  <w:style w:type="paragraph" w:styleId="Revision">
    <w:name w:val="Revision"/>
    <w:hidden/>
    <w:uiPriority w:val="99"/>
    <w:semiHidden/>
    <w:rsid w:val="007B29DD"/>
    <w:pPr>
      <w:spacing w:after="0" w:line="240" w:lineRule="auto"/>
    </w:pPr>
    <w:rPr>
      <w:rFonts w:eastAsia="Times New Roman" w:cs="Arial"/>
      <w:color w:val="000000" w:themeColor="text1"/>
      <w:sz w:val="20"/>
      <w:szCs w:val="20"/>
      <w:lang w:eastAsia="en-AU"/>
    </w:rPr>
  </w:style>
  <w:style w:type="paragraph" w:customStyle="1" w:styleId="msonormal0">
    <w:name w:val="msonormal"/>
    <w:basedOn w:val="Normal"/>
    <w:rsid w:val="007B29DD"/>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l63">
    <w:name w:val="xl63"/>
    <w:basedOn w:val="Normal"/>
    <w:rsid w:val="007B29DD"/>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zh-CN"/>
    </w:rPr>
  </w:style>
  <w:style w:type="paragraph" w:customStyle="1" w:styleId="xl64">
    <w:name w:val="xl64"/>
    <w:basedOn w:val="Normal"/>
    <w:rsid w:val="007B29D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65">
    <w:name w:val="xl65"/>
    <w:basedOn w:val="Normal"/>
    <w:rsid w:val="007B29DD"/>
    <w:pPr>
      <w:shd w:val="clear" w:color="000000" w:fill="808080"/>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l66">
    <w:name w:val="xl66"/>
    <w:basedOn w:val="Normal"/>
    <w:rsid w:val="007B29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67">
    <w:name w:val="xl67"/>
    <w:basedOn w:val="Normal"/>
    <w:rsid w:val="007B29DD"/>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l68">
    <w:name w:val="xl68"/>
    <w:basedOn w:val="Normal"/>
    <w:rsid w:val="007B29DD"/>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l69">
    <w:name w:val="xl69"/>
    <w:basedOn w:val="Normal"/>
    <w:rsid w:val="007B29DD"/>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70">
    <w:name w:val="xl70"/>
    <w:basedOn w:val="Normal"/>
    <w:rsid w:val="007B29DD"/>
    <w:pPr>
      <w:pBdr>
        <w:top w:val="single" w:sz="4" w:space="0" w:color="auto"/>
        <w:left w:val="single" w:sz="4" w:space="0" w:color="auto"/>
        <w:bottom w:val="single" w:sz="8" w:space="0" w:color="auto"/>
        <w:right w:val="single" w:sz="4" w:space="0" w:color="auto"/>
      </w:pBdr>
      <w:shd w:val="clear" w:color="000000" w:fill="FFCCCC"/>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71">
    <w:name w:val="xl71"/>
    <w:basedOn w:val="Normal"/>
    <w:rsid w:val="007B29DD"/>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72">
    <w:name w:val="xl72"/>
    <w:basedOn w:val="Normal"/>
    <w:rsid w:val="007B29DD"/>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73">
    <w:name w:val="xl73"/>
    <w:basedOn w:val="Normal"/>
    <w:rsid w:val="007B29DD"/>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74">
    <w:name w:val="xl74"/>
    <w:basedOn w:val="Normal"/>
    <w:rsid w:val="007B29D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75">
    <w:name w:val="xl75"/>
    <w:basedOn w:val="Normal"/>
    <w:rsid w:val="007B29D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76">
    <w:name w:val="xl76"/>
    <w:basedOn w:val="Normal"/>
    <w:rsid w:val="007B29D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zh-CN"/>
    </w:rPr>
  </w:style>
  <w:style w:type="paragraph" w:customStyle="1" w:styleId="xl77">
    <w:name w:val="xl77"/>
    <w:basedOn w:val="Normal"/>
    <w:rsid w:val="007B29D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78">
    <w:name w:val="xl78"/>
    <w:basedOn w:val="Normal"/>
    <w:rsid w:val="007B29DD"/>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79">
    <w:name w:val="xl79"/>
    <w:basedOn w:val="Normal"/>
    <w:rsid w:val="007B29D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80">
    <w:name w:val="xl80"/>
    <w:basedOn w:val="Normal"/>
    <w:rsid w:val="007B29DD"/>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zh-CN"/>
    </w:rPr>
  </w:style>
  <w:style w:type="paragraph" w:customStyle="1" w:styleId="xl81">
    <w:name w:val="xl81"/>
    <w:basedOn w:val="Normal"/>
    <w:rsid w:val="007B29DD"/>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val="en-US" w:eastAsia="zh-CN"/>
    </w:rPr>
  </w:style>
  <w:style w:type="paragraph" w:customStyle="1" w:styleId="xl82">
    <w:name w:val="xl82"/>
    <w:basedOn w:val="Normal"/>
    <w:rsid w:val="007B29DD"/>
    <w:pPr>
      <w:pBdr>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val="en-US" w:eastAsia="zh-CN"/>
    </w:rPr>
  </w:style>
  <w:style w:type="character" w:customStyle="1" w:styleId="Heading8Char1">
    <w:name w:val="Heading 8 Char1"/>
    <w:aliases w:val="Appendix Title Char1"/>
    <w:basedOn w:val="DefaultParagraphFont"/>
    <w:semiHidden/>
    <w:rsid w:val="007B29DD"/>
    <w:rPr>
      <w:rFonts w:asciiTheme="majorHAnsi" w:eastAsiaTheme="majorEastAsia" w:hAnsiTheme="majorHAnsi" w:cstheme="majorBidi"/>
      <w:color w:val="272727" w:themeColor="text1" w:themeTint="D8"/>
      <w:sz w:val="21"/>
      <w:szCs w:val="21"/>
      <w:lang w:val="en-AU" w:eastAsia="en-AU"/>
    </w:rPr>
  </w:style>
  <w:style w:type="paragraph" w:customStyle="1" w:styleId="xl83">
    <w:name w:val="xl83"/>
    <w:basedOn w:val="Normal"/>
    <w:rsid w:val="007B29D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eastAsia="zh-CN"/>
    </w:rPr>
  </w:style>
  <w:style w:type="character" w:customStyle="1" w:styleId="UnresolvedMention1">
    <w:name w:val="Unresolved Mention1"/>
    <w:basedOn w:val="DefaultParagraphFont"/>
    <w:uiPriority w:val="99"/>
    <w:semiHidden/>
    <w:unhideWhenUsed/>
    <w:rsid w:val="007B29DD"/>
    <w:rPr>
      <w:color w:val="605E5C"/>
      <w:shd w:val="clear" w:color="auto" w:fill="E1DFDD"/>
    </w:rPr>
  </w:style>
  <w:style w:type="character" w:styleId="Mention">
    <w:name w:val="Mention"/>
    <w:basedOn w:val="DefaultParagraphFont"/>
    <w:uiPriority w:val="99"/>
    <w:unhideWhenUsed/>
    <w:rsid w:val="007B29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michaelmann.net/content/story-about-%E2%80%98business-usual%E2%80%99-story-misleading" TargetMode="External"/><Relationship Id="rId68" Type="http://schemas.openxmlformats.org/officeDocument/2006/relationships/hyperlink" Target="https://doi.org/10.1007/s00382-019-04819-9" TargetMode="External"/><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jpeg"/><Relationship Id="rId107" Type="http://schemas.openxmlformats.org/officeDocument/2006/relationships/image" Target="media/image51.jp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hyperlink" Target="https://www.climatechangeinaustralia.gov.au/en/climate-projections/climate-futures-tool/projections/" TargetMode="External"/><Relationship Id="rId40" Type="http://schemas.openxmlformats.org/officeDocument/2006/relationships/hyperlink" Target="https://www.climatechange.vic.gov.au/adapting-to-climate-change-impacts/victorian-climate-projections-2019" TargetMode="External"/><Relationship Id="rId45" Type="http://schemas.openxmlformats.org/officeDocument/2006/relationships/image" Target="media/image24.png"/><Relationship Id="rId53" Type="http://schemas.openxmlformats.org/officeDocument/2006/relationships/hyperlink" Target="https://www.water.vic.gov.au/climate-change" TargetMode="External"/><Relationship Id="rId58" Type="http://schemas.openxmlformats.org/officeDocument/2006/relationships/hyperlink" Target="https://www.globalcarbonproject.org/carbonbudget/19/infographics.htm" TargetMode="External"/><Relationship Id="rId66" Type="http://schemas.openxmlformats.org/officeDocument/2006/relationships/hyperlink" Target="http://classic.austlii.edu.au/au/legis/vic/consol_act/cca2017109/" TargetMode="External"/><Relationship Id="rId74" Type="http://schemas.openxmlformats.org/officeDocument/2006/relationships/hyperlink" Target="about:blank" TargetMode="External"/><Relationship Id="rId79" Type="http://schemas.openxmlformats.org/officeDocument/2006/relationships/footer" Target="footer5.xml"/><Relationship Id="rId87" Type="http://schemas.openxmlformats.org/officeDocument/2006/relationships/image" Target="media/image34.png"/><Relationship Id="rId102" Type="http://schemas.openxmlformats.org/officeDocument/2006/relationships/image" Target="media/image47.png"/><Relationship Id="rId110" Type="http://schemas.openxmlformats.org/officeDocument/2006/relationships/image" Target="media/image54.emf"/><Relationship Id="rId5" Type="http://schemas.openxmlformats.org/officeDocument/2006/relationships/customXml" Target="../customXml/item5.xml"/><Relationship Id="rId61" Type="http://schemas.openxmlformats.org/officeDocument/2006/relationships/hyperlink" Target="https://www.carbonbrief.org/cmip6-the-next-generation-of-climate-models-explained" TargetMode="External"/><Relationship Id="rId82" Type="http://schemas.openxmlformats.org/officeDocument/2006/relationships/hyperlink" Target="https://www.climatechange.vic.gov.au/adapting-to-climate-change-impacts/victorian-climate-projections-2019" TargetMode="External"/><Relationship Id="rId90" Type="http://schemas.openxmlformats.org/officeDocument/2006/relationships/hyperlink" Target="https://www.climatechangeinaustralia.gov.au" TargetMode="External"/><Relationship Id="rId95" Type="http://schemas.openxmlformats.org/officeDocument/2006/relationships/image" Target="media/image40.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onlinelibrary.wiley.com/doi/10.1002/2017GL076654/full" TargetMode="External"/><Relationship Id="rId64" Type="http://schemas.openxmlformats.org/officeDocument/2006/relationships/hyperlink" Target="https://www.mdba.gov.au/publications/mdba-reports/hydrologic-modelling-practice-notes" TargetMode="External"/><Relationship Id="rId69" Type="http://schemas.openxmlformats.org/officeDocument/2006/relationships/hyperlink" Target="https://doi.org/10.1007/s00382-020-05338-8" TargetMode="External"/><Relationship Id="rId77" Type="http://schemas.openxmlformats.org/officeDocument/2006/relationships/header" Target="header5.xml"/><Relationship Id="rId100" Type="http://schemas.openxmlformats.org/officeDocument/2006/relationships/image" Target="media/image45.png"/><Relationship Id="rId105" Type="http://schemas.openxmlformats.org/officeDocument/2006/relationships/hyperlink" Target="about:blank" TargetMode="External"/><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0.jpg"/><Relationship Id="rId72" Type="http://schemas.openxmlformats.org/officeDocument/2006/relationships/hyperlink" Target="https://doi.org/10.1029/2018GL079332" TargetMode="External"/><Relationship Id="rId80" Type="http://schemas.openxmlformats.org/officeDocument/2006/relationships/header" Target="header6.xml"/><Relationship Id="rId85" Type="http://schemas.openxmlformats.org/officeDocument/2006/relationships/image" Target="media/image32.emf"/><Relationship Id="rId93" Type="http://schemas.openxmlformats.org/officeDocument/2006/relationships/hyperlink" Target="http://www.climatechangeinaustralia.gov.au/en/climate-projections/climate-analogues/analogues-explorer/" TargetMode="External"/><Relationship Id="rId98" Type="http://schemas.openxmlformats.org/officeDocument/2006/relationships/image" Target="media/image43.jpg"/><Relationship Id="rId3" Type="http://schemas.openxmlformats.org/officeDocument/2006/relationships/customXml" Target="../customXml/item3.xml"/><Relationship Id="rId12" Type="http://schemas.openxmlformats.org/officeDocument/2006/relationships/hyperlink" Target="mailto:HCS.Team@delwp.vic.gov.au"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s://doi.org/10.1175/JCLI-D-16-0142.1" TargetMode="External"/><Relationship Id="rId67" Type="http://schemas.openxmlformats.org/officeDocument/2006/relationships/hyperlink" Target="https://doi.org/10.1007/s00382-018-4451-5" TargetMode="External"/><Relationship Id="rId103" Type="http://schemas.openxmlformats.org/officeDocument/2006/relationships/image" Target="media/image48.png"/><Relationship Id="rId108" Type="http://schemas.openxmlformats.org/officeDocument/2006/relationships/image" Target="media/image52.jpg"/><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hyperlink" Target="http://www.worldresourcesreport.org" TargetMode="External"/><Relationship Id="rId62" Type="http://schemas.openxmlformats.org/officeDocument/2006/relationships/hyperlink" Target="https://doi.org/10.1038/s41558-020-0797-x" TargetMode="External"/><Relationship Id="rId70" Type="http://schemas.openxmlformats.org/officeDocument/2006/relationships/hyperlink" Target="https://doi.org/10.1016/j.jhydrol.2018.06.018" TargetMode="External"/><Relationship Id="rId75" Type="http://schemas.openxmlformats.org/officeDocument/2006/relationships/hyperlink" Target="https://doi.org/10.1016/j.jhydrol.2019.05.054" TargetMode="External"/><Relationship Id="rId83" Type="http://schemas.openxmlformats.org/officeDocument/2006/relationships/hyperlink" Target="https://www.climatechangeinaustralia.gov.au/en/" TargetMode="External"/><Relationship Id="rId88" Type="http://schemas.openxmlformats.org/officeDocument/2006/relationships/image" Target="media/image35.png"/><Relationship Id="rId91" Type="http://schemas.openxmlformats.org/officeDocument/2006/relationships/image" Target="media/image37.png"/><Relationship Id="rId96" Type="http://schemas.openxmlformats.org/officeDocument/2006/relationships/image" Target="media/image41.emf"/><Relationship Id="rId111"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7.png"/><Relationship Id="rId49" Type="http://schemas.openxmlformats.org/officeDocument/2006/relationships/image" Target="media/image28.emf"/><Relationship Id="rId57" Type="http://schemas.openxmlformats.org/officeDocument/2006/relationships/hyperlink" Target="https://doi.org/10.5194/cp-13-1751-2017" TargetMode="External"/><Relationship Id="rId106" Type="http://schemas.openxmlformats.org/officeDocument/2006/relationships/image" Target="media/image50.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3.png"/><Relationship Id="rId52" Type="http://schemas.openxmlformats.org/officeDocument/2006/relationships/hyperlink" Target="file:///C:\Users\gd0l\AppData\Roaming\Microsoft\Word\HCS.Team@delwp.vic.gov.au" TargetMode="External"/><Relationship Id="rId60" Type="http://schemas.openxmlformats.org/officeDocument/2006/relationships/hyperlink" Target="https://doi.org/10.1038/s41558-018-0245-3" TargetMode="External"/><Relationship Id="rId65" Type="http://schemas.openxmlformats.org/officeDocument/2006/relationships/hyperlink" Target="https://climatechange.environment.nsw.gov.au/Climate-projections-for-NSW/About-NARCliM" TargetMode="External"/><Relationship Id="rId73" Type="http://schemas.openxmlformats.org/officeDocument/2006/relationships/hyperlink" Target="https://advances.sciencemag.org/content/6/12/eaaz9549" TargetMode="External"/><Relationship Id="rId78" Type="http://schemas.openxmlformats.org/officeDocument/2006/relationships/footer" Target="footer4.xml"/><Relationship Id="rId81" Type="http://schemas.openxmlformats.org/officeDocument/2006/relationships/footer" Target="footer6.xml"/><Relationship Id="rId86" Type="http://schemas.openxmlformats.org/officeDocument/2006/relationships/image" Target="media/image33.emf"/><Relationship Id="rId94" Type="http://schemas.openxmlformats.org/officeDocument/2006/relationships/image" Target="media/image39.png"/><Relationship Id="rId99" Type="http://schemas.openxmlformats.org/officeDocument/2006/relationships/image" Target="media/image44.jpg"/><Relationship Id="rId101"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elwp.vic.gov.au" TargetMode="External"/><Relationship Id="rId18" Type="http://schemas.openxmlformats.org/officeDocument/2006/relationships/header" Target="header3.xml"/><Relationship Id="rId39" Type="http://schemas.openxmlformats.org/officeDocument/2006/relationships/image" Target="media/image19.png"/><Relationship Id="rId109" Type="http://schemas.openxmlformats.org/officeDocument/2006/relationships/image" Target="media/image53.jp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hyperlink" Target="http://www.bom.gov.au/climate/current/annual/vic/archive/2019.summary.shtml" TargetMode="External"/><Relationship Id="rId76" Type="http://schemas.openxmlformats.org/officeDocument/2006/relationships/header" Target="header4.xml"/><Relationship Id="rId97" Type="http://schemas.openxmlformats.org/officeDocument/2006/relationships/image" Target="media/image42.png"/><Relationship Id="rId104"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hyperlink" Target="https://doi.org/10.1002/wrcr.20528" TargetMode="External"/><Relationship Id="rId9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DOCID407-1875283003-278</_dlc_DocId>
    <_dlc_DocIdUrl xmlns="a5f32de4-e402-4188-b034-e71ca7d22e54">
      <Url>https://delwpvicgovau.sharepoint.com/sites/ecm_407/_layouts/15/DocIdRedir.aspx?ID=DOCID407-1875283003-278</Url>
      <Description>DOCID407-1875283003-278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adb73b43d79a563270544cf3d9db299b">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e6b0d8e74496b2b91ff150a46c43fab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3FB2D-3738-44EF-993C-2437FABB2571}">
  <ds:schemaRef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c8ad4318-24f1-4b7a-8084-00888da72d1d"/>
    <ds:schemaRef ds:uri="http://schemas.microsoft.com/office/2006/documentManagement/types"/>
    <ds:schemaRef ds:uri="http://schemas.microsoft.com/office/infopath/2007/PartnerControls"/>
    <ds:schemaRef ds:uri="1f049512-d56c-4e4d-9d9d-7023182c350b"/>
    <ds:schemaRef ds:uri="http://www.w3.org/XML/1998/namespace"/>
    <ds:schemaRef ds:uri="http://purl.org/dc/dcmitype/"/>
  </ds:schemaRefs>
</ds:datastoreItem>
</file>

<file path=customXml/itemProps2.xml><?xml version="1.0" encoding="utf-8"?>
<ds:datastoreItem xmlns:ds="http://schemas.openxmlformats.org/officeDocument/2006/customXml" ds:itemID="{57062A35-60C8-4F7C-A5B8-08D94C6CE3CB}">
  <ds:schemaRefs>
    <ds:schemaRef ds:uri="http://schemas.microsoft.com/sharepoint/v3/contenttype/forms"/>
  </ds:schemaRefs>
</ds:datastoreItem>
</file>

<file path=customXml/itemProps3.xml><?xml version="1.0" encoding="utf-8"?>
<ds:datastoreItem xmlns:ds="http://schemas.openxmlformats.org/officeDocument/2006/customXml" ds:itemID="{9B369055-D40E-4686-A401-F13C49D167E2}">
  <ds:schemaRefs>
    <ds:schemaRef ds:uri="http://schemas.microsoft.com/sharepoint/events"/>
  </ds:schemaRefs>
</ds:datastoreItem>
</file>

<file path=customXml/itemProps4.xml><?xml version="1.0" encoding="utf-8"?>
<ds:datastoreItem xmlns:ds="http://schemas.openxmlformats.org/officeDocument/2006/customXml" ds:itemID="{D30AE0B8-9544-43AA-9864-DE9B9D44E42C}">
  <ds:schemaRefs>
    <ds:schemaRef ds:uri="Microsoft.SharePoint.Taxonomy.ContentTypeSync"/>
  </ds:schemaRefs>
</ds:datastoreItem>
</file>

<file path=customXml/itemProps5.xml><?xml version="1.0" encoding="utf-8"?>
<ds:datastoreItem xmlns:ds="http://schemas.openxmlformats.org/officeDocument/2006/customXml" ds:itemID="{3A4E77FC-99DF-4B0B-867C-525F9CFA4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153</Pages>
  <Words>63222</Words>
  <Characters>360370</Characters>
  <Application>Microsoft Office Word</Application>
  <DocSecurity>8</DocSecurity>
  <Lines>3003</Lines>
  <Paragraphs>845</Paragraphs>
  <ScaleCrop>false</ScaleCrop>
  <HeadingPairs>
    <vt:vector size="2" baseType="variant">
      <vt:variant>
        <vt:lpstr>Title</vt:lpstr>
      </vt:variant>
      <vt:variant>
        <vt:i4>1</vt:i4>
      </vt:variant>
    </vt:vector>
  </HeadingPairs>
  <TitlesOfParts>
    <vt:vector size="1" baseType="lpstr">
      <vt:lpstr>Guidelines for Assessing the Impact of Climate Change on Water Availability in Victoria - accessible version</vt:lpstr>
    </vt:vector>
  </TitlesOfParts>
  <Company/>
  <LinksUpToDate>false</LinksUpToDate>
  <CharactersWithSpaces>422747</CharactersWithSpaces>
  <SharedDoc>false</SharedDoc>
  <HLinks>
    <vt:vector size="942" baseType="variant">
      <vt:variant>
        <vt:i4>3080313</vt:i4>
      </vt:variant>
      <vt:variant>
        <vt:i4>1503</vt:i4>
      </vt:variant>
      <vt:variant>
        <vt:i4>0</vt:i4>
      </vt:variant>
      <vt:variant>
        <vt:i4>5</vt:i4>
      </vt:variant>
      <vt:variant>
        <vt:lpwstr>about:blank</vt:lpwstr>
      </vt:variant>
      <vt:variant>
        <vt:lpwstr/>
      </vt:variant>
      <vt:variant>
        <vt:i4>3407992</vt:i4>
      </vt:variant>
      <vt:variant>
        <vt:i4>1368</vt:i4>
      </vt:variant>
      <vt:variant>
        <vt:i4>0</vt:i4>
      </vt:variant>
      <vt:variant>
        <vt:i4>5</vt:i4>
      </vt:variant>
      <vt:variant>
        <vt:lpwstr>http://www.climatechangeinaustralia.gov.au/en/climate-projections/climate-analogues/analogues-explorer/</vt:lpwstr>
      </vt:variant>
      <vt:variant>
        <vt:lpwstr/>
      </vt:variant>
      <vt:variant>
        <vt:i4>196688</vt:i4>
      </vt:variant>
      <vt:variant>
        <vt:i4>1353</vt:i4>
      </vt:variant>
      <vt:variant>
        <vt:i4>0</vt:i4>
      </vt:variant>
      <vt:variant>
        <vt:i4>5</vt:i4>
      </vt:variant>
      <vt:variant>
        <vt:lpwstr>https://www.climatechangeinaustralia.gov.au/</vt:lpwstr>
      </vt:variant>
      <vt:variant>
        <vt:lpwstr/>
      </vt:variant>
      <vt:variant>
        <vt:i4>7143477</vt:i4>
      </vt:variant>
      <vt:variant>
        <vt:i4>1296</vt:i4>
      </vt:variant>
      <vt:variant>
        <vt:i4>0</vt:i4>
      </vt:variant>
      <vt:variant>
        <vt:i4>5</vt:i4>
      </vt:variant>
      <vt:variant>
        <vt:lpwstr>https://www.climatechangeinaustralia.gov.au/en/</vt:lpwstr>
      </vt:variant>
      <vt:variant>
        <vt:lpwstr/>
      </vt:variant>
      <vt:variant>
        <vt:i4>7274612</vt:i4>
      </vt:variant>
      <vt:variant>
        <vt:i4>1293</vt:i4>
      </vt:variant>
      <vt:variant>
        <vt:i4>0</vt:i4>
      </vt:variant>
      <vt:variant>
        <vt:i4>5</vt:i4>
      </vt:variant>
      <vt:variant>
        <vt:lpwstr>https://www.climatechange.vic.gov.au/adapting-to-climate-change-impacts/victorian-climate-projections-2019</vt:lpwstr>
      </vt:variant>
      <vt:variant>
        <vt:lpwstr/>
      </vt:variant>
      <vt:variant>
        <vt:i4>5439507</vt:i4>
      </vt:variant>
      <vt:variant>
        <vt:i4>1281</vt:i4>
      </vt:variant>
      <vt:variant>
        <vt:i4>0</vt:i4>
      </vt:variant>
      <vt:variant>
        <vt:i4>5</vt:i4>
      </vt:variant>
      <vt:variant>
        <vt:lpwstr>https://doi.org/10.1016/j.jhydrol.2019.05.054</vt:lpwstr>
      </vt:variant>
      <vt:variant>
        <vt:lpwstr/>
      </vt:variant>
      <vt:variant>
        <vt:i4>3080313</vt:i4>
      </vt:variant>
      <vt:variant>
        <vt:i4>1278</vt:i4>
      </vt:variant>
      <vt:variant>
        <vt:i4>0</vt:i4>
      </vt:variant>
      <vt:variant>
        <vt:i4>5</vt:i4>
      </vt:variant>
      <vt:variant>
        <vt:lpwstr>about:blank</vt:lpwstr>
      </vt:variant>
      <vt:variant>
        <vt:lpwstr/>
      </vt:variant>
      <vt:variant>
        <vt:i4>4784143</vt:i4>
      </vt:variant>
      <vt:variant>
        <vt:i4>1275</vt:i4>
      </vt:variant>
      <vt:variant>
        <vt:i4>0</vt:i4>
      </vt:variant>
      <vt:variant>
        <vt:i4>5</vt:i4>
      </vt:variant>
      <vt:variant>
        <vt:lpwstr>https://advances.sciencemag.org/content/6/12/eaaz9549</vt:lpwstr>
      </vt:variant>
      <vt:variant>
        <vt:lpwstr/>
      </vt:variant>
      <vt:variant>
        <vt:i4>4390925</vt:i4>
      </vt:variant>
      <vt:variant>
        <vt:i4>1272</vt:i4>
      </vt:variant>
      <vt:variant>
        <vt:i4>0</vt:i4>
      </vt:variant>
      <vt:variant>
        <vt:i4>5</vt:i4>
      </vt:variant>
      <vt:variant>
        <vt:lpwstr>https://doi.org/10.1029/2018GL079332</vt:lpwstr>
      </vt:variant>
      <vt:variant>
        <vt:lpwstr/>
      </vt:variant>
      <vt:variant>
        <vt:i4>2883680</vt:i4>
      </vt:variant>
      <vt:variant>
        <vt:i4>1269</vt:i4>
      </vt:variant>
      <vt:variant>
        <vt:i4>0</vt:i4>
      </vt:variant>
      <vt:variant>
        <vt:i4>5</vt:i4>
      </vt:variant>
      <vt:variant>
        <vt:lpwstr>https://doi.org/10.1002/wrcr.20528</vt:lpwstr>
      </vt:variant>
      <vt:variant>
        <vt:lpwstr/>
      </vt:variant>
      <vt:variant>
        <vt:i4>5636112</vt:i4>
      </vt:variant>
      <vt:variant>
        <vt:i4>1266</vt:i4>
      </vt:variant>
      <vt:variant>
        <vt:i4>0</vt:i4>
      </vt:variant>
      <vt:variant>
        <vt:i4>5</vt:i4>
      </vt:variant>
      <vt:variant>
        <vt:lpwstr>https://doi.org/10.1016/j.jhydrol.2018.06.018</vt:lpwstr>
      </vt:variant>
      <vt:variant>
        <vt:lpwstr/>
      </vt:variant>
      <vt:variant>
        <vt:i4>2162751</vt:i4>
      </vt:variant>
      <vt:variant>
        <vt:i4>1263</vt:i4>
      </vt:variant>
      <vt:variant>
        <vt:i4>0</vt:i4>
      </vt:variant>
      <vt:variant>
        <vt:i4>5</vt:i4>
      </vt:variant>
      <vt:variant>
        <vt:lpwstr>https://doi.org/10.1007/s00382-020-05338-8</vt:lpwstr>
      </vt:variant>
      <vt:variant>
        <vt:lpwstr/>
      </vt:variant>
      <vt:variant>
        <vt:i4>2293823</vt:i4>
      </vt:variant>
      <vt:variant>
        <vt:i4>1260</vt:i4>
      </vt:variant>
      <vt:variant>
        <vt:i4>0</vt:i4>
      </vt:variant>
      <vt:variant>
        <vt:i4>5</vt:i4>
      </vt:variant>
      <vt:variant>
        <vt:lpwstr>https://doi.org/10.1007/s00382-019-04819-9</vt:lpwstr>
      </vt:variant>
      <vt:variant>
        <vt:lpwstr/>
      </vt:variant>
      <vt:variant>
        <vt:i4>393234</vt:i4>
      </vt:variant>
      <vt:variant>
        <vt:i4>1257</vt:i4>
      </vt:variant>
      <vt:variant>
        <vt:i4>0</vt:i4>
      </vt:variant>
      <vt:variant>
        <vt:i4>5</vt:i4>
      </vt:variant>
      <vt:variant>
        <vt:lpwstr>https://doi.org/10.1007/s00382-018-4451-5</vt:lpwstr>
      </vt:variant>
      <vt:variant>
        <vt:lpwstr/>
      </vt:variant>
      <vt:variant>
        <vt:i4>7405651</vt:i4>
      </vt:variant>
      <vt:variant>
        <vt:i4>1254</vt:i4>
      </vt:variant>
      <vt:variant>
        <vt:i4>0</vt:i4>
      </vt:variant>
      <vt:variant>
        <vt:i4>5</vt:i4>
      </vt:variant>
      <vt:variant>
        <vt:lpwstr>http://classic.austlii.edu.au/au/legis/vic/consol_act/cca2017109/</vt:lpwstr>
      </vt:variant>
      <vt:variant>
        <vt:lpwstr/>
      </vt:variant>
      <vt:variant>
        <vt:i4>7667763</vt:i4>
      </vt:variant>
      <vt:variant>
        <vt:i4>1251</vt:i4>
      </vt:variant>
      <vt:variant>
        <vt:i4>0</vt:i4>
      </vt:variant>
      <vt:variant>
        <vt:i4>5</vt:i4>
      </vt:variant>
      <vt:variant>
        <vt:lpwstr>https://climatechange.environment.nsw.gov.au/Climate-projections-for-NSW/About-NARCliM</vt:lpwstr>
      </vt:variant>
      <vt:variant>
        <vt:lpwstr/>
      </vt:variant>
      <vt:variant>
        <vt:i4>5898251</vt:i4>
      </vt:variant>
      <vt:variant>
        <vt:i4>1248</vt:i4>
      </vt:variant>
      <vt:variant>
        <vt:i4>0</vt:i4>
      </vt:variant>
      <vt:variant>
        <vt:i4>5</vt:i4>
      </vt:variant>
      <vt:variant>
        <vt:lpwstr>https://www.mdba.gov.au/publications/mdba-reports/hydrologic-modelling-practice-notes</vt:lpwstr>
      </vt:variant>
      <vt:variant>
        <vt:lpwstr/>
      </vt:variant>
      <vt:variant>
        <vt:i4>262211</vt:i4>
      </vt:variant>
      <vt:variant>
        <vt:i4>1245</vt:i4>
      </vt:variant>
      <vt:variant>
        <vt:i4>0</vt:i4>
      </vt:variant>
      <vt:variant>
        <vt:i4>5</vt:i4>
      </vt:variant>
      <vt:variant>
        <vt:lpwstr>https://michaelmann.net/content/story-about-%E2%80%98business-usual%E2%80%99-story-misleading</vt:lpwstr>
      </vt:variant>
      <vt:variant>
        <vt:lpwstr/>
      </vt:variant>
      <vt:variant>
        <vt:i4>851991</vt:i4>
      </vt:variant>
      <vt:variant>
        <vt:i4>1242</vt:i4>
      </vt:variant>
      <vt:variant>
        <vt:i4>0</vt:i4>
      </vt:variant>
      <vt:variant>
        <vt:i4>5</vt:i4>
      </vt:variant>
      <vt:variant>
        <vt:lpwstr>https://doi.org/10.1038/s41558-020-0797-x</vt:lpwstr>
      </vt:variant>
      <vt:variant>
        <vt:lpwstr/>
      </vt:variant>
      <vt:variant>
        <vt:i4>5242962</vt:i4>
      </vt:variant>
      <vt:variant>
        <vt:i4>1239</vt:i4>
      </vt:variant>
      <vt:variant>
        <vt:i4>0</vt:i4>
      </vt:variant>
      <vt:variant>
        <vt:i4>5</vt:i4>
      </vt:variant>
      <vt:variant>
        <vt:lpwstr>https://www.carbonbrief.org/cmip6-the-next-generation-of-climate-models-explained</vt:lpwstr>
      </vt:variant>
      <vt:variant>
        <vt:lpwstr/>
      </vt:variant>
      <vt:variant>
        <vt:i4>524307</vt:i4>
      </vt:variant>
      <vt:variant>
        <vt:i4>1236</vt:i4>
      </vt:variant>
      <vt:variant>
        <vt:i4>0</vt:i4>
      </vt:variant>
      <vt:variant>
        <vt:i4>5</vt:i4>
      </vt:variant>
      <vt:variant>
        <vt:lpwstr>https://doi.org/10.1038/s41558-018-0245-3</vt:lpwstr>
      </vt:variant>
      <vt:variant>
        <vt:lpwstr/>
      </vt:variant>
      <vt:variant>
        <vt:i4>5505092</vt:i4>
      </vt:variant>
      <vt:variant>
        <vt:i4>1233</vt:i4>
      </vt:variant>
      <vt:variant>
        <vt:i4>0</vt:i4>
      </vt:variant>
      <vt:variant>
        <vt:i4>5</vt:i4>
      </vt:variant>
      <vt:variant>
        <vt:lpwstr>https://doi.org/10.1175/JCLI-D-16-0142.1</vt:lpwstr>
      </vt:variant>
      <vt:variant>
        <vt:lpwstr/>
      </vt:variant>
      <vt:variant>
        <vt:i4>4587522</vt:i4>
      </vt:variant>
      <vt:variant>
        <vt:i4>1230</vt:i4>
      </vt:variant>
      <vt:variant>
        <vt:i4>0</vt:i4>
      </vt:variant>
      <vt:variant>
        <vt:i4>5</vt:i4>
      </vt:variant>
      <vt:variant>
        <vt:lpwstr>https://www.globalcarbonproject.org/carbonbudget/19/infographics.htm</vt:lpwstr>
      </vt:variant>
      <vt:variant>
        <vt:lpwstr/>
      </vt:variant>
      <vt:variant>
        <vt:i4>7798843</vt:i4>
      </vt:variant>
      <vt:variant>
        <vt:i4>1227</vt:i4>
      </vt:variant>
      <vt:variant>
        <vt:i4>0</vt:i4>
      </vt:variant>
      <vt:variant>
        <vt:i4>5</vt:i4>
      </vt:variant>
      <vt:variant>
        <vt:lpwstr>https://doi.org/10.5194/cp-13-1751-2017</vt:lpwstr>
      </vt:variant>
      <vt:variant>
        <vt:lpwstr/>
      </vt:variant>
      <vt:variant>
        <vt:i4>5046340</vt:i4>
      </vt:variant>
      <vt:variant>
        <vt:i4>1224</vt:i4>
      </vt:variant>
      <vt:variant>
        <vt:i4>0</vt:i4>
      </vt:variant>
      <vt:variant>
        <vt:i4>5</vt:i4>
      </vt:variant>
      <vt:variant>
        <vt:lpwstr>http://onlinelibrary.wiley.com/doi/10.1002/2017GL076654/full</vt:lpwstr>
      </vt:variant>
      <vt:variant>
        <vt:lpwstr/>
      </vt:variant>
      <vt:variant>
        <vt:i4>6881376</vt:i4>
      </vt:variant>
      <vt:variant>
        <vt:i4>1221</vt:i4>
      </vt:variant>
      <vt:variant>
        <vt:i4>0</vt:i4>
      </vt:variant>
      <vt:variant>
        <vt:i4>5</vt:i4>
      </vt:variant>
      <vt:variant>
        <vt:lpwstr>http://www.bom.gov.au/climate/current/annual/vic/archive/2019.summary.shtml</vt:lpwstr>
      </vt:variant>
      <vt:variant>
        <vt:lpwstr>recordsTmaxDailyHigh</vt:lpwstr>
      </vt:variant>
      <vt:variant>
        <vt:i4>5505089</vt:i4>
      </vt:variant>
      <vt:variant>
        <vt:i4>1218</vt:i4>
      </vt:variant>
      <vt:variant>
        <vt:i4>0</vt:i4>
      </vt:variant>
      <vt:variant>
        <vt:i4>5</vt:i4>
      </vt:variant>
      <vt:variant>
        <vt:lpwstr>http://www.worldresourcesreport.org/</vt:lpwstr>
      </vt:variant>
      <vt:variant>
        <vt:lpwstr/>
      </vt:variant>
      <vt:variant>
        <vt:i4>7995429</vt:i4>
      </vt:variant>
      <vt:variant>
        <vt:i4>1212</vt:i4>
      </vt:variant>
      <vt:variant>
        <vt:i4>0</vt:i4>
      </vt:variant>
      <vt:variant>
        <vt:i4>5</vt:i4>
      </vt:variant>
      <vt:variant>
        <vt:lpwstr>https://www.water.vic.gov.au/climate-change</vt:lpwstr>
      </vt:variant>
      <vt:variant>
        <vt:lpwstr/>
      </vt:variant>
      <vt:variant>
        <vt:i4>393245</vt:i4>
      </vt:variant>
      <vt:variant>
        <vt:i4>1209</vt:i4>
      </vt:variant>
      <vt:variant>
        <vt:i4>0</vt:i4>
      </vt:variant>
      <vt:variant>
        <vt:i4>5</vt:i4>
      </vt:variant>
      <vt:variant>
        <vt:lpwstr>C:\Users\gd0l\AppData\Roaming\Microsoft\Word\HCS.Team@delwp.vic.gov.au</vt:lpwstr>
      </vt:variant>
      <vt:variant>
        <vt:lpwstr/>
      </vt:variant>
      <vt:variant>
        <vt:i4>7274612</vt:i4>
      </vt:variant>
      <vt:variant>
        <vt:i4>1017</vt:i4>
      </vt:variant>
      <vt:variant>
        <vt:i4>0</vt:i4>
      </vt:variant>
      <vt:variant>
        <vt:i4>5</vt:i4>
      </vt:variant>
      <vt:variant>
        <vt:lpwstr>https://www.climatechange.vic.gov.au/adapting-to-climate-change-impacts/victorian-climate-projections-2019</vt:lpwstr>
      </vt:variant>
      <vt:variant>
        <vt:lpwstr/>
      </vt:variant>
      <vt:variant>
        <vt:i4>720912</vt:i4>
      </vt:variant>
      <vt:variant>
        <vt:i4>936</vt:i4>
      </vt:variant>
      <vt:variant>
        <vt:i4>0</vt:i4>
      </vt:variant>
      <vt:variant>
        <vt:i4>5</vt:i4>
      </vt:variant>
      <vt:variant>
        <vt:lpwstr>https://www.climatechangeinaustralia.gov.au/en/climate-projections/climate-futures-tool/projections/</vt:lpwstr>
      </vt:variant>
      <vt:variant>
        <vt:lpwstr/>
      </vt:variant>
      <vt:variant>
        <vt:i4>1900595</vt:i4>
      </vt:variant>
      <vt:variant>
        <vt:i4>650</vt:i4>
      </vt:variant>
      <vt:variant>
        <vt:i4>0</vt:i4>
      </vt:variant>
      <vt:variant>
        <vt:i4>5</vt:i4>
      </vt:variant>
      <vt:variant>
        <vt:lpwstr/>
      </vt:variant>
      <vt:variant>
        <vt:lpwstr>_Toc57377228</vt:lpwstr>
      </vt:variant>
      <vt:variant>
        <vt:i4>1179699</vt:i4>
      </vt:variant>
      <vt:variant>
        <vt:i4>644</vt:i4>
      </vt:variant>
      <vt:variant>
        <vt:i4>0</vt:i4>
      </vt:variant>
      <vt:variant>
        <vt:i4>5</vt:i4>
      </vt:variant>
      <vt:variant>
        <vt:lpwstr/>
      </vt:variant>
      <vt:variant>
        <vt:lpwstr>_Toc57377227</vt:lpwstr>
      </vt:variant>
      <vt:variant>
        <vt:i4>1245235</vt:i4>
      </vt:variant>
      <vt:variant>
        <vt:i4>638</vt:i4>
      </vt:variant>
      <vt:variant>
        <vt:i4>0</vt:i4>
      </vt:variant>
      <vt:variant>
        <vt:i4>5</vt:i4>
      </vt:variant>
      <vt:variant>
        <vt:lpwstr/>
      </vt:variant>
      <vt:variant>
        <vt:lpwstr>_Toc57377226</vt:lpwstr>
      </vt:variant>
      <vt:variant>
        <vt:i4>1048627</vt:i4>
      </vt:variant>
      <vt:variant>
        <vt:i4>632</vt:i4>
      </vt:variant>
      <vt:variant>
        <vt:i4>0</vt:i4>
      </vt:variant>
      <vt:variant>
        <vt:i4>5</vt:i4>
      </vt:variant>
      <vt:variant>
        <vt:lpwstr/>
      </vt:variant>
      <vt:variant>
        <vt:lpwstr>_Toc57377225</vt:lpwstr>
      </vt:variant>
      <vt:variant>
        <vt:i4>1114163</vt:i4>
      </vt:variant>
      <vt:variant>
        <vt:i4>626</vt:i4>
      </vt:variant>
      <vt:variant>
        <vt:i4>0</vt:i4>
      </vt:variant>
      <vt:variant>
        <vt:i4>5</vt:i4>
      </vt:variant>
      <vt:variant>
        <vt:lpwstr/>
      </vt:variant>
      <vt:variant>
        <vt:lpwstr>_Toc57377224</vt:lpwstr>
      </vt:variant>
      <vt:variant>
        <vt:i4>1441843</vt:i4>
      </vt:variant>
      <vt:variant>
        <vt:i4>620</vt:i4>
      </vt:variant>
      <vt:variant>
        <vt:i4>0</vt:i4>
      </vt:variant>
      <vt:variant>
        <vt:i4>5</vt:i4>
      </vt:variant>
      <vt:variant>
        <vt:lpwstr/>
      </vt:variant>
      <vt:variant>
        <vt:lpwstr>_Toc57377223</vt:lpwstr>
      </vt:variant>
      <vt:variant>
        <vt:i4>1507379</vt:i4>
      </vt:variant>
      <vt:variant>
        <vt:i4>614</vt:i4>
      </vt:variant>
      <vt:variant>
        <vt:i4>0</vt:i4>
      </vt:variant>
      <vt:variant>
        <vt:i4>5</vt:i4>
      </vt:variant>
      <vt:variant>
        <vt:lpwstr/>
      </vt:variant>
      <vt:variant>
        <vt:lpwstr>_Toc57377222</vt:lpwstr>
      </vt:variant>
      <vt:variant>
        <vt:i4>1310771</vt:i4>
      </vt:variant>
      <vt:variant>
        <vt:i4>608</vt:i4>
      </vt:variant>
      <vt:variant>
        <vt:i4>0</vt:i4>
      </vt:variant>
      <vt:variant>
        <vt:i4>5</vt:i4>
      </vt:variant>
      <vt:variant>
        <vt:lpwstr/>
      </vt:variant>
      <vt:variant>
        <vt:lpwstr>_Toc57377221</vt:lpwstr>
      </vt:variant>
      <vt:variant>
        <vt:i4>1376307</vt:i4>
      </vt:variant>
      <vt:variant>
        <vt:i4>602</vt:i4>
      </vt:variant>
      <vt:variant>
        <vt:i4>0</vt:i4>
      </vt:variant>
      <vt:variant>
        <vt:i4>5</vt:i4>
      </vt:variant>
      <vt:variant>
        <vt:lpwstr/>
      </vt:variant>
      <vt:variant>
        <vt:lpwstr>_Toc57377220</vt:lpwstr>
      </vt:variant>
      <vt:variant>
        <vt:i4>1835056</vt:i4>
      </vt:variant>
      <vt:variant>
        <vt:i4>596</vt:i4>
      </vt:variant>
      <vt:variant>
        <vt:i4>0</vt:i4>
      </vt:variant>
      <vt:variant>
        <vt:i4>5</vt:i4>
      </vt:variant>
      <vt:variant>
        <vt:lpwstr/>
      </vt:variant>
      <vt:variant>
        <vt:lpwstr>_Toc57377219</vt:lpwstr>
      </vt:variant>
      <vt:variant>
        <vt:i4>1900592</vt:i4>
      </vt:variant>
      <vt:variant>
        <vt:i4>590</vt:i4>
      </vt:variant>
      <vt:variant>
        <vt:i4>0</vt:i4>
      </vt:variant>
      <vt:variant>
        <vt:i4>5</vt:i4>
      </vt:variant>
      <vt:variant>
        <vt:lpwstr/>
      </vt:variant>
      <vt:variant>
        <vt:lpwstr>_Toc57377218</vt:lpwstr>
      </vt:variant>
      <vt:variant>
        <vt:i4>1179696</vt:i4>
      </vt:variant>
      <vt:variant>
        <vt:i4>584</vt:i4>
      </vt:variant>
      <vt:variant>
        <vt:i4>0</vt:i4>
      </vt:variant>
      <vt:variant>
        <vt:i4>5</vt:i4>
      </vt:variant>
      <vt:variant>
        <vt:lpwstr/>
      </vt:variant>
      <vt:variant>
        <vt:lpwstr>_Toc57377217</vt:lpwstr>
      </vt:variant>
      <vt:variant>
        <vt:i4>1245232</vt:i4>
      </vt:variant>
      <vt:variant>
        <vt:i4>578</vt:i4>
      </vt:variant>
      <vt:variant>
        <vt:i4>0</vt:i4>
      </vt:variant>
      <vt:variant>
        <vt:i4>5</vt:i4>
      </vt:variant>
      <vt:variant>
        <vt:lpwstr/>
      </vt:variant>
      <vt:variant>
        <vt:lpwstr>_Toc57377216</vt:lpwstr>
      </vt:variant>
      <vt:variant>
        <vt:i4>1048624</vt:i4>
      </vt:variant>
      <vt:variant>
        <vt:i4>572</vt:i4>
      </vt:variant>
      <vt:variant>
        <vt:i4>0</vt:i4>
      </vt:variant>
      <vt:variant>
        <vt:i4>5</vt:i4>
      </vt:variant>
      <vt:variant>
        <vt:lpwstr/>
      </vt:variant>
      <vt:variant>
        <vt:lpwstr>_Toc57377215</vt:lpwstr>
      </vt:variant>
      <vt:variant>
        <vt:i4>1114160</vt:i4>
      </vt:variant>
      <vt:variant>
        <vt:i4>566</vt:i4>
      </vt:variant>
      <vt:variant>
        <vt:i4>0</vt:i4>
      </vt:variant>
      <vt:variant>
        <vt:i4>5</vt:i4>
      </vt:variant>
      <vt:variant>
        <vt:lpwstr/>
      </vt:variant>
      <vt:variant>
        <vt:lpwstr>_Toc57377214</vt:lpwstr>
      </vt:variant>
      <vt:variant>
        <vt:i4>1441840</vt:i4>
      </vt:variant>
      <vt:variant>
        <vt:i4>560</vt:i4>
      </vt:variant>
      <vt:variant>
        <vt:i4>0</vt:i4>
      </vt:variant>
      <vt:variant>
        <vt:i4>5</vt:i4>
      </vt:variant>
      <vt:variant>
        <vt:lpwstr/>
      </vt:variant>
      <vt:variant>
        <vt:lpwstr>_Toc57377213</vt:lpwstr>
      </vt:variant>
      <vt:variant>
        <vt:i4>1507376</vt:i4>
      </vt:variant>
      <vt:variant>
        <vt:i4>554</vt:i4>
      </vt:variant>
      <vt:variant>
        <vt:i4>0</vt:i4>
      </vt:variant>
      <vt:variant>
        <vt:i4>5</vt:i4>
      </vt:variant>
      <vt:variant>
        <vt:lpwstr/>
      </vt:variant>
      <vt:variant>
        <vt:lpwstr>_Toc57377212</vt:lpwstr>
      </vt:variant>
      <vt:variant>
        <vt:i4>1310768</vt:i4>
      </vt:variant>
      <vt:variant>
        <vt:i4>548</vt:i4>
      </vt:variant>
      <vt:variant>
        <vt:i4>0</vt:i4>
      </vt:variant>
      <vt:variant>
        <vt:i4>5</vt:i4>
      </vt:variant>
      <vt:variant>
        <vt:lpwstr/>
      </vt:variant>
      <vt:variant>
        <vt:lpwstr>_Toc57377211</vt:lpwstr>
      </vt:variant>
      <vt:variant>
        <vt:i4>1376304</vt:i4>
      </vt:variant>
      <vt:variant>
        <vt:i4>542</vt:i4>
      </vt:variant>
      <vt:variant>
        <vt:i4>0</vt:i4>
      </vt:variant>
      <vt:variant>
        <vt:i4>5</vt:i4>
      </vt:variant>
      <vt:variant>
        <vt:lpwstr/>
      </vt:variant>
      <vt:variant>
        <vt:lpwstr>_Toc57377210</vt:lpwstr>
      </vt:variant>
      <vt:variant>
        <vt:i4>1835057</vt:i4>
      </vt:variant>
      <vt:variant>
        <vt:i4>536</vt:i4>
      </vt:variant>
      <vt:variant>
        <vt:i4>0</vt:i4>
      </vt:variant>
      <vt:variant>
        <vt:i4>5</vt:i4>
      </vt:variant>
      <vt:variant>
        <vt:lpwstr/>
      </vt:variant>
      <vt:variant>
        <vt:lpwstr>_Toc57377209</vt:lpwstr>
      </vt:variant>
      <vt:variant>
        <vt:i4>1900593</vt:i4>
      </vt:variant>
      <vt:variant>
        <vt:i4>530</vt:i4>
      </vt:variant>
      <vt:variant>
        <vt:i4>0</vt:i4>
      </vt:variant>
      <vt:variant>
        <vt:i4>5</vt:i4>
      </vt:variant>
      <vt:variant>
        <vt:lpwstr/>
      </vt:variant>
      <vt:variant>
        <vt:lpwstr>_Toc57377208</vt:lpwstr>
      </vt:variant>
      <vt:variant>
        <vt:i4>1179697</vt:i4>
      </vt:variant>
      <vt:variant>
        <vt:i4>524</vt:i4>
      </vt:variant>
      <vt:variant>
        <vt:i4>0</vt:i4>
      </vt:variant>
      <vt:variant>
        <vt:i4>5</vt:i4>
      </vt:variant>
      <vt:variant>
        <vt:lpwstr/>
      </vt:variant>
      <vt:variant>
        <vt:lpwstr>_Toc57377207</vt:lpwstr>
      </vt:variant>
      <vt:variant>
        <vt:i4>1245233</vt:i4>
      </vt:variant>
      <vt:variant>
        <vt:i4>518</vt:i4>
      </vt:variant>
      <vt:variant>
        <vt:i4>0</vt:i4>
      </vt:variant>
      <vt:variant>
        <vt:i4>5</vt:i4>
      </vt:variant>
      <vt:variant>
        <vt:lpwstr/>
      </vt:variant>
      <vt:variant>
        <vt:lpwstr>_Toc57377206</vt:lpwstr>
      </vt:variant>
      <vt:variant>
        <vt:i4>1048625</vt:i4>
      </vt:variant>
      <vt:variant>
        <vt:i4>512</vt:i4>
      </vt:variant>
      <vt:variant>
        <vt:i4>0</vt:i4>
      </vt:variant>
      <vt:variant>
        <vt:i4>5</vt:i4>
      </vt:variant>
      <vt:variant>
        <vt:lpwstr/>
      </vt:variant>
      <vt:variant>
        <vt:lpwstr>_Toc57377205</vt:lpwstr>
      </vt:variant>
      <vt:variant>
        <vt:i4>1114161</vt:i4>
      </vt:variant>
      <vt:variant>
        <vt:i4>506</vt:i4>
      </vt:variant>
      <vt:variant>
        <vt:i4>0</vt:i4>
      </vt:variant>
      <vt:variant>
        <vt:i4>5</vt:i4>
      </vt:variant>
      <vt:variant>
        <vt:lpwstr/>
      </vt:variant>
      <vt:variant>
        <vt:lpwstr>_Toc57377204</vt:lpwstr>
      </vt:variant>
      <vt:variant>
        <vt:i4>1441841</vt:i4>
      </vt:variant>
      <vt:variant>
        <vt:i4>500</vt:i4>
      </vt:variant>
      <vt:variant>
        <vt:i4>0</vt:i4>
      </vt:variant>
      <vt:variant>
        <vt:i4>5</vt:i4>
      </vt:variant>
      <vt:variant>
        <vt:lpwstr/>
      </vt:variant>
      <vt:variant>
        <vt:lpwstr>_Toc57377203</vt:lpwstr>
      </vt:variant>
      <vt:variant>
        <vt:i4>1507377</vt:i4>
      </vt:variant>
      <vt:variant>
        <vt:i4>494</vt:i4>
      </vt:variant>
      <vt:variant>
        <vt:i4>0</vt:i4>
      </vt:variant>
      <vt:variant>
        <vt:i4>5</vt:i4>
      </vt:variant>
      <vt:variant>
        <vt:lpwstr/>
      </vt:variant>
      <vt:variant>
        <vt:lpwstr>_Toc57377202</vt:lpwstr>
      </vt:variant>
      <vt:variant>
        <vt:i4>1310769</vt:i4>
      </vt:variant>
      <vt:variant>
        <vt:i4>488</vt:i4>
      </vt:variant>
      <vt:variant>
        <vt:i4>0</vt:i4>
      </vt:variant>
      <vt:variant>
        <vt:i4>5</vt:i4>
      </vt:variant>
      <vt:variant>
        <vt:lpwstr/>
      </vt:variant>
      <vt:variant>
        <vt:lpwstr>_Toc57377201</vt:lpwstr>
      </vt:variant>
      <vt:variant>
        <vt:i4>1376305</vt:i4>
      </vt:variant>
      <vt:variant>
        <vt:i4>482</vt:i4>
      </vt:variant>
      <vt:variant>
        <vt:i4>0</vt:i4>
      </vt:variant>
      <vt:variant>
        <vt:i4>5</vt:i4>
      </vt:variant>
      <vt:variant>
        <vt:lpwstr/>
      </vt:variant>
      <vt:variant>
        <vt:lpwstr>_Toc57377200</vt:lpwstr>
      </vt:variant>
      <vt:variant>
        <vt:i4>2031672</vt:i4>
      </vt:variant>
      <vt:variant>
        <vt:i4>476</vt:i4>
      </vt:variant>
      <vt:variant>
        <vt:i4>0</vt:i4>
      </vt:variant>
      <vt:variant>
        <vt:i4>5</vt:i4>
      </vt:variant>
      <vt:variant>
        <vt:lpwstr/>
      </vt:variant>
      <vt:variant>
        <vt:lpwstr>_Toc57377199</vt:lpwstr>
      </vt:variant>
      <vt:variant>
        <vt:i4>1966136</vt:i4>
      </vt:variant>
      <vt:variant>
        <vt:i4>473</vt:i4>
      </vt:variant>
      <vt:variant>
        <vt:i4>0</vt:i4>
      </vt:variant>
      <vt:variant>
        <vt:i4>5</vt:i4>
      </vt:variant>
      <vt:variant>
        <vt:lpwstr/>
      </vt:variant>
      <vt:variant>
        <vt:lpwstr>_Toc57377198</vt:lpwstr>
      </vt:variant>
      <vt:variant>
        <vt:i4>1114168</vt:i4>
      </vt:variant>
      <vt:variant>
        <vt:i4>467</vt:i4>
      </vt:variant>
      <vt:variant>
        <vt:i4>0</vt:i4>
      </vt:variant>
      <vt:variant>
        <vt:i4>5</vt:i4>
      </vt:variant>
      <vt:variant>
        <vt:lpwstr/>
      </vt:variant>
      <vt:variant>
        <vt:lpwstr>_Toc57377197</vt:lpwstr>
      </vt:variant>
      <vt:variant>
        <vt:i4>1048632</vt:i4>
      </vt:variant>
      <vt:variant>
        <vt:i4>461</vt:i4>
      </vt:variant>
      <vt:variant>
        <vt:i4>0</vt:i4>
      </vt:variant>
      <vt:variant>
        <vt:i4>5</vt:i4>
      </vt:variant>
      <vt:variant>
        <vt:lpwstr/>
      </vt:variant>
      <vt:variant>
        <vt:lpwstr>_Toc57377196</vt:lpwstr>
      </vt:variant>
      <vt:variant>
        <vt:i4>1245240</vt:i4>
      </vt:variant>
      <vt:variant>
        <vt:i4>455</vt:i4>
      </vt:variant>
      <vt:variant>
        <vt:i4>0</vt:i4>
      </vt:variant>
      <vt:variant>
        <vt:i4>5</vt:i4>
      </vt:variant>
      <vt:variant>
        <vt:lpwstr/>
      </vt:variant>
      <vt:variant>
        <vt:lpwstr>_Toc57377195</vt:lpwstr>
      </vt:variant>
      <vt:variant>
        <vt:i4>1179704</vt:i4>
      </vt:variant>
      <vt:variant>
        <vt:i4>449</vt:i4>
      </vt:variant>
      <vt:variant>
        <vt:i4>0</vt:i4>
      </vt:variant>
      <vt:variant>
        <vt:i4>5</vt:i4>
      </vt:variant>
      <vt:variant>
        <vt:lpwstr/>
      </vt:variant>
      <vt:variant>
        <vt:lpwstr>_Toc57377194</vt:lpwstr>
      </vt:variant>
      <vt:variant>
        <vt:i4>1376312</vt:i4>
      </vt:variant>
      <vt:variant>
        <vt:i4>443</vt:i4>
      </vt:variant>
      <vt:variant>
        <vt:i4>0</vt:i4>
      </vt:variant>
      <vt:variant>
        <vt:i4>5</vt:i4>
      </vt:variant>
      <vt:variant>
        <vt:lpwstr/>
      </vt:variant>
      <vt:variant>
        <vt:lpwstr>_Toc57377193</vt:lpwstr>
      </vt:variant>
      <vt:variant>
        <vt:i4>1310776</vt:i4>
      </vt:variant>
      <vt:variant>
        <vt:i4>440</vt:i4>
      </vt:variant>
      <vt:variant>
        <vt:i4>0</vt:i4>
      </vt:variant>
      <vt:variant>
        <vt:i4>5</vt:i4>
      </vt:variant>
      <vt:variant>
        <vt:lpwstr/>
      </vt:variant>
      <vt:variant>
        <vt:lpwstr>_Toc57377192</vt:lpwstr>
      </vt:variant>
      <vt:variant>
        <vt:i4>1507384</vt:i4>
      </vt:variant>
      <vt:variant>
        <vt:i4>434</vt:i4>
      </vt:variant>
      <vt:variant>
        <vt:i4>0</vt:i4>
      </vt:variant>
      <vt:variant>
        <vt:i4>5</vt:i4>
      </vt:variant>
      <vt:variant>
        <vt:lpwstr/>
      </vt:variant>
      <vt:variant>
        <vt:lpwstr>_Toc57377191</vt:lpwstr>
      </vt:variant>
      <vt:variant>
        <vt:i4>1441848</vt:i4>
      </vt:variant>
      <vt:variant>
        <vt:i4>428</vt:i4>
      </vt:variant>
      <vt:variant>
        <vt:i4>0</vt:i4>
      </vt:variant>
      <vt:variant>
        <vt:i4>5</vt:i4>
      </vt:variant>
      <vt:variant>
        <vt:lpwstr/>
      </vt:variant>
      <vt:variant>
        <vt:lpwstr>_Toc57377190</vt:lpwstr>
      </vt:variant>
      <vt:variant>
        <vt:i4>2031673</vt:i4>
      </vt:variant>
      <vt:variant>
        <vt:i4>422</vt:i4>
      </vt:variant>
      <vt:variant>
        <vt:i4>0</vt:i4>
      </vt:variant>
      <vt:variant>
        <vt:i4>5</vt:i4>
      </vt:variant>
      <vt:variant>
        <vt:lpwstr/>
      </vt:variant>
      <vt:variant>
        <vt:lpwstr>_Toc57377189</vt:lpwstr>
      </vt:variant>
      <vt:variant>
        <vt:i4>1966137</vt:i4>
      </vt:variant>
      <vt:variant>
        <vt:i4>416</vt:i4>
      </vt:variant>
      <vt:variant>
        <vt:i4>0</vt:i4>
      </vt:variant>
      <vt:variant>
        <vt:i4>5</vt:i4>
      </vt:variant>
      <vt:variant>
        <vt:lpwstr/>
      </vt:variant>
      <vt:variant>
        <vt:lpwstr>_Toc57377188</vt:lpwstr>
      </vt:variant>
      <vt:variant>
        <vt:i4>1114169</vt:i4>
      </vt:variant>
      <vt:variant>
        <vt:i4>410</vt:i4>
      </vt:variant>
      <vt:variant>
        <vt:i4>0</vt:i4>
      </vt:variant>
      <vt:variant>
        <vt:i4>5</vt:i4>
      </vt:variant>
      <vt:variant>
        <vt:lpwstr/>
      </vt:variant>
      <vt:variant>
        <vt:lpwstr>_Toc57377187</vt:lpwstr>
      </vt:variant>
      <vt:variant>
        <vt:i4>1048633</vt:i4>
      </vt:variant>
      <vt:variant>
        <vt:i4>404</vt:i4>
      </vt:variant>
      <vt:variant>
        <vt:i4>0</vt:i4>
      </vt:variant>
      <vt:variant>
        <vt:i4>5</vt:i4>
      </vt:variant>
      <vt:variant>
        <vt:lpwstr/>
      </vt:variant>
      <vt:variant>
        <vt:lpwstr>_Toc57377186</vt:lpwstr>
      </vt:variant>
      <vt:variant>
        <vt:i4>1245241</vt:i4>
      </vt:variant>
      <vt:variant>
        <vt:i4>398</vt:i4>
      </vt:variant>
      <vt:variant>
        <vt:i4>0</vt:i4>
      </vt:variant>
      <vt:variant>
        <vt:i4>5</vt:i4>
      </vt:variant>
      <vt:variant>
        <vt:lpwstr/>
      </vt:variant>
      <vt:variant>
        <vt:lpwstr>_Toc57377185</vt:lpwstr>
      </vt:variant>
      <vt:variant>
        <vt:i4>1179705</vt:i4>
      </vt:variant>
      <vt:variant>
        <vt:i4>392</vt:i4>
      </vt:variant>
      <vt:variant>
        <vt:i4>0</vt:i4>
      </vt:variant>
      <vt:variant>
        <vt:i4>5</vt:i4>
      </vt:variant>
      <vt:variant>
        <vt:lpwstr/>
      </vt:variant>
      <vt:variant>
        <vt:lpwstr>_Toc57377184</vt:lpwstr>
      </vt:variant>
      <vt:variant>
        <vt:i4>1376313</vt:i4>
      </vt:variant>
      <vt:variant>
        <vt:i4>386</vt:i4>
      </vt:variant>
      <vt:variant>
        <vt:i4>0</vt:i4>
      </vt:variant>
      <vt:variant>
        <vt:i4>5</vt:i4>
      </vt:variant>
      <vt:variant>
        <vt:lpwstr/>
      </vt:variant>
      <vt:variant>
        <vt:lpwstr>_Toc57377183</vt:lpwstr>
      </vt:variant>
      <vt:variant>
        <vt:i4>1310777</vt:i4>
      </vt:variant>
      <vt:variant>
        <vt:i4>380</vt:i4>
      </vt:variant>
      <vt:variant>
        <vt:i4>0</vt:i4>
      </vt:variant>
      <vt:variant>
        <vt:i4>5</vt:i4>
      </vt:variant>
      <vt:variant>
        <vt:lpwstr/>
      </vt:variant>
      <vt:variant>
        <vt:lpwstr>_Toc57377182</vt:lpwstr>
      </vt:variant>
      <vt:variant>
        <vt:i4>1507385</vt:i4>
      </vt:variant>
      <vt:variant>
        <vt:i4>374</vt:i4>
      </vt:variant>
      <vt:variant>
        <vt:i4>0</vt:i4>
      </vt:variant>
      <vt:variant>
        <vt:i4>5</vt:i4>
      </vt:variant>
      <vt:variant>
        <vt:lpwstr/>
      </vt:variant>
      <vt:variant>
        <vt:lpwstr>_Toc57377181</vt:lpwstr>
      </vt:variant>
      <vt:variant>
        <vt:i4>1441849</vt:i4>
      </vt:variant>
      <vt:variant>
        <vt:i4>368</vt:i4>
      </vt:variant>
      <vt:variant>
        <vt:i4>0</vt:i4>
      </vt:variant>
      <vt:variant>
        <vt:i4>5</vt:i4>
      </vt:variant>
      <vt:variant>
        <vt:lpwstr/>
      </vt:variant>
      <vt:variant>
        <vt:lpwstr>_Toc57377180</vt:lpwstr>
      </vt:variant>
      <vt:variant>
        <vt:i4>2031670</vt:i4>
      </vt:variant>
      <vt:variant>
        <vt:i4>362</vt:i4>
      </vt:variant>
      <vt:variant>
        <vt:i4>0</vt:i4>
      </vt:variant>
      <vt:variant>
        <vt:i4>5</vt:i4>
      </vt:variant>
      <vt:variant>
        <vt:lpwstr/>
      </vt:variant>
      <vt:variant>
        <vt:lpwstr>_Toc57377179</vt:lpwstr>
      </vt:variant>
      <vt:variant>
        <vt:i4>1966134</vt:i4>
      </vt:variant>
      <vt:variant>
        <vt:i4>356</vt:i4>
      </vt:variant>
      <vt:variant>
        <vt:i4>0</vt:i4>
      </vt:variant>
      <vt:variant>
        <vt:i4>5</vt:i4>
      </vt:variant>
      <vt:variant>
        <vt:lpwstr/>
      </vt:variant>
      <vt:variant>
        <vt:lpwstr>_Toc57377178</vt:lpwstr>
      </vt:variant>
      <vt:variant>
        <vt:i4>1114166</vt:i4>
      </vt:variant>
      <vt:variant>
        <vt:i4>350</vt:i4>
      </vt:variant>
      <vt:variant>
        <vt:i4>0</vt:i4>
      </vt:variant>
      <vt:variant>
        <vt:i4>5</vt:i4>
      </vt:variant>
      <vt:variant>
        <vt:lpwstr/>
      </vt:variant>
      <vt:variant>
        <vt:lpwstr>_Toc57377177</vt:lpwstr>
      </vt:variant>
      <vt:variant>
        <vt:i4>1048630</vt:i4>
      </vt:variant>
      <vt:variant>
        <vt:i4>344</vt:i4>
      </vt:variant>
      <vt:variant>
        <vt:i4>0</vt:i4>
      </vt:variant>
      <vt:variant>
        <vt:i4>5</vt:i4>
      </vt:variant>
      <vt:variant>
        <vt:lpwstr/>
      </vt:variant>
      <vt:variant>
        <vt:lpwstr>_Toc57377176</vt:lpwstr>
      </vt:variant>
      <vt:variant>
        <vt:i4>1245238</vt:i4>
      </vt:variant>
      <vt:variant>
        <vt:i4>338</vt:i4>
      </vt:variant>
      <vt:variant>
        <vt:i4>0</vt:i4>
      </vt:variant>
      <vt:variant>
        <vt:i4>5</vt:i4>
      </vt:variant>
      <vt:variant>
        <vt:lpwstr/>
      </vt:variant>
      <vt:variant>
        <vt:lpwstr>_Toc57377175</vt:lpwstr>
      </vt:variant>
      <vt:variant>
        <vt:i4>1179702</vt:i4>
      </vt:variant>
      <vt:variant>
        <vt:i4>332</vt:i4>
      </vt:variant>
      <vt:variant>
        <vt:i4>0</vt:i4>
      </vt:variant>
      <vt:variant>
        <vt:i4>5</vt:i4>
      </vt:variant>
      <vt:variant>
        <vt:lpwstr/>
      </vt:variant>
      <vt:variant>
        <vt:lpwstr>_Toc57377174</vt:lpwstr>
      </vt:variant>
      <vt:variant>
        <vt:i4>1376310</vt:i4>
      </vt:variant>
      <vt:variant>
        <vt:i4>329</vt:i4>
      </vt:variant>
      <vt:variant>
        <vt:i4>0</vt:i4>
      </vt:variant>
      <vt:variant>
        <vt:i4>5</vt:i4>
      </vt:variant>
      <vt:variant>
        <vt:lpwstr/>
      </vt:variant>
      <vt:variant>
        <vt:lpwstr>_Toc57377173</vt:lpwstr>
      </vt:variant>
      <vt:variant>
        <vt:i4>1310774</vt:i4>
      </vt:variant>
      <vt:variant>
        <vt:i4>323</vt:i4>
      </vt:variant>
      <vt:variant>
        <vt:i4>0</vt:i4>
      </vt:variant>
      <vt:variant>
        <vt:i4>5</vt:i4>
      </vt:variant>
      <vt:variant>
        <vt:lpwstr/>
      </vt:variant>
      <vt:variant>
        <vt:lpwstr>_Toc57377172</vt:lpwstr>
      </vt:variant>
      <vt:variant>
        <vt:i4>1507382</vt:i4>
      </vt:variant>
      <vt:variant>
        <vt:i4>317</vt:i4>
      </vt:variant>
      <vt:variant>
        <vt:i4>0</vt:i4>
      </vt:variant>
      <vt:variant>
        <vt:i4>5</vt:i4>
      </vt:variant>
      <vt:variant>
        <vt:lpwstr/>
      </vt:variant>
      <vt:variant>
        <vt:lpwstr>_Toc57377171</vt:lpwstr>
      </vt:variant>
      <vt:variant>
        <vt:i4>1441846</vt:i4>
      </vt:variant>
      <vt:variant>
        <vt:i4>311</vt:i4>
      </vt:variant>
      <vt:variant>
        <vt:i4>0</vt:i4>
      </vt:variant>
      <vt:variant>
        <vt:i4>5</vt:i4>
      </vt:variant>
      <vt:variant>
        <vt:lpwstr/>
      </vt:variant>
      <vt:variant>
        <vt:lpwstr>_Toc57377170</vt:lpwstr>
      </vt:variant>
      <vt:variant>
        <vt:i4>2031671</vt:i4>
      </vt:variant>
      <vt:variant>
        <vt:i4>308</vt:i4>
      </vt:variant>
      <vt:variant>
        <vt:i4>0</vt:i4>
      </vt:variant>
      <vt:variant>
        <vt:i4>5</vt:i4>
      </vt:variant>
      <vt:variant>
        <vt:lpwstr/>
      </vt:variant>
      <vt:variant>
        <vt:lpwstr>_Toc57377169</vt:lpwstr>
      </vt:variant>
      <vt:variant>
        <vt:i4>1966135</vt:i4>
      </vt:variant>
      <vt:variant>
        <vt:i4>305</vt:i4>
      </vt:variant>
      <vt:variant>
        <vt:i4>0</vt:i4>
      </vt:variant>
      <vt:variant>
        <vt:i4>5</vt:i4>
      </vt:variant>
      <vt:variant>
        <vt:lpwstr/>
      </vt:variant>
      <vt:variant>
        <vt:lpwstr>_Toc57377168</vt:lpwstr>
      </vt:variant>
      <vt:variant>
        <vt:i4>1114167</vt:i4>
      </vt:variant>
      <vt:variant>
        <vt:i4>299</vt:i4>
      </vt:variant>
      <vt:variant>
        <vt:i4>0</vt:i4>
      </vt:variant>
      <vt:variant>
        <vt:i4>5</vt:i4>
      </vt:variant>
      <vt:variant>
        <vt:lpwstr/>
      </vt:variant>
      <vt:variant>
        <vt:lpwstr>_Toc57377167</vt:lpwstr>
      </vt:variant>
      <vt:variant>
        <vt:i4>1048631</vt:i4>
      </vt:variant>
      <vt:variant>
        <vt:i4>293</vt:i4>
      </vt:variant>
      <vt:variant>
        <vt:i4>0</vt:i4>
      </vt:variant>
      <vt:variant>
        <vt:i4>5</vt:i4>
      </vt:variant>
      <vt:variant>
        <vt:lpwstr/>
      </vt:variant>
      <vt:variant>
        <vt:lpwstr>_Toc57377166</vt:lpwstr>
      </vt:variant>
      <vt:variant>
        <vt:i4>1245239</vt:i4>
      </vt:variant>
      <vt:variant>
        <vt:i4>287</vt:i4>
      </vt:variant>
      <vt:variant>
        <vt:i4>0</vt:i4>
      </vt:variant>
      <vt:variant>
        <vt:i4>5</vt:i4>
      </vt:variant>
      <vt:variant>
        <vt:lpwstr/>
      </vt:variant>
      <vt:variant>
        <vt:lpwstr>_Toc57377165</vt:lpwstr>
      </vt:variant>
      <vt:variant>
        <vt:i4>1179703</vt:i4>
      </vt:variant>
      <vt:variant>
        <vt:i4>281</vt:i4>
      </vt:variant>
      <vt:variant>
        <vt:i4>0</vt:i4>
      </vt:variant>
      <vt:variant>
        <vt:i4>5</vt:i4>
      </vt:variant>
      <vt:variant>
        <vt:lpwstr/>
      </vt:variant>
      <vt:variant>
        <vt:lpwstr>_Toc57377164</vt:lpwstr>
      </vt:variant>
      <vt:variant>
        <vt:i4>1376311</vt:i4>
      </vt:variant>
      <vt:variant>
        <vt:i4>275</vt:i4>
      </vt:variant>
      <vt:variant>
        <vt:i4>0</vt:i4>
      </vt:variant>
      <vt:variant>
        <vt:i4>5</vt:i4>
      </vt:variant>
      <vt:variant>
        <vt:lpwstr/>
      </vt:variant>
      <vt:variant>
        <vt:lpwstr>_Toc57377163</vt:lpwstr>
      </vt:variant>
      <vt:variant>
        <vt:i4>1310775</vt:i4>
      </vt:variant>
      <vt:variant>
        <vt:i4>272</vt:i4>
      </vt:variant>
      <vt:variant>
        <vt:i4>0</vt:i4>
      </vt:variant>
      <vt:variant>
        <vt:i4>5</vt:i4>
      </vt:variant>
      <vt:variant>
        <vt:lpwstr/>
      </vt:variant>
      <vt:variant>
        <vt:lpwstr>_Toc57377162</vt:lpwstr>
      </vt:variant>
      <vt:variant>
        <vt:i4>1507383</vt:i4>
      </vt:variant>
      <vt:variant>
        <vt:i4>266</vt:i4>
      </vt:variant>
      <vt:variant>
        <vt:i4>0</vt:i4>
      </vt:variant>
      <vt:variant>
        <vt:i4>5</vt:i4>
      </vt:variant>
      <vt:variant>
        <vt:lpwstr/>
      </vt:variant>
      <vt:variant>
        <vt:lpwstr>_Toc57377161</vt:lpwstr>
      </vt:variant>
      <vt:variant>
        <vt:i4>1441847</vt:i4>
      </vt:variant>
      <vt:variant>
        <vt:i4>263</vt:i4>
      </vt:variant>
      <vt:variant>
        <vt:i4>0</vt:i4>
      </vt:variant>
      <vt:variant>
        <vt:i4>5</vt:i4>
      </vt:variant>
      <vt:variant>
        <vt:lpwstr/>
      </vt:variant>
      <vt:variant>
        <vt:lpwstr>_Toc57377160</vt:lpwstr>
      </vt:variant>
      <vt:variant>
        <vt:i4>2031668</vt:i4>
      </vt:variant>
      <vt:variant>
        <vt:i4>257</vt:i4>
      </vt:variant>
      <vt:variant>
        <vt:i4>0</vt:i4>
      </vt:variant>
      <vt:variant>
        <vt:i4>5</vt:i4>
      </vt:variant>
      <vt:variant>
        <vt:lpwstr/>
      </vt:variant>
      <vt:variant>
        <vt:lpwstr>_Toc57377159</vt:lpwstr>
      </vt:variant>
      <vt:variant>
        <vt:i4>1966132</vt:i4>
      </vt:variant>
      <vt:variant>
        <vt:i4>251</vt:i4>
      </vt:variant>
      <vt:variant>
        <vt:i4>0</vt:i4>
      </vt:variant>
      <vt:variant>
        <vt:i4>5</vt:i4>
      </vt:variant>
      <vt:variant>
        <vt:lpwstr/>
      </vt:variant>
      <vt:variant>
        <vt:lpwstr>_Toc57377158</vt:lpwstr>
      </vt:variant>
      <vt:variant>
        <vt:i4>1114164</vt:i4>
      </vt:variant>
      <vt:variant>
        <vt:i4>245</vt:i4>
      </vt:variant>
      <vt:variant>
        <vt:i4>0</vt:i4>
      </vt:variant>
      <vt:variant>
        <vt:i4>5</vt:i4>
      </vt:variant>
      <vt:variant>
        <vt:lpwstr/>
      </vt:variant>
      <vt:variant>
        <vt:lpwstr>_Toc57377157</vt:lpwstr>
      </vt:variant>
      <vt:variant>
        <vt:i4>1048628</vt:i4>
      </vt:variant>
      <vt:variant>
        <vt:i4>242</vt:i4>
      </vt:variant>
      <vt:variant>
        <vt:i4>0</vt:i4>
      </vt:variant>
      <vt:variant>
        <vt:i4>5</vt:i4>
      </vt:variant>
      <vt:variant>
        <vt:lpwstr/>
      </vt:variant>
      <vt:variant>
        <vt:lpwstr>_Toc57377156</vt:lpwstr>
      </vt:variant>
      <vt:variant>
        <vt:i4>1245236</vt:i4>
      </vt:variant>
      <vt:variant>
        <vt:i4>239</vt:i4>
      </vt:variant>
      <vt:variant>
        <vt:i4>0</vt:i4>
      </vt:variant>
      <vt:variant>
        <vt:i4>5</vt:i4>
      </vt:variant>
      <vt:variant>
        <vt:lpwstr/>
      </vt:variant>
      <vt:variant>
        <vt:lpwstr>_Toc57377155</vt:lpwstr>
      </vt:variant>
      <vt:variant>
        <vt:i4>1179700</vt:i4>
      </vt:variant>
      <vt:variant>
        <vt:i4>236</vt:i4>
      </vt:variant>
      <vt:variant>
        <vt:i4>0</vt:i4>
      </vt:variant>
      <vt:variant>
        <vt:i4>5</vt:i4>
      </vt:variant>
      <vt:variant>
        <vt:lpwstr/>
      </vt:variant>
      <vt:variant>
        <vt:lpwstr>_Toc57377154</vt:lpwstr>
      </vt:variant>
      <vt:variant>
        <vt:i4>1376308</vt:i4>
      </vt:variant>
      <vt:variant>
        <vt:i4>233</vt:i4>
      </vt:variant>
      <vt:variant>
        <vt:i4>0</vt:i4>
      </vt:variant>
      <vt:variant>
        <vt:i4>5</vt:i4>
      </vt:variant>
      <vt:variant>
        <vt:lpwstr/>
      </vt:variant>
      <vt:variant>
        <vt:lpwstr>_Toc57377153</vt:lpwstr>
      </vt:variant>
      <vt:variant>
        <vt:i4>1310772</vt:i4>
      </vt:variant>
      <vt:variant>
        <vt:i4>230</vt:i4>
      </vt:variant>
      <vt:variant>
        <vt:i4>0</vt:i4>
      </vt:variant>
      <vt:variant>
        <vt:i4>5</vt:i4>
      </vt:variant>
      <vt:variant>
        <vt:lpwstr/>
      </vt:variant>
      <vt:variant>
        <vt:lpwstr>_Toc57377152</vt:lpwstr>
      </vt:variant>
      <vt:variant>
        <vt:i4>1507380</vt:i4>
      </vt:variant>
      <vt:variant>
        <vt:i4>224</vt:i4>
      </vt:variant>
      <vt:variant>
        <vt:i4>0</vt:i4>
      </vt:variant>
      <vt:variant>
        <vt:i4>5</vt:i4>
      </vt:variant>
      <vt:variant>
        <vt:lpwstr/>
      </vt:variant>
      <vt:variant>
        <vt:lpwstr>_Toc57377151</vt:lpwstr>
      </vt:variant>
      <vt:variant>
        <vt:i4>1441844</vt:i4>
      </vt:variant>
      <vt:variant>
        <vt:i4>218</vt:i4>
      </vt:variant>
      <vt:variant>
        <vt:i4>0</vt:i4>
      </vt:variant>
      <vt:variant>
        <vt:i4>5</vt:i4>
      </vt:variant>
      <vt:variant>
        <vt:lpwstr/>
      </vt:variant>
      <vt:variant>
        <vt:lpwstr>_Toc57377150</vt:lpwstr>
      </vt:variant>
      <vt:variant>
        <vt:i4>2031669</vt:i4>
      </vt:variant>
      <vt:variant>
        <vt:i4>212</vt:i4>
      </vt:variant>
      <vt:variant>
        <vt:i4>0</vt:i4>
      </vt:variant>
      <vt:variant>
        <vt:i4>5</vt:i4>
      </vt:variant>
      <vt:variant>
        <vt:lpwstr/>
      </vt:variant>
      <vt:variant>
        <vt:lpwstr>_Toc57377149</vt:lpwstr>
      </vt:variant>
      <vt:variant>
        <vt:i4>1966133</vt:i4>
      </vt:variant>
      <vt:variant>
        <vt:i4>206</vt:i4>
      </vt:variant>
      <vt:variant>
        <vt:i4>0</vt:i4>
      </vt:variant>
      <vt:variant>
        <vt:i4>5</vt:i4>
      </vt:variant>
      <vt:variant>
        <vt:lpwstr/>
      </vt:variant>
      <vt:variant>
        <vt:lpwstr>_Toc57377148</vt:lpwstr>
      </vt:variant>
      <vt:variant>
        <vt:i4>1114165</vt:i4>
      </vt:variant>
      <vt:variant>
        <vt:i4>200</vt:i4>
      </vt:variant>
      <vt:variant>
        <vt:i4>0</vt:i4>
      </vt:variant>
      <vt:variant>
        <vt:i4>5</vt:i4>
      </vt:variant>
      <vt:variant>
        <vt:lpwstr/>
      </vt:variant>
      <vt:variant>
        <vt:lpwstr>_Toc57377147</vt:lpwstr>
      </vt:variant>
      <vt:variant>
        <vt:i4>1048629</vt:i4>
      </vt:variant>
      <vt:variant>
        <vt:i4>197</vt:i4>
      </vt:variant>
      <vt:variant>
        <vt:i4>0</vt:i4>
      </vt:variant>
      <vt:variant>
        <vt:i4>5</vt:i4>
      </vt:variant>
      <vt:variant>
        <vt:lpwstr/>
      </vt:variant>
      <vt:variant>
        <vt:lpwstr>_Toc57377146</vt:lpwstr>
      </vt:variant>
      <vt:variant>
        <vt:i4>1245237</vt:i4>
      </vt:variant>
      <vt:variant>
        <vt:i4>194</vt:i4>
      </vt:variant>
      <vt:variant>
        <vt:i4>0</vt:i4>
      </vt:variant>
      <vt:variant>
        <vt:i4>5</vt:i4>
      </vt:variant>
      <vt:variant>
        <vt:lpwstr/>
      </vt:variant>
      <vt:variant>
        <vt:lpwstr>_Toc57377145</vt:lpwstr>
      </vt:variant>
      <vt:variant>
        <vt:i4>1179701</vt:i4>
      </vt:variant>
      <vt:variant>
        <vt:i4>191</vt:i4>
      </vt:variant>
      <vt:variant>
        <vt:i4>0</vt:i4>
      </vt:variant>
      <vt:variant>
        <vt:i4>5</vt:i4>
      </vt:variant>
      <vt:variant>
        <vt:lpwstr/>
      </vt:variant>
      <vt:variant>
        <vt:lpwstr>_Toc57377144</vt:lpwstr>
      </vt:variant>
      <vt:variant>
        <vt:i4>1376309</vt:i4>
      </vt:variant>
      <vt:variant>
        <vt:i4>188</vt:i4>
      </vt:variant>
      <vt:variant>
        <vt:i4>0</vt:i4>
      </vt:variant>
      <vt:variant>
        <vt:i4>5</vt:i4>
      </vt:variant>
      <vt:variant>
        <vt:lpwstr/>
      </vt:variant>
      <vt:variant>
        <vt:lpwstr>_Toc57377143</vt:lpwstr>
      </vt:variant>
      <vt:variant>
        <vt:i4>1310773</vt:i4>
      </vt:variant>
      <vt:variant>
        <vt:i4>185</vt:i4>
      </vt:variant>
      <vt:variant>
        <vt:i4>0</vt:i4>
      </vt:variant>
      <vt:variant>
        <vt:i4>5</vt:i4>
      </vt:variant>
      <vt:variant>
        <vt:lpwstr/>
      </vt:variant>
      <vt:variant>
        <vt:lpwstr>_Toc57377142</vt:lpwstr>
      </vt:variant>
      <vt:variant>
        <vt:i4>1507381</vt:i4>
      </vt:variant>
      <vt:variant>
        <vt:i4>182</vt:i4>
      </vt:variant>
      <vt:variant>
        <vt:i4>0</vt:i4>
      </vt:variant>
      <vt:variant>
        <vt:i4>5</vt:i4>
      </vt:variant>
      <vt:variant>
        <vt:lpwstr/>
      </vt:variant>
      <vt:variant>
        <vt:lpwstr>_Toc57377141</vt:lpwstr>
      </vt:variant>
      <vt:variant>
        <vt:i4>1441845</vt:i4>
      </vt:variant>
      <vt:variant>
        <vt:i4>179</vt:i4>
      </vt:variant>
      <vt:variant>
        <vt:i4>0</vt:i4>
      </vt:variant>
      <vt:variant>
        <vt:i4>5</vt:i4>
      </vt:variant>
      <vt:variant>
        <vt:lpwstr/>
      </vt:variant>
      <vt:variant>
        <vt:lpwstr>_Toc57377140</vt:lpwstr>
      </vt:variant>
      <vt:variant>
        <vt:i4>2031666</vt:i4>
      </vt:variant>
      <vt:variant>
        <vt:i4>176</vt:i4>
      </vt:variant>
      <vt:variant>
        <vt:i4>0</vt:i4>
      </vt:variant>
      <vt:variant>
        <vt:i4>5</vt:i4>
      </vt:variant>
      <vt:variant>
        <vt:lpwstr/>
      </vt:variant>
      <vt:variant>
        <vt:lpwstr>_Toc57377139</vt:lpwstr>
      </vt:variant>
      <vt:variant>
        <vt:i4>1966130</vt:i4>
      </vt:variant>
      <vt:variant>
        <vt:i4>173</vt:i4>
      </vt:variant>
      <vt:variant>
        <vt:i4>0</vt:i4>
      </vt:variant>
      <vt:variant>
        <vt:i4>5</vt:i4>
      </vt:variant>
      <vt:variant>
        <vt:lpwstr/>
      </vt:variant>
      <vt:variant>
        <vt:lpwstr>_Toc57377138</vt:lpwstr>
      </vt:variant>
      <vt:variant>
        <vt:i4>1114162</vt:i4>
      </vt:variant>
      <vt:variant>
        <vt:i4>167</vt:i4>
      </vt:variant>
      <vt:variant>
        <vt:i4>0</vt:i4>
      </vt:variant>
      <vt:variant>
        <vt:i4>5</vt:i4>
      </vt:variant>
      <vt:variant>
        <vt:lpwstr/>
      </vt:variant>
      <vt:variant>
        <vt:lpwstr>_Toc57377137</vt:lpwstr>
      </vt:variant>
      <vt:variant>
        <vt:i4>1048626</vt:i4>
      </vt:variant>
      <vt:variant>
        <vt:i4>161</vt:i4>
      </vt:variant>
      <vt:variant>
        <vt:i4>0</vt:i4>
      </vt:variant>
      <vt:variant>
        <vt:i4>5</vt:i4>
      </vt:variant>
      <vt:variant>
        <vt:lpwstr/>
      </vt:variant>
      <vt:variant>
        <vt:lpwstr>_Toc57377136</vt:lpwstr>
      </vt:variant>
      <vt:variant>
        <vt:i4>1245234</vt:i4>
      </vt:variant>
      <vt:variant>
        <vt:i4>155</vt:i4>
      </vt:variant>
      <vt:variant>
        <vt:i4>0</vt:i4>
      </vt:variant>
      <vt:variant>
        <vt:i4>5</vt:i4>
      </vt:variant>
      <vt:variant>
        <vt:lpwstr/>
      </vt:variant>
      <vt:variant>
        <vt:lpwstr>_Toc57377135</vt:lpwstr>
      </vt:variant>
      <vt:variant>
        <vt:i4>1179698</vt:i4>
      </vt:variant>
      <vt:variant>
        <vt:i4>149</vt:i4>
      </vt:variant>
      <vt:variant>
        <vt:i4>0</vt:i4>
      </vt:variant>
      <vt:variant>
        <vt:i4>5</vt:i4>
      </vt:variant>
      <vt:variant>
        <vt:lpwstr/>
      </vt:variant>
      <vt:variant>
        <vt:lpwstr>_Toc57377134</vt:lpwstr>
      </vt:variant>
      <vt:variant>
        <vt:i4>1376306</vt:i4>
      </vt:variant>
      <vt:variant>
        <vt:i4>143</vt:i4>
      </vt:variant>
      <vt:variant>
        <vt:i4>0</vt:i4>
      </vt:variant>
      <vt:variant>
        <vt:i4>5</vt:i4>
      </vt:variant>
      <vt:variant>
        <vt:lpwstr/>
      </vt:variant>
      <vt:variant>
        <vt:lpwstr>_Toc57377133</vt:lpwstr>
      </vt:variant>
      <vt:variant>
        <vt:i4>1310770</vt:i4>
      </vt:variant>
      <vt:variant>
        <vt:i4>140</vt:i4>
      </vt:variant>
      <vt:variant>
        <vt:i4>0</vt:i4>
      </vt:variant>
      <vt:variant>
        <vt:i4>5</vt:i4>
      </vt:variant>
      <vt:variant>
        <vt:lpwstr/>
      </vt:variant>
      <vt:variant>
        <vt:lpwstr>_Toc57377132</vt:lpwstr>
      </vt:variant>
      <vt:variant>
        <vt:i4>1507378</vt:i4>
      </vt:variant>
      <vt:variant>
        <vt:i4>137</vt:i4>
      </vt:variant>
      <vt:variant>
        <vt:i4>0</vt:i4>
      </vt:variant>
      <vt:variant>
        <vt:i4>5</vt:i4>
      </vt:variant>
      <vt:variant>
        <vt:lpwstr/>
      </vt:variant>
      <vt:variant>
        <vt:lpwstr>_Toc57377131</vt:lpwstr>
      </vt:variant>
      <vt:variant>
        <vt:i4>1441842</vt:i4>
      </vt:variant>
      <vt:variant>
        <vt:i4>131</vt:i4>
      </vt:variant>
      <vt:variant>
        <vt:i4>0</vt:i4>
      </vt:variant>
      <vt:variant>
        <vt:i4>5</vt:i4>
      </vt:variant>
      <vt:variant>
        <vt:lpwstr/>
      </vt:variant>
      <vt:variant>
        <vt:lpwstr>_Toc57377130</vt:lpwstr>
      </vt:variant>
      <vt:variant>
        <vt:i4>2031667</vt:i4>
      </vt:variant>
      <vt:variant>
        <vt:i4>125</vt:i4>
      </vt:variant>
      <vt:variant>
        <vt:i4>0</vt:i4>
      </vt:variant>
      <vt:variant>
        <vt:i4>5</vt:i4>
      </vt:variant>
      <vt:variant>
        <vt:lpwstr/>
      </vt:variant>
      <vt:variant>
        <vt:lpwstr>_Toc57377129</vt:lpwstr>
      </vt:variant>
      <vt:variant>
        <vt:i4>1966131</vt:i4>
      </vt:variant>
      <vt:variant>
        <vt:i4>119</vt:i4>
      </vt:variant>
      <vt:variant>
        <vt:i4>0</vt:i4>
      </vt:variant>
      <vt:variant>
        <vt:i4>5</vt:i4>
      </vt:variant>
      <vt:variant>
        <vt:lpwstr/>
      </vt:variant>
      <vt:variant>
        <vt:lpwstr>_Toc57377128</vt:lpwstr>
      </vt:variant>
      <vt:variant>
        <vt:i4>1114163</vt:i4>
      </vt:variant>
      <vt:variant>
        <vt:i4>113</vt:i4>
      </vt:variant>
      <vt:variant>
        <vt:i4>0</vt:i4>
      </vt:variant>
      <vt:variant>
        <vt:i4>5</vt:i4>
      </vt:variant>
      <vt:variant>
        <vt:lpwstr/>
      </vt:variant>
      <vt:variant>
        <vt:lpwstr>_Toc57377127</vt:lpwstr>
      </vt:variant>
      <vt:variant>
        <vt:i4>1048627</vt:i4>
      </vt:variant>
      <vt:variant>
        <vt:i4>107</vt:i4>
      </vt:variant>
      <vt:variant>
        <vt:i4>0</vt:i4>
      </vt:variant>
      <vt:variant>
        <vt:i4>5</vt:i4>
      </vt:variant>
      <vt:variant>
        <vt:lpwstr/>
      </vt:variant>
      <vt:variant>
        <vt:lpwstr>_Toc57377126</vt:lpwstr>
      </vt:variant>
      <vt:variant>
        <vt:i4>1245235</vt:i4>
      </vt:variant>
      <vt:variant>
        <vt:i4>101</vt:i4>
      </vt:variant>
      <vt:variant>
        <vt:i4>0</vt:i4>
      </vt:variant>
      <vt:variant>
        <vt:i4>5</vt:i4>
      </vt:variant>
      <vt:variant>
        <vt:lpwstr/>
      </vt:variant>
      <vt:variant>
        <vt:lpwstr>_Toc57377125</vt:lpwstr>
      </vt:variant>
      <vt:variant>
        <vt:i4>1179699</vt:i4>
      </vt:variant>
      <vt:variant>
        <vt:i4>95</vt:i4>
      </vt:variant>
      <vt:variant>
        <vt:i4>0</vt:i4>
      </vt:variant>
      <vt:variant>
        <vt:i4>5</vt:i4>
      </vt:variant>
      <vt:variant>
        <vt:lpwstr/>
      </vt:variant>
      <vt:variant>
        <vt:lpwstr>_Toc57377124</vt:lpwstr>
      </vt:variant>
      <vt:variant>
        <vt:i4>1376307</vt:i4>
      </vt:variant>
      <vt:variant>
        <vt:i4>92</vt:i4>
      </vt:variant>
      <vt:variant>
        <vt:i4>0</vt:i4>
      </vt:variant>
      <vt:variant>
        <vt:i4>5</vt:i4>
      </vt:variant>
      <vt:variant>
        <vt:lpwstr/>
      </vt:variant>
      <vt:variant>
        <vt:lpwstr>_Toc57377123</vt:lpwstr>
      </vt:variant>
      <vt:variant>
        <vt:i4>1310771</vt:i4>
      </vt:variant>
      <vt:variant>
        <vt:i4>89</vt:i4>
      </vt:variant>
      <vt:variant>
        <vt:i4>0</vt:i4>
      </vt:variant>
      <vt:variant>
        <vt:i4>5</vt:i4>
      </vt:variant>
      <vt:variant>
        <vt:lpwstr/>
      </vt:variant>
      <vt:variant>
        <vt:lpwstr>_Toc57377122</vt:lpwstr>
      </vt:variant>
      <vt:variant>
        <vt:i4>1507379</vt:i4>
      </vt:variant>
      <vt:variant>
        <vt:i4>86</vt:i4>
      </vt:variant>
      <vt:variant>
        <vt:i4>0</vt:i4>
      </vt:variant>
      <vt:variant>
        <vt:i4>5</vt:i4>
      </vt:variant>
      <vt:variant>
        <vt:lpwstr/>
      </vt:variant>
      <vt:variant>
        <vt:lpwstr>_Toc57377121</vt:lpwstr>
      </vt:variant>
      <vt:variant>
        <vt:i4>1441843</vt:i4>
      </vt:variant>
      <vt:variant>
        <vt:i4>83</vt:i4>
      </vt:variant>
      <vt:variant>
        <vt:i4>0</vt:i4>
      </vt:variant>
      <vt:variant>
        <vt:i4>5</vt:i4>
      </vt:variant>
      <vt:variant>
        <vt:lpwstr/>
      </vt:variant>
      <vt:variant>
        <vt:lpwstr>_Toc57377120</vt:lpwstr>
      </vt:variant>
      <vt:variant>
        <vt:i4>2031664</vt:i4>
      </vt:variant>
      <vt:variant>
        <vt:i4>80</vt:i4>
      </vt:variant>
      <vt:variant>
        <vt:i4>0</vt:i4>
      </vt:variant>
      <vt:variant>
        <vt:i4>5</vt:i4>
      </vt:variant>
      <vt:variant>
        <vt:lpwstr/>
      </vt:variant>
      <vt:variant>
        <vt:lpwstr>_Toc57377119</vt:lpwstr>
      </vt:variant>
      <vt:variant>
        <vt:i4>1966128</vt:i4>
      </vt:variant>
      <vt:variant>
        <vt:i4>74</vt:i4>
      </vt:variant>
      <vt:variant>
        <vt:i4>0</vt:i4>
      </vt:variant>
      <vt:variant>
        <vt:i4>5</vt:i4>
      </vt:variant>
      <vt:variant>
        <vt:lpwstr/>
      </vt:variant>
      <vt:variant>
        <vt:lpwstr>_Toc57377118</vt:lpwstr>
      </vt:variant>
      <vt:variant>
        <vt:i4>1114160</vt:i4>
      </vt:variant>
      <vt:variant>
        <vt:i4>68</vt:i4>
      </vt:variant>
      <vt:variant>
        <vt:i4>0</vt:i4>
      </vt:variant>
      <vt:variant>
        <vt:i4>5</vt:i4>
      </vt:variant>
      <vt:variant>
        <vt:lpwstr/>
      </vt:variant>
      <vt:variant>
        <vt:lpwstr>_Toc57377117</vt:lpwstr>
      </vt:variant>
      <vt:variant>
        <vt:i4>1048624</vt:i4>
      </vt:variant>
      <vt:variant>
        <vt:i4>62</vt:i4>
      </vt:variant>
      <vt:variant>
        <vt:i4>0</vt:i4>
      </vt:variant>
      <vt:variant>
        <vt:i4>5</vt:i4>
      </vt:variant>
      <vt:variant>
        <vt:lpwstr/>
      </vt:variant>
      <vt:variant>
        <vt:lpwstr>_Toc57377116</vt:lpwstr>
      </vt:variant>
      <vt:variant>
        <vt:i4>1245232</vt:i4>
      </vt:variant>
      <vt:variant>
        <vt:i4>56</vt:i4>
      </vt:variant>
      <vt:variant>
        <vt:i4>0</vt:i4>
      </vt:variant>
      <vt:variant>
        <vt:i4>5</vt:i4>
      </vt:variant>
      <vt:variant>
        <vt:lpwstr/>
      </vt:variant>
      <vt:variant>
        <vt:lpwstr>_Toc57377115</vt:lpwstr>
      </vt:variant>
      <vt:variant>
        <vt:i4>1179696</vt:i4>
      </vt:variant>
      <vt:variant>
        <vt:i4>50</vt:i4>
      </vt:variant>
      <vt:variant>
        <vt:i4>0</vt:i4>
      </vt:variant>
      <vt:variant>
        <vt:i4>5</vt:i4>
      </vt:variant>
      <vt:variant>
        <vt:lpwstr/>
      </vt:variant>
      <vt:variant>
        <vt:lpwstr>_Toc57377114</vt:lpwstr>
      </vt:variant>
      <vt:variant>
        <vt:i4>1376304</vt:i4>
      </vt:variant>
      <vt:variant>
        <vt:i4>44</vt:i4>
      </vt:variant>
      <vt:variant>
        <vt:i4>0</vt:i4>
      </vt:variant>
      <vt:variant>
        <vt:i4>5</vt:i4>
      </vt:variant>
      <vt:variant>
        <vt:lpwstr/>
      </vt:variant>
      <vt:variant>
        <vt:lpwstr>_Toc57377113</vt:lpwstr>
      </vt:variant>
      <vt:variant>
        <vt:i4>1310768</vt:i4>
      </vt:variant>
      <vt:variant>
        <vt:i4>38</vt:i4>
      </vt:variant>
      <vt:variant>
        <vt:i4>0</vt:i4>
      </vt:variant>
      <vt:variant>
        <vt:i4>5</vt:i4>
      </vt:variant>
      <vt:variant>
        <vt:lpwstr/>
      </vt:variant>
      <vt:variant>
        <vt:lpwstr>_Toc57377112</vt:lpwstr>
      </vt:variant>
      <vt:variant>
        <vt:i4>1507376</vt:i4>
      </vt:variant>
      <vt:variant>
        <vt:i4>32</vt:i4>
      </vt:variant>
      <vt:variant>
        <vt:i4>0</vt:i4>
      </vt:variant>
      <vt:variant>
        <vt:i4>5</vt:i4>
      </vt:variant>
      <vt:variant>
        <vt:lpwstr/>
      </vt:variant>
      <vt:variant>
        <vt:lpwstr>_Toc57377111</vt:lpwstr>
      </vt:variant>
      <vt:variant>
        <vt:i4>1441840</vt:i4>
      </vt:variant>
      <vt:variant>
        <vt:i4>26</vt:i4>
      </vt:variant>
      <vt:variant>
        <vt:i4>0</vt:i4>
      </vt:variant>
      <vt:variant>
        <vt:i4>5</vt:i4>
      </vt:variant>
      <vt:variant>
        <vt:lpwstr/>
      </vt:variant>
      <vt:variant>
        <vt:lpwstr>_Toc57377110</vt:lpwstr>
      </vt:variant>
      <vt:variant>
        <vt:i4>2031665</vt:i4>
      </vt:variant>
      <vt:variant>
        <vt:i4>20</vt:i4>
      </vt:variant>
      <vt:variant>
        <vt:i4>0</vt:i4>
      </vt:variant>
      <vt:variant>
        <vt:i4>5</vt:i4>
      </vt:variant>
      <vt:variant>
        <vt:lpwstr/>
      </vt:variant>
      <vt:variant>
        <vt:lpwstr>_Toc57377109</vt:lpwstr>
      </vt:variant>
      <vt:variant>
        <vt:i4>1966129</vt:i4>
      </vt:variant>
      <vt:variant>
        <vt:i4>17</vt:i4>
      </vt:variant>
      <vt:variant>
        <vt:i4>0</vt:i4>
      </vt:variant>
      <vt:variant>
        <vt:i4>5</vt:i4>
      </vt:variant>
      <vt:variant>
        <vt:lpwstr/>
      </vt:variant>
      <vt:variant>
        <vt:lpwstr>_Toc57377108</vt:lpwstr>
      </vt:variant>
      <vt:variant>
        <vt:i4>1114161</vt:i4>
      </vt:variant>
      <vt:variant>
        <vt:i4>14</vt:i4>
      </vt:variant>
      <vt:variant>
        <vt:i4>0</vt:i4>
      </vt:variant>
      <vt:variant>
        <vt:i4>5</vt:i4>
      </vt:variant>
      <vt:variant>
        <vt:lpwstr/>
      </vt:variant>
      <vt:variant>
        <vt:lpwstr>_Toc57377107</vt:lpwstr>
      </vt:variant>
      <vt:variant>
        <vt:i4>1048625</vt:i4>
      </vt:variant>
      <vt:variant>
        <vt:i4>11</vt:i4>
      </vt:variant>
      <vt:variant>
        <vt:i4>0</vt:i4>
      </vt:variant>
      <vt:variant>
        <vt:i4>5</vt:i4>
      </vt:variant>
      <vt:variant>
        <vt:lpwstr/>
      </vt:variant>
      <vt:variant>
        <vt:lpwstr>_Toc57377106</vt:lpwstr>
      </vt:variant>
      <vt:variant>
        <vt:i4>1245233</vt:i4>
      </vt:variant>
      <vt:variant>
        <vt:i4>8</vt:i4>
      </vt:variant>
      <vt:variant>
        <vt:i4>0</vt:i4>
      </vt:variant>
      <vt:variant>
        <vt:i4>5</vt:i4>
      </vt:variant>
      <vt:variant>
        <vt:lpwstr/>
      </vt:variant>
      <vt:variant>
        <vt:lpwstr>_Toc57377105</vt:lpwstr>
      </vt:variant>
      <vt:variant>
        <vt:i4>1638431</vt:i4>
      </vt:variant>
      <vt:variant>
        <vt:i4>3</vt:i4>
      </vt:variant>
      <vt:variant>
        <vt:i4>0</vt:i4>
      </vt:variant>
      <vt:variant>
        <vt:i4>5</vt:i4>
      </vt:variant>
      <vt:variant>
        <vt:lpwstr>http://www.delwp.vic.gov.au/</vt:lpwstr>
      </vt:variant>
      <vt:variant>
        <vt:lpwstr/>
      </vt:variant>
      <vt:variant>
        <vt:i4>6488082</vt:i4>
      </vt:variant>
      <vt:variant>
        <vt:i4>0</vt:i4>
      </vt:variant>
      <vt:variant>
        <vt:i4>0</vt:i4>
      </vt:variant>
      <vt:variant>
        <vt:i4>5</vt:i4>
      </vt:variant>
      <vt:variant>
        <vt:lpwstr>mailto:HCS.Team@delwp.vic.gov.au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Assessing the Impact of Climate Change on Water Availability in Victoria - accessible version</dc:title>
  <dc:subject/>
  <dc:creator>Glenn C Dunks (DELWP)</dc:creator>
  <cp:keywords/>
  <dc:description/>
  <cp:lastModifiedBy>Glenn C Dunks (DELWP)</cp:lastModifiedBy>
  <cp:revision>9</cp:revision>
  <dcterms:created xsi:type="dcterms:W3CDTF">2020-12-08T04:14:00Z</dcterms:created>
  <dcterms:modified xsi:type="dcterms:W3CDTF">2020-12-08T04:22:00Z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19367b-7a73-403d-b732-ebe2e73fbf56_Enabled">
    <vt:lpwstr>true</vt:lpwstr>
  </property>
  <property fmtid="{D5CDD505-2E9C-101B-9397-08002B2CF9AE}" pid="3" name="MSIP_Label_5a19367b-7a73-403d-b732-ebe2e73fbf56_SetDate">
    <vt:lpwstr>2020-11-30T00:40:02Z</vt:lpwstr>
  </property>
  <property fmtid="{D5CDD505-2E9C-101B-9397-08002B2CF9AE}" pid="4" name="MSIP_Label_5a19367b-7a73-403d-b732-ebe2e73fbf56_Method">
    <vt:lpwstr>Privileged</vt:lpwstr>
  </property>
  <property fmtid="{D5CDD505-2E9C-101B-9397-08002B2CF9AE}" pid="5" name="MSIP_Label_5a19367b-7a73-403d-b732-ebe2e73fbf56_Name">
    <vt:lpwstr>OFFICIAL-Sensitive</vt:lpwstr>
  </property>
  <property fmtid="{D5CDD505-2E9C-101B-9397-08002B2CF9AE}" pid="6" name="MSIP_Label_5a19367b-7a73-403d-b732-ebe2e73fbf56_SiteId">
    <vt:lpwstr>e8bdd6f7-fc18-4e48-a554-7f547927223b</vt:lpwstr>
  </property>
  <property fmtid="{D5CDD505-2E9C-101B-9397-08002B2CF9AE}" pid="7" name="MSIP_Label_5a19367b-7a73-403d-b732-ebe2e73fbf56_ActionId">
    <vt:lpwstr>716bf6f8-dfd4-43b4-86e8-e2206fa548a3</vt:lpwstr>
  </property>
  <property fmtid="{D5CDD505-2E9C-101B-9397-08002B2CF9AE}" pid="8" name="MSIP_Label_5a19367b-7a73-403d-b732-ebe2e73fbf56_ContentBits">
    <vt:lpwstr>2</vt:lpwstr>
  </property>
  <property fmtid="{D5CDD505-2E9C-101B-9397-08002B2CF9AE}" pid="9" name="Section">
    <vt:lpwstr>17;#Hydrology and Climate Science|0f94326e-c728-403e-9ab5-2743e27529bd</vt:lpwstr>
  </property>
  <property fmtid="{D5CDD505-2E9C-101B-9397-08002B2CF9AE}" pid="10" name="Agency">
    <vt:lpwstr>1;#Department of Environment, Land, Water and Planning|607a3f87-1228-4cd9-82a5-076aa8776274</vt:lpwstr>
  </property>
  <property fmtid="{D5CDD505-2E9C-101B-9397-08002B2CF9AE}" pid="11" name="Branch">
    <vt:lpwstr>4;#Water Resource Assessment and Planning|5e7acf07-cf60-47a2-8193-ca9a6ee8cea4</vt:lpwstr>
  </property>
  <property fmtid="{D5CDD505-2E9C-101B-9397-08002B2CF9AE}" pid="12" name="_dlc_DocIdItemGuid">
    <vt:lpwstr>dfe185a8-7e6c-436b-b7e9-98d7280a2d5d</vt:lpwstr>
  </property>
  <property fmtid="{D5CDD505-2E9C-101B-9397-08002B2CF9AE}" pid="13" name="Division">
    <vt:lpwstr>5;#Water Resource Strategy|d02a5bda-7667-47f9-a2aa-b0f0b6b9d85d</vt:lpwstr>
  </property>
  <property fmtid="{D5CDD505-2E9C-101B-9397-08002B2CF9AE}" pid="14" name="Group1">
    <vt:lpwstr>6;#Water and Catchments|04babe5f-fe90-4982-9f33-c4fc8f4bb63f</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ub-Section">
    <vt:lpwstr/>
  </property>
  <property fmtid="{D5CDD505-2E9C-101B-9397-08002B2CF9AE}" pid="18" name="o85941e134754762b9719660a258a6e6">
    <vt:lpwstr/>
  </property>
  <property fmtid="{D5CDD505-2E9C-101B-9397-08002B2CF9AE}" pid="19" name="Reference Type">
    <vt:lpwstr/>
  </property>
  <property fmtid="{D5CDD505-2E9C-101B-9397-08002B2CF9AE}" pid="20" name="Copyright_x0020_Licence_x0020_Name">
    <vt:lpwstr/>
  </property>
  <property fmtid="{D5CDD505-2E9C-101B-9397-08002B2CF9AE}" pid="21" name="df723ab3fe1c4eb7a0b151674e7ac40d">
    <vt:lpwstr/>
  </property>
  <property fmtid="{D5CDD505-2E9C-101B-9397-08002B2CF9AE}" pid="22" name="Copyright_x0020_License_x0020_Type">
    <vt:lpwstr/>
  </property>
  <property fmtid="{D5CDD505-2E9C-101B-9397-08002B2CF9AE}" pid="23" name="Copyright Licence Name">
    <vt:lpwstr/>
  </property>
  <property fmtid="{D5CDD505-2E9C-101B-9397-08002B2CF9AE}" pid="24" name="Copyright License Type">
    <vt:lpwstr/>
  </property>
  <property fmtid="{D5CDD505-2E9C-101B-9397-08002B2CF9AE}" pid="25" name="SharedWithUsers">
    <vt:lpwstr>98;#Rebecca A Lett (DELWP)</vt:lpwstr>
  </property>
  <property fmtid="{D5CDD505-2E9C-101B-9397-08002B2CF9AE}" pid="26" name="ContentTypeId">
    <vt:lpwstr>0x010100B6539DC503A432479E96D40F0A0A49D8</vt:lpwstr>
  </property>
  <property fmtid="{D5CDD505-2E9C-101B-9397-08002B2CF9AE}" pid="27" name="ld508a88e6264ce89693af80a72862cb">
    <vt:lpwstr/>
  </property>
</Properties>
</file>