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23E22" w14:textId="77777777" w:rsidR="00273C6C" w:rsidRDefault="00273C6C" w:rsidP="00F662EB">
      <w:pPr>
        <w:pStyle w:val="NormalWeb"/>
        <w:spacing w:before="0" w:beforeAutospacing="0" w:after="0" w:afterAutospacing="0" w:line="204" w:lineRule="auto"/>
        <w:jc w:val="right"/>
        <w:rPr>
          <w:rFonts w:asciiTheme="majorHAnsi" w:eastAsiaTheme="majorEastAsia" w:hAnsi="Cambria" w:cstheme="majorBidi"/>
          <w:color w:val="002060"/>
          <w:spacing w:val="-10"/>
          <w:kern w:val="24"/>
          <w:position w:val="1"/>
          <w:sz w:val="56"/>
          <w:szCs w:val="56"/>
          <w:lang w:val="en-US"/>
        </w:rPr>
      </w:pPr>
    </w:p>
    <w:p w14:paraId="309ADD5A" w14:textId="77777777" w:rsidR="00273C6C" w:rsidRDefault="00273C6C" w:rsidP="00F662EB">
      <w:pPr>
        <w:pStyle w:val="NormalWeb"/>
        <w:spacing w:before="0" w:beforeAutospacing="0" w:after="0" w:afterAutospacing="0" w:line="204" w:lineRule="auto"/>
        <w:jc w:val="right"/>
        <w:rPr>
          <w:rFonts w:asciiTheme="majorHAnsi" w:eastAsiaTheme="majorEastAsia" w:hAnsi="Cambria" w:cstheme="majorBidi"/>
          <w:color w:val="002060"/>
          <w:spacing w:val="-10"/>
          <w:kern w:val="24"/>
          <w:position w:val="1"/>
          <w:sz w:val="56"/>
          <w:szCs w:val="56"/>
          <w:lang w:val="en-US"/>
        </w:rPr>
      </w:pPr>
    </w:p>
    <w:p w14:paraId="3CA1CEAD" w14:textId="77777777" w:rsidR="00273C6C" w:rsidRDefault="00273C6C" w:rsidP="00F662EB">
      <w:pPr>
        <w:pStyle w:val="NormalWeb"/>
        <w:spacing w:before="0" w:beforeAutospacing="0" w:after="0" w:afterAutospacing="0" w:line="204" w:lineRule="auto"/>
        <w:jc w:val="right"/>
        <w:rPr>
          <w:rFonts w:asciiTheme="majorHAnsi" w:eastAsiaTheme="majorEastAsia" w:hAnsi="Cambria" w:cstheme="majorBidi"/>
          <w:color w:val="002060"/>
          <w:spacing w:val="-10"/>
          <w:kern w:val="24"/>
          <w:position w:val="1"/>
          <w:sz w:val="56"/>
          <w:szCs w:val="56"/>
          <w:lang w:val="en-US"/>
        </w:rPr>
      </w:pPr>
    </w:p>
    <w:p w14:paraId="19C49185" w14:textId="402A94F8" w:rsidR="00F662EB" w:rsidRPr="00B84889" w:rsidRDefault="000E01D7" w:rsidP="00F662EB">
      <w:pPr>
        <w:pStyle w:val="NormalWeb"/>
        <w:spacing w:before="0" w:beforeAutospacing="0" w:after="0" w:afterAutospacing="0" w:line="204" w:lineRule="auto"/>
        <w:jc w:val="right"/>
        <w:rPr>
          <w:rFonts w:asciiTheme="majorHAnsi" w:eastAsiaTheme="majorEastAsia" w:hAnsi="Cambria" w:cstheme="majorBidi"/>
          <w:color w:val="002060"/>
          <w:spacing w:val="-10"/>
          <w:kern w:val="24"/>
          <w:position w:val="1"/>
          <w:sz w:val="56"/>
          <w:szCs w:val="56"/>
          <w:lang w:val="en-US"/>
        </w:rPr>
      </w:pPr>
      <w:proofErr w:type="spellStart"/>
      <w:r>
        <w:rPr>
          <w:rFonts w:asciiTheme="majorHAnsi" w:eastAsiaTheme="majorEastAsia" w:hAnsi="Cambria" w:cstheme="majorBidi"/>
          <w:color w:val="002060"/>
          <w:spacing w:val="-10"/>
          <w:kern w:val="24"/>
          <w:position w:val="1"/>
          <w:sz w:val="56"/>
          <w:szCs w:val="56"/>
          <w:lang w:val="en-US"/>
        </w:rPr>
        <w:t>Yarra</w:t>
      </w:r>
      <w:proofErr w:type="spellEnd"/>
      <w:r w:rsidR="00F662EB" w:rsidRPr="00B84889">
        <w:rPr>
          <w:rFonts w:asciiTheme="majorHAnsi" w:eastAsiaTheme="majorEastAsia" w:hAnsi="Cambria" w:cstheme="majorBidi"/>
          <w:color w:val="002060"/>
          <w:spacing w:val="-10"/>
          <w:kern w:val="24"/>
          <w:position w:val="1"/>
          <w:sz w:val="56"/>
          <w:szCs w:val="56"/>
          <w:lang w:val="en-US"/>
        </w:rPr>
        <w:t xml:space="preserve"> Catchment Integrated Water Management Plan</w:t>
      </w:r>
    </w:p>
    <w:p w14:paraId="3F629020" w14:textId="55A18A46" w:rsidR="00F662EB" w:rsidRPr="00744FD1" w:rsidRDefault="00744FD1" w:rsidP="00F662EB">
      <w:pPr>
        <w:pStyle w:val="NormalWeb"/>
        <w:spacing w:before="0" w:beforeAutospacing="0" w:after="0" w:afterAutospacing="0" w:line="204" w:lineRule="auto"/>
        <w:jc w:val="right"/>
        <w:rPr>
          <w:rFonts w:asciiTheme="majorHAnsi" w:eastAsiaTheme="majorEastAsia" w:hAnsi="Cambria" w:cstheme="majorBidi"/>
          <w:color w:val="4472C4" w:themeColor="accent1"/>
          <w:spacing w:val="-10"/>
          <w:kern w:val="24"/>
          <w:position w:val="1"/>
          <w:sz w:val="40"/>
          <w:szCs w:val="40"/>
          <w:lang w:val="en-US"/>
        </w:rPr>
      </w:pPr>
      <w:r>
        <w:rPr>
          <w:rFonts w:asciiTheme="majorHAnsi" w:eastAsiaTheme="majorEastAsia" w:hAnsi="Cambria" w:cstheme="majorBidi"/>
          <w:color w:val="4472C4" w:themeColor="accent1"/>
          <w:spacing w:val="-10"/>
          <w:kern w:val="24"/>
          <w:position w:val="1"/>
          <w:sz w:val="40"/>
          <w:szCs w:val="40"/>
          <w:lang w:val="en-US"/>
        </w:rPr>
        <w:t>Targets driving outcomes</w:t>
      </w:r>
    </w:p>
    <w:p w14:paraId="52F34378" w14:textId="77777777" w:rsidR="00F662EB" w:rsidRPr="00F662EB" w:rsidRDefault="00F662EB" w:rsidP="00F5568B">
      <w:pPr>
        <w:rPr>
          <w:rStyle w:val="Strong"/>
          <w:color w:val="4472C4" w:themeColor="accent1"/>
          <w:lang w:eastAsia="en-AU"/>
        </w:rPr>
      </w:pPr>
    </w:p>
    <w:p w14:paraId="1A2B7BA8" w14:textId="163CD8DB" w:rsidR="00F662EB" w:rsidRDefault="00F662EB" w:rsidP="00F662EB">
      <w:pPr>
        <w:jc w:val="right"/>
        <w:rPr>
          <w:rStyle w:val="Strong"/>
          <w:sz w:val="40"/>
          <w:szCs w:val="40"/>
          <w:lang w:eastAsia="en-AU"/>
        </w:rPr>
      </w:pPr>
      <w:r w:rsidRPr="00744FD1">
        <w:rPr>
          <w:rStyle w:val="Strong"/>
          <w:sz w:val="40"/>
          <w:szCs w:val="40"/>
          <w:lang w:eastAsia="en-AU"/>
        </w:rPr>
        <w:t>Summary</w:t>
      </w:r>
    </w:p>
    <w:p w14:paraId="37580FFE" w14:textId="0D69762F" w:rsidR="00601D5C" w:rsidRPr="00744FD1" w:rsidRDefault="00E85BD3" w:rsidP="00F662EB">
      <w:pPr>
        <w:jc w:val="right"/>
        <w:rPr>
          <w:rStyle w:val="Strong"/>
          <w:sz w:val="36"/>
          <w:szCs w:val="36"/>
          <w:lang w:eastAsia="en-AU"/>
        </w:rPr>
      </w:pPr>
      <w:r>
        <w:rPr>
          <w:rStyle w:val="Strong"/>
          <w:sz w:val="36"/>
          <w:szCs w:val="36"/>
          <w:lang w:eastAsia="en-AU"/>
        </w:rPr>
        <w:t>September</w:t>
      </w:r>
      <w:r w:rsidR="00601D5C" w:rsidRPr="00744FD1">
        <w:rPr>
          <w:rStyle w:val="Strong"/>
          <w:sz w:val="36"/>
          <w:szCs w:val="36"/>
          <w:lang w:eastAsia="en-AU"/>
        </w:rPr>
        <w:t xml:space="preserve"> </w:t>
      </w:r>
      <w:r w:rsidR="000E12CB" w:rsidRPr="00744FD1">
        <w:rPr>
          <w:rStyle w:val="Strong"/>
          <w:sz w:val="36"/>
          <w:szCs w:val="36"/>
          <w:lang w:eastAsia="en-AU"/>
        </w:rPr>
        <w:t>202</w:t>
      </w:r>
      <w:r w:rsidR="000E12CB">
        <w:rPr>
          <w:rStyle w:val="Strong"/>
          <w:sz w:val="36"/>
          <w:szCs w:val="36"/>
          <w:lang w:eastAsia="en-AU"/>
        </w:rPr>
        <w:t>2</w:t>
      </w:r>
    </w:p>
    <w:p w14:paraId="4A5AB0C5" w14:textId="77777777" w:rsidR="00F201D6" w:rsidRDefault="00F201D6" w:rsidP="00F5568B">
      <w:pPr>
        <w:rPr>
          <w:rStyle w:val="Strong"/>
          <w:lang w:eastAsia="en-AU"/>
        </w:rPr>
      </w:pPr>
    </w:p>
    <w:p w14:paraId="6896DC43" w14:textId="77EF1C2D" w:rsidR="00A3795F" w:rsidRDefault="00A3795F">
      <w:pPr>
        <w:rPr>
          <w:rStyle w:val="Strong"/>
          <w:lang w:eastAsia="en-AU"/>
        </w:rPr>
      </w:pPr>
      <w:r>
        <w:rPr>
          <w:rStyle w:val="Strong"/>
          <w:lang w:eastAsia="en-AU"/>
        </w:rPr>
        <w:br w:type="page"/>
      </w:r>
    </w:p>
    <w:p w14:paraId="3EC063B3" w14:textId="2C71E351" w:rsidR="00F35348" w:rsidRDefault="00BD1790" w:rsidP="00F35348">
      <w:pPr>
        <w:pStyle w:val="Heading1"/>
        <w:rPr>
          <w:rFonts w:ascii="Arial" w:hAnsi="Arial" w:cs="Arial"/>
          <w:color w:val="44C1A3"/>
          <w:szCs w:val="36"/>
        </w:rPr>
      </w:pPr>
      <w:r>
        <w:rPr>
          <w:rFonts w:ascii="Arial" w:hAnsi="Arial" w:cs="Arial"/>
          <w:color w:val="44C1A3"/>
          <w:szCs w:val="36"/>
        </w:rPr>
        <w:lastRenderedPageBreak/>
        <w:t>Acknowledgements</w:t>
      </w:r>
    </w:p>
    <w:p w14:paraId="1036FD20" w14:textId="0AEFBD0A" w:rsidR="000E01D7" w:rsidRPr="000E01D7" w:rsidRDefault="00BD1790" w:rsidP="00F35348">
      <w:pPr>
        <w:pStyle w:val="Body"/>
        <w:rPr>
          <w:spacing w:val="2"/>
        </w:rPr>
      </w:pPr>
      <w:r>
        <w:rPr>
          <w:spacing w:val="2"/>
        </w:rPr>
        <w:t xml:space="preserve">The </w:t>
      </w:r>
      <w:proofErr w:type="spellStart"/>
      <w:r w:rsidR="000E01D7">
        <w:rPr>
          <w:spacing w:val="2"/>
        </w:rPr>
        <w:t>Yarra</w:t>
      </w:r>
      <w:proofErr w:type="spellEnd"/>
      <w:r>
        <w:rPr>
          <w:spacing w:val="2"/>
        </w:rPr>
        <w:t xml:space="preserve"> Catchment Integrated Water Management Plan has been developed by the </w:t>
      </w:r>
      <w:proofErr w:type="spellStart"/>
      <w:r w:rsidR="000E01D7">
        <w:rPr>
          <w:spacing w:val="2"/>
        </w:rPr>
        <w:t>Yarra</w:t>
      </w:r>
      <w:proofErr w:type="spellEnd"/>
      <w:r>
        <w:rPr>
          <w:spacing w:val="2"/>
        </w:rPr>
        <w:t xml:space="preserve"> Integrated Water </w:t>
      </w:r>
      <w:r>
        <w:t xml:space="preserve">Management </w:t>
      </w:r>
      <w:r w:rsidR="00575BA6">
        <w:t xml:space="preserve">(IWM) </w:t>
      </w:r>
      <w:r>
        <w:t xml:space="preserve">Forum. Members of this Forum include the Chief Executive </w:t>
      </w:r>
      <w:r>
        <w:rPr>
          <w:spacing w:val="2"/>
        </w:rPr>
        <w:t>Officers and Managing Directors of the following organisations:</w:t>
      </w:r>
    </w:p>
    <w:p w14:paraId="54794E36" w14:textId="77777777" w:rsidR="000E01D7" w:rsidRPr="000E01D7" w:rsidRDefault="000E01D7" w:rsidP="000E01D7">
      <w:pPr>
        <w:pStyle w:val="Body"/>
        <w:rPr>
          <w:spacing w:val="-2"/>
          <w:sz w:val="16"/>
          <w:szCs w:val="16"/>
        </w:rPr>
      </w:pPr>
      <w:r w:rsidRPr="000E01D7">
        <w:rPr>
          <w:spacing w:val="-2"/>
          <w:sz w:val="16"/>
          <w:szCs w:val="16"/>
        </w:rPr>
        <w:t xml:space="preserve">Banyule City Council </w:t>
      </w:r>
    </w:p>
    <w:p w14:paraId="4CBA5E16" w14:textId="77777777" w:rsidR="000E01D7" w:rsidRPr="000E01D7" w:rsidRDefault="000E01D7" w:rsidP="000E01D7">
      <w:pPr>
        <w:pStyle w:val="Body"/>
        <w:rPr>
          <w:spacing w:val="-2"/>
          <w:sz w:val="16"/>
          <w:szCs w:val="16"/>
        </w:rPr>
      </w:pPr>
      <w:r w:rsidRPr="000E01D7">
        <w:rPr>
          <w:spacing w:val="-2"/>
          <w:sz w:val="16"/>
          <w:szCs w:val="16"/>
        </w:rPr>
        <w:t xml:space="preserve">Boroondara City Council </w:t>
      </w:r>
    </w:p>
    <w:p w14:paraId="24B83E1F" w14:textId="77777777" w:rsidR="000E01D7" w:rsidRPr="000E01D7" w:rsidRDefault="000E01D7" w:rsidP="000E01D7">
      <w:pPr>
        <w:pStyle w:val="Body"/>
        <w:rPr>
          <w:spacing w:val="-2"/>
          <w:sz w:val="16"/>
          <w:szCs w:val="16"/>
        </w:rPr>
      </w:pPr>
      <w:r w:rsidRPr="000E01D7">
        <w:rPr>
          <w:spacing w:val="-2"/>
          <w:sz w:val="16"/>
          <w:szCs w:val="16"/>
        </w:rPr>
        <w:t xml:space="preserve">Bunurong Land Council Aboriginal Corporation </w:t>
      </w:r>
    </w:p>
    <w:p w14:paraId="2319A61F" w14:textId="77777777" w:rsidR="000E01D7" w:rsidRPr="000E01D7" w:rsidRDefault="000E01D7" w:rsidP="000E01D7">
      <w:pPr>
        <w:pStyle w:val="Body"/>
        <w:rPr>
          <w:spacing w:val="-2"/>
          <w:sz w:val="16"/>
          <w:szCs w:val="16"/>
        </w:rPr>
      </w:pPr>
      <w:r w:rsidRPr="000E01D7">
        <w:rPr>
          <w:spacing w:val="-2"/>
          <w:sz w:val="16"/>
          <w:szCs w:val="16"/>
        </w:rPr>
        <w:t xml:space="preserve">City of Melbourne </w:t>
      </w:r>
    </w:p>
    <w:p w14:paraId="2A06C9A8" w14:textId="77777777" w:rsidR="000E01D7" w:rsidRPr="000E01D7" w:rsidRDefault="000E01D7" w:rsidP="000E01D7">
      <w:pPr>
        <w:pStyle w:val="Body"/>
        <w:rPr>
          <w:spacing w:val="-2"/>
          <w:sz w:val="16"/>
          <w:szCs w:val="16"/>
        </w:rPr>
      </w:pPr>
      <w:r w:rsidRPr="000E01D7">
        <w:rPr>
          <w:spacing w:val="-2"/>
          <w:sz w:val="16"/>
          <w:szCs w:val="16"/>
        </w:rPr>
        <w:t xml:space="preserve">City of Port Phillip </w:t>
      </w:r>
    </w:p>
    <w:p w14:paraId="6172F610" w14:textId="187B1E12" w:rsidR="000E01D7" w:rsidRDefault="000E01D7" w:rsidP="000E01D7">
      <w:pPr>
        <w:pStyle w:val="Body"/>
        <w:rPr>
          <w:spacing w:val="-2"/>
          <w:sz w:val="16"/>
          <w:szCs w:val="16"/>
        </w:rPr>
      </w:pPr>
      <w:r w:rsidRPr="000E01D7">
        <w:rPr>
          <w:spacing w:val="-2"/>
          <w:sz w:val="16"/>
          <w:szCs w:val="16"/>
        </w:rPr>
        <w:t xml:space="preserve">City of Whittlesea </w:t>
      </w:r>
    </w:p>
    <w:p w14:paraId="463D4F9C" w14:textId="19894446" w:rsidR="00C257B0" w:rsidRPr="000E01D7" w:rsidRDefault="00C257B0" w:rsidP="000E01D7">
      <w:pPr>
        <w:pStyle w:val="Body"/>
        <w:rPr>
          <w:spacing w:val="-2"/>
          <w:sz w:val="16"/>
          <w:szCs w:val="16"/>
        </w:rPr>
      </w:pPr>
      <w:r>
        <w:rPr>
          <w:spacing w:val="-2"/>
          <w:sz w:val="16"/>
          <w:szCs w:val="16"/>
        </w:rPr>
        <w:t xml:space="preserve">City of </w:t>
      </w:r>
      <w:proofErr w:type="spellStart"/>
      <w:r>
        <w:rPr>
          <w:spacing w:val="-2"/>
          <w:sz w:val="16"/>
          <w:szCs w:val="16"/>
        </w:rPr>
        <w:t>Yarra</w:t>
      </w:r>
      <w:proofErr w:type="spellEnd"/>
    </w:p>
    <w:p w14:paraId="1256C152" w14:textId="7E20567B" w:rsidR="000E01D7" w:rsidRPr="000E01D7" w:rsidRDefault="000E01D7" w:rsidP="000E01D7">
      <w:pPr>
        <w:pStyle w:val="Body"/>
        <w:rPr>
          <w:spacing w:val="-2"/>
          <w:sz w:val="16"/>
          <w:szCs w:val="16"/>
        </w:rPr>
      </w:pPr>
      <w:r w:rsidRPr="00960BBC">
        <w:rPr>
          <w:spacing w:val="-2"/>
          <w:sz w:val="16"/>
          <w:szCs w:val="16"/>
        </w:rPr>
        <w:t>Greater Western Water</w:t>
      </w:r>
      <w:r w:rsidR="00B31592">
        <w:rPr>
          <w:spacing w:val="-2"/>
          <w:sz w:val="16"/>
          <w:szCs w:val="16"/>
        </w:rPr>
        <w:t xml:space="preserve"> (previously City West Water and Western Water)</w:t>
      </w:r>
    </w:p>
    <w:p w14:paraId="254323C8" w14:textId="77777777" w:rsidR="000E01D7" w:rsidRPr="000E01D7" w:rsidRDefault="000E01D7" w:rsidP="000E01D7">
      <w:pPr>
        <w:pStyle w:val="Body"/>
        <w:rPr>
          <w:spacing w:val="-2"/>
          <w:sz w:val="16"/>
          <w:szCs w:val="16"/>
        </w:rPr>
      </w:pPr>
      <w:r w:rsidRPr="000E01D7">
        <w:rPr>
          <w:spacing w:val="-2"/>
          <w:sz w:val="16"/>
          <w:szCs w:val="16"/>
        </w:rPr>
        <w:t>Darebin City Council</w:t>
      </w:r>
    </w:p>
    <w:p w14:paraId="1BC083F4" w14:textId="6A48CC48" w:rsidR="000E01D7" w:rsidRPr="000E01D7" w:rsidRDefault="000E01D7" w:rsidP="000E01D7">
      <w:pPr>
        <w:pStyle w:val="Body"/>
        <w:rPr>
          <w:spacing w:val="-2"/>
          <w:sz w:val="16"/>
          <w:szCs w:val="16"/>
        </w:rPr>
      </w:pPr>
      <w:r w:rsidRPr="000E01D7">
        <w:rPr>
          <w:spacing w:val="-2"/>
          <w:sz w:val="16"/>
          <w:szCs w:val="16"/>
        </w:rPr>
        <w:t>Department of Environment, Land, Water and Planning</w:t>
      </w:r>
      <w:r>
        <w:rPr>
          <w:spacing w:val="-2"/>
          <w:sz w:val="16"/>
          <w:szCs w:val="16"/>
        </w:rPr>
        <w:t>, State Government of Victoria</w:t>
      </w:r>
    </w:p>
    <w:p w14:paraId="4392E861" w14:textId="77777777" w:rsidR="000E01D7" w:rsidRPr="000E01D7" w:rsidRDefault="000E01D7" w:rsidP="000E01D7">
      <w:pPr>
        <w:pStyle w:val="Body"/>
        <w:rPr>
          <w:spacing w:val="-2"/>
          <w:sz w:val="16"/>
          <w:szCs w:val="16"/>
        </w:rPr>
      </w:pPr>
      <w:r w:rsidRPr="000E01D7">
        <w:rPr>
          <w:spacing w:val="-2"/>
          <w:sz w:val="16"/>
          <w:szCs w:val="16"/>
        </w:rPr>
        <w:t xml:space="preserve">Glen Eira City Council </w:t>
      </w:r>
    </w:p>
    <w:p w14:paraId="75E9A8AD" w14:textId="77777777" w:rsidR="000E01D7" w:rsidRPr="000E01D7" w:rsidRDefault="000E01D7" w:rsidP="000E01D7">
      <w:pPr>
        <w:pStyle w:val="Body"/>
        <w:rPr>
          <w:spacing w:val="-2"/>
          <w:sz w:val="16"/>
          <w:szCs w:val="16"/>
        </w:rPr>
      </w:pPr>
      <w:r w:rsidRPr="000E01D7">
        <w:rPr>
          <w:spacing w:val="-2"/>
          <w:sz w:val="16"/>
          <w:szCs w:val="16"/>
        </w:rPr>
        <w:t xml:space="preserve">Hume City Council </w:t>
      </w:r>
    </w:p>
    <w:p w14:paraId="1FF8F414" w14:textId="77777777" w:rsidR="000E01D7" w:rsidRPr="000E01D7" w:rsidRDefault="000E01D7" w:rsidP="000E01D7">
      <w:pPr>
        <w:pStyle w:val="Body"/>
        <w:rPr>
          <w:spacing w:val="-2"/>
          <w:sz w:val="16"/>
          <w:szCs w:val="16"/>
        </w:rPr>
      </w:pPr>
      <w:r w:rsidRPr="000E01D7">
        <w:rPr>
          <w:spacing w:val="-2"/>
          <w:sz w:val="16"/>
          <w:szCs w:val="16"/>
        </w:rPr>
        <w:t xml:space="preserve">Manningham City Council </w:t>
      </w:r>
    </w:p>
    <w:p w14:paraId="2CB8673A" w14:textId="77777777" w:rsidR="000E01D7" w:rsidRPr="000E01D7" w:rsidRDefault="000E01D7" w:rsidP="000E01D7">
      <w:pPr>
        <w:pStyle w:val="Body"/>
        <w:rPr>
          <w:spacing w:val="-2"/>
          <w:sz w:val="16"/>
          <w:szCs w:val="16"/>
        </w:rPr>
      </w:pPr>
      <w:r w:rsidRPr="000E01D7">
        <w:rPr>
          <w:spacing w:val="-2"/>
          <w:sz w:val="16"/>
          <w:szCs w:val="16"/>
        </w:rPr>
        <w:t xml:space="preserve">Maroondah City Council </w:t>
      </w:r>
    </w:p>
    <w:p w14:paraId="395CEC3F" w14:textId="77777777" w:rsidR="000E01D7" w:rsidRPr="000E01D7" w:rsidRDefault="000E01D7" w:rsidP="000E01D7">
      <w:pPr>
        <w:pStyle w:val="Body"/>
        <w:rPr>
          <w:spacing w:val="-2"/>
          <w:sz w:val="16"/>
          <w:szCs w:val="16"/>
        </w:rPr>
      </w:pPr>
      <w:r w:rsidRPr="000E01D7">
        <w:rPr>
          <w:spacing w:val="-2"/>
          <w:sz w:val="16"/>
          <w:szCs w:val="16"/>
        </w:rPr>
        <w:t xml:space="preserve">Melbourne Water Corporation </w:t>
      </w:r>
    </w:p>
    <w:p w14:paraId="3CDFEE00" w14:textId="77777777" w:rsidR="000E01D7" w:rsidRPr="000E01D7" w:rsidRDefault="000E01D7" w:rsidP="000E01D7">
      <w:pPr>
        <w:pStyle w:val="Body"/>
        <w:rPr>
          <w:spacing w:val="-2"/>
          <w:sz w:val="16"/>
          <w:szCs w:val="16"/>
        </w:rPr>
      </w:pPr>
      <w:r w:rsidRPr="000E01D7">
        <w:rPr>
          <w:spacing w:val="-2"/>
          <w:sz w:val="16"/>
          <w:szCs w:val="16"/>
        </w:rPr>
        <w:t xml:space="preserve">Mitchell Shire Council </w:t>
      </w:r>
    </w:p>
    <w:p w14:paraId="75BA49EB" w14:textId="77777777" w:rsidR="000E01D7" w:rsidRPr="000E01D7" w:rsidRDefault="000E01D7" w:rsidP="000E01D7">
      <w:pPr>
        <w:pStyle w:val="Body"/>
        <w:rPr>
          <w:spacing w:val="-2"/>
          <w:sz w:val="16"/>
          <w:szCs w:val="16"/>
        </w:rPr>
      </w:pPr>
      <w:r w:rsidRPr="000E01D7">
        <w:rPr>
          <w:spacing w:val="-2"/>
          <w:sz w:val="16"/>
          <w:szCs w:val="16"/>
        </w:rPr>
        <w:t xml:space="preserve">Monash City Council </w:t>
      </w:r>
    </w:p>
    <w:p w14:paraId="06B2A6FF" w14:textId="62AAEE6B" w:rsidR="000E01D7" w:rsidRPr="000E01D7" w:rsidRDefault="00DB6C9D" w:rsidP="000E01D7">
      <w:pPr>
        <w:pStyle w:val="Body"/>
        <w:rPr>
          <w:spacing w:val="-2"/>
          <w:sz w:val="16"/>
          <w:szCs w:val="16"/>
        </w:rPr>
      </w:pPr>
      <w:r>
        <w:rPr>
          <w:spacing w:val="-2"/>
          <w:sz w:val="16"/>
          <w:szCs w:val="16"/>
        </w:rPr>
        <w:t>Merri-</w:t>
      </w:r>
      <w:proofErr w:type="spellStart"/>
      <w:r>
        <w:rPr>
          <w:spacing w:val="-2"/>
          <w:sz w:val="16"/>
          <w:szCs w:val="16"/>
        </w:rPr>
        <w:t>bek</w:t>
      </w:r>
      <w:proofErr w:type="spellEnd"/>
      <w:r>
        <w:rPr>
          <w:spacing w:val="-2"/>
          <w:sz w:val="16"/>
          <w:szCs w:val="16"/>
        </w:rPr>
        <w:t xml:space="preserve"> City Council (formerly </w:t>
      </w:r>
      <w:r w:rsidR="000E01D7" w:rsidRPr="000E01D7">
        <w:rPr>
          <w:spacing w:val="-2"/>
          <w:sz w:val="16"/>
          <w:szCs w:val="16"/>
        </w:rPr>
        <w:t>Moreland City Council</w:t>
      </w:r>
      <w:r>
        <w:rPr>
          <w:spacing w:val="-2"/>
          <w:sz w:val="16"/>
          <w:szCs w:val="16"/>
        </w:rPr>
        <w:t>)</w:t>
      </w:r>
    </w:p>
    <w:p w14:paraId="0EBD4A66" w14:textId="77777777" w:rsidR="000E01D7" w:rsidRPr="000E01D7" w:rsidRDefault="000E01D7" w:rsidP="000E01D7">
      <w:pPr>
        <w:pStyle w:val="Body"/>
        <w:rPr>
          <w:spacing w:val="-2"/>
          <w:sz w:val="16"/>
          <w:szCs w:val="16"/>
        </w:rPr>
      </w:pPr>
      <w:r w:rsidRPr="000E01D7">
        <w:rPr>
          <w:spacing w:val="-2"/>
          <w:sz w:val="16"/>
          <w:szCs w:val="16"/>
        </w:rPr>
        <w:t xml:space="preserve">Nillumbik Shire Council </w:t>
      </w:r>
    </w:p>
    <w:p w14:paraId="0EDBE2A8" w14:textId="2163D1FF" w:rsidR="000E01D7" w:rsidRPr="000E01D7" w:rsidRDefault="000E01D7" w:rsidP="000E01D7">
      <w:pPr>
        <w:pStyle w:val="Body"/>
        <w:rPr>
          <w:spacing w:val="-2"/>
          <w:sz w:val="16"/>
          <w:szCs w:val="16"/>
        </w:rPr>
      </w:pPr>
      <w:r w:rsidRPr="000E01D7">
        <w:rPr>
          <w:spacing w:val="-2"/>
          <w:sz w:val="16"/>
          <w:szCs w:val="16"/>
        </w:rPr>
        <w:t xml:space="preserve">Port Phillip and Westernport Catchment Management Authority </w:t>
      </w:r>
      <w:r>
        <w:rPr>
          <w:spacing w:val="-2"/>
          <w:sz w:val="16"/>
          <w:szCs w:val="16"/>
        </w:rPr>
        <w:t>(Melbourne Water from 2022)</w:t>
      </w:r>
    </w:p>
    <w:p w14:paraId="2492F1F8" w14:textId="77777777" w:rsidR="000E01D7" w:rsidRPr="000E01D7" w:rsidRDefault="000E01D7" w:rsidP="000E01D7">
      <w:pPr>
        <w:pStyle w:val="Body"/>
        <w:rPr>
          <w:spacing w:val="-2"/>
          <w:sz w:val="16"/>
          <w:szCs w:val="16"/>
        </w:rPr>
      </w:pPr>
      <w:r w:rsidRPr="000E01D7">
        <w:rPr>
          <w:spacing w:val="-2"/>
          <w:sz w:val="16"/>
          <w:szCs w:val="16"/>
        </w:rPr>
        <w:t xml:space="preserve">South East Water Corporation </w:t>
      </w:r>
    </w:p>
    <w:p w14:paraId="34596DA5" w14:textId="77777777" w:rsidR="000E01D7" w:rsidRPr="000E01D7" w:rsidRDefault="000E01D7" w:rsidP="000E01D7">
      <w:pPr>
        <w:pStyle w:val="Body"/>
        <w:rPr>
          <w:spacing w:val="-2"/>
          <w:sz w:val="16"/>
          <w:szCs w:val="16"/>
        </w:rPr>
      </w:pPr>
      <w:r w:rsidRPr="000E01D7">
        <w:rPr>
          <w:spacing w:val="-2"/>
          <w:sz w:val="16"/>
          <w:szCs w:val="16"/>
        </w:rPr>
        <w:t xml:space="preserve">Southern Rural Water Corporation </w:t>
      </w:r>
    </w:p>
    <w:p w14:paraId="65D00F68" w14:textId="77777777" w:rsidR="000E01D7" w:rsidRPr="000E01D7" w:rsidRDefault="000E01D7" w:rsidP="000E01D7">
      <w:pPr>
        <w:pStyle w:val="Body"/>
        <w:rPr>
          <w:spacing w:val="-2"/>
          <w:sz w:val="16"/>
          <w:szCs w:val="16"/>
        </w:rPr>
      </w:pPr>
      <w:proofErr w:type="spellStart"/>
      <w:r w:rsidRPr="000E01D7">
        <w:rPr>
          <w:spacing w:val="-2"/>
          <w:sz w:val="16"/>
          <w:szCs w:val="16"/>
        </w:rPr>
        <w:t>Stonnington</w:t>
      </w:r>
      <w:proofErr w:type="spellEnd"/>
      <w:r w:rsidRPr="000E01D7">
        <w:rPr>
          <w:spacing w:val="-2"/>
          <w:sz w:val="16"/>
          <w:szCs w:val="16"/>
        </w:rPr>
        <w:t xml:space="preserve"> City Council </w:t>
      </w:r>
    </w:p>
    <w:p w14:paraId="79EBF905" w14:textId="77777777" w:rsidR="000E01D7" w:rsidRPr="000E01D7" w:rsidRDefault="000E01D7" w:rsidP="000E01D7">
      <w:pPr>
        <w:pStyle w:val="Body"/>
        <w:rPr>
          <w:spacing w:val="-2"/>
          <w:sz w:val="16"/>
          <w:szCs w:val="16"/>
        </w:rPr>
      </w:pPr>
      <w:r w:rsidRPr="000E01D7">
        <w:rPr>
          <w:spacing w:val="-2"/>
          <w:sz w:val="16"/>
          <w:szCs w:val="16"/>
        </w:rPr>
        <w:t xml:space="preserve">Victorian Planning Authority </w:t>
      </w:r>
    </w:p>
    <w:p w14:paraId="6CBD38C3" w14:textId="1B310A54" w:rsidR="000E01D7" w:rsidRDefault="000E01D7" w:rsidP="000E01D7">
      <w:pPr>
        <w:pStyle w:val="Body"/>
        <w:rPr>
          <w:spacing w:val="-2"/>
          <w:sz w:val="16"/>
          <w:szCs w:val="16"/>
        </w:rPr>
      </w:pPr>
      <w:r w:rsidRPr="000E01D7">
        <w:rPr>
          <w:spacing w:val="-2"/>
          <w:sz w:val="16"/>
          <w:szCs w:val="16"/>
        </w:rPr>
        <w:t xml:space="preserve">Whitehorse City Council </w:t>
      </w:r>
    </w:p>
    <w:p w14:paraId="4365EE04" w14:textId="3834AC65" w:rsidR="000E01D7" w:rsidRDefault="000E01D7" w:rsidP="000E01D7">
      <w:pPr>
        <w:pStyle w:val="Body"/>
        <w:rPr>
          <w:spacing w:val="-2"/>
          <w:sz w:val="16"/>
          <w:szCs w:val="16"/>
        </w:rPr>
      </w:pPr>
      <w:proofErr w:type="spellStart"/>
      <w:r w:rsidRPr="00960BBC">
        <w:rPr>
          <w:spacing w:val="-2"/>
          <w:sz w:val="16"/>
          <w:szCs w:val="16"/>
        </w:rPr>
        <w:t>Wurundjeri</w:t>
      </w:r>
      <w:proofErr w:type="spellEnd"/>
      <w:r w:rsidRPr="00960BBC">
        <w:rPr>
          <w:spacing w:val="-2"/>
          <w:sz w:val="16"/>
          <w:szCs w:val="16"/>
        </w:rPr>
        <w:t xml:space="preserve"> </w:t>
      </w:r>
      <w:proofErr w:type="spellStart"/>
      <w:r w:rsidRPr="00960BBC">
        <w:rPr>
          <w:spacing w:val="-2"/>
          <w:sz w:val="16"/>
          <w:szCs w:val="16"/>
        </w:rPr>
        <w:t>Woi</w:t>
      </w:r>
      <w:proofErr w:type="spellEnd"/>
      <w:r w:rsidRPr="00960BBC">
        <w:rPr>
          <w:spacing w:val="-2"/>
          <w:sz w:val="16"/>
          <w:szCs w:val="16"/>
        </w:rPr>
        <w:t xml:space="preserve"> Wurrung Cultural Heritage Aboriginal Corporation</w:t>
      </w:r>
    </w:p>
    <w:p w14:paraId="31BC7F2F" w14:textId="77777777" w:rsidR="00C257B0" w:rsidRPr="00C257B0" w:rsidRDefault="00C257B0" w:rsidP="00C257B0">
      <w:pPr>
        <w:pStyle w:val="Body"/>
        <w:rPr>
          <w:spacing w:val="-2"/>
          <w:sz w:val="16"/>
          <w:szCs w:val="16"/>
        </w:rPr>
      </w:pPr>
      <w:proofErr w:type="spellStart"/>
      <w:r w:rsidRPr="00C257B0">
        <w:rPr>
          <w:spacing w:val="-2"/>
          <w:sz w:val="16"/>
          <w:szCs w:val="16"/>
        </w:rPr>
        <w:t>Yarra</w:t>
      </w:r>
      <w:proofErr w:type="spellEnd"/>
      <w:r w:rsidRPr="00C257B0">
        <w:rPr>
          <w:spacing w:val="-2"/>
          <w:sz w:val="16"/>
          <w:szCs w:val="16"/>
        </w:rPr>
        <w:t xml:space="preserve"> Ranges Council </w:t>
      </w:r>
    </w:p>
    <w:p w14:paraId="228024FF" w14:textId="105A0D85" w:rsidR="000E01D7" w:rsidRPr="00744FD1" w:rsidRDefault="00C257B0" w:rsidP="00F35348">
      <w:pPr>
        <w:pStyle w:val="Body"/>
        <w:rPr>
          <w:spacing w:val="-2"/>
          <w:sz w:val="16"/>
          <w:szCs w:val="16"/>
        </w:rPr>
      </w:pPr>
      <w:proofErr w:type="spellStart"/>
      <w:r w:rsidRPr="00C257B0">
        <w:rPr>
          <w:spacing w:val="-2"/>
          <w:sz w:val="16"/>
          <w:szCs w:val="16"/>
        </w:rPr>
        <w:t>Yarra</w:t>
      </w:r>
      <w:proofErr w:type="spellEnd"/>
      <w:r w:rsidRPr="00C257B0">
        <w:rPr>
          <w:spacing w:val="-2"/>
          <w:sz w:val="16"/>
          <w:szCs w:val="16"/>
        </w:rPr>
        <w:t xml:space="preserve"> Valley Water</w:t>
      </w:r>
    </w:p>
    <w:p w14:paraId="5C4270B5" w14:textId="458D5233" w:rsidR="00272D38" w:rsidRPr="00272D38" w:rsidRDefault="00F35348" w:rsidP="00BD1790">
      <w:pPr>
        <w:pStyle w:val="Body"/>
        <w:rPr>
          <w:spacing w:val="-2"/>
          <w:sz w:val="16"/>
          <w:szCs w:val="16"/>
        </w:rPr>
      </w:pPr>
      <w:r>
        <w:rPr>
          <w:spacing w:val="2"/>
        </w:rPr>
        <w:t>This plan represents the collective vision and intent of the</w:t>
      </w:r>
      <w:r w:rsidR="001B2AB2">
        <w:rPr>
          <w:spacing w:val="2"/>
        </w:rPr>
        <w:t xml:space="preserve"> </w:t>
      </w:r>
      <w:proofErr w:type="spellStart"/>
      <w:r w:rsidR="001B2AB2">
        <w:rPr>
          <w:spacing w:val="2"/>
        </w:rPr>
        <w:t>Yarra</w:t>
      </w:r>
      <w:proofErr w:type="spellEnd"/>
      <w:r w:rsidR="001B2AB2">
        <w:rPr>
          <w:spacing w:val="2"/>
        </w:rPr>
        <w:t xml:space="preserve"> IWM Forum </w:t>
      </w:r>
      <w:r w:rsidR="00272D38">
        <w:rPr>
          <w:spacing w:val="2"/>
        </w:rPr>
        <w:t>and</w:t>
      </w:r>
      <w:r>
        <w:rPr>
          <w:spacing w:val="2"/>
        </w:rPr>
        <w:t xml:space="preserve"> has been developed through a collaborative process</w:t>
      </w:r>
      <w:r w:rsidR="006216F9">
        <w:rPr>
          <w:spacing w:val="2"/>
        </w:rPr>
        <w:t xml:space="preserve">. </w:t>
      </w:r>
      <w:r w:rsidR="00E85BD3" w:rsidRPr="00E85BD3">
        <w:rPr>
          <w:spacing w:val="2"/>
        </w:rPr>
        <w:t xml:space="preserve">As a highly complex area, touching on many different functions and responsibilities, it is likely </w:t>
      </w:r>
      <w:r w:rsidR="00E85BD3" w:rsidRPr="00E85BD3">
        <w:rPr>
          <w:spacing w:val="2"/>
        </w:rPr>
        <w:lastRenderedPageBreak/>
        <w:t>that the path to implementation will have to be adaptive and responsive to new evidence and opportunities that come to light. Accordingly, the Plans will remain dynamic, living documents.</w:t>
      </w:r>
      <w:r w:rsidR="00E85BD3">
        <w:rPr>
          <w:spacing w:val="2"/>
        </w:rPr>
        <w:t xml:space="preserve"> </w:t>
      </w:r>
      <w:r w:rsidR="00457BE5">
        <w:rPr>
          <w:spacing w:val="2"/>
        </w:rPr>
        <w:t xml:space="preserve">The </w:t>
      </w:r>
      <w:r w:rsidR="007B2289">
        <w:rPr>
          <w:spacing w:val="2"/>
        </w:rPr>
        <w:t xml:space="preserve">plan development </w:t>
      </w:r>
      <w:r w:rsidR="00457BE5">
        <w:rPr>
          <w:spacing w:val="2"/>
        </w:rPr>
        <w:t>process was</w:t>
      </w:r>
      <w:r w:rsidR="008629DE">
        <w:rPr>
          <w:spacing w:val="2"/>
        </w:rPr>
        <w:t xml:space="preserve"> </w:t>
      </w:r>
      <w:r w:rsidR="00227B79">
        <w:rPr>
          <w:spacing w:val="2"/>
        </w:rPr>
        <w:t>facilitated</w:t>
      </w:r>
      <w:r>
        <w:rPr>
          <w:spacing w:val="2"/>
        </w:rPr>
        <w:t xml:space="preserve"> by the Department of </w:t>
      </w:r>
      <w:r w:rsidRPr="00F35348">
        <w:rPr>
          <w:spacing w:val="2"/>
        </w:rPr>
        <w:t>Environment, Land, Water and Planning</w:t>
      </w:r>
      <w:r w:rsidR="00DB00B4">
        <w:rPr>
          <w:spacing w:val="2"/>
        </w:rPr>
        <w:t xml:space="preserve"> and overseen by the </w:t>
      </w:r>
      <w:proofErr w:type="spellStart"/>
      <w:r w:rsidR="000E01D7">
        <w:rPr>
          <w:spacing w:val="2"/>
        </w:rPr>
        <w:t>Yarra</w:t>
      </w:r>
      <w:proofErr w:type="spellEnd"/>
      <w:r w:rsidR="00575BA6">
        <w:rPr>
          <w:spacing w:val="2"/>
        </w:rPr>
        <w:t xml:space="preserve"> IWM Forum Working Group</w:t>
      </w:r>
      <w:r>
        <w:rPr>
          <w:spacing w:val="2"/>
        </w:rPr>
        <w:t xml:space="preserve">. </w:t>
      </w:r>
      <w:r w:rsidR="00272D38">
        <w:rPr>
          <w:spacing w:val="2"/>
        </w:rPr>
        <w:t xml:space="preserve">The Plan has been developed with </w:t>
      </w:r>
      <w:r w:rsidR="00272D38" w:rsidRPr="00F35348">
        <w:rPr>
          <w:spacing w:val="2"/>
        </w:rPr>
        <w:t>assistance from the Melbourne Catchments Consortium, led by E2Designlab, and supported by Spatial Vision, Tract, Rain Consulting, Water Futures Consulting, Flying Blue Fish and the Cooperative Research Centre for Water Sensitive Cities.</w:t>
      </w:r>
      <w:r w:rsidR="00272D38">
        <w:rPr>
          <w:spacing w:val="2"/>
        </w:rPr>
        <w:t xml:space="preserve"> </w:t>
      </w:r>
      <w:r w:rsidR="00272D38" w:rsidRPr="00F35348">
        <w:rPr>
          <w:spacing w:val="2"/>
        </w:rPr>
        <w:t xml:space="preserve">The </w:t>
      </w:r>
      <w:proofErr w:type="spellStart"/>
      <w:r w:rsidR="000E01D7">
        <w:rPr>
          <w:spacing w:val="2"/>
        </w:rPr>
        <w:t>Yarra</w:t>
      </w:r>
      <w:proofErr w:type="spellEnd"/>
      <w:r w:rsidR="00272D38" w:rsidRPr="00F35348">
        <w:rPr>
          <w:spacing w:val="2"/>
        </w:rPr>
        <w:t xml:space="preserve"> IWM Forum is grateful to the </w:t>
      </w:r>
      <w:proofErr w:type="spellStart"/>
      <w:r w:rsidR="000E01D7">
        <w:rPr>
          <w:spacing w:val="2"/>
        </w:rPr>
        <w:t>Yarra</w:t>
      </w:r>
      <w:proofErr w:type="spellEnd"/>
      <w:r w:rsidR="00272D38" w:rsidRPr="00F35348">
        <w:rPr>
          <w:spacing w:val="2"/>
        </w:rPr>
        <w:t xml:space="preserve"> IWM Working Group</w:t>
      </w:r>
      <w:r w:rsidR="00272D38">
        <w:rPr>
          <w:spacing w:val="2"/>
        </w:rPr>
        <w:t>, the Catchment Expert Groups, the Strategic Oversight Group and other advisors</w:t>
      </w:r>
      <w:r w:rsidR="00272D38" w:rsidRPr="00F35348">
        <w:rPr>
          <w:spacing w:val="2"/>
        </w:rPr>
        <w:t xml:space="preserve"> for the time and expertise they dedicated to guide the development of this </w:t>
      </w:r>
      <w:r w:rsidR="00272D38">
        <w:rPr>
          <w:spacing w:val="2"/>
        </w:rPr>
        <w:t>Plan</w:t>
      </w:r>
      <w:r w:rsidR="00272D38" w:rsidRPr="00F35348">
        <w:rPr>
          <w:spacing w:val="2"/>
        </w:rPr>
        <w:t>.</w:t>
      </w:r>
    </w:p>
    <w:p w14:paraId="431AB1D7" w14:textId="7F2693D2" w:rsidR="00744FD1" w:rsidRDefault="00744FD1" w:rsidP="00744FD1">
      <w:pPr>
        <w:pStyle w:val="Body"/>
      </w:pPr>
      <w:r>
        <w:t xml:space="preserve">The </w:t>
      </w:r>
      <w:proofErr w:type="spellStart"/>
      <w:r w:rsidR="000E01D7">
        <w:t>Yarra</w:t>
      </w:r>
      <w:proofErr w:type="spellEnd"/>
      <w:r>
        <w:t xml:space="preserve"> Catchment covers the traditional lands of the </w:t>
      </w:r>
      <w:proofErr w:type="spellStart"/>
      <w:r>
        <w:t>Wurundjeri</w:t>
      </w:r>
      <w:proofErr w:type="spellEnd"/>
      <w:r>
        <w:t xml:space="preserve"> </w:t>
      </w:r>
      <w:r w:rsidR="00730F99" w:rsidRPr="00730F99">
        <w:t xml:space="preserve">and Bunurong </w:t>
      </w:r>
      <w:r w:rsidR="00485722">
        <w:t>p</w:t>
      </w:r>
      <w:r w:rsidR="00730F99" w:rsidRPr="00730F99">
        <w:t>eoples</w:t>
      </w:r>
      <w:r>
        <w:t xml:space="preserve">. The </w:t>
      </w:r>
      <w:proofErr w:type="spellStart"/>
      <w:r w:rsidR="000E01D7">
        <w:t>Yarra</w:t>
      </w:r>
      <w:proofErr w:type="spellEnd"/>
      <w:r>
        <w:t xml:space="preserve"> IWM Forum acknowledges these Traditional Owners as traditional custodians who have managed land and water sustainably over thousands of generations and maintain an active connection to Country.</w:t>
      </w:r>
    </w:p>
    <w:p w14:paraId="76BF9567" w14:textId="77777777" w:rsidR="00BD1790" w:rsidRDefault="00BD1790" w:rsidP="00BD1790">
      <w:pPr>
        <w:pStyle w:val="Body"/>
        <w:rPr>
          <w:spacing w:val="2"/>
        </w:rPr>
      </w:pPr>
    </w:p>
    <w:p w14:paraId="1B780A01" w14:textId="67247B50" w:rsidR="00A3795F" w:rsidRDefault="00A3795F" w:rsidP="00F5568B">
      <w:pPr>
        <w:rPr>
          <w:rStyle w:val="Strong"/>
          <w:b w:val="0"/>
          <w:bCs w:val="0"/>
          <w:lang w:eastAsia="en-AU"/>
        </w:rPr>
      </w:pPr>
    </w:p>
    <w:p w14:paraId="07785CDF" w14:textId="77777777" w:rsidR="00A3795F" w:rsidRDefault="00A3795F">
      <w:pPr>
        <w:rPr>
          <w:rStyle w:val="Strong"/>
          <w:lang w:eastAsia="en-AU"/>
        </w:rPr>
      </w:pPr>
      <w:r>
        <w:rPr>
          <w:rStyle w:val="Strong"/>
          <w:lang w:eastAsia="en-AU"/>
        </w:rPr>
        <w:br w:type="page"/>
      </w:r>
    </w:p>
    <w:p w14:paraId="2BFC9B2D" w14:textId="22D5550E" w:rsidR="00A3795F" w:rsidRPr="00A3795F" w:rsidRDefault="00A3795F" w:rsidP="00A3795F">
      <w:pPr>
        <w:pStyle w:val="Heading1"/>
        <w:rPr>
          <w:rFonts w:ascii="Arial" w:hAnsi="Arial" w:cs="Arial"/>
          <w:b w:val="0"/>
          <w:bCs w:val="0"/>
          <w:color w:val="44C1A3"/>
          <w:szCs w:val="36"/>
        </w:rPr>
      </w:pPr>
      <w:r w:rsidRPr="00A3795F">
        <w:rPr>
          <w:rFonts w:ascii="Arial" w:hAnsi="Arial" w:cs="Arial"/>
          <w:b w:val="0"/>
          <w:bCs w:val="0"/>
          <w:color w:val="44C1A3"/>
          <w:szCs w:val="36"/>
        </w:rPr>
        <w:lastRenderedPageBreak/>
        <w:t>Driving integrated water management at a Catchment scale</w:t>
      </w:r>
    </w:p>
    <w:p w14:paraId="09144FF0" w14:textId="61A1595B" w:rsidR="00A3795F" w:rsidRDefault="00A3795F" w:rsidP="00F5568B">
      <w:pPr>
        <w:rPr>
          <w:rStyle w:val="Strong"/>
          <w:lang w:eastAsia="en-AU"/>
        </w:rPr>
      </w:pPr>
    </w:p>
    <w:p w14:paraId="6A520AFF" w14:textId="5BB2A7D3" w:rsidR="0027659B" w:rsidRDefault="0027659B" w:rsidP="0027659B">
      <w:pPr>
        <w:pStyle w:val="Body"/>
        <w:rPr>
          <w:rStyle w:val="Strong"/>
          <w:sz w:val="22"/>
          <w:szCs w:val="22"/>
        </w:rPr>
      </w:pPr>
      <w:r w:rsidRPr="00E55247">
        <w:rPr>
          <w:rStyle w:val="Strong"/>
          <w:sz w:val="22"/>
          <w:szCs w:val="22"/>
        </w:rPr>
        <w:t>Integrated Water Management (IWM) is a collaborative approach to water planning and management that brings together organisations with an interest in all aspects of the water cycle. It has the potential to provide greater value to our communities by identifying and leveraging opportunities to optimise outcomes.</w:t>
      </w:r>
    </w:p>
    <w:p w14:paraId="547571CB" w14:textId="53392267" w:rsidR="005D0218" w:rsidRPr="00E55247" w:rsidRDefault="007D5A4E" w:rsidP="0027659B">
      <w:pPr>
        <w:pStyle w:val="Body"/>
        <w:rPr>
          <w:rStyle w:val="Strong"/>
          <w:sz w:val="22"/>
          <w:szCs w:val="22"/>
        </w:rPr>
      </w:pPr>
      <w:r>
        <w:rPr>
          <w:rStyle w:val="Strong"/>
          <w:sz w:val="22"/>
          <w:szCs w:val="22"/>
        </w:rPr>
        <w:t xml:space="preserve">The </w:t>
      </w:r>
      <w:proofErr w:type="spellStart"/>
      <w:r w:rsidR="000E01D7">
        <w:rPr>
          <w:rStyle w:val="Strong"/>
          <w:sz w:val="22"/>
          <w:szCs w:val="22"/>
        </w:rPr>
        <w:t>Yarra</w:t>
      </w:r>
      <w:proofErr w:type="spellEnd"/>
      <w:r>
        <w:rPr>
          <w:rStyle w:val="Strong"/>
          <w:sz w:val="22"/>
          <w:szCs w:val="22"/>
        </w:rPr>
        <w:t xml:space="preserve"> Catchment IWM Plan will drive an integrated approach to water management that delivers clear outcomes for the Catchment. It </w:t>
      </w:r>
      <w:r w:rsidR="0006293B">
        <w:rPr>
          <w:rStyle w:val="Strong"/>
          <w:sz w:val="22"/>
          <w:szCs w:val="22"/>
        </w:rPr>
        <w:t>provides</w:t>
      </w:r>
      <w:r>
        <w:rPr>
          <w:rStyle w:val="Strong"/>
          <w:sz w:val="22"/>
          <w:szCs w:val="22"/>
        </w:rPr>
        <w:t xml:space="preserve"> </w:t>
      </w:r>
      <w:r w:rsidR="0006293B">
        <w:rPr>
          <w:rStyle w:val="Strong"/>
          <w:sz w:val="22"/>
          <w:szCs w:val="22"/>
        </w:rPr>
        <w:t>a</w:t>
      </w:r>
      <w:r>
        <w:rPr>
          <w:rStyle w:val="Strong"/>
          <w:sz w:val="22"/>
          <w:szCs w:val="22"/>
        </w:rPr>
        <w:t xml:space="preserve"> </w:t>
      </w:r>
      <w:r w:rsidR="0006293B">
        <w:rPr>
          <w:rStyle w:val="Strong"/>
          <w:sz w:val="22"/>
          <w:szCs w:val="22"/>
        </w:rPr>
        <w:t xml:space="preserve">consistent framework to </w:t>
      </w:r>
      <w:r w:rsidR="00E6094A">
        <w:rPr>
          <w:rStyle w:val="Strong"/>
          <w:sz w:val="22"/>
          <w:szCs w:val="22"/>
        </w:rPr>
        <w:t>coordinate</w:t>
      </w:r>
      <w:r w:rsidR="007C544C">
        <w:rPr>
          <w:rStyle w:val="Strong"/>
          <w:sz w:val="22"/>
          <w:szCs w:val="22"/>
        </w:rPr>
        <w:t xml:space="preserve"> </w:t>
      </w:r>
      <w:r w:rsidR="0006293B">
        <w:rPr>
          <w:rStyle w:val="Strong"/>
          <w:sz w:val="22"/>
          <w:szCs w:val="22"/>
        </w:rPr>
        <w:t>action by</w:t>
      </w:r>
      <w:r>
        <w:rPr>
          <w:rStyle w:val="Strong"/>
          <w:sz w:val="22"/>
          <w:szCs w:val="22"/>
        </w:rPr>
        <w:t xml:space="preserve"> all organisations involved in the management of the water cycle, working together towards a common vision.</w:t>
      </w:r>
    </w:p>
    <w:p w14:paraId="0948D878" w14:textId="58B92E77" w:rsidR="00E55247" w:rsidRPr="00E55247" w:rsidRDefault="00E55247" w:rsidP="00E55247">
      <w:pPr>
        <w:pStyle w:val="BodyText"/>
        <w:rPr>
          <w:rFonts w:ascii="Calibri" w:hAnsi="Calibri" w:cs="Arial"/>
          <w:iCs/>
          <w:color w:val="0989B1"/>
          <w:kern w:val="20"/>
          <w:sz w:val="24"/>
          <w:szCs w:val="28"/>
        </w:rPr>
      </w:pPr>
      <w:bookmarkStart w:id="0" w:name="_Toc71903485"/>
      <w:r w:rsidRPr="00E55247">
        <w:rPr>
          <w:rFonts w:ascii="Calibri" w:hAnsi="Calibri" w:cs="Arial"/>
          <w:b/>
          <w:bCs/>
          <w:iCs/>
          <w:color w:val="0989B1"/>
          <w:kern w:val="20"/>
          <w:sz w:val="24"/>
          <w:szCs w:val="28"/>
        </w:rPr>
        <w:t>A Catchment</w:t>
      </w:r>
      <w:r w:rsidR="00A0287C">
        <w:rPr>
          <w:rFonts w:ascii="Calibri" w:hAnsi="Calibri" w:cs="Arial"/>
          <w:b/>
          <w:bCs/>
          <w:iCs/>
          <w:color w:val="0989B1"/>
          <w:kern w:val="20"/>
          <w:sz w:val="24"/>
          <w:szCs w:val="28"/>
        </w:rPr>
        <w:t xml:space="preserve"> S</w:t>
      </w:r>
      <w:r w:rsidRPr="00E55247">
        <w:rPr>
          <w:rFonts w:ascii="Calibri" w:hAnsi="Calibri" w:cs="Arial"/>
          <w:b/>
          <w:bCs/>
          <w:iCs/>
          <w:color w:val="0989B1"/>
          <w:kern w:val="20"/>
          <w:sz w:val="24"/>
          <w:szCs w:val="28"/>
        </w:rPr>
        <w:t>cale IWM plan</w:t>
      </w:r>
      <w:bookmarkEnd w:id="0"/>
    </w:p>
    <w:p w14:paraId="5BF0F4BC" w14:textId="5095801E" w:rsidR="005D0218" w:rsidRDefault="00E55247" w:rsidP="00E55247">
      <w:pPr>
        <w:pStyle w:val="BodyText"/>
      </w:pPr>
      <w:r w:rsidRPr="00E55247">
        <w:t>By its very nature, IWM requires collaboration and cross-outcome thinking</w:t>
      </w:r>
      <w:r>
        <w:t>.</w:t>
      </w:r>
      <w:r w:rsidRPr="00E55247">
        <w:t xml:space="preserve"> Often, IWM planning </w:t>
      </w:r>
      <w:r w:rsidR="0006293B">
        <w:t>has</w:t>
      </w:r>
      <w:r w:rsidRPr="00E55247">
        <w:t xml:space="preserve"> focussed on specific development areas or organisational boundaries</w:t>
      </w:r>
      <w:r w:rsidR="00166195">
        <w:t xml:space="preserve">. </w:t>
      </w:r>
      <w:r w:rsidRPr="00E55247">
        <w:t>This has limited</w:t>
      </w:r>
      <w:r w:rsidR="00832731">
        <w:t xml:space="preserve"> </w:t>
      </w:r>
      <w:r w:rsidR="002E6079">
        <w:t xml:space="preserve">opportunities to </w:t>
      </w:r>
      <w:r w:rsidR="00990087">
        <w:t>work together to tackle</w:t>
      </w:r>
      <w:r w:rsidR="00C00402">
        <w:t xml:space="preserve"> </w:t>
      </w:r>
      <w:r w:rsidR="00DC6537">
        <w:t>trans</w:t>
      </w:r>
      <w:r w:rsidRPr="00E55247">
        <w:t>boundary issues</w:t>
      </w:r>
      <w:r w:rsidR="00166195">
        <w:t xml:space="preserve"> and recognise the connections across the water cycle at a larger scale</w:t>
      </w:r>
      <w:r w:rsidR="00744C5F">
        <w:t>.</w:t>
      </w:r>
      <w:r w:rsidR="00166195" w:rsidRPr="00166195">
        <w:t xml:space="preserve"> </w:t>
      </w:r>
      <w:r w:rsidR="00166195">
        <w:t>By planning for IWM at the catchment scale we have a unique to identify and progress strategic interventions that may not be feasible at smaller scales and to focus our attention where we can have the most impact.</w:t>
      </w:r>
      <w:r w:rsidR="00744C5F">
        <w:t xml:space="preserve"> </w:t>
      </w:r>
      <w:r w:rsidR="00166195">
        <w:t>This approach</w:t>
      </w:r>
      <w:r w:rsidRPr="00E55247">
        <w:t xml:space="preserve"> </w:t>
      </w:r>
      <w:r w:rsidR="0006293B">
        <w:t>was</w:t>
      </w:r>
      <w:r w:rsidRPr="00E55247">
        <w:t xml:space="preserve"> </w:t>
      </w:r>
      <w:r w:rsidR="0006293B">
        <w:t>introduced</w:t>
      </w:r>
      <w:r w:rsidRPr="00E55247">
        <w:t xml:space="preserve"> </w:t>
      </w:r>
      <w:r w:rsidR="0006293B">
        <w:t xml:space="preserve">in 2017 </w:t>
      </w:r>
      <w:r w:rsidRPr="00E55247">
        <w:t>through the Integrated Water Management Framework for Victoria</w:t>
      </w:r>
      <w:r w:rsidR="0000274D">
        <w:t>,</w:t>
      </w:r>
      <w:r w:rsidR="00140A15">
        <w:rPr>
          <w:vertAlign w:val="superscript"/>
        </w:rPr>
        <w:t>1</w:t>
      </w:r>
      <w:r>
        <w:rPr>
          <w:vertAlign w:val="superscript"/>
        </w:rPr>
        <w:t xml:space="preserve"> </w:t>
      </w:r>
      <w:r w:rsidR="0006293B">
        <w:t>and the</w:t>
      </w:r>
      <w:r>
        <w:t xml:space="preserve"> </w:t>
      </w:r>
      <w:r w:rsidR="0006293B">
        <w:t xml:space="preserve">subsequent </w:t>
      </w:r>
      <w:r>
        <w:t xml:space="preserve">formation of IWM Forums across the five major waterway Catchments in the Greater Metropolitan Melbourne </w:t>
      </w:r>
      <w:r w:rsidR="0067400B">
        <w:t>R</w:t>
      </w:r>
      <w:r w:rsidR="008F6D67">
        <w:t>egion:</w:t>
      </w:r>
      <w:r>
        <w:t xml:space="preserve"> </w:t>
      </w:r>
      <w:r w:rsidR="000E01D7">
        <w:rPr>
          <w:rFonts w:eastAsia="Calibri"/>
        </w:rPr>
        <w:t>Werribee</w:t>
      </w:r>
      <w:r w:rsidRPr="00FC787B">
        <w:rPr>
          <w:rFonts w:eastAsia="Calibri"/>
        </w:rPr>
        <w:t xml:space="preserve">, </w:t>
      </w:r>
      <w:r w:rsidR="000E01D7">
        <w:rPr>
          <w:rFonts w:eastAsia="Calibri"/>
        </w:rPr>
        <w:t>Maribyrnong</w:t>
      </w:r>
      <w:r w:rsidRPr="00FC787B">
        <w:rPr>
          <w:rFonts w:eastAsia="Calibri"/>
        </w:rPr>
        <w:t>, Yarra, Dandenong and Western Port.</w:t>
      </w:r>
      <w:r w:rsidR="00920EA8">
        <w:t xml:space="preserve"> </w:t>
      </w:r>
    </w:p>
    <w:p w14:paraId="5A1E8653" w14:textId="440AEB90" w:rsidR="00920EA8" w:rsidRDefault="003A23D5" w:rsidP="00E55247">
      <w:pPr>
        <w:pStyle w:val="BodyText"/>
      </w:pPr>
      <w:r w:rsidRPr="005D0218">
        <w:rPr>
          <w:rStyle w:val="Strong"/>
          <w:rFonts w:ascii="Gilroy" w:eastAsiaTheme="minorHAnsi" w:hAnsi="Gilroy" w:cs="Gilroy"/>
          <w:color w:val="000000"/>
          <w:sz w:val="22"/>
          <w:szCs w:val="22"/>
          <w:lang w:val="en-GB" w:eastAsia="en-US"/>
        </w:rPr>
        <w:t>The</w:t>
      </w:r>
      <w:r w:rsidR="00EF61E7">
        <w:rPr>
          <w:rStyle w:val="Strong"/>
          <w:rFonts w:ascii="Gilroy" w:eastAsiaTheme="minorHAnsi" w:hAnsi="Gilroy" w:cs="Gilroy"/>
          <w:color w:val="000000"/>
          <w:sz w:val="22"/>
          <w:szCs w:val="22"/>
          <w:lang w:val="en-GB" w:eastAsia="en-US"/>
        </w:rPr>
        <w:t xml:space="preserve"> </w:t>
      </w:r>
      <w:r w:rsidR="0065429C" w:rsidRPr="005D0218">
        <w:rPr>
          <w:rStyle w:val="Strong"/>
          <w:rFonts w:ascii="Gilroy" w:eastAsiaTheme="minorHAnsi" w:hAnsi="Gilroy" w:cs="Gilroy"/>
          <w:color w:val="000000"/>
          <w:sz w:val="22"/>
          <w:szCs w:val="22"/>
          <w:lang w:val="en-GB" w:eastAsia="en-US"/>
        </w:rPr>
        <w:t xml:space="preserve">IWM Forums </w:t>
      </w:r>
      <w:r w:rsidR="0065429C">
        <w:rPr>
          <w:rStyle w:val="Strong"/>
          <w:rFonts w:ascii="Gilroy" w:eastAsiaTheme="minorHAnsi" w:hAnsi="Gilroy" w:cs="Gilroy"/>
          <w:color w:val="000000"/>
          <w:sz w:val="22"/>
          <w:szCs w:val="22"/>
          <w:lang w:val="en-GB" w:eastAsia="en-US"/>
        </w:rPr>
        <w:t>are the</w:t>
      </w:r>
      <w:r w:rsidR="0065429C" w:rsidRPr="005D0218">
        <w:rPr>
          <w:rStyle w:val="Strong"/>
          <w:rFonts w:ascii="Gilroy" w:eastAsiaTheme="minorHAnsi" w:hAnsi="Gilroy" w:cs="Gilroy"/>
          <w:color w:val="000000"/>
          <w:sz w:val="22"/>
          <w:szCs w:val="22"/>
          <w:lang w:val="en-GB" w:eastAsia="en-US"/>
        </w:rPr>
        <w:t xml:space="preserve"> first of their kind in Australia </w:t>
      </w:r>
      <w:r w:rsidR="0065429C">
        <w:rPr>
          <w:rStyle w:val="Strong"/>
          <w:rFonts w:ascii="Gilroy" w:eastAsiaTheme="minorHAnsi" w:hAnsi="Gilroy" w:cs="Gilroy"/>
          <w:color w:val="000000"/>
          <w:sz w:val="22"/>
          <w:szCs w:val="22"/>
          <w:lang w:val="en-GB" w:eastAsia="en-US"/>
        </w:rPr>
        <w:t>and the</w:t>
      </w:r>
      <w:r w:rsidRPr="005D0218">
        <w:rPr>
          <w:rStyle w:val="Strong"/>
          <w:rFonts w:ascii="Gilroy" w:eastAsiaTheme="minorHAnsi" w:hAnsi="Gilroy" w:cs="Gilroy"/>
          <w:color w:val="000000"/>
          <w:sz w:val="22"/>
          <w:szCs w:val="22"/>
          <w:lang w:val="en-GB" w:eastAsia="en-US"/>
        </w:rPr>
        <w:t xml:space="preserve"> Catchment Scale IWM Plans </w:t>
      </w:r>
      <w:r w:rsidR="00E55247" w:rsidRPr="005D0218">
        <w:rPr>
          <w:rStyle w:val="Strong"/>
          <w:rFonts w:ascii="Gilroy" w:eastAsiaTheme="minorHAnsi" w:hAnsi="Gilroy" w:cs="Gilroy"/>
          <w:color w:val="000000"/>
          <w:sz w:val="22"/>
          <w:szCs w:val="22"/>
          <w:lang w:val="en-GB" w:eastAsia="en-US"/>
        </w:rPr>
        <w:t xml:space="preserve">for </w:t>
      </w:r>
      <w:r w:rsidRPr="005D0218">
        <w:rPr>
          <w:rStyle w:val="Strong"/>
          <w:rFonts w:ascii="Gilroy" w:eastAsiaTheme="minorHAnsi" w:hAnsi="Gilroy" w:cs="Gilroy"/>
          <w:color w:val="000000"/>
          <w:sz w:val="22"/>
          <w:szCs w:val="22"/>
          <w:lang w:val="en-GB" w:eastAsia="en-US"/>
        </w:rPr>
        <w:t xml:space="preserve">the Greater Metropolitan Melbourne </w:t>
      </w:r>
      <w:r w:rsidR="00E55247" w:rsidRPr="005D0218">
        <w:rPr>
          <w:rStyle w:val="Strong"/>
          <w:rFonts w:ascii="Gilroy" w:eastAsiaTheme="minorHAnsi" w:hAnsi="Gilroy" w:cs="Gilroy"/>
          <w:color w:val="000000"/>
          <w:sz w:val="22"/>
          <w:szCs w:val="22"/>
          <w:lang w:val="en-GB" w:eastAsia="en-US"/>
        </w:rPr>
        <w:t>Region</w:t>
      </w:r>
      <w:r w:rsidRPr="005D0218">
        <w:rPr>
          <w:rStyle w:val="Strong"/>
          <w:rFonts w:ascii="Gilroy" w:eastAsiaTheme="minorHAnsi" w:hAnsi="Gilroy" w:cs="Gilroy"/>
          <w:color w:val="000000"/>
          <w:sz w:val="22"/>
          <w:szCs w:val="22"/>
          <w:lang w:val="en-GB" w:eastAsia="en-US"/>
        </w:rPr>
        <w:t xml:space="preserve"> </w:t>
      </w:r>
      <w:r w:rsidR="00A0287C" w:rsidRPr="005D0218">
        <w:rPr>
          <w:rStyle w:val="Strong"/>
          <w:rFonts w:ascii="Gilroy" w:eastAsiaTheme="minorHAnsi" w:hAnsi="Gilroy" w:cs="Gilroy"/>
          <w:color w:val="000000"/>
          <w:sz w:val="22"/>
          <w:szCs w:val="22"/>
          <w:lang w:val="en-GB" w:eastAsia="en-US"/>
        </w:rPr>
        <w:t xml:space="preserve">are the keystone for the IWM </w:t>
      </w:r>
      <w:r w:rsidR="000D70C6">
        <w:rPr>
          <w:rStyle w:val="Strong"/>
          <w:rFonts w:ascii="Gilroy" w:eastAsiaTheme="minorHAnsi" w:hAnsi="Gilroy" w:cs="Gilroy"/>
          <w:color w:val="000000"/>
          <w:sz w:val="22"/>
          <w:szCs w:val="22"/>
          <w:lang w:val="en-GB" w:eastAsia="en-US"/>
        </w:rPr>
        <w:t>Program</w:t>
      </w:r>
      <w:r w:rsidR="00A0287C" w:rsidRPr="005D0218">
        <w:rPr>
          <w:rStyle w:val="Strong"/>
          <w:rFonts w:ascii="Gilroy" w:eastAsiaTheme="minorHAnsi" w:hAnsi="Gilroy" w:cs="Gilroy"/>
          <w:color w:val="000000"/>
          <w:sz w:val="22"/>
          <w:szCs w:val="22"/>
          <w:lang w:val="en-GB" w:eastAsia="en-US"/>
        </w:rPr>
        <w:t>.</w:t>
      </w:r>
      <w:r w:rsidR="00A0287C">
        <w:t xml:space="preserve"> </w:t>
      </w:r>
    </w:p>
    <w:p w14:paraId="0AADDCE7" w14:textId="71FBDC6F" w:rsidR="00920EA8" w:rsidRDefault="00841275" w:rsidP="00E55247">
      <w:pPr>
        <w:pStyle w:val="BodyText"/>
        <w:rPr>
          <w:rFonts w:ascii="Calibri" w:hAnsi="Calibri" w:cs="Arial"/>
          <w:b/>
          <w:bCs/>
          <w:iCs/>
          <w:color w:val="0989B1"/>
          <w:kern w:val="20"/>
          <w:sz w:val="24"/>
          <w:szCs w:val="28"/>
        </w:rPr>
      </w:pPr>
      <w:r>
        <w:t>The Catchment Scale IWM Plans are part of a broader suite of strategic action</w:t>
      </w:r>
      <w:r w:rsidR="00AA6E46">
        <w:t>s</w:t>
      </w:r>
      <w:r>
        <w:t xml:space="preserve"> seeking to improve the resilience, liveability and sustainability of our cities and towns. At the regional level, </w:t>
      </w:r>
      <w:r w:rsidRPr="006649DC">
        <w:t xml:space="preserve">Forum Partners are </w:t>
      </w:r>
      <w:r>
        <w:t>developing</w:t>
      </w:r>
      <w:r w:rsidRPr="006649DC">
        <w:t xml:space="preserve"> strategies to secure our water supplies over the next 50 years, through the </w:t>
      </w:r>
      <w:r w:rsidRPr="00173A64">
        <w:rPr>
          <w:i/>
        </w:rPr>
        <w:t>Central and Gippsland Region Sustainable Water Strategy</w:t>
      </w:r>
      <w:r w:rsidRPr="006649DC">
        <w:t xml:space="preserve"> and the </w:t>
      </w:r>
      <w:r w:rsidRPr="00173A64">
        <w:rPr>
          <w:i/>
        </w:rPr>
        <w:t>Greater Melbourne Urban Water System Strategy</w:t>
      </w:r>
      <w:r w:rsidRPr="006649DC">
        <w:t>.</w:t>
      </w:r>
      <w:r>
        <w:t xml:space="preserve"> At the local level, councils are </w:t>
      </w:r>
      <w:r w:rsidRPr="00B1161C">
        <w:t xml:space="preserve">developing </w:t>
      </w:r>
      <w:r>
        <w:t>place-based strategies and</w:t>
      </w:r>
      <w:r w:rsidRPr="00B1161C">
        <w:t xml:space="preserve"> plans to adapt to climate change, create and manage </w:t>
      </w:r>
      <w:r>
        <w:t xml:space="preserve">green </w:t>
      </w:r>
      <w:r w:rsidRPr="00B1161C">
        <w:t xml:space="preserve">open space, </w:t>
      </w:r>
      <w:r>
        <w:t>and improve stormwater management</w:t>
      </w:r>
      <w:r w:rsidRPr="00B1161C">
        <w:t>.</w:t>
      </w:r>
      <w:r>
        <w:t xml:space="preserve"> The </w:t>
      </w:r>
      <w:r w:rsidRPr="007E31AB">
        <w:t xml:space="preserve">Catchment Scale IWM </w:t>
      </w:r>
      <w:r w:rsidR="006477F9">
        <w:t>P</w:t>
      </w:r>
      <w:r w:rsidRPr="007E31AB">
        <w:t>lan</w:t>
      </w:r>
      <w:r>
        <w:t xml:space="preserve">s </w:t>
      </w:r>
      <w:r w:rsidR="007F63D1">
        <w:t xml:space="preserve">provide a way to </w:t>
      </w:r>
      <w:r w:rsidR="00442CB5" w:rsidRPr="00442CB5">
        <w:t xml:space="preserve">bridge the gap between regional and local level initiatives </w:t>
      </w:r>
      <w:r w:rsidR="007F63D1">
        <w:t xml:space="preserve">by aligning and reinforcing </w:t>
      </w:r>
      <w:r>
        <w:t>strategic priorities</w:t>
      </w:r>
      <w:r w:rsidR="00233DD5">
        <w:t xml:space="preserve">. </w:t>
      </w:r>
      <w:r w:rsidR="000656B7">
        <w:t>This enables</w:t>
      </w:r>
      <w:r w:rsidR="00C224FA">
        <w:t xml:space="preserve"> all partners in IWM </w:t>
      </w:r>
      <w:r w:rsidR="00DA3C3B">
        <w:t xml:space="preserve">to </w:t>
      </w:r>
      <w:r w:rsidR="00C224FA">
        <w:t xml:space="preserve">identify </w:t>
      </w:r>
      <w:r w:rsidR="00DA3C3B">
        <w:t xml:space="preserve">and prioritise on-ground initiatives and infrastructure investments that </w:t>
      </w:r>
      <w:r w:rsidR="00323BEB">
        <w:t xml:space="preserve">maximise </w:t>
      </w:r>
      <w:r w:rsidR="007F2F24">
        <w:t xml:space="preserve">the </w:t>
      </w:r>
      <w:r w:rsidR="00DA49B2">
        <w:t xml:space="preserve">social, </w:t>
      </w:r>
      <w:r w:rsidR="0043424B">
        <w:t xml:space="preserve">cultural, </w:t>
      </w:r>
      <w:r w:rsidR="00DA49B2">
        <w:t>environmental</w:t>
      </w:r>
      <w:r w:rsidR="00483132">
        <w:t>,</w:t>
      </w:r>
      <w:r w:rsidR="00DA49B2">
        <w:t xml:space="preserve"> and economic </w:t>
      </w:r>
      <w:r w:rsidR="00605FFD">
        <w:t xml:space="preserve">values delivered </w:t>
      </w:r>
      <w:r w:rsidR="00A129DF">
        <w:t xml:space="preserve">to </w:t>
      </w:r>
      <w:r w:rsidR="00DA3C3B">
        <w:t>Victorian</w:t>
      </w:r>
      <w:r w:rsidR="00A129DF">
        <w:t xml:space="preserve"> communities</w:t>
      </w:r>
      <w:r w:rsidR="00666504">
        <w:t xml:space="preserve">. </w:t>
      </w:r>
      <w:r w:rsidR="00DA49B2">
        <w:t xml:space="preserve"> </w:t>
      </w:r>
    </w:p>
    <w:p w14:paraId="7B28C568" w14:textId="46107179" w:rsidR="00920EA8" w:rsidRPr="00920EA8" w:rsidRDefault="00920EA8" w:rsidP="00E55247">
      <w:pPr>
        <w:pStyle w:val="BodyText"/>
        <w:rPr>
          <w:rFonts w:ascii="Calibri" w:hAnsi="Calibri" w:cs="Arial"/>
          <w:iCs/>
          <w:color w:val="0989B1"/>
          <w:kern w:val="20"/>
          <w:sz w:val="24"/>
          <w:szCs w:val="28"/>
        </w:rPr>
      </w:pPr>
      <w:r>
        <w:rPr>
          <w:rFonts w:ascii="Calibri" w:hAnsi="Calibri" w:cs="Arial"/>
          <w:b/>
          <w:bCs/>
          <w:iCs/>
          <w:color w:val="0989B1"/>
          <w:kern w:val="20"/>
          <w:sz w:val="24"/>
          <w:szCs w:val="28"/>
        </w:rPr>
        <w:t>The Purpose of the Plan</w:t>
      </w:r>
    </w:p>
    <w:p w14:paraId="4178C5ED" w14:textId="6E39304D" w:rsidR="005D0218" w:rsidRDefault="00E55247" w:rsidP="00E55247">
      <w:pPr>
        <w:pStyle w:val="BodyText"/>
      </w:pPr>
      <w:r>
        <w:t xml:space="preserve">The collective effort of </w:t>
      </w:r>
      <w:r w:rsidR="00A0287C">
        <w:t xml:space="preserve">the </w:t>
      </w:r>
      <w:r>
        <w:t xml:space="preserve">Forum </w:t>
      </w:r>
      <w:r w:rsidR="00E415EB">
        <w:t>P</w:t>
      </w:r>
      <w:r>
        <w:t xml:space="preserve">artners over the last few years has culminated in </w:t>
      </w:r>
      <w:r w:rsidR="00A0287C">
        <w:t>a</w:t>
      </w:r>
      <w:r>
        <w:t xml:space="preserve"> comprehensive </w:t>
      </w:r>
      <w:r w:rsidR="00A0287C">
        <w:t>Catchment Scale IWM</w:t>
      </w:r>
      <w:r>
        <w:t xml:space="preserve"> plan</w:t>
      </w:r>
      <w:r w:rsidR="00A0287C">
        <w:t xml:space="preserve"> for the </w:t>
      </w:r>
      <w:r w:rsidR="000E01D7">
        <w:t>Yarra</w:t>
      </w:r>
      <w:r w:rsidR="00A0287C">
        <w:t xml:space="preserve"> Catchment </w:t>
      </w:r>
      <w:r>
        <w:t>which set</w:t>
      </w:r>
      <w:r w:rsidR="005D0218">
        <w:t>s</w:t>
      </w:r>
      <w:r>
        <w:t xml:space="preserve"> out clear </w:t>
      </w:r>
      <w:r w:rsidR="00920EA8">
        <w:t>indicators and measures to assess our progress towards the delivery of the vision and strategic outcomes for the Catchment.</w:t>
      </w:r>
      <w:r w:rsidR="0012071B">
        <w:t xml:space="preserve"> </w:t>
      </w:r>
    </w:p>
    <w:p w14:paraId="5645C26D" w14:textId="26BFD0EA" w:rsidR="005D0218" w:rsidRDefault="00920EA8" w:rsidP="00E55247">
      <w:pPr>
        <w:pStyle w:val="BodyText"/>
      </w:pPr>
      <w:r>
        <w:t xml:space="preserve">The Plan includes </w:t>
      </w:r>
      <w:r w:rsidR="007661FF">
        <w:t xml:space="preserve">outcome-focussed </w:t>
      </w:r>
      <w:r>
        <w:t>targets which will guide</w:t>
      </w:r>
      <w:r w:rsidR="00865AE3">
        <w:t xml:space="preserve"> and inform </w:t>
      </w:r>
      <w:r w:rsidR="00A3795F" w:rsidRPr="00A3795F">
        <w:t>decision</w:t>
      </w:r>
      <w:r>
        <w:t>-</w:t>
      </w:r>
      <w:r w:rsidR="00A3795F" w:rsidRPr="00A3795F">
        <w:t>making and strategic investment of major infrastructure</w:t>
      </w:r>
      <w:r>
        <w:t xml:space="preserve"> </w:t>
      </w:r>
      <w:r w:rsidR="00E55247">
        <w:t xml:space="preserve">over the next 30 years. </w:t>
      </w:r>
      <w:r>
        <w:t xml:space="preserve">The targets </w:t>
      </w:r>
      <w:r w:rsidR="00690737" w:rsidRPr="00690737">
        <w:t xml:space="preserve">were developed by nominated catchment representatives through a Forum-endorsed </w:t>
      </w:r>
      <w:r w:rsidR="00682B8C">
        <w:t>deliberative</w:t>
      </w:r>
      <w:r w:rsidR="00690737" w:rsidRPr="00690737">
        <w:t xml:space="preserve"> process</w:t>
      </w:r>
      <w:r w:rsidR="00A301A1">
        <w:t xml:space="preserve">, drawing on the latest evidence and expertise. </w:t>
      </w:r>
      <w:r w:rsidR="00A65391">
        <w:t>Delivering</w:t>
      </w:r>
      <w:r w:rsidR="000713F5">
        <w:t xml:space="preserve"> these targets w</w:t>
      </w:r>
      <w:r w:rsidR="002C1398">
        <w:t>ill</w:t>
      </w:r>
      <w:r w:rsidR="000713F5">
        <w:t xml:space="preserve"> require a</w:t>
      </w:r>
      <w:r>
        <w:t xml:space="preserve"> </w:t>
      </w:r>
      <w:r w:rsidR="000D4F37">
        <w:t xml:space="preserve">bold </w:t>
      </w:r>
      <w:r>
        <w:t xml:space="preserve">step-change in </w:t>
      </w:r>
      <w:r w:rsidR="00146DA0">
        <w:t xml:space="preserve">the way we manage water. The journey to meet our 2050 targets is uncharted and will require ongoing </w:t>
      </w:r>
      <w:r w:rsidR="000D4F37">
        <w:t xml:space="preserve">commitment, </w:t>
      </w:r>
      <w:r w:rsidR="00146DA0">
        <w:t xml:space="preserve">collaboration and innovation to </w:t>
      </w:r>
      <w:r w:rsidR="000D4F37">
        <w:t xml:space="preserve">deliver landmark outcomes for </w:t>
      </w:r>
      <w:r w:rsidR="00353288">
        <w:t xml:space="preserve">the </w:t>
      </w:r>
      <w:r w:rsidR="000E01D7">
        <w:t>Yarra</w:t>
      </w:r>
      <w:r w:rsidR="00143BC2">
        <w:t xml:space="preserve"> </w:t>
      </w:r>
      <w:r w:rsidR="004030EE">
        <w:t>C</w:t>
      </w:r>
      <w:r w:rsidR="000D4F37">
        <w:t xml:space="preserve">atchment and the communities </w:t>
      </w:r>
      <w:r w:rsidR="00143BC2">
        <w:t xml:space="preserve">it </w:t>
      </w:r>
      <w:r w:rsidR="000D4F37">
        <w:t>support</w:t>
      </w:r>
      <w:r w:rsidR="00143BC2">
        <w:t>s</w:t>
      </w:r>
      <w:r w:rsidR="00146DA0">
        <w:t xml:space="preserve">. Our 2030 targets set us on the trajectory to </w:t>
      </w:r>
      <w:r w:rsidR="000D4F37">
        <w:t>achieve</w:t>
      </w:r>
      <w:r w:rsidR="00146DA0">
        <w:t xml:space="preserve"> our strategic outcomes and recognise the opportunities that can be delivered in the short-term.  </w:t>
      </w:r>
    </w:p>
    <w:p w14:paraId="5C13CC64" w14:textId="4D7167E0" w:rsidR="004D61EE" w:rsidRDefault="00A0287C" w:rsidP="00744FD1">
      <w:pPr>
        <w:pStyle w:val="BodyText"/>
        <w:rPr>
          <w:rStyle w:val="Strong"/>
        </w:rPr>
      </w:pPr>
      <w:r w:rsidRPr="007D5A4E">
        <w:rPr>
          <w:rStyle w:val="Strong"/>
          <w:rFonts w:ascii="Gilroy" w:eastAsiaTheme="minorHAnsi" w:hAnsi="Gilroy" w:cs="Gilroy"/>
          <w:color w:val="000000"/>
          <w:sz w:val="22"/>
          <w:szCs w:val="22"/>
          <w:lang w:val="en-GB" w:eastAsia="en-US"/>
        </w:rPr>
        <w:t>Th</w:t>
      </w:r>
      <w:r w:rsidR="00B31592">
        <w:rPr>
          <w:rStyle w:val="Strong"/>
          <w:rFonts w:ascii="Gilroy" w:eastAsiaTheme="minorHAnsi" w:hAnsi="Gilroy" w:cs="Gilroy"/>
          <w:color w:val="000000"/>
          <w:sz w:val="22"/>
          <w:szCs w:val="22"/>
          <w:lang w:val="en-GB" w:eastAsia="en-US"/>
        </w:rPr>
        <w:t>is</w:t>
      </w:r>
      <w:r w:rsidRPr="007D5A4E">
        <w:rPr>
          <w:rStyle w:val="Strong"/>
          <w:rFonts w:ascii="Gilroy" w:eastAsiaTheme="minorHAnsi" w:hAnsi="Gilroy" w:cs="Gilroy"/>
          <w:color w:val="000000"/>
          <w:sz w:val="22"/>
          <w:szCs w:val="22"/>
          <w:lang w:val="en-GB" w:eastAsia="en-US"/>
        </w:rPr>
        <w:t xml:space="preserve"> Plan provides the launching pad and</w:t>
      </w:r>
      <w:r w:rsidR="007D5A4E">
        <w:rPr>
          <w:rStyle w:val="Strong"/>
          <w:rFonts w:ascii="Gilroy" w:eastAsiaTheme="minorHAnsi" w:hAnsi="Gilroy" w:cs="Gilroy"/>
          <w:color w:val="000000"/>
          <w:sz w:val="22"/>
          <w:szCs w:val="22"/>
          <w:lang w:val="en-GB" w:eastAsia="en-US"/>
        </w:rPr>
        <w:t xml:space="preserve"> a guiding</w:t>
      </w:r>
      <w:r w:rsidRPr="007D5A4E">
        <w:rPr>
          <w:rStyle w:val="Strong"/>
          <w:rFonts w:ascii="Gilroy" w:eastAsiaTheme="minorHAnsi" w:hAnsi="Gilroy" w:cs="Gilroy"/>
          <w:color w:val="000000"/>
          <w:sz w:val="22"/>
          <w:szCs w:val="22"/>
          <w:lang w:val="en-GB" w:eastAsia="en-US"/>
        </w:rPr>
        <w:t xml:space="preserve"> framework for </w:t>
      </w:r>
      <w:r w:rsidR="007D5A4E">
        <w:rPr>
          <w:rStyle w:val="Strong"/>
          <w:rFonts w:ascii="Gilroy" w:eastAsiaTheme="minorHAnsi" w:hAnsi="Gilroy" w:cs="Gilroy"/>
          <w:color w:val="000000"/>
          <w:sz w:val="22"/>
          <w:szCs w:val="22"/>
          <w:lang w:val="en-GB" w:eastAsia="en-US"/>
        </w:rPr>
        <w:t>implementation of integrated water management</w:t>
      </w:r>
      <w:r w:rsidR="00E55247" w:rsidRPr="007D5A4E">
        <w:rPr>
          <w:rStyle w:val="Strong"/>
          <w:rFonts w:ascii="Gilroy" w:eastAsiaTheme="minorHAnsi" w:hAnsi="Gilroy" w:cs="Gilroy"/>
          <w:color w:val="000000"/>
          <w:sz w:val="22"/>
          <w:szCs w:val="22"/>
          <w:lang w:val="en-GB" w:eastAsia="en-US"/>
        </w:rPr>
        <w:t xml:space="preserve">, with </w:t>
      </w:r>
      <w:r w:rsidR="007D5A4E">
        <w:rPr>
          <w:rStyle w:val="Strong"/>
          <w:rFonts w:ascii="Gilroy" w:eastAsiaTheme="minorHAnsi" w:hAnsi="Gilroy" w:cs="Gilroy"/>
          <w:color w:val="000000"/>
          <w:sz w:val="22"/>
          <w:szCs w:val="22"/>
          <w:lang w:val="en-GB" w:eastAsia="en-US"/>
        </w:rPr>
        <w:t xml:space="preserve">Forum </w:t>
      </w:r>
      <w:r w:rsidR="00E55247" w:rsidRPr="007D5A4E">
        <w:rPr>
          <w:rStyle w:val="Strong"/>
          <w:rFonts w:ascii="Gilroy" w:eastAsiaTheme="minorHAnsi" w:hAnsi="Gilroy" w:cs="Gilroy"/>
          <w:color w:val="000000"/>
          <w:sz w:val="22"/>
          <w:szCs w:val="22"/>
          <w:lang w:val="en-GB" w:eastAsia="en-US"/>
        </w:rPr>
        <w:t xml:space="preserve">partners continuing to work together </w:t>
      </w:r>
      <w:r w:rsidR="00AA0A2B">
        <w:rPr>
          <w:rStyle w:val="Strong"/>
          <w:rFonts w:ascii="Gilroy" w:eastAsiaTheme="minorHAnsi" w:hAnsi="Gilroy" w:cs="Gilroy"/>
          <w:color w:val="000000"/>
          <w:sz w:val="22"/>
          <w:szCs w:val="22"/>
          <w:lang w:val="en-GB" w:eastAsia="en-US"/>
        </w:rPr>
        <w:t>to identify on-ground projects and IWM initiatives</w:t>
      </w:r>
      <w:r w:rsidR="00752874">
        <w:rPr>
          <w:rStyle w:val="Strong"/>
          <w:rFonts w:ascii="Gilroy" w:eastAsiaTheme="minorHAnsi" w:hAnsi="Gilroy" w:cs="Gilroy"/>
          <w:color w:val="000000"/>
          <w:sz w:val="22"/>
          <w:szCs w:val="22"/>
          <w:lang w:val="en-GB" w:eastAsia="en-US"/>
        </w:rPr>
        <w:t xml:space="preserve"> that will deliver the strategic outcomes for the catchment</w:t>
      </w:r>
      <w:r w:rsidR="00307C56">
        <w:rPr>
          <w:rStyle w:val="Strong"/>
          <w:rFonts w:ascii="Gilroy" w:eastAsiaTheme="minorHAnsi" w:hAnsi="Gilroy" w:cs="Gilroy"/>
          <w:color w:val="000000"/>
          <w:sz w:val="22"/>
          <w:szCs w:val="22"/>
          <w:lang w:val="en-GB" w:eastAsia="en-US"/>
        </w:rPr>
        <w:t>.</w:t>
      </w:r>
      <w:r w:rsidR="004D61EE">
        <w:rPr>
          <w:rStyle w:val="Strong"/>
        </w:rPr>
        <w:br w:type="page"/>
      </w:r>
    </w:p>
    <w:p w14:paraId="7FC75340" w14:textId="4A99DF0E" w:rsidR="001D16E0" w:rsidRDefault="00B4438A" w:rsidP="001D16E0">
      <w:pPr>
        <w:pStyle w:val="Heading1"/>
        <w:rPr>
          <w:rFonts w:ascii="Arial" w:hAnsi="Arial" w:cs="Arial"/>
          <w:b w:val="0"/>
          <w:bCs w:val="0"/>
          <w:color w:val="44C1A3"/>
          <w:szCs w:val="36"/>
        </w:rPr>
      </w:pPr>
      <w:r>
        <w:rPr>
          <w:rFonts w:ascii="Arial" w:hAnsi="Arial" w:cs="Arial"/>
          <w:b w:val="0"/>
          <w:bCs w:val="0"/>
          <w:color w:val="44C1A3"/>
          <w:szCs w:val="36"/>
        </w:rPr>
        <w:lastRenderedPageBreak/>
        <w:t>Introducing the</w:t>
      </w:r>
      <w:r w:rsidR="001D16E0">
        <w:rPr>
          <w:rFonts w:ascii="Arial" w:hAnsi="Arial" w:cs="Arial"/>
          <w:b w:val="0"/>
          <w:bCs w:val="0"/>
          <w:color w:val="44C1A3"/>
          <w:szCs w:val="36"/>
        </w:rPr>
        <w:t xml:space="preserve"> catchment</w:t>
      </w:r>
    </w:p>
    <w:p w14:paraId="79B90410" w14:textId="77777777" w:rsidR="00B4438A" w:rsidRPr="001D16E0" w:rsidRDefault="00B4438A" w:rsidP="001D16E0">
      <w:pPr>
        <w:rPr>
          <w:lang w:eastAsia="en-AU"/>
        </w:rPr>
      </w:pPr>
    </w:p>
    <w:p w14:paraId="54157242" w14:textId="103EDA9D" w:rsidR="00800885" w:rsidRPr="000E01D7" w:rsidRDefault="000E01D7" w:rsidP="000E01D7">
      <w:r>
        <w:t>The Yarra Catchment is a richly diverse geographic area encompassing some of Victoria’s most iconic landscapes and waterways. Magnificent old growth woodlands, lush rainforests and protected riverine environments meet fertile agricultural lands and populous cities throughout this vast region</w:t>
      </w:r>
      <w:r w:rsidR="00CE7B34">
        <w:t>, which extends to the Great Dividing Range in the north</w:t>
      </w:r>
      <w:r>
        <w:t xml:space="preserve">. The Catchment encompasses Victoria’s capital, Melbourne, </w:t>
      </w:r>
      <w:r w:rsidRPr="000E01D7">
        <w:t xml:space="preserve">the economic and employment hub of the state. </w:t>
      </w:r>
      <w:r>
        <w:t xml:space="preserve">It is home to one of Australia’s most iconic and culturally significant waterways, the Yarra River, which flows from its near natural upper reaches in the forested </w:t>
      </w:r>
      <w:r w:rsidRPr="000E01D7">
        <w:t>Yarra Ranges down to Port Phillip Bay. The Yarra Forum Area will continue to experience substantial population and economic growth in the coming years. The preservation and management of the catchment’s landscapes will have a positive impact on the region’s world-renowned liveability and the long</w:t>
      </w:r>
      <w:r>
        <w:t>-</w:t>
      </w:r>
      <w:r w:rsidRPr="000E01D7">
        <w:t>term health and security of its waterways.</w:t>
      </w:r>
    </w:p>
    <w:p w14:paraId="5DE8CB5C" w14:textId="69C5692D" w:rsidR="000E01D7" w:rsidRDefault="00800885" w:rsidP="004D61EE">
      <w:pPr>
        <w:pStyle w:val="Body"/>
        <w:rPr>
          <w:rFonts w:ascii="Arial" w:hAnsi="Arial" w:cs="Arial"/>
          <w:b/>
          <w:color w:val="44C1A3"/>
        </w:rPr>
      </w:pPr>
      <w:r w:rsidRPr="182C65C9">
        <w:rPr>
          <w:rFonts w:ascii="Arial" w:hAnsi="Arial" w:cs="Arial"/>
          <w:b/>
          <w:color w:val="44C1A3"/>
        </w:rPr>
        <w:t xml:space="preserve"> </w:t>
      </w:r>
    </w:p>
    <w:p w14:paraId="13B087DB" w14:textId="1FBADAC6" w:rsidR="00B4438A" w:rsidRPr="004D61EE" w:rsidRDefault="00B4438A" w:rsidP="004D61EE">
      <w:pPr>
        <w:pStyle w:val="Body"/>
      </w:pPr>
      <w:r w:rsidRPr="182C65C9">
        <w:rPr>
          <w:rFonts w:ascii="Arial" w:hAnsi="Arial" w:cs="Arial"/>
          <w:b/>
          <w:color w:val="44C1A3"/>
        </w:rPr>
        <w:br w:type="page"/>
      </w:r>
    </w:p>
    <w:p w14:paraId="6D2E435E" w14:textId="15064C15" w:rsidR="00B4438A" w:rsidRDefault="00B4438A" w:rsidP="00B4438A">
      <w:pPr>
        <w:pStyle w:val="Heading1"/>
        <w:rPr>
          <w:rFonts w:ascii="Arial" w:hAnsi="Arial" w:cs="Arial"/>
          <w:b w:val="0"/>
          <w:color w:val="44C1A3"/>
        </w:rPr>
      </w:pPr>
      <w:r w:rsidRPr="182C65C9">
        <w:rPr>
          <w:rFonts w:ascii="Arial" w:hAnsi="Arial" w:cs="Arial"/>
          <w:b w:val="0"/>
          <w:color w:val="44C1A3"/>
        </w:rPr>
        <w:lastRenderedPageBreak/>
        <w:t>A</w:t>
      </w:r>
      <w:r w:rsidR="00784F75" w:rsidRPr="182C65C9">
        <w:rPr>
          <w:rFonts w:ascii="Arial" w:hAnsi="Arial" w:cs="Arial"/>
          <w:b w:val="0"/>
          <w:color w:val="44C1A3"/>
        </w:rPr>
        <w:t>dapting to the new normal</w:t>
      </w:r>
    </w:p>
    <w:p w14:paraId="0163F398" w14:textId="7284BA59" w:rsidR="00B4438A" w:rsidRDefault="00B4438A" w:rsidP="00B4438A">
      <w:pPr>
        <w:rPr>
          <w:lang w:eastAsia="en-AU"/>
        </w:rPr>
      </w:pPr>
    </w:p>
    <w:p w14:paraId="68EDE802" w14:textId="31024D61" w:rsidR="00B4438A" w:rsidRPr="00B4438A" w:rsidRDefault="00B4438A" w:rsidP="00B4438A">
      <w:pPr>
        <w:pStyle w:val="BodyText"/>
        <w:rPr>
          <w:rFonts w:ascii="Calibri" w:hAnsi="Calibri" w:cs="Arial"/>
          <w:b/>
          <w:bCs/>
          <w:iCs/>
          <w:color w:val="0989B1"/>
          <w:kern w:val="20"/>
          <w:sz w:val="24"/>
          <w:szCs w:val="28"/>
        </w:rPr>
      </w:pPr>
      <w:r w:rsidRPr="00B4438A">
        <w:rPr>
          <w:rFonts w:ascii="Calibri" w:hAnsi="Calibri" w:cs="Arial"/>
          <w:b/>
          <w:bCs/>
          <w:iCs/>
          <w:color w:val="0989B1"/>
          <w:kern w:val="20"/>
          <w:sz w:val="24"/>
          <w:szCs w:val="28"/>
        </w:rPr>
        <w:t>Population growth</w:t>
      </w:r>
    </w:p>
    <w:p w14:paraId="497D9526" w14:textId="6883C07E" w:rsidR="00744FD1" w:rsidRDefault="00CE7B34" w:rsidP="00B4438A">
      <w:r w:rsidRPr="000D7CF6">
        <w:t xml:space="preserve">The Yarra </w:t>
      </w:r>
      <w:r w:rsidR="00723D3A">
        <w:t>Catchment</w:t>
      </w:r>
      <w:r w:rsidRPr="000D7CF6">
        <w:t xml:space="preserve"> is home to one-third of Victoria’s population, or approximately 1.8 million people. The Catchment’s population is predicted to reach 3.13 million by 2050.</w:t>
      </w:r>
      <w:r>
        <w:rPr>
          <w:vertAlign w:val="superscript"/>
        </w:rPr>
        <w:t>2</w:t>
      </w:r>
      <w:r w:rsidRPr="00CE7B34">
        <w:t xml:space="preserve"> </w:t>
      </w:r>
      <w:r w:rsidRPr="000D7CF6">
        <w:t xml:space="preserve">Substantial urban and greenfield growth will occur here in the next two decades. Expanding satellite cities at Parkville, La Trobe and Monash will soon support more residents and provide employment opportunities for tens of thousands of people. Key planned regeneration projects in the CBD and Fisherman’s Bend will also increase local populations and change land uses. The densification of inner Melbourne and middle ring suburbs, coupled with rapid growth through outer Catchment areas, including Craigieburn, Kalkallo, Wallan and Lilydale, highlights the need for integrated Catchment planning and management to maintain and improve liveability for community well-being and economic prosperity. </w:t>
      </w:r>
      <w:r w:rsidR="00F90EAE">
        <w:t>Hume</w:t>
      </w:r>
      <w:r>
        <w:t>, Mitchell and Melbourne</w:t>
      </w:r>
      <w:r w:rsidR="00F90EAE">
        <w:t xml:space="preserve"> </w:t>
      </w:r>
      <w:r>
        <w:t xml:space="preserve">are some </w:t>
      </w:r>
      <w:r w:rsidR="00F90EAE">
        <w:t>of</w:t>
      </w:r>
      <w:r w:rsidR="3B1CDEB0">
        <w:t xml:space="preserve"> the fastest growing municipalities in Australia, </w:t>
      </w:r>
      <w:r>
        <w:t>all</w:t>
      </w:r>
      <w:r w:rsidR="00CB4BD6">
        <w:t xml:space="preserve"> with populations currently growing at more than </w:t>
      </w:r>
      <w:r w:rsidR="00F90EAE">
        <w:t>4</w:t>
      </w:r>
      <w:r w:rsidR="00CB4BD6">
        <w:t xml:space="preserve">% per year. </w:t>
      </w:r>
    </w:p>
    <w:p w14:paraId="0BED9470" w14:textId="52D4792E" w:rsidR="00B4438A" w:rsidRPr="00B4438A" w:rsidRDefault="00B4438A" w:rsidP="00B4438A">
      <w:pPr>
        <w:pStyle w:val="BodyText"/>
        <w:rPr>
          <w:rFonts w:ascii="Calibri" w:hAnsi="Calibri" w:cs="Arial"/>
          <w:b/>
          <w:bCs/>
          <w:iCs/>
          <w:color w:val="0989B1"/>
          <w:kern w:val="20"/>
          <w:sz w:val="24"/>
          <w:szCs w:val="28"/>
        </w:rPr>
      </w:pPr>
      <w:r w:rsidRPr="00B4438A">
        <w:rPr>
          <w:rFonts w:ascii="Calibri" w:hAnsi="Calibri" w:cs="Arial"/>
          <w:b/>
          <w:bCs/>
          <w:iCs/>
          <w:color w:val="0989B1"/>
          <w:kern w:val="20"/>
          <w:sz w:val="24"/>
          <w:szCs w:val="28"/>
        </w:rPr>
        <w:t>Climate change</w:t>
      </w:r>
    </w:p>
    <w:p w14:paraId="73998836" w14:textId="563D634F" w:rsidR="000D4F37" w:rsidRDefault="00D714A1" w:rsidP="00B4438A">
      <w:r>
        <w:t>Rainfall in the</w:t>
      </w:r>
      <w:r w:rsidR="006B2B28">
        <w:t xml:space="preserve"> </w:t>
      </w:r>
      <w:r w:rsidR="000E01D7">
        <w:t>Yarra</w:t>
      </w:r>
      <w:r w:rsidR="006B2B28">
        <w:t xml:space="preserve"> </w:t>
      </w:r>
      <w:r w:rsidR="006B2B28" w:rsidRPr="00D714A1">
        <w:t xml:space="preserve">Catchment </w:t>
      </w:r>
      <w:r w:rsidRPr="00D714A1">
        <w:t>varies significantly, with</w:t>
      </w:r>
      <w:r>
        <w:t xml:space="preserve"> total annual rainfall in the east of the catchment being more than double that of its western bounds.</w:t>
      </w:r>
      <w:r w:rsidR="00744FD1">
        <w:t xml:space="preserve"> </w:t>
      </w:r>
      <w:r w:rsidR="000D4F37">
        <w:t>The future climate will be hotter and drier, with lower rainfall expected to reduce inflows to reservoirs and decrease river flows</w:t>
      </w:r>
      <w:r w:rsidR="008A771A">
        <w:t xml:space="preserve">, placing further strain </w:t>
      </w:r>
      <w:r w:rsidR="00CB2849">
        <w:t xml:space="preserve">on </w:t>
      </w:r>
      <w:r w:rsidR="008A771A">
        <w:t>our current water supplies</w:t>
      </w:r>
      <w:r w:rsidR="000D4F37">
        <w:t>.</w:t>
      </w:r>
      <w:r w:rsidR="0092302F">
        <w:rPr>
          <w:vertAlign w:val="superscript"/>
        </w:rPr>
        <w:t>3</w:t>
      </w:r>
      <w:r w:rsidR="000D4F37">
        <w:t xml:space="preserve"> While there will be a reduction in average annual rainfall, the </w:t>
      </w:r>
      <w:r w:rsidR="00B970DB">
        <w:t>Catchment</w:t>
      </w:r>
      <w:r w:rsidR="00B970DB" w:rsidRPr="007240DC">
        <w:t xml:space="preserve"> </w:t>
      </w:r>
      <w:r w:rsidR="000D4F37" w:rsidRPr="007240DC">
        <w:t>is predicted to see more frequent</w:t>
      </w:r>
      <w:r w:rsidR="000D4F37">
        <w:t>,</w:t>
      </w:r>
      <w:r w:rsidR="000D4F37" w:rsidRPr="007240DC">
        <w:t xml:space="preserve"> intense rainfall events that will increase the risk of flooding. </w:t>
      </w:r>
      <w:r w:rsidR="000D4F37">
        <w:t>These changes</w:t>
      </w:r>
      <w:r w:rsidR="000D4F37" w:rsidRPr="007240DC">
        <w:t xml:space="preserve">, combined with increased development and growing populations, will place more pressure on water </w:t>
      </w:r>
      <w:r w:rsidR="000D4F37">
        <w:t xml:space="preserve">services and watersheds </w:t>
      </w:r>
      <w:r w:rsidR="000D4F37" w:rsidRPr="007240DC">
        <w:t xml:space="preserve">in the </w:t>
      </w:r>
      <w:r w:rsidR="000D4F37">
        <w:t>Catchment</w:t>
      </w:r>
      <w:r w:rsidR="000D4F37" w:rsidRPr="007240DC">
        <w:t>. </w:t>
      </w:r>
    </w:p>
    <w:p w14:paraId="4CB63E5B" w14:textId="2F4AD5BE" w:rsidR="003A23D5" w:rsidRPr="00D714A1" w:rsidRDefault="00B4438A" w:rsidP="00CF0B88">
      <w:pPr>
        <w:rPr>
          <w:rStyle w:val="Strong"/>
          <w:b w:val="0"/>
          <w:bCs w:val="0"/>
        </w:rPr>
      </w:pPr>
      <w:r w:rsidRPr="007240DC">
        <w:t xml:space="preserve">By 2040, temperatures across the </w:t>
      </w:r>
      <w:r>
        <w:t xml:space="preserve">Greater </w:t>
      </w:r>
      <w:r w:rsidRPr="007240DC">
        <w:t xml:space="preserve">Melbourne </w:t>
      </w:r>
      <w:r>
        <w:t>M</w:t>
      </w:r>
      <w:r w:rsidRPr="007240DC">
        <w:t xml:space="preserve">etropolitan </w:t>
      </w:r>
      <w:r>
        <w:t>R</w:t>
      </w:r>
      <w:r w:rsidRPr="007240DC">
        <w:t>egion are expected to rise by an average of 1.3°C under a medium climate change scenario</w:t>
      </w:r>
      <w:r>
        <w:t>.</w:t>
      </w:r>
      <w:r w:rsidR="0092302F">
        <w:rPr>
          <w:vertAlign w:val="superscript"/>
        </w:rPr>
        <w:t>4</w:t>
      </w:r>
      <w:r w:rsidRPr="007240DC">
        <w:t xml:space="preserve"> The risk of fire in forests and grasslands will remain high under these conditions</w:t>
      </w:r>
      <w:r w:rsidR="003A23D5">
        <w:t xml:space="preserve"> posing</w:t>
      </w:r>
      <w:r w:rsidRPr="007240DC">
        <w:t xml:space="preserve"> a serious threat to the </w:t>
      </w:r>
      <w:r w:rsidR="00CF0B88">
        <w:t>C</w:t>
      </w:r>
      <w:r>
        <w:t>atchment</w:t>
      </w:r>
      <w:r w:rsidRPr="007240DC">
        <w:t>’s communities, infrastructure and high-value native forests</w:t>
      </w:r>
      <w:r>
        <w:t xml:space="preserve"> including water supply </w:t>
      </w:r>
      <w:r w:rsidR="00CF0B88">
        <w:t>c</w:t>
      </w:r>
      <w:r>
        <w:t>atchments</w:t>
      </w:r>
      <w:r w:rsidRPr="007240DC">
        <w:t xml:space="preserve"> and ecosystems. The impact of the urban heat island effect will also increase, with greater densification in urban areas meaning they </w:t>
      </w:r>
      <w:r>
        <w:t>will be more vulnerable to heat waves</w:t>
      </w:r>
      <w:r w:rsidRPr="007240DC">
        <w:t xml:space="preserve"> than more rural </w:t>
      </w:r>
      <w:r>
        <w:t xml:space="preserve">or peri-urban </w:t>
      </w:r>
      <w:r w:rsidRPr="007240DC">
        <w:t xml:space="preserve">areas. The ongoing availability of water in the environment will be vital to reduce the risk of heat stress and improve cooling in the most vulnerable areas of the </w:t>
      </w:r>
      <w:r>
        <w:t>Catchment</w:t>
      </w:r>
      <w:r w:rsidRPr="007240DC">
        <w:t xml:space="preserve">. </w:t>
      </w:r>
    </w:p>
    <w:p w14:paraId="75133A6F" w14:textId="45B78F40" w:rsidR="00800885" w:rsidRDefault="0016191E">
      <w:pPr>
        <w:rPr>
          <w:rStyle w:val="Strong"/>
          <w:lang w:eastAsia="en-AU"/>
        </w:rPr>
      </w:pPr>
      <w:r>
        <w:rPr>
          <w:rStyle w:val="Strong"/>
          <w:lang w:eastAsia="en-AU"/>
        </w:rPr>
        <w:t xml:space="preserve">In the </w:t>
      </w:r>
      <w:r w:rsidR="000E01D7">
        <w:rPr>
          <w:rStyle w:val="Strong"/>
          <w:lang w:eastAsia="en-AU"/>
        </w:rPr>
        <w:t>Yarra</w:t>
      </w:r>
      <w:r w:rsidR="00073E46">
        <w:rPr>
          <w:rStyle w:val="Strong"/>
          <w:lang w:eastAsia="en-AU"/>
        </w:rPr>
        <w:t xml:space="preserve"> Catchment, n</w:t>
      </w:r>
      <w:r w:rsidR="000D4F37">
        <w:rPr>
          <w:rStyle w:val="Strong"/>
          <w:lang w:eastAsia="en-AU"/>
        </w:rPr>
        <w:t>ow, more than ever, we need to re-frame our approach to water management. By working to</w:t>
      </w:r>
      <w:r w:rsidR="008A771A">
        <w:rPr>
          <w:rStyle w:val="Strong"/>
          <w:lang w:eastAsia="en-AU"/>
        </w:rPr>
        <w:t xml:space="preserve">gether to create holistic solutions that deliver a range of outcomes across the water cycle, we will create a cooler, greener and more resilient </w:t>
      </w:r>
      <w:r w:rsidR="00073E46">
        <w:rPr>
          <w:rStyle w:val="Strong"/>
          <w:lang w:eastAsia="en-AU"/>
        </w:rPr>
        <w:t>c</w:t>
      </w:r>
      <w:r w:rsidR="00E56826">
        <w:rPr>
          <w:rStyle w:val="Strong"/>
          <w:lang w:eastAsia="en-AU"/>
        </w:rPr>
        <w:t>atchment</w:t>
      </w:r>
      <w:r w:rsidR="008A771A">
        <w:rPr>
          <w:rStyle w:val="Strong"/>
          <w:lang w:eastAsia="en-AU"/>
        </w:rPr>
        <w:t>.</w:t>
      </w:r>
    </w:p>
    <w:p w14:paraId="069A791C" w14:textId="77777777" w:rsidR="00D714A1" w:rsidRDefault="00D714A1" w:rsidP="00CF0B88">
      <w:pPr>
        <w:rPr>
          <w:rStyle w:val="Strong"/>
          <w:lang w:eastAsia="en-AU"/>
        </w:rPr>
      </w:pPr>
    </w:p>
    <w:p w14:paraId="456A44FA" w14:textId="77777777" w:rsidR="00273C6C" w:rsidRDefault="00273C6C">
      <w:pPr>
        <w:rPr>
          <w:rFonts w:ascii="Arial" w:eastAsiaTheme="majorEastAsia" w:hAnsi="Arial" w:cs="Arial"/>
          <w:color w:val="44C1A3"/>
          <w:sz w:val="36"/>
          <w:szCs w:val="36"/>
          <w:lang w:eastAsia="en-AU"/>
        </w:rPr>
      </w:pPr>
      <w:r>
        <w:rPr>
          <w:rFonts w:ascii="Arial" w:hAnsi="Arial" w:cs="Arial"/>
          <w:b/>
          <w:bCs/>
          <w:color w:val="44C1A3"/>
          <w:szCs w:val="36"/>
        </w:rPr>
        <w:br w:type="page"/>
      </w:r>
    </w:p>
    <w:p w14:paraId="4D1D0691" w14:textId="217CA247" w:rsidR="00CF0B88" w:rsidRDefault="00CF0B88" w:rsidP="00CF0B88">
      <w:pPr>
        <w:pStyle w:val="Heading1"/>
        <w:rPr>
          <w:rFonts w:ascii="Arial" w:hAnsi="Arial" w:cs="Arial"/>
          <w:b w:val="0"/>
          <w:bCs w:val="0"/>
          <w:color w:val="44C1A3"/>
          <w:szCs w:val="36"/>
        </w:rPr>
      </w:pPr>
      <w:r>
        <w:rPr>
          <w:rFonts w:ascii="Arial" w:hAnsi="Arial" w:cs="Arial"/>
          <w:b w:val="0"/>
          <w:bCs w:val="0"/>
          <w:color w:val="44C1A3"/>
          <w:szCs w:val="36"/>
        </w:rPr>
        <w:lastRenderedPageBreak/>
        <w:t>Making progress</w:t>
      </w:r>
    </w:p>
    <w:p w14:paraId="2769913F" w14:textId="171458F2" w:rsidR="00CF0B88" w:rsidRDefault="00CF0B88" w:rsidP="00CF0B88">
      <w:pPr>
        <w:rPr>
          <w:b/>
          <w:bCs/>
          <w:lang w:eastAsia="en-AU"/>
        </w:rPr>
      </w:pPr>
    </w:p>
    <w:p w14:paraId="7200BFD8" w14:textId="18E4F3BA" w:rsidR="00CF0B88" w:rsidRDefault="00976328">
      <w:pPr>
        <w:rPr>
          <w:rStyle w:val="Strong"/>
          <w:lang w:eastAsia="en-AU"/>
        </w:rPr>
      </w:pPr>
      <w:r w:rsidRPr="00976328">
        <w:rPr>
          <w:lang w:eastAsia="en-AU"/>
        </w:rPr>
        <w:t xml:space="preserve">The vision and strategic outcomes for the Catchment </w:t>
      </w:r>
      <w:r w:rsidR="008A771A">
        <w:rPr>
          <w:lang w:eastAsia="en-AU"/>
        </w:rPr>
        <w:t>were collaboratively developed by the Forum and described in the</w:t>
      </w:r>
      <w:r>
        <w:rPr>
          <w:lang w:eastAsia="en-AU"/>
        </w:rPr>
        <w:t xml:space="preserve"> </w:t>
      </w:r>
      <w:hyperlink r:id="rId14" w:history="1">
        <w:r w:rsidR="000E01D7">
          <w:rPr>
            <w:rStyle w:val="Hyperlink"/>
            <w:lang w:eastAsia="en-AU"/>
          </w:rPr>
          <w:t>Yarra</w:t>
        </w:r>
        <w:r w:rsidRPr="00627DFA">
          <w:rPr>
            <w:rStyle w:val="Hyperlink"/>
            <w:lang w:eastAsia="en-AU"/>
          </w:rPr>
          <w:t xml:space="preserve"> Strategic Directions Statement</w:t>
        </w:r>
      </w:hyperlink>
      <w:r w:rsidR="008A771A">
        <w:rPr>
          <w:lang w:eastAsia="en-AU"/>
        </w:rPr>
        <w:t xml:space="preserve"> in 2018</w:t>
      </w:r>
      <w:r>
        <w:rPr>
          <w:lang w:eastAsia="en-AU"/>
        </w:rPr>
        <w:t xml:space="preserve">. This Plan </w:t>
      </w:r>
      <w:r w:rsidR="008A771A">
        <w:rPr>
          <w:lang w:eastAsia="en-AU"/>
        </w:rPr>
        <w:t xml:space="preserve">now </w:t>
      </w:r>
      <w:r>
        <w:rPr>
          <w:lang w:eastAsia="en-AU"/>
        </w:rPr>
        <w:t xml:space="preserve">sets out a series of indicators and measures tailored to assess our progress towards those outcomes, creates a baseline of our current performance and sets targets for 2030 and 2050 to drive our </w:t>
      </w:r>
      <w:r w:rsidR="008A771A">
        <w:rPr>
          <w:lang w:eastAsia="en-AU"/>
        </w:rPr>
        <w:t xml:space="preserve">forward </w:t>
      </w:r>
      <w:r>
        <w:rPr>
          <w:lang w:eastAsia="en-AU"/>
        </w:rPr>
        <w:t>journey. Data from all organisations will be collected and mapped against the Plan’s measures to assess our progress over time.</w:t>
      </w:r>
      <w:r w:rsidR="00E9534F" w:rsidRPr="00E9534F">
        <w:rPr>
          <w:noProof/>
        </w:rPr>
        <w:t xml:space="preserve"> </w:t>
      </w:r>
      <w:r w:rsidR="00213D82">
        <w:rPr>
          <w:lang w:eastAsia="en-AU"/>
        </w:rPr>
        <w:t xml:space="preserve">The indicators, measures and targets for each strategic outcome, and for the enablers that will underpin delivery of all outcomes, are set out in the </w:t>
      </w:r>
      <w:r w:rsidR="00FE083B">
        <w:rPr>
          <w:lang w:eastAsia="en-AU"/>
        </w:rPr>
        <w:t>following sections of this Plan for the catchment and for the Greater Metropolitan Melbourne Region as a whole, combining all five major catchments.</w:t>
      </w:r>
    </w:p>
    <w:p w14:paraId="6D79DA06" w14:textId="77777777" w:rsidR="002E5836" w:rsidRDefault="002E5836" w:rsidP="00F5568B">
      <w:pPr>
        <w:rPr>
          <w:rStyle w:val="Strong"/>
          <w:lang w:eastAsia="en-AU"/>
        </w:rPr>
      </w:pPr>
    </w:p>
    <w:p w14:paraId="0D2FB8B4" w14:textId="77777777" w:rsidR="002E5836" w:rsidRDefault="002E5836" w:rsidP="00F5568B">
      <w:pPr>
        <w:rPr>
          <w:rStyle w:val="Strong"/>
          <w:lang w:eastAsia="en-AU"/>
        </w:rPr>
      </w:pPr>
    </w:p>
    <w:p w14:paraId="39F9041D" w14:textId="77777777" w:rsidR="002E5836" w:rsidRDefault="002E5836" w:rsidP="00F5568B">
      <w:pPr>
        <w:rPr>
          <w:rStyle w:val="Strong"/>
          <w:lang w:eastAsia="en-AU"/>
        </w:rPr>
      </w:pPr>
    </w:p>
    <w:p w14:paraId="0523CF8D" w14:textId="63037F46" w:rsidR="00273C6C" w:rsidRDefault="00273C6C">
      <w:pPr>
        <w:rPr>
          <w:rStyle w:val="Strong"/>
          <w:lang w:eastAsia="en-AU"/>
        </w:rPr>
      </w:pPr>
      <w:r>
        <w:rPr>
          <w:rStyle w:val="Strong"/>
          <w:lang w:eastAsia="en-AU"/>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1938"/>
      </w:tblGrid>
      <w:tr w:rsidR="00F201D6" w14:paraId="22E35930" w14:textId="77777777" w:rsidTr="00F70456">
        <w:tc>
          <w:tcPr>
            <w:tcW w:w="7088" w:type="dxa"/>
            <w:shd w:val="clear" w:color="auto" w:fill="auto"/>
          </w:tcPr>
          <w:p w14:paraId="68B07AF7" w14:textId="77777777" w:rsidR="00F201D6" w:rsidRPr="00DF3600" w:rsidRDefault="00F201D6" w:rsidP="00F70456">
            <w:pPr>
              <w:pStyle w:val="Heading1"/>
              <w:outlineLvl w:val="0"/>
              <w:rPr>
                <w:rFonts w:ascii="Arial" w:hAnsi="Arial" w:cs="Arial"/>
                <w:b w:val="0"/>
                <w:bCs w:val="0"/>
                <w:color w:val="44C1A3"/>
                <w:szCs w:val="36"/>
              </w:rPr>
            </w:pPr>
            <w:bookmarkStart w:id="1" w:name="_Toc70609075"/>
            <w:r w:rsidRPr="00DF3600">
              <w:rPr>
                <w:rFonts w:ascii="Arial" w:hAnsi="Arial" w:cs="Arial"/>
                <w:color w:val="44C1A3"/>
                <w:szCs w:val="36"/>
              </w:rPr>
              <w:lastRenderedPageBreak/>
              <w:t>Strategic Outcome 1</w:t>
            </w:r>
            <w:r w:rsidRPr="00DF3600">
              <w:rPr>
                <w:rFonts w:ascii="Arial" w:hAnsi="Arial" w:cs="Arial"/>
                <w:b w:val="0"/>
                <w:bCs w:val="0"/>
                <w:color w:val="44C1A3"/>
                <w:szCs w:val="36"/>
              </w:rPr>
              <w:t xml:space="preserve"> - Safe, secure and affordable water supplies in an uncertain future</w:t>
            </w:r>
            <w:bookmarkEnd w:id="1"/>
          </w:p>
          <w:p w14:paraId="556A3E2E" w14:textId="77777777" w:rsidR="00F201D6" w:rsidRDefault="00F201D6" w:rsidP="00F70456">
            <w:pPr>
              <w:pStyle w:val="BodyText"/>
              <w:rPr>
                <w:rFonts w:ascii="Arial" w:hAnsi="Arial" w:cs="Arial"/>
                <w:color w:val="44C1A3"/>
                <w:sz w:val="36"/>
                <w:szCs w:val="36"/>
              </w:rPr>
            </w:pPr>
          </w:p>
        </w:tc>
        <w:tc>
          <w:tcPr>
            <w:tcW w:w="1938" w:type="dxa"/>
            <w:shd w:val="clear" w:color="auto" w:fill="auto"/>
          </w:tcPr>
          <w:p w14:paraId="67E04C7E" w14:textId="77777777" w:rsidR="00F201D6" w:rsidRDefault="00F201D6" w:rsidP="00F70456">
            <w:pPr>
              <w:pStyle w:val="BodyText"/>
              <w:rPr>
                <w:rFonts w:ascii="Arial" w:hAnsi="Arial" w:cs="Arial"/>
                <w:color w:val="44C1A3"/>
                <w:sz w:val="36"/>
                <w:szCs w:val="36"/>
              </w:rPr>
            </w:pPr>
            <w:r>
              <w:rPr>
                <w:noProof/>
              </w:rPr>
              <w:drawing>
                <wp:inline distT="0" distB="0" distL="0" distR="0" wp14:anchorId="06E150FF" wp14:editId="000D2DC6">
                  <wp:extent cx="900684" cy="900684"/>
                  <wp:effectExtent l="0" t="0" r="0" b="0"/>
                  <wp:docPr id="231" name="Picture 23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pic:nvPicPr>
                        <pic:blipFill>
                          <a:blip r:embed="rId15">
                            <a:extLst>
                              <a:ext uri="{28A0092B-C50C-407E-A947-70E740481C1C}">
                                <a14:useLocalDpi xmlns:a14="http://schemas.microsoft.com/office/drawing/2010/main" val="0"/>
                              </a:ext>
                            </a:extLst>
                          </a:blip>
                          <a:stretch>
                            <a:fillRect/>
                          </a:stretch>
                        </pic:blipFill>
                        <pic:spPr>
                          <a:xfrm>
                            <a:off x="0" y="0"/>
                            <a:ext cx="900684" cy="900684"/>
                          </a:xfrm>
                          <a:prstGeom prst="rect">
                            <a:avLst/>
                          </a:prstGeom>
                        </pic:spPr>
                      </pic:pic>
                    </a:graphicData>
                  </a:graphic>
                </wp:inline>
              </w:drawing>
            </w:r>
          </w:p>
        </w:tc>
      </w:tr>
    </w:tbl>
    <w:p w14:paraId="6553A6A9" w14:textId="02E6BA45" w:rsidR="00B31592" w:rsidRDefault="00B31592" w:rsidP="00F5568B">
      <w:pPr>
        <w:rPr>
          <w:rStyle w:val="Strong"/>
          <w:lang w:eastAsia="en-AU"/>
        </w:rPr>
      </w:pPr>
      <w:r w:rsidRPr="00B31592">
        <w:rPr>
          <w:rStyle w:val="Strong"/>
          <w:lang w:eastAsia="en-AU"/>
        </w:rPr>
        <w:t>The safety, security and affordability of our water supply can be improved by reducing the demand on our potable water resources. Making the best use of alternative water resources, such as rainwater, stormwater and recycled water can help us reduce our reliance on declining potable water supplies. The indicators and measures in this strategic outcome focus on understanding how we are working to protect and conserve our precious potable water resources, and how effectively we are delivering alternative water supplies.</w:t>
      </w:r>
    </w:p>
    <w:p w14:paraId="4D44F9D0" w14:textId="77777777" w:rsidR="00B31592" w:rsidRPr="00F5568B" w:rsidRDefault="00B31592" w:rsidP="00F5568B">
      <w:pPr>
        <w:rPr>
          <w:rStyle w:val="Strong"/>
          <w:lang w:eastAsia="en-AU"/>
        </w:rPr>
      </w:pPr>
    </w:p>
    <w:p w14:paraId="4DD5B6E2" w14:textId="4A28F6E6" w:rsidR="00C042B8" w:rsidRDefault="00ED7A1E" w:rsidP="006674D8">
      <w:pPr>
        <w:keepNext/>
        <w:keepLines/>
        <w:tabs>
          <w:tab w:val="num" w:pos="0"/>
        </w:tabs>
        <w:spacing w:after="0" w:line="240" w:lineRule="auto"/>
        <w:outlineLvl w:val="0"/>
        <w:rPr>
          <w:rFonts w:ascii="Calibri" w:eastAsia="Meiryo" w:hAnsi="Calibri" w:cs="Arial"/>
          <w:b/>
          <w:bCs/>
          <w:color w:val="029676"/>
          <w:sz w:val="36"/>
          <w:szCs w:val="28"/>
          <w:lang w:eastAsia="en-AU"/>
        </w:rPr>
      </w:pPr>
      <w:r w:rsidRPr="00ED7A1E">
        <w:rPr>
          <w:rFonts w:ascii="Calibri" w:eastAsia="Meiryo" w:hAnsi="Calibri" w:cs="Arial"/>
          <w:b/>
          <w:bCs/>
          <w:color w:val="029676"/>
          <w:sz w:val="36"/>
          <w:szCs w:val="28"/>
          <w:lang w:eastAsia="en-AU"/>
        </w:rPr>
        <w:t>The case for change</w:t>
      </w:r>
    </w:p>
    <w:p w14:paraId="2094A7FA" w14:textId="77777777" w:rsidR="006674D8" w:rsidRPr="006674D8" w:rsidRDefault="006674D8" w:rsidP="00474D2D">
      <w:pPr>
        <w:rPr>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1441"/>
        <w:gridCol w:w="3067"/>
      </w:tblGrid>
      <w:tr w:rsidR="00C042B8" w14:paraId="7134106C" w14:textId="77777777" w:rsidTr="004759B8">
        <w:tc>
          <w:tcPr>
            <w:tcW w:w="5949" w:type="dxa"/>
            <w:gridSpan w:val="2"/>
          </w:tcPr>
          <w:p w14:paraId="27CECB3A" w14:textId="77777777" w:rsidR="00C042B8" w:rsidRPr="00AF2711" w:rsidRDefault="00C042B8" w:rsidP="00C042B8">
            <w:pPr>
              <w:pStyle w:val="BodyText"/>
              <w:rPr>
                <w:color w:val="002060"/>
              </w:rPr>
            </w:pPr>
            <w:r w:rsidRPr="00AF2711">
              <w:rPr>
                <w:rFonts w:ascii="Calibri" w:hAnsi="Calibri" w:cs="Arial"/>
                <w:b/>
                <w:bCs/>
                <w:iCs/>
                <w:color w:val="0989B1"/>
                <w:kern w:val="20"/>
                <w:sz w:val="24"/>
                <w:szCs w:val="28"/>
              </w:rPr>
              <w:t>Potable water</w:t>
            </w:r>
          </w:p>
          <w:p w14:paraId="2B4241DF" w14:textId="77777777" w:rsidR="00AF2751" w:rsidRDefault="00AF2711" w:rsidP="00AF2711">
            <w:pPr>
              <w:pStyle w:val="BodyText"/>
            </w:pPr>
            <w:r>
              <w:t xml:space="preserve">The Yarra Catchment is of crucial importance to the Greater Metropolitan region in terms of potable water supply. </w:t>
            </w:r>
            <w:r w:rsidRPr="00AF2711">
              <w:t xml:space="preserve">The Yarra River’s near natural upper reaches in the mountain ash forests of the Yarra Ranges </w:t>
            </w:r>
            <w:r w:rsidR="00AF2751">
              <w:t xml:space="preserve">provides more than </w:t>
            </w:r>
            <w:r w:rsidR="00AF2751" w:rsidRPr="00AF2711">
              <w:t>70% of the City’s drinking water</w:t>
            </w:r>
            <w:r w:rsidR="00AF2751">
              <w:t>.</w:t>
            </w:r>
            <w:r w:rsidR="00AF2751" w:rsidRPr="00AF2711">
              <w:t xml:space="preserve"> </w:t>
            </w:r>
            <w:r w:rsidR="00AF2751">
              <w:t>The catchment contains several major reservoirs</w:t>
            </w:r>
            <w:r w:rsidRPr="00AF2711">
              <w:t>, including Upper Yarra, Yan Yean, Maroondah and Sugarloaf</w:t>
            </w:r>
            <w:r w:rsidR="00AF2751">
              <w:t>.</w:t>
            </w:r>
            <w:r>
              <w:t xml:space="preserve"> </w:t>
            </w:r>
          </w:p>
          <w:p w14:paraId="4B592101" w14:textId="63F51E45" w:rsidR="00C042B8" w:rsidRPr="00AF2711" w:rsidRDefault="00AF2751" w:rsidP="00AF2711">
            <w:pPr>
              <w:pStyle w:val="BodyText"/>
              <w:rPr>
                <w:highlight w:val="yellow"/>
              </w:rPr>
            </w:pPr>
            <w:r>
              <w:t xml:space="preserve">Potable water </w:t>
            </w:r>
            <w:r w:rsidR="00AF2711" w:rsidRPr="00AF2711">
              <w:t xml:space="preserve">supplies </w:t>
            </w:r>
            <w:r>
              <w:t xml:space="preserve">in the catchment, and for the broader region it services, </w:t>
            </w:r>
            <w:r w:rsidR="00AF2711" w:rsidRPr="00AF2711">
              <w:t>are expected to decline in the future as decreasing rainfall and drier landscapes act to reduce the inflows to reservoirs from the water supply catchments.</w:t>
            </w:r>
            <w:r w:rsidR="00AF2711">
              <w:t xml:space="preserve"> </w:t>
            </w:r>
            <w:r w:rsidR="00AF2711" w:rsidRPr="00AF2711">
              <w:t>Modelling of the Melbourne water supply system shows that shortfalls in potable water supply could occur as early as 2028 if actions are not taken now to either reduce demand or increase supplies.</w:t>
            </w:r>
            <w:r w:rsidR="0092302F">
              <w:rPr>
                <w:vertAlign w:val="superscript"/>
              </w:rPr>
              <w:t>5</w:t>
            </w:r>
          </w:p>
        </w:tc>
        <w:tc>
          <w:tcPr>
            <w:tcW w:w="3067" w:type="dxa"/>
          </w:tcPr>
          <w:p w14:paraId="2B37947F" w14:textId="65C1DA87" w:rsidR="00C042B8" w:rsidRPr="00D27689" w:rsidRDefault="00D27689" w:rsidP="00C042B8">
            <w:pPr>
              <w:pStyle w:val="BodyText"/>
              <w:rPr>
                <w:color w:val="002060"/>
              </w:rPr>
            </w:pPr>
            <w:r w:rsidRPr="00D27689">
              <w:rPr>
                <w:color w:val="002060"/>
                <w:sz w:val="32"/>
                <w:szCs w:val="32"/>
              </w:rPr>
              <w:t>31</w:t>
            </w:r>
            <w:r w:rsidR="00C042B8" w:rsidRPr="00D27689">
              <w:rPr>
                <w:color w:val="002060"/>
                <w:sz w:val="32"/>
                <w:szCs w:val="32"/>
              </w:rPr>
              <w:t>%</w:t>
            </w:r>
            <w:r w:rsidR="00C042B8" w:rsidRPr="00D27689">
              <w:rPr>
                <w:color w:val="002060"/>
              </w:rPr>
              <w:t xml:space="preserve"> </w:t>
            </w:r>
          </w:p>
          <w:p w14:paraId="4D1649BD" w14:textId="4C4D3076" w:rsidR="000F5525" w:rsidRPr="00D27689" w:rsidRDefault="000F5525" w:rsidP="000F5525">
            <w:pPr>
              <w:pStyle w:val="BodyText"/>
              <w:rPr>
                <w:color w:val="002060"/>
                <w:vertAlign w:val="superscript"/>
              </w:rPr>
            </w:pPr>
            <w:r w:rsidRPr="00D27689">
              <w:rPr>
                <w:color w:val="002060"/>
              </w:rPr>
              <w:t xml:space="preserve">increase in potable water use </w:t>
            </w:r>
            <w:r w:rsidR="007F2AB9" w:rsidRPr="00D27689">
              <w:rPr>
                <w:color w:val="002060"/>
              </w:rPr>
              <w:t xml:space="preserve">in the catchment </w:t>
            </w:r>
            <w:r w:rsidRPr="00D27689">
              <w:rPr>
                <w:color w:val="002060"/>
              </w:rPr>
              <w:t>expected by 2050</w:t>
            </w:r>
            <w:r w:rsidR="00C851F4" w:rsidRPr="00D27689">
              <w:rPr>
                <w:color w:val="002060"/>
                <w:vertAlign w:val="superscript"/>
              </w:rPr>
              <w:t>a</w:t>
            </w:r>
          </w:p>
          <w:p w14:paraId="69BB4B2B" w14:textId="66421580" w:rsidR="00C042B8" w:rsidRPr="00D27689" w:rsidRDefault="00C042B8" w:rsidP="0017749E">
            <w:pPr>
              <w:pStyle w:val="BodyText"/>
              <w:rPr>
                <w:color w:val="002060"/>
                <w:sz w:val="32"/>
                <w:szCs w:val="32"/>
              </w:rPr>
            </w:pPr>
            <w:r w:rsidRPr="00D27689">
              <w:rPr>
                <w:color w:val="002060"/>
                <w:sz w:val="32"/>
                <w:szCs w:val="32"/>
              </w:rPr>
              <w:t>270 G</w:t>
            </w:r>
            <w:r w:rsidR="00EF61E7" w:rsidRPr="00D27689">
              <w:rPr>
                <w:color w:val="002060"/>
                <w:sz w:val="32"/>
                <w:szCs w:val="32"/>
              </w:rPr>
              <w:t>igalitres per year</w:t>
            </w:r>
          </w:p>
          <w:p w14:paraId="3553F6E9" w14:textId="103FB807" w:rsidR="00C042B8" w:rsidRPr="003A2F92" w:rsidRDefault="004645BC" w:rsidP="0017749E">
            <w:pPr>
              <w:pStyle w:val="BodyText"/>
              <w:rPr>
                <w:color w:val="002060"/>
                <w:highlight w:val="yellow"/>
              </w:rPr>
            </w:pPr>
            <w:r w:rsidRPr="00D27689">
              <w:rPr>
                <w:color w:val="002060"/>
              </w:rPr>
              <w:t xml:space="preserve">Potential shortfall in the Melbourne Water system by 2050 under a high climate change and high population growth </w:t>
            </w:r>
            <w:proofErr w:type="spellStart"/>
            <w:r w:rsidRPr="00D27689">
              <w:rPr>
                <w:color w:val="002060"/>
              </w:rPr>
              <w:t>scenario</w:t>
            </w:r>
            <w:r w:rsidR="00F65064" w:rsidRPr="00D27689">
              <w:rPr>
                <w:color w:val="002060"/>
                <w:vertAlign w:val="superscript"/>
              </w:rPr>
              <w:t>b</w:t>
            </w:r>
            <w:proofErr w:type="spellEnd"/>
          </w:p>
        </w:tc>
      </w:tr>
      <w:tr w:rsidR="00C042B8" w14:paraId="68822719" w14:textId="77777777" w:rsidTr="004759B8">
        <w:tc>
          <w:tcPr>
            <w:tcW w:w="5949" w:type="dxa"/>
            <w:gridSpan w:val="2"/>
          </w:tcPr>
          <w:p w14:paraId="4F2D2A9D" w14:textId="77777777" w:rsidR="00C042B8" w:rsidRPr="00C56025" w:rsidRDefault="00C042B8" w:rsidP="00C042B8">
            <w:pPr>
              <w:pStyle w:val="BodyText"/>
              <w:rPr>
                <w:rFonts w:ascii="Calibri" w:hAnsi="Calibri" w:cs="Arial"/>
                <w:b/>
                <w:bCs/>
                <w:iCs/>
                <w:color w:val="0989B1"/>
                <w:kern w:val="20"/>
                <w:sz w:val="24"/>
                <w:szCs w:val="28"/>
              </w:rPr>
            </w:pPr>
            <w:r w:rsidRPr="00C56025">
              <w:rPr>
                <w:rFonts w:ascii="Calibri" w:hAnsi="Calibri" w:cs="Arial"/>
                <w:b/>
                <w:bCs/>
                <w:iCs/>
                <w:color w:val="0989B1"/>
                <w:kern w:val="20"/>
                <w:sz w:val="24"/>
                <w:szCs w:val="28"/>
              </w:rPr>
              <w:t>River water and groundwater</w:t>
            </w:r>
          </w:p>
          <w:p w14:paraId="7566FFE2" w14:textId="3CE46C25" w:rsidR="00C042B8" w:rsidRPr="003A2F92" w:rsidRDefault="00EC0A8C" w:rsidP="0017749E">
            <w:pPr>
              <w:pStyle w:val="BodyText"/>
              <w:rPr>
                <w:highlight w:val="yellow"/>
              </w:rPr>
            </w:pPr>
            <w:r w:rsidRPr="00C56025">
              <w:t xml:space="preserve">River water and groundwater are drawn on locally in the catchment to support agriculture and rural water users. </w:t>
            </w:r>
            <w:r w:rsidR="00AF2751">
              <w:t>River water in particular is declining with a changing climate, resulting in reduced flows being available for the environment as well as for bulk water supplies.</w:t>
            </w:r>
          </w:p>
        </w:tc>
        <w:tc>
          <w:tcPr>
            <w:tcW w:w="3067" w:type="dxa"/>
          </w:tcPr>
          <w:p w14:paraId="17421A6F" w14:textId="16C190EE" w:rsidR="00C042B8" w:rsidRPr="00D27689" w:rsidRDefault="00C042B8" w:rsidP="0017749E">
            <w:pPr>
              <w:pStyle w:val="BodyText"/>
              <w:rPr>
                <w:color w:val="002060"/>
                <w:sz w:val="36"/>
                <w:szCs w:val="36"/>
              </w:rPr>
            </w:pPr>
            <w:r w:rsidRPr="00D27689">
              <w:rPr>
                <w:color w:val="002060"/>
                <w:sz w:val="36"/>
                <w:szCs w:val="36"/>
              </w:rPr>
              <w:t>1</w:t>
            </w:r>
            <w:r w:rsidR="00D27689" w:rsidRPr="00D27689">
              <w:rPr>
                <w:color w:val="002060"/>
                <w:sz w:val="36"/>
                <w:szCs w:val="36"/>
              </w:rPr>
              <w:t>6</w:t>
            </w:r>
            <w:r w:rsidRPr="00D27689">
              <w:rPr>
                <w:color w:val="002060"/>
                <w:sz w:val="36"/>
                <w:szCs w:val="36"/>
              </w:rPr>
              <w:t xml:space="preserve">% </w:t>
            </w:r>
          </w:p>
          <w:p w14:paraId="2F109266" w14:textId="2209D251" w:rsidR="00C042B8" w:rsidRPr="00D27689" w:rsidRDefault="00C042B8" w:rsidP="0017749E">
            <w:pPr>
              <w:pStyle w:val="BodyText"/>
              <w:rPr>
                <w:color w:val="002060"/>
              </w:rPr>
            </w:pPr>
            <w:r w:rsidRPr="00D27689">
              <w:rPr>
                <w:color w:val="002060"/>
              </w:rPr>
              <w:t xml:space="preserve">Decline in </w:t>
            </w:r>
            <w:r w:rsidR="004759B8" w:rsidRPr="00D27689">
              <w:rPr>
                <w:color w:val="002060"/>
              </w:rPr>
              <w:t>river water</w:t>
            </w:r>
            <w:r w:rsidRPr="00D27689">
              <w:rPr>
                <w:color w:val="002060"/>
              </w:rPr>
              <w:t xml:space="preserve"> </w:t>
            </w:r>
            <w:r w:rsidR="004759B8" w:rsidRPr="00D27689">
              <w:rPr>
                <w:color w:val="002060"/>
              </w:rPr>
              <w:t>availability</w:t>
            </w:r>
            <w:r w:rsidR="007A75DA" w:rsidRPr="00D27689">
              <w:rPr>
                <w:color w:val="002060"/>
              </w:rPr>
              <w:t xml:space="preserve"> in the last</w:t>
            </w:r>
            <w:r w:rsidR="007519CF">
              <w:rPr>
                <w:color w:val="002060"/>
              </w:rPr>
              <w:t xml:space="preserve"> assessment period</w:t>
            </w:r>
            <w:r w:rsidR="0092302F">
              <w:rPr>
                <w:vertAlign w:val="superscript"/>
              </w:rPr>
              <w:t>6</w:t>
            </w:r>
          </w:p>
          <w:p w14:paraId="31D6894C" w14:textId="77777777" w:rsidR="007519CF" w:rsidRDefault="007519CF" w:rsidP="0017749E">
            <w:pPr>
              <w:pStyle w:val="BodyText"/>
              <w:rPr>
                <w:color w:val="002060"/>
              </w:rPr>
            </w:pPr>
          </w:p>
          <w:p w14:paraId="0B737CA9" w14:textId="4D117587" w:rsidR="004759B8" w:rsidRPr="003A2F92" w:rsidRDefault="004759B8" w:rsidP="0017749E">
            <w:pPr>
              <w:pStyle w:val="BodyText"/>
              <w:rPr>
                <w:color w:val="002060"/>
                <w:highlight w:val="yellow"/>
              </w:rPr>
            </w:pPr>
            <w:r w:rsidRPr="00D27689">
              <w:rPr>
                <w:color w:val="002060"/>
              </w:rPr>
              <w:t xml:space="preserve"> </w:t>
            </w:r>
          </w:p>
        </w:tc>
      </w:tr>
      <w:tr w:rsidR="00C042B8" w14:paraId="7BBF68B3" w14:textId="77777777" w:rsidTr="00D27689">
        <w:tc>
          <w:tcPr>
            <w:tcW w:w="5949" w:type="dxa"/>
            <w:gridSpan w:val="2"/>
          </w:tcPr>
          <w:p w14:paraId="3099B34A" w14:textId="15A9FC28" w:rsidR="004759B8" w:rsidRPr="00AF2751" w:rsidRDefault="004759B8" w:rsidP="004759B8">
            <w:pPr>
              <w:pStyle w:val="BodyText"/>
              <w:rPr>
                <w:rFonts w:ascii="Calibri" w:hAnsi="Calibri" w:cs="Arial"/>
                <w:b/>
                <w:bCs/>
                <w:iCs/>
                <w:color w:val="0989B1"/>
                <w:kern w:val="20"/>
                <w:sz w:val="24"/>
                <w:szCs w:val="28"/>
              </w:rPr>
            </w:pPr>
            <w:r w:rsidRPr="00AF2751">
              <w:rPr>
                <w:rFonts w:ascii="Calibri" w:hAnsi="Calibri" w:cs="Arial"/>
                <w:b/>
                <w:bCs/>
                <w:iCs/>
                <w:color w:val="0989B1"/>
                <w:kern w:val="20"/>
                <w:sz w:val="24"/>
                <w:szCs w:val="28"/>
              </w:rPr>
              <w:t>Alternative water sources</w:t>
            </w:r>
          </w:p>
          <w:p w14:paraId="014EE49C" w14:textId="37B07A7D" w:rsidR="00EC0A8C" w:rsidRPr="00AF2751" w:rsidRDefault="00EC0A8C" w:rsidP="00EC0A8C">
            <w:pPr>
              <w:pStyle w:val="BodyText"/>
            </w:pPr>
            <w:r w:rsidRPr="00AF2751">
              <w:t>While other water resources are expected to decline, alternative water sources are expected to increase in the catchment.</w:t>
            </w:r>
            <w:r w:rsidR="00B31592">
              <w:t xml:space="preserve"> In this sense, alternative water sources can be considered sustainable, climate-resilient sources of water.</w:t>
            </w:r>
            <w:r w:rsidRPr="00AF2751">
              <w:t xml:space="preserve"> Rainwater runoff from roofs and stormwater runoff from hard surfaces will increase as our catchment becomes more urbanised. Also, as our population grows we will use more water and create more wastewater, contributing to a growing potential recycled water resource.</w:t>
            </w:r>
          </w:p>
          <w:p w14:paraId="7BEA7463" w14:textId="77777777" w:rsidR="00EC0A8C" w:rsidRPr="003A2F92" w:rsidRDefault="00EC0A8C" w:rsidP="0017749E">
            <w:pPr>
              <w:pStyle w:val="BodyText"/>
              <w:rPr>
                <w:rFonts w:ascii="Calibri" w:hAnsi="Calibri" w:cs="Arial"/>
                <w:b/>
                <w:bCs/>
                <w:iCs/>
                <w:color w:val="0989B1"/>
                <w:kern w:val="20"/>
                <w:sz w:val="24"/>
                <w:szCs w:val="28"/>
                <w:highlight w:val="yellow"/>
              </w:rPr>
            </w:pPr>
          </w:p>
          <w:p w14:paraId="6422E3C4" w14:textId="4A8C1ABC" w:rsidR="004759B8" w:rsidRPr="003A2F92" w:rsidRDefault="00AC28AB" w:rsidP="0017749E">
            <w:pPr>
              <w:pStyle w:val="BodyText"/>
              <w:rPr>
                <w:color w:val="002060"/>
                <w:highlight w:val="yellow"/>
              </w:rPr>
            </w:pPr>
            <w:r w:rsidRPr="00273C6C">
              <w:rPr>
                <w:rFonts w:ascii="Calibri" w:hAnsi="Calibri" w:cs="Arial"/>
                <w:b/>
                <w:bCs/>
                <w:iCs/>
                <w:color w:val="0989B1"/>
                <w:kern w:val="20"/>
                <w:sz w:val="24"/>
                <w:szCs w:val="28"/>
              </w:rPr>
              <w:lastRenderedPageBreak/>
              <w:t>Current mix of water used in the catchment</w:t>
            </w:r>
          </w:p>
        </w:tc>
        <w:tc>
          <w:tcPr>
            <w:tcW w:w="3067" w:type="dxa"/>
            <w:shd w:val="clear" w:color="auto" w:fill="auto"/>
          </w:tcPr>
          <w:p w14:paraId="04B4FFFD" w14:textId="2660AB1F" w:rsidR="00C042B8" w:rsidRPr="00D27689" w:rsidRDefault="00D27689" w:rsidP="0017749E">
            <w:pPr>
              <w:pStyle w:val="BodyText"/>
              <w:rPr>
                <w:color w:val="002060"/>
                <w:vertAlign w:val="superscript"/>
              </w:rPr>
            </w:pPr>
            <w:r w:rsidRPr="00D27689">
              <w:rPr>
                <w:color w:val="002060"/>
                <w:sz w:val="36"/>
                <w:szCs w:val="36"/>
              </w:rPr>
              <w:lastRenderedPageBreak/>
              <w:t>34</w:t>
            </w:r>
            <w:r w:rsidR="0019760F" w:rsidRPr="00D27689">
              <w:rPr>
                <w:color w:val="002060"/>
                <w:sz w:val="36"/>
                <w:szCs w:val="36"/>
              </w:rPr>
              <w:t xml:space="preserve">% </w:t>
            </w:r>
            <w:r w:rsidR="000F5525" w:rsidRPr="00D27689">
              <w:rPr>
                <w:color w:val="002060"/>
              </w:rPr>
              <w:t xml:space="preserve">increase in runoff from urbanised areas </w:t>
            </w:r>
            <w:r w:rsidR="00C851F4" w:rsidRPr="00D27689">
              <w:rPr>
                <w:color w:val="002060"/>
              </w:rPr>
              <w:t xml:space="preserve">generated in the catchment </w:t>
            </w:r>
            <w:r w:rsidR="000F5525" w:rsidRPr="00D27689">
              <w:rPr>
                <w:color w:val="002060"/>
              </w:rPr>
              <w:t>expected by 2050</w:t>
            </w:r>
            <w:r w:rsidR="00F65064" w:rsidRPr="00D27689">
              <w:rPr>
                <w:color w:val="002060"/>
                <w:vertAlign w:val="superscript"/>
              </w:rPr>
              <w:t>c</w:t>
            </w:r>
          </w:p>
          <w:p w14:paraId="2988AF72" w14:textId="0CDE71A8" w:rsidR="004759B8" w:rsidRPr="003A2F92" w:rsidRDefault="00D27689" w:rsidP="0017749E">
            <w:pPr>
              <w:pStyle w:val="BodyText"/>
              <w:rPr>
                <w:color w:val="002060"/>
                <w:highlight w:val="yellow"/>
                <w:vertAlign w:val="superscript"/>
              </w:rPr>
            </w:pPr>
            <w:r w:rsidRPr="00D27689">
              <w:rPr>
                <w:color w:val="002060"/>
                <w:sz w:val="36"/>
                <w:szCs w:val="36"/>
              </w:rPr>
              <w:t>39</w:t>
            </w:r>
            <w:r w:rsidR="0019760F" w:rsidRPr="00D27689">
              <w:rPr>
                <w:color w:val="002060"/>
                <w:sz w:val="36"/>
                <w:szCs w:val="36"/>
              </w:rPr>
              <w:t>%</w:t>
            </w:r>
            <w:r w:rsidR="0019760F" w:rsidRPr="00D27689">
              <w:rPr>
                <w:color w:val="002060"/>
              </w:rPr>
              <w:t xml:space="preserve"> </w:t>
            </w:r>
            <w:r w:rsidR="000F5525" w:rsidRPr="00D27689">
              <w:rPr>
                <w:color w:val="002060"/>
              </w:rPr>
              <w:t xml:space="preserve">increase in wastewater generated </w:t>
            </w:r>
            <w:r w:rsidR="00C851F4" w:rsidRPr="00D27689">
              <w:rPr>
                <w:color w:val="002060"/>
              </w:rPr>
              <w:t xml:space="preserve">in the catchment </w:t>
            </w:r>
            <w:r w:rsidR="000F5525" w:rsidRPr="00D27689">
              <w:rPr>
                <w:color w:val="002060"/>
              </w:rPr>
              <w:t>expected by 2050</w:t>
            </w:r>
            <w:r w:rsidR="00F65064" w:rsidRPr="00D27689">
              <w:rPr>
                <w:color w:val="002060"/>
                <w:vertAlign w:val="superscript"/>
              </w:rPr>
              <w:t>d</w:t>
            </w:r>
          </w:p>
        </w:tc>
      </w:tr>
      <w:tr w:rsidR="00AC28AB" w14:paraId="1F0ED892" w14:textId="77777777" w:rsidTr="00F704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8" w:type="dxa"/>
          </w:tcPr>
          <w:p w14:paraId="3822944E" w14:textId="3FDDAFDA" w:rsidR="00AC28AB" w:rsidRPr="00AC28AB" w:rsidRDefault="00AC28AB" w:rsidP="00AC28AB">
            <w:pPr>
              <w:pStyle w:val="BodyText"/>
              <w:rPr>
                <w:b/>
                <w:bCs/>
                <w:color w:val="002060"/>
              </w:rPr>
            </w:pPr>
            <w:r w:rsidRPr="00AC28AB">
              <w:rPr>
                <w:b/>
                <w:bCs/>
                <w:color w:val="002060"/>
              </w:rPr>
              <w:t>Water Type</w:t>
            </w:r>
          </w:p>
        </w:tc>
        <w:tc>
          <w:tcPr>
            <w:tcW w:w="4508" w:type="dxa"/>
            <w:gridSpan w:val="2"/>
            <w:vAlign w:val="bottom"/>
          </w:tcPr>
          <w:p w14:paraId="21A055F8" w14:textId="6FE09B7F" w:rsidR="00AC28AB" w:rsidRPr="00AC28AB" w:rsidRDefault="00AC28AB" w:rsidP="00AC28AB">
            <w:pPr>
              <w:pStyle w:val="BodyText"/>
              <w:rPr>
                <w:rFonts w:ascii="Arial" w:hAnsi="Arial" w:cs="Arial"/>
                <w:b/>
                <w:bCs/>
              </w:rPr>
            </w:pPr>
            <w:r w:rsidRPr="00AC28AB">
              <w:rPr>
                <w:rFonts w:ascii="Arial" w:hAnsi="Arial" w:cs="Arial"/>
                <w:b/>
                <w:bCs/>
              </w:rPr>
              <w:t>ML/year</w:t>
            </w:r>
          </w:p>
        </w:tc>
      </w:tr>
      <w:tr w:rsidR="006F64C4" w14:paraId="523BFB16" w14:textId="77777777" w:rsidTr="00F704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8" w:type="dxa"/>
          </w:tcPr>
          <w:p w14:paraId="5A30F74D" w14:textId="3BE389C7" w:rsidR="006F64C4" w:rsidRDefault="006F64C4" w:rsidP="006F64C4">
            <w:pPr>
              <w:pStyle w:val="BodyText"/>
              <w:rPr>
                <w:color w:val="002060"/>
              </w:rPr>
            </w:pPr>
            <w:r>
              <w:rPr>
                <w:color w:val="002060"/>
              </w:rPr>
              <w:t>Potable Water</w:t>
            </w:r>
          </w:p>
        </w:tc>
        <w:tc>
          <w:tcPr>
            <w:tcW w:w="4508" w:type="dxa"/>
            <w:gridSpan w:val="2"/>
            <w:vAlign w:val="bottom"/>
          </w:tcPr>
          <w:p w14:paraId="238C2389" w14:textId="4D0A61A9" w:rsidR="006F64C4" w:rsidRDefault="006F64C4" w:rsidP="006F64C4">
            <w:pPr>
              <w:pStyle w:val="BodyText"/>
              <w:rPr>
                <w:color w:val="002060"/>
              </w:rPr>
            </w:pPr>
            <w:r>
              <w:rPr>
                <w:rFonts w:ascii="Arial" w:hAnsi="Arial" w:cs="Arial"/>
              </w:rPr>
              <w:t>157214</w:t>
            </w:r>
          </w:p>
        </w:tc>
      </w:tr>
      <w:tr w:rsidR="006F64C4" w14:paraId="69B426C1" w14:textId="77777777" w:rsidTr="00F704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8" w:type="dxa"/>
          </w:tcPr>
          <w:p w14:paraId="621C5D4C" w14:textId="416B53EE" w:rsidR="006F64C4" w:rsidRDefault="006F64C4" w:rsidP="006F64C4">
            <w:pPr>
              <w:pStyle w:val="BodyText"/>
              <w:rPr>
                <w:color w:val="002060"/>
              </w:rPr>
            </w:pPr>
            <w:r>
              <w:rPr>
                <w:color w:val="002060"/>
              </w:rPr>
              <w:t>River Water</w:t>
            </w:r>
          </w:p>
        </w:tc>
        <w:tc>
          <w:tcPr>
            <w:tcW w:w="4508" w:type="dxa"/>
            <w:gridSpan w:val="2"/>
            <w:vAlign w:val="bottom"/>
          </w:tcPr>
          <w:p w14:paraId="7534126F" w14:textId="2873B0D3" w:rsidR="006F64C4" w:rsidRDefault="006F64C4" w:rsidP="006F64C4">
            <w:pPr>
              <w:pStyle w:val="BodyText"/>
              <w:rPr>
                <w:color w:val="002060"/>
              </w:rPr>
            </w:pPr>
            <w:r>
              <w:rPr>
                <w:rFonts w:ascii="Arial" w:hAnsi="Arial" w:cs="Arial"/>
              </w:rPr>
              <w:t>6704</w:t>
            </w:r>
          </w:p>
        </w:tc>
      </w:tr>
      <w:tr w:rsidR="006F64C4" w14:paraId="0F594669" w14:textId="77777777" w:rsidTr="00F704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8" w:type="dxa"/>
          </w:tcPr>
          <w:p w14:paraId="3F3FB2D3" w14:textId="234821AB" w:rsidR="006F64C4" w:rsidRDefault="006F64C4" w:rsidP="006F64C4">
            <w:pPr>
              <w:pStyle w:val="BodyText"/>
              <w:rPr>
                <w:color w:val="002060"/>
              </w:rPr>
            </w:pPr>
            <w:r>
              <w:rPr>
                <w:color w:val="002060"/>
              </w:rPr>
              <w:t>Groundwater</w:t>
            </w:r>
          </w:p>
        </w:tc>
        <w:tc>
          <w:tcPr>
            <w:tcW w:w="4508" w:type="dxa"/>
            <w:gridSpan w:val="2"/>
            <w:vAlign w:val="bottom"/>
          </w:tcPr>
          <w:p w14:paraId="09BC1409" w14:textId="0CB4BFCA" w:rsidR="006F64C4" w:rsidRDefault="006F64C4" w:rsidP="006F64C4">
            <w:pPr>
              <w:pStyle w:val="BodyText"/>
              <w:rPr>
                <w:color w:val="002060"/>
              </w:rPr>
            </w:pPr>
            <w:r>
              <w:rPr>
                <w:rFonts w:ascii="Arial" w:hAnsi="Arial" w:cs="Arial"/>
              </w:rPr>
              <w:t>5014</w:t>
            </w:r>
          </w:p>
        </w:tc>
      </w:tr>
      <w:tr w:rsidR="006F64C4" w14:paraId="244ACB6D" w14:textId="77777777" w:rsidTr="00F704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8" w:type="dxa"/>
          </w:tcPr>
          <w:p w14:paraId="6EEED2E7" w14:textId="0C7DEB56" w:rsidR="006F64C4" w:rsidRDefault="006F64C4" w:rsidP="006F64C4">
            <w:pPr>
              <w:pStyle w:val="BodyText"/>
              <w:rPr>
                <w:color w:val="002060"/>
              </w:rPr>
            </w:pPr>
            <w:r>
              <w:rPr>
                <w:color w:val="002060"/>
              </w:rPr>
              <w:t>Recycled Water</w:t>
            </w:r>
          </w:p>
        </w:tc>
        <w:tc>
          <w:tcPr>
            <w:tcW w:w="4508" w:type="dxa"/>
            <w:gridSpan w:val="2"/>
            <w:vAlign w:val="bottom"/>
          </w:tcPr>
          <w:p w14:paraId="5B1DE0ED" w14:textId="47898CF4" w:rsidR="006F64C4" w:rsidRDefault="006F64C4" w:rsidP="006F64C4">
            <w:pPr>
              <w:pStyle w:val="BodyText"/>
              <w:rPr>
                <w:color w:val="002060"/>
              </w:rPr>
            </w:pPr>
            <w:r>
              <w:rPr>
                <w:rFonts w:ascii="Arial" w:hAnsi="Arial" w:cs="Arial"/>
              </w:rPr>
              <w:t>1294</w:t>
            </w:r>
          </w:p>
        </w:tc>
      </w:tr>
      <w:tr w:rsidR="006F64C4" w14:paraId="073CF67A" w14:textId="77777777" w:rsidTr="00F704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8" w:type="dxa"/>
          </w:tcPr>
          <w:p w14:paraId="72F594A4" w14:textId="3B50E2E7" w:rsidR="006F64C4" w:rsidRDefault="006F64C4" w:rsidP="006F64C4">
            <w:pPr>
              <w:pStyle w:val="BodyText"/>
              <w:rPr>
                <w:color w:val="002060"/>
              </w:rPr>
            </w:pPr>
            <w:r>
              <w:rPr>
                <w:color w:val="002060"/>
              </w:rPr>
              <w:t>Rainwater</w:t>
            </w:r>
          </w:p>
        </w:tc>
        <w:tc>
          <w:tcPr>
            <w:tcW w:w="4508" w:type="dxa"/>
            <w:gridSpan w:val="2"/>
            <w:vAlign w:val="bottom"/>
          </w:tcPr>
          <w:p w14:paraId="52544DE4" w14:textId="7F011924" w:rsidR="006F64C4" w:rsidRDefault="006F64C4" w:rsidP="006F64C4">
            <w:pPr>
              <w:pStyle w:val="BodyText"/>
              <w:rPr>
                <w:color w:val="002060"/>
              </w:rPr>
            </w:pPr>
            <w:r>
              <w:rPr>
                <w:rFonts w:ascii="Arial" w:hAnsi="Arial" w:cs="Arial"/>
              </w:rPr>
              <w:t>2437</w:t>
            </w:r>
          </w:p>
        </w:tc>
      </w:tr>
      <w:tr w:rsidR="006F64C4" w14:paraId="2C348386" w14:textId="77777777" w:rsidTr="00F704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8" w:type="dxa"/>
          </w:tcPr>
          <w:p w14:paraId="3B43EFED" w14:textId="67D17633" w:rsidR="006F64C4" w:rsidRDefault="006F64C4" w:rsidP="006F64C4">
            <w:pPr>
              <w:pStyle w:val="BodyText"/>
              <w:rPr>
                <w:color w:val="002060"/>
              </w:rPr>
            </w:pPr>
            <w:r>
              <w:rPr>
                <w:color w:val="002060"/>
              </w:rPr>
              <w:t>Stormwater</w:t>
            </w:r>
          </w:p>
        </w:tc>
        <w:tc>
          <w:tcPr>
            <w:tcW w:w="4508" w:type="dxa"/>
            <w:gridSpan w:val="2"/>
            <w:vAlign w:val="bottom"/>
          </w:tcPr>
          <w:p w14:paraId="38583D4D" w14:textId="5C382C42" w:rsidR="006F64C4" w:rsidRDefault="006F64C4" w:rsidP="006F64C4">
            <w:pPr>
              <w:pStyle w:val="BodyText"/>
              <w:rPr>
                <w:color w:val="002060"/>
              </w:rPr>
            </w:pPr>
            <w:r>
              <w:rPr>
                <w:rFonts w:ascii="Arial" w:hAnsi="Arial" w:cs="Arial"/>
              </w:rPr>
              <w:t>888</w:t>
            </w:r>
          </w:p>
        </w:tc>
      </w:tr>
    </w:tbl>
    <w:p w14:paraId="57580EE1" w14:textId="16E50EBD" w:rsidR="0017749E" w:rsidRPr="0017749E" w:rsidRDefault="0017749E" w:rsidP="004759B8">
      <w:pPr>
        <w:pStyle w:val="BodyText"/>
        <w:rPr>
          <w:color w:val="002060"/>
        </w:rPr>
      </w:pPr>
    </w:p>
    <w:p w14:paraId="32D30DA6" w14:textId="77777777" w:rsidR="00273C6C" w:rsidRDefault="00273C6C">
      <w:pPr>
        <w:rPr>
          <w:rFonts w:ascii="Calibri" w:eastAsia="Times New Roman" w:hAnsi="Calibri" w:cs="Arial"/>
          <w:b/>
          <w:bCs/>
          <w:color w:val="029676"/>
          <w:sz w:val="36"/>
          <w:szCs w:val="28"/>
          <w:lang w:eastAsia="en-AU"/>
        </w:rPr>
      </w:pPr>
      <w:r>
        <w:rPr>
          <w:rFonts w:ascii="Calibri" w:eastAsia="Times New Roman" w:hAnsi="Calibri" w:cs="Arial"/>
          <w:b/>
          <w:bCs/>
          <w:color w:val="029676"/>
          <w:sz w:val="36"/>
          <w:szCs w:val="28"/>
          <w:lang w:eastAsia="en-AU"/>
        </w:rPr>
        <w:br w:type="page"/>
      </w:r>
    </w:p>
    <w:p w14:paraId="492EE6F9" w14:textId="1D7529D8" w:rsidR="00ED7A1E" w:rsidRPr="00ED7A1E" w:rsidRDefault="00CC0077" w:rsidP="009917C6">
      <w:pPr>
        <w:keepNext/>
        <w:keepLines/>
        <w:tabs>
          <w:tab w:val="num" w:pos="0"/>
        </w:tabs>
        <w:spacing w:after="0" w:line="276" w:lineRule="auto"/>
        <w:outlineLvl w:val="0"/>
        <w:rPr>
          <w:rFonts w:ascii="Calibri" w:eastAsia="Times New Roman" w:hAnsi="Calibri" w:cs="Arial"/>
          <w:b/>
          <w:bCs/>
          <w:color w:val="029676"/>
          <w:sz w:val="36"/>
          <w:szCs w:val="28"/>
          <w:lang w:eastAsia="en-AU"/>
        </w:rPr>
      </w:pPr>
      <w:r>
        <w:rPr>
          <w:rFonts w:ascii="Calibri" w:eastAsia="Times New Roman" w:hAnsi="Calibri" w:cs="Arial"/>
          <w:b/>
          <w:bCs/>
          <w:color w:val="029676"/>
          <w:sz w:val="36"/>
          <w:szCs w:val="28"/>
          <w:lang w:eastAsia="en-AU"/>
        </w:rPr>
        <w:lastRenderedPageBreak/>
        <w:t>Measuring the change we want to make</w:t>
      </w:r>
    </w:p>
    <w:tbl>
      <w:tblPr>
        <w:tblStyle w:val="TableGrid11"/>
        <w:tblW w:w="4966" w:type="pct"/>
        <w:tblLayout w:type="fixed"/>
        <w:tblLook w:val="04A0" w:firstRow="1" w:lastRow="0" w:firstColumn="1" w:lastColumn="0" w:noHBand="0" w:noVBand="1"/>
      </w:tblPr>
      <w:tblGrid>
        <w:gridCol w:w="2126"/>
        <w:gridCol w:w="1277"/>
        <w:gridCol w:w="1985"/>
        <w:gridCol w:w="3577"/>
      </w:tblGrid>
      <w:tr w:rsidR="009F7AD9" w:rsidRPr="00E05A88" w14:paraId="641DE054" w14:textId="77777777" w:rsidTr="009F7AD9">
        <w:trPr>
          <w:cnfStyle w:val="100000000000" w:firstRow="1" w:lastRow="0" w:firstColumn="0" w:lastColumn="0" w:oddVBand="0" w:evenVBand="0" w:oddHBand="0" w:evenHBand="0" w:firstRowFirstColumn="0" w:firstRowLastColumn="0" w:lastRowFirstColumn="0" w:lastRowLastColumn="0"/>
          <w:trHeight w:val="289"/>
        </w:trPr>
        <w:tc>
          <w:tcPr>
            <w:cnfStyle w:val="000000000100" w:firstRow="0" w:lastRow="0" w:firstColumn="0" w:lastColumn="0" w:oddVBand="0" w:evenVBand="0" w:oddHBand="0" w:evenHBand="0" w:firstRowFirstColumn="1" w:firstRowLastColumn="0" w:lastRowFirstColumn="0" w:lastRowLastColumn="0"/>
            <w:tcW w:w="1186" w:type="pct"/>
            <w:vMerge w:val="restart"/>
          </w:tcPr>
          <w:p w14:paraId="4C17BE34" w14:textId="77777777" w:rsidR="009917C6" w:rsidRPr="00E05A88" w:rsidRDefault="009917C6" w:rsidP="009917C6">
            <w:pPr>
              <w:rPr>
                <w:rFonts w:cs="Arial"/>
                <w:b/>
                <w:bCs/>
              </w:rPr>
            </w:pPr>
            <w:r>
              <w:rPr>
                <w:rFonts w:cs="Arial"/>
                <w:b/>
                <w:bCs/>
              </w:rPr>
              <w:t>Our measures</w:t>
            </w:r>
          </w:p>
        </w:tc>
        <w:tc>
          <w:tcPr>
            <w:tcW w:w="712" w:type="pct"/>
            <w:vMerge w:val="restart"/>
            <w:vAlign w:val="center"/>
          </w:tcPr>
          <w:p w14:paraId="6A7B108D" w14:textId="215695C1" w:rsidR="009917C6" w:rsidRDefault="009917C6" w:rsidP="009917C6">
            <w:pPr>
              <w:cnfStyle w:val="100000000000" w:firstRow="1" w:lastRow="0" w:firstColumn="0" w:lastColumn="0" w:oddVBand="0" w:evenVBand="0" w:oddHBand="0" w:evenHBand="0" w:firstRowFirstColumn="0" w:firstRowLastColumn="0" w:lastRowFirstColumn="0" w:lastRowLastColumn="0"/>
              <w:rPr>
                <w:rFonts w:cs="Arial"/>
                <w:b/>
                <w:bCs/>
              </w:rPr>
            </w:pPr>
            <w:r>
              <w:rPr>
                <w:rFonts w:cs="Arial"/>
                <w:b/>
                <w:bCs/>
              </w:rPr>
              <w:t>Scale</w:t>
            </w:r>
          </w:p>
        </w:tc>
        <w:tc>
          <w:tcPr>
            <w:tcW w:w="1107" w:type="pct"/>
            <w:vMerge w:val="restart"/>
            <w:vAlign w:val="center"/>
          </w:tcPr>
          <w:p w14:paraId="45E8A76F" w14:textId="4CE918A0" w:rsidR="009917C6" w:rsidRDefault="009917C6" w:rsidP="009917C6">
            <w:pPr>
              <w:cnfStyle w:val="100000000000" w:firstRow="1" w:lastRow="0" w:firstColumn="0" w:lastColumn="0" w:oddVBand="0" w:evenVBand="0" w:oddHBand="0" w:evenHBand="0" w:firstRowFirstColumn="0" w:firstRowLastColumn="0" w:lastRowFirstColumn="0" w:lastRowLastColumn="0"/>
              <w:rPr>
                <w:rFonts w:cs="Arial"/>
                <w:b/>
                <w:bCs/>
              </w:rPr>
            </w:pPr>
            <w:r>
              <w:rPr>
                <w:rFonts w:cs="Arial"/>
                <w:b/>
                <w:bCs/>
              </w:rPr>
              <w:t>Our current performance (2019)</w:t>
            </w:r>
          </w:p>
        </w:tc>
        <w:tc>
          <w:tcPr>
            <w:tcW w:w="1995" w:type="pct"/>
            <w:vMerge w:val="restart"/>
            <w:vAlign w:val="center"/>
          </w:tcPr>
          <w:p w14:paraId="13F97583" w14:textId="4D4EF2D6" w:rsidR="009917C6" w:rsidRPr="00E05A88" w:rsidRDefault="009917C6" w:rsidP="009917C6">
            <w:pPr>
              <w:cnfStyle w:val="100000000000" w:firstRow="1" w:lastRow="0" w:firstColumn="0" w:lastColumn="0" w:oddVBand="0" w:evenVBand="0" w:oddHBand="0" w:evenHBand="0" w:firstRowFirstColumn="0" w:firstRowLastColumn="0" w:lastRowFirstColumn="0" w:lastRowLastColumn="0"/>
              <w:rPr>
                <w:rFonts w:cs="Arial"/>
                <w:b/>
                <w:bCs/>
              </w:rPr>
            </w:pPr>
            <w:r w:rsidRPr="00CA1E0E">
              <w:rPr>
                <w:rFonts w:cs="Arial"/>
                <w:b/>
                <w:bCs/>
              </w:rPr>
              <w:t>Why is this measure important?</w:t>
            </w:r>
          </w:p>
        </w:tc>
      </w:tr>
      <w:tr w:rsidR="009917C6" w:rsidRPr="00E05A88" w14:paraId="32558644" w14:textId="77777777" w:rsidTr="009F7AD9">
        <w:trPr>
          <w:trHeight w:val="340"/>
        </w:trPr>
        <w:tc>
          <w:tcPr>
            <w:tcW w:w="1186" w:type="pct"/>
            <w:vMerge/>
          </w:tcPr>
          <w:p w14:paraId="6933EA21" w14:textId="77777777" w:rsidR="009917C6" w:rsidRPr="00E05A88" w:rsidRDefault="009917C6" w:rsidP="0060254E">
            <w:pPr>
              <w:rPr>
                <w:rFonts w:cs="Arial"/>
              </w:rPr>
            </w:pPr>
          </w:p>
        </w:tc>
        <w:tc>
          <w:tcPr>
            <w:tcW w:w="712" w:type="pct"/>
            <w:vMerge/>
          </w:tcPr>
          <w:p w14:paraId="07A9D83F" w14:textId="4B05CD9A" w:rsidR="009917C6" w:rsidRPr="00E05A88" w:rsidRDefault="009917C6" w:rsidP="0060254E">
            <w:pPr>
              <w:jc w:val="center"/>
              <w:rPr>
                <w:rFonts w:cs="Arial"/>
              </w:rPr>
            </w:pPr>
          </w:p>
        </w:tc>
        <w:tc>
          <w:tcPr>
            <w:tcW w:w="1107" w:type="pct"/>
            <w:vMerge/>
          </w:tcPr>
          <w:p w14:paraId="19D99DB7" w14:textId="5D6D73F1" w:rsidR="009917C6" w:rsidRPr="00E05A88" w:rsidRDefault="009917C6" w:rsidP="0060254E">
            <w:pPr>
              <w:jc w:val="center"/>
              <w:rPr>
                <w:rFonts w:cs="Arial"/>
              </w:rPr>
            </w:pPr>
          </w:p>
        </w:tc>
        <w:tc>
          <w:tcPr>
            <w:tcW w:w="1995" w:type="pct"/>
            <w:vMerge/>
          </w:tcPr>
          <w:p w14:paraId="519A9511" w14:textId="77777777" w:rsidR="009917C6" w:rsidRPr="00E05A88" w:rsidRDefault="009917C6" w:rsidP="0060254E">
            <w:pPr>
              <w:rPr>
                <w:rFonts w:cs="Arial"/>
              </w:rPr>
            </w:pPr>
          </w:p>
        </w:tc>
      </w:tr>
      <w:tr w:rsidR="009917C6" w:rsidRPr="00E05A88" w14:paraId="2763D953" w14:textId="77777777" w:rsidTr="009F7AD9">
        <w:trPr>
          <w:trHeight w:val="649"/>
        </w:trPr>
        <w:tc>
          <w:tcPr>
            <w:tcW w:w="1186" w:type="pct"/>
            <w:vMerge w:val="restart"/>
          </w:tcPr>
          <w:p w14:paraId="04DA300F" w14:textId="51CE7984" w:rsidR="009917C6" w:rsidRPr="006F64C4" w:rsidRDefault="009917C6" w:rsidP="0060254E">
            <w:pPr>
              <w:rPr>
                <w:rFonts w:cs="Arial"/>
              </w:rPr>
            </w:pPr>
            <w:r w:rsidRPr="00E05A88">
              <w:rPr>
                <w:rFonts w:cs="Arial"/>
              </w:rPr>
              <w:t xml:space="preserve">1.1a. </w:t>
            </w:r>
            <w:r>
              <w:rPr>
                <w:rFonts w:cs="Arial"/>
              </w:rPr>
              <w:t>R</w:t>
            </w:r>
            <w:r w:rsidRPr="00E05A88">
              <w:rPr>
                <w:rFonts w:cs="Arial"/>
              </w:rPr>
              <w:t>esidential potable water use</w:t>
            </w:r>
          </w:p>
        </w:tc>
        <w:tc>
          <w:tcPr>
            <w:tcW w:w="712" w:type="pct"/>
          </w:tcPr>
          <w:p w14:paraId="41726300" w14:textId="73E56722" w:rsidR="009917C6" w:rsidRPr="006F64C4" w:rsidRDefault="009917C6" w:rsidP="0060254E">
            <w:pPr>
              <w:jc w:val="center"/>
              <w:rPr>
                <w:rFonts w:cs="Arial"/>
              </w:rPr>
            </w:pPr>
            <w:r w:rsidRPr="006F64C4">
              <w:rPr>
                <w:rFonts w:cs="Arial"/>
              </w:rPr>
              <w:t>Catchment</w:t>
            </w:r>
          </w:p>
        </w:tc>
        <w:tc>
          <w:tcPr>
            <w:tcW w:w="1107" w:type="pct"/>
          </w:tcPr>
          <w:p w14:paraId="5C4CCFA4" w14:textId="3DEA3A65" w:rsidR="009917C6" w:rsidRPr="00D16454" w:rsidRDefault="009917C6" w:rsidP="006F64C4">
            <w:pPr>
              <w:rPr>
                <w:rFonts w:cs="Arial"/>
                <w:vertAlign w:val="superscript"/>
              </w:rPr>
            </w:pPr>
            <w:r>
              <w:rPr>
                <w:rFonts w:cs="Arial"/>
              </w:rPr>
              <w:t xml:space="preserve">175 litres per person per </w:t>
            </w:r>
            <w:proofErr w:type="spellStart"/>
            <w:r>
              <w:rPr>
                <w:rFonts w:cs="Arial"/>
              </w:rPr>
              <w:t>day</w:t>
            </w:r>
            <w:r>
              <w:rPr>
                <w:rFonts w:cs="Arial"/>
                <w:vertAlign w:val="superscript"/>
              </w:rPr>
              <w:t>e</w:t>
            </w:r>
            <w:proofErr w:type="spellEnd"/>
          </w:p>
        </w:tc>
        <w:tc>
          <w:tcPr>
            <w:tcW w:w="1995" w:type="pct"/>
            <w:vMerge w:val="restart"/>
          </w:tcPr>
          <w:p w14:paraId="2745448F" w14:textId="1008D559" w:rsidR="009917C6" w:rsidRPr="006F64C4" w:rsidRDefault="009917C6" w:rsidP="0060254E">
            <w:pPr>
              <w:rPr>
                <w:rFonts w:cs="Arial"/>
              </w:rPr>
            </w:pPr>
            <w:r w:rsidRPr="004D35F0">
              <w:rPr>
                <w:rFonts w:cs="Arial"/>
              </w:rPr>
              <w:t>By understanding residential potable water use on a per person basis, we can learn more about how communities use water, and track our progress in reducing demand for potable water resources</w:t>
            </w:r>
            <w:r>
              <w:rPr>
                <w:rFonts w:cs="Arial"/>
              </w:rPr>
              <w:t xml:space="preserve"> in our homes.</w:t>
            </w:r>
          </w:p>
        </w:tc>
      </w:tr>
      <w:tr w:rsidR="009917C6" w:rsidRPr="00E05A88" w14:paraId="1BE2820C" w14:textId="77777777" w:rsidTr="009F7AD9">
        <w:trPr>
          <w:trHeight w:val="558"/>
        </w:trPr>
        <w:tc>
          <w:tcPr>
            <w:tcW w:w="1186" w:type="pct"/>
            <w:vMerge/>
          </w:tcPr>
          <w:p w14:paraId="160CB76C" w14:textId="79371932" w:rsidR="009917C6" w:rsidRPr="00E05A88" w:rsidRDefault="009917C6" w:rsidP="0060254E">
            <w:pPr>
              <w:rPr>
                <w:rFonts w:cs="Arial"/>
              </w:rPr>
            </w:pPr>
          </w:p>
        </w:tc>
        <w:tc>
          <w:tcPr>
            <w:tcW w:w="712" w:type="pct"/>
          </w:tcPr>
          <w:p w14:paraId="00E5601D" w14:textId="555501A2" w:rsidR="009917C6" w:rsidRPr="00E05A88" w:rsidRDefault="009917C6" w:rsidP="0060254E">
            <w:pPr>
              <w:rPr>
                <w:rFonts w:cs="Arial"/>
              </w:rPr>
            </w:pPr>
            <w:r>
              <w:rPr>
                <w:rFonts w:cs="Arial"/>
              </w:rPr>
              <w:t>Region</w:t>
            </w:r>
          </w:p>
        </w:tc>
        <w:tc>
          <w:tcPr>
            <w:tcW w:w="1107" w:type="pct"/>
          </w:tcPr>
          <w:p w14:paraId="7AA4DCA6" w14:textId="6D8C26D6" w:rsidR="009917C6" w:rsidRPr="00E05A88" w:rsidRDefault="009917C6" w:rsidP="0060254E">
            <w:pPr>
              <w:rPr>
                <w:rFonts w:cs="Arial"/>
              </w:rPr>
            </w:pPr>
            <w:r>
              <w:rPr>
                <w:rFonts w:cs="Arial"/>
              </w:rPr>
              <w:t xml:space="preserve">172 litres per person per </w:t>
            </w:r>
            <w:proofErr w:type="spellStart"/>
            <w:r>
              <w:rPr>
                <w:rFonts w:cs="Arial"/>
              </w:rPr>
              <w:t>day</w:t>
            </w:r>
            <w:r w:rsidRPr="00744FD1">
              <w:rPr>
                <w:rFonts w:cs="Arial"/>
                <w:vertAlign w:val="superscript"/>
              </w:rPr>
              <w:t>e</w:t>
            </w:r>
            <w:proofErr w:type="spellEnd"/>
          </w:p>
        </w:tc>
        <w:tc>
          <w:tcPr>
            <w:tcW w:w="1995" w:type="pct"/>
            <w:vMerge/>
          </w:tcPr>
          <w:p w14:paraId="3A6A5242" w14:textId="4BA4E598" w:rsidR="009917C6" w:rsidRPr="00730614" w:rsidRDefault="009917C6" w:rsidP="0060254E">
            <w:pPr>
              <w:rPr>
                <w:rFonts w:cs="Arial"/>
                <w:color w:val="FF0000"/>
              </w:rPr>
            </w:pPr>
          </w:p>
        </w:tc>
      </w:tr>
      <w:tr w:rsidR="009917C6" w:rsidRPr="00E05A88" w14:paraId="09A34FC4" w14:textId="77777777" w:rsidTr="009F7AD9">
        <w:trPr>
          <w:trHeight w:val="635"/>
        </w:trPr>
        <w:tc>
          <w:tcPr>
            <w:tcW w:w="1186" w:type="pct"/>
            <w:vMerge w:val="restart"/>
          </w:tcPr>
          <w:p w14:paraId="5BA3D88E" w14:textId="77777777" w:rsidR="009917C6" w:rsidRPr="00E05A88" w:rsidRDefault="009917C6" w:rsidP="0060254E">
            <w:pPr>
              <w:rPr>
                <w:rFonts w:cs="Arial"/>
              </w:rPr>
            </w:pPr>
            <w:r>
              <w:t>1.1b. N</w:t>
            </w:r>
            <w:r w:rsidRPr="006F615A">
              <w:t>on-residential potable water use</w:t>
            </w:r>
          </w:p>
        </w:tc>
        <w:tc>
          <w:tcPr>
            <w:tcW w:w="712" w:type="pct"/>
          </w:tcPr>
          <w:p w14:paraId="37B7A364" w14:textId="55D9AB65" w:rsidR="009917C6" w:rsidRPr="00E05A88" w:rsidRDefault="009917C6" w:rsidP="0060254E">
            <w:pPr>
              <w:rPr>
                <w:rFonts w:cs="Arial"/>
              </w:rPr>
            </w:pPr>
            <w:r>
              <w:rPr>
                <w:rFonts w:cs="Arial"/>
              </w:rPr>
              <w:t xml:space="preserve">Catchment </w:t>
            </w:r>
          </w:p>
        </w:tc>
        <w:tc>
          <w:tcPr>
            <w:tcW w:w="1107" w:type="pct"/>
          </w:tcPr>
          <w:p w14:paraId="1B040B12" w14:textId="09524B2D" w:rsidR="009917C6" w:rsidRPr="00E05A88" w:rsidRDefault="009917C6" w:rsidP="0060254E">
            <w:pPr>
              <w:rPr>
                <w:rFonts w:cs="Arial"/>
              </w:rPr>
            </w:pPr>
            <w:r>
              <w:rPr>
                <w:rFonts w:cs="Arial"/>
              </w:rPr>
              <w:t>43 Gigalitres /year</w:t>
            </w:r>
            <w:r w:rsidDel="0096734A">
              <w:rPr>
                <w:rFonts w:cs="Arial"/>
              </w:rPr>
              <w:t xml:space="preserve"> </w:t>
            </w:r>
          </w:p>
        </w:tc>
        <w:tc>
          <w:tcPr>
            <w:tcW w:w="1995" w:type="pct"/>
            <w:vMerge w:val="restart"/>
          </w:tcPr>
          <w:p w14:paraId="241D0DB3" w14:textId="3EF9C852" w:rsidR="009917C6" w:rsidRPr="00730614" w:rsidRDefault="009917C6" w:rsidP="0060254E">
            <w:pPr>
              <w:rPr>
                <w:rFonts w:cs="Arial"/>
                <w:color w:val="FF0000"/>
              </w:rPr>
            </w:pPr>
            <w:r w:rsidRPr="004D35F0">
              <w:rPr>
                <w:rFonts w:cs="Arial"/>
              </w:rPr>
              <w:t>This measure helps us to understand where the hot spots are for non-residential water use, and therefore where we can prioritise initiatives to increase access to alternative supplies or increase efficiency of water use.</w:t>
            </w:r>
          </w:p>
        </w:tc>
      </w:tr>
      <w:tr w:rsidR="009917C6" w:rsidRPr="00E05A88" w14:paraId="1545603D" w14:textId="77777777" w:rsidTr="009F7AD9">
        <w:trPr>
          <w:trHeight w:val="635"/>
        </w:trPr>
        <w:tc>
          <w:tcPr>
            <w:tcW w:w="1186" w:type="pct"/>
            <w:vMerge/>
          </w:tcPr>
          <w:p w14:paraId="4A8FA940" w14:textId="77777777" w:rsidR="009917C6" w:rsidRDefault="009917C6" w:rsidP="0060254E"/>
        </w:tc>
        <w:tc>
          <w:tcPr>
            <w:tcW w:w="712" w:type="pct"/>
          </w:tcPr>
          <w:p w14:paraId="045CC7DB" w14:textId="178CE44B" w:rsidR="009917C6" w:rsidRDefault="009917C6" w:rsidP="0060254E">
            <w:pPr>
              <w:rPr>
                <w:rFonts w:cs="Arial"/>
              </w:rPr>
            </w:pPr>
            <w:r>
              <w:rPr>
                <w:rFonts w:cs="Arial"/>
              </w:rPr>
              <w:t>Region</w:t>
            </w:r>
          </w:p>
        </w:tc>
        <w:tc>
          <w:tcPr>
            <w:tcW w:w="1107" w:type="pct"/>
          </w:tcPr>
          <w:p w14:paraId="766BDA99" w14:textId="07628930" w:rsidR="009917C6" w:rsidRDefault="009917C6" w:rsidP="0060254E">
            <w:pPr>
              <w:rPr>
                <w:rFonts w:cs="Arial"/>
              </w:rPr>
            </w:pPr>
            <w:r>
              <w:rPr>
                <w:rFonts w:cs="Arial"/>
              </w:rPr>
              <w:t>111 Gigalitres /year</w:t>
            </w:r>
          </w:p>
        </w:tc>
        <w:tc>
          <w:tcPr>
            <w:tcW w:w="1995" w:type="pct"/>
            <w:vMerge/>
          </w:tcPr>
          <w:p w14:paraId="0990DB9A" w14:textId="77777777" w:rsidR="009917C6" w:rsidRPr="004D35F0" w:rsidRDefault="009917C6" w:rsidP="0060254E">
            <w:pPr>
              <w:rPr>
                <w:rFonts w:cs="Arial"/>
              </w:rPr>
            </w:pPr>
          </w:p>
        </w:tc>
      </w:tr>
      <w:tr w:rsidR="009917C6" w:rsidRPr="00E05A88" w14:paraId="5EF8ED5C" w14:textId="77777777" w:rsidTr="009F7AD9">
        <w:trPr>
          <w:trHeight w:val="515"/>
        </w:trPr>
        <w:tc>
          <w:tcPr>
            <w:tcW w:w="1186" w:type="pct"/>
            <w:vMerge w:val="restart"/>
          </w:tcPr>
          <w:p w14:paraId="5937CD78" w14:textId="77777777" w:rsidR="009917C6" w:rsidRPr="00E05A88" w:rsidRDefault="009917C6" w:rsidP="0096734A">
            <w:pPr>
              <w:rPr>
                <w:rFonts w:cs="Arial"/>
              </w:rPr>
            </w:pPr>
            <w:r>
              <w:t>1.2</w:t>
            </w:r>
            <w:r w:rsidRPr="0056034F">
              <w:t>a. Percent of total water use which is provided from alternative water sources</w:t>
            </w:r>
          </w:p>
        </w:tc>
        <w:tc>
          <w:tcPr>
            <w:tcW w:w="712" w:type="pct"/>
          </w:tcPr>
          <w:p w14:paraId="4CD2686F" w14:textId="0F86B8AD" w:rsidR="009917C6" w:rsidRPr="00E05A88" w:rsidRDefault="009917C6" w:rsidP="0096734A">
            <w:pPr>
              <w:rPr>
                <w:rFonts w:cs="Arial"/>
              </w:rPr>
            </w:pPr>
            <w:r>
              <w:rPr>
                <w:rFonts w:cs="Arial"/>
              </w:rPr>
              <w:t xml:space="preserve">Catchment </w:t>
            </w:r>
          </w:p>
        </w:tc>
        <w:tc>
          <w:tcPr>
            <w:tcW w:w="1107" w:type="pct"/>
          </w:tcPr>
          <w:p w14:paraId="3EFD3D1F" w14:textId="1DCFC554" w:rsidR="009917C6" w:rsidRPr="00E05A88" w:rsidRDefault="009917C6" w:rsidP="0096734A">
            <w:pPr>
              <w:rPr>
                <w:rFonts w:cs="Arial"/>
              </w:rPr>
            </w:pPr>
            <w:r>
              <w:rPr>
                <w:rFonts w:cs="Arial"/>
              </w:rPr>
              <w:t>2.7 %</w:t>
            </w:r>
          </w:p>
        </w:tc>
        <w:tc>
          <w:tcPr>
            <w:tcW w:w="1995" w:type="pct"/>
            <w:vMerge w:val="restart"/>
          </w:tcPr>
          <w:p w14:paraId="757D3220" w14:textId="77777777" w:rsidR="009917C6" w:rsidRPr="00730614" w:rsidRDefault="009917C6" w:rsidP="0096734A">
            <w:pPr>
              <w:rPr>
                <w:rFonts w:cs="Arial"/>
                <w:color w:val="FF0000"/>
              </w:rPr>
            </w:pPr>
            <w:r w:rsidRPr="004D35F0">
              <w:rPr>
                <w:rFonts w:cs="Arial"/>
              </w:rPr>
              <w:t>By understanding the full water use picture, we can track our overall progress in matching alternative water use for fit-for-purpose demands.</w:t>
            </w:r>
          </w:p>
        </w:tc>
      </w:tr>
      <w:tr w:rsidR="009917C6" w:rsidRPr="00E05A88" w14:paraId="3ACD72AC" w14:textId="77777777" w:rsidTr="009F7AD9">
        <w:trPr>
          <w:trHeight w:val="411"/>
        </w:trPr>
        <w:tc>
          <w:tcPr>
            <w:tcW w:w="1186" w:type="pct"/>
            <w:vMerge/>
          </w:tcPr>
          <w:p w14:paraId="0DB127C4" w14:textId="77777777" w:rsidR="009917C6" w:rsidRDefault="009917C6" w:rsidP="0096734A"/>
        </w:tc>
        <w:tc>
          <w:tcPr>
            <w:tcW w:w="712" w:type="pct"/>
          </w:tcPr>
          <w:p w14:paraId="604F3A01" w14:textId="0A0E72FC" w:rsidR="009917C6" w:rsidRDefault="009917C6" w:rsidP="0096734A">
            <w:pPr>
              <w:rPr>
                <w:rFonts w:cs="Arial"/>
              </w:rPr>
            </w:pPr>
            <w:r>
              <w:rPr>
                <w:rFonts w:cs="Arial"/>
              </w:rPr>
              <w:t>Region</w:t>
            </w:r>
          </w:p>
        </w:tc>
        <w:tc>
          <w:tcPr>
            <w:tcW w:w="1107" w:type="pct"/>
          </w:tcPr>
          <w:p w14:paraId="5A713438" w14:textId="1B85EFE4" w:rsidR="009917C6" w:rsidRDefault="009917C6" w:rsidP="0096734A">
            <w:pPr>
              <w:rPr>
                <w:rFonts w:cs="Arial"/>
              </w:rPr>
            </w:pPr>
            <w:r>
              <w:rPr>
                <w:rFonts w:cs="Arial"/>
              </w:rPr>
              <w:t>12.5 %</w:t>
            </w:r>
          </w:p>
        </w:tc>
        <w:tc>
          <w:tcPr>
            <w:tcW w:w="1995" w:type="pct"/>
            <w:vMerge/>
          </w:tcPr>
          <w:p w14:paraId="7CB8060F" w14:textId="77777777" w:rsidR="009917C6" w:rsidRPr="004D35F0" w:rsidRDefault="009917C6" w:rsidP="0096734A">
            <w:pPr>
              <w:rPr>
                <w:rFonts w:cs="Arial"/>
              </w:rPr>
            </w:pPr>
          </w:p>
        </w:tc>
      </w:tr>
      <w:tr w:rsidR="009917C6" w:rsidRPr="00E05A88" w14:paraId="2A79CFAB" w14:textId="77777777" w:rsidTr="009F7AD9">
        <w:trPr>
          <w:trHeight w:val="711"/>
        </w:trPr>
        <w:tc>
          <w:tcPr>
            <w:tcW w:w="1186" w:type="pct"/>
            <w:vMerge w:val="restart"/>
          </w:tcPr>
          <w:p w14:paraId="0EB6C674" w14:textId="2188A4F3" w:rsidR="009917C6" w:rsidRPr="00E05A88" w:rsidRDefault="009917C6" w:rsidP="0096734A">
            <w:pPr>
              <w:rPr>
                <w:rFonts w:cs="Arial"/>
              </w:rPr>
            </w:pPr>
            <w:r w:rsidRPr="00E05A88">
              <w:rPr>
                <w:rFonts w:cs="Arial"/>
              </w:rPr>
              <w:t xml:space="preserve">1.2b. </w:t>
            </w:r>
            <w:r>
              <w:rPr>
                <w:rFonts w:cs="Arial"/>
              </w:rPr>
              <w:t>A</w:t>
            </w:r>
            <w:r w:rsidRPr="00E05A88">
              <w:rPr>
                <w:rFonts w:cs="Arial"/>
              </w:rPr>
              <w:t xml:space="preserve">lternative water sources that </w:t>
            </w:r>
            <w:r>
              <w:rPr>
                <w:rFonts w:cs="Arial"/>
              </w:rPr>
              <w:t>substitute</w:t>
            </w:r>
            <w:r w:rsidRPr="00E05A88">
              <w:rPr>
                <w:rFonts w:cs="Arial"/>
              </w:rPr>
              <w:t xml:space="preserve"> potable mains water supply</w:t>
            </w:r>
          </w:p>
        </w:tc>
        <w:tc>
          <w:tcPr>
            <w:tcW w:w="712" w:type="pct"/>
          </w:tcPr>
          <w:p w14:paraId="14E8166D" w14:textId="58F97BC8" w:rsidR="009917C6" w:rsidRPr="00E05A88" w:rsidRDefault="009917C6" w:rsidP="0096734A">
            <w:pPr>
              <w:rPr>
                <w:rFonts w:cs="Arial"/>
              </w:rPr>
            </w:pPr>
            <w:r>
              <w:rPr>
                <w:rFonts w:cs="Arial"/>
              </w:rPr>
              <w:t xml:space="preserve">Catchment </w:t>
            </w:r>
          </w:p>
        </w:tc>
        <w:tc>
          <w:tcPr>
            <w:tcW w:w="1107" w:type="pct"/>
          </w:tcPr>
          <w:p w14:paraId="26B1159D" w14:textId="1F476B95" w:rsidR="009917C6" w:rsidRPr="00E05A88" w:rsidRDefault="009917C6" w:rsidP="0096734A">
            <w:pPr>
              <w:rPr>
                <w:rFonts w:cs="Arial"/>
              </w:rPr>
            </w:pPr>
            <w:r>
              <w:rPr>
                <w:rFonts w:cs="Arial"/>
              </w:rPr>
              <w:t>5 Gigalitres/year</w:t>
            </w:r>
            <w:r w:rsidDel="0096734A">
              <w:rPr>
                <w:rFonts w:cs="Arial"/>
              </w:rPr>
              <w:t xml:space="preserve"> </w:t>
            </w:r>
          </w:p>
        </w:tc>
        <w:tc>
          <w:tcPr>
            <w:tcW w:w="1995" w:type="pct"/>
            <w:vMerge w:val="restart"/>
          </w:tcPr>
          <w:p w14:paraId="1DA6FE63" w14:textId="77777777" w:rsidR="009917C6" w:rsidRPr="00E05A88" w:rsidRDefault="009917C6" w:rsidP="0096734A">
            <w:pPr>
              <w:rPr>
                <w:rFonts w:cs="Arial"/>
              </w:rPr>
            </w:pPr>
            <w:r w:rsidRPr="00E05A88">
              <w:rPr>
                <w:rFonts w:cs="Arial"/>
              </w:rPr>
              <w:t xml:space="preserve">By </w:t>
            </w:r>
            <w:r>
              <w:rPr>
                <w:rFonts w:cs="Arial"/>
              </w:rPr>
              <w:t>driving an increase in</w:t>
            </w:r>
            <w:r w:rsidRPr="00E05A88">
              <w:rPr>
                <w:rFonts w:cs="Arial"/>
              </w:rPr>
              <w:t xml:space="preserve"> alternative water supplies that will substitute potable water supplies, we will significantly reduce the risk of future shortfalls by diversifying our water supplies and making use of resources that might otherwise be wasted.</w:t>
            </w:r>
          </w:p>
        </w:tc>
      </w:tr>
      <w:tr w:rsidR="009917C6" w:rsidRPr="00E05A88" w14:paraId="7D93B556" w14:textId="77777777" w:rsidTr="009F7AD9">
        <w:trPr>
          <w:trHeight w:val="711"/>
        </w:trPr>
        <w:tc>
          <w:tcPr>
            <w:tcW w:w="1186" w:type="pct"/>
            <w:vMerge/>
          </w:tcPr>
          <w:p w14:paraId="27091B51" w14:textId="77777777" w:rsidR="009917C6" w:rsidRPr="00E05A88" w:rsidRDefault="009917C6" w:rsidP="0096734A">
            <w:pPr>
              <w:rPr>
                <w:rFonts w:cs="Arial"/>
              </w:rPr>
            </w:pPr>
          </w:p>
        </w:tc>
        <w:tc>
          <w:tcPr>
            <w:tcW w:w="712" w:type="pct"/>
          </w:tcPr>
          <w:p w14:paraId="2369ABD3" w14:textId="485F6F53" w:rsidR="009917C6" w:rsidRDefault="009917C6" w:rsidP="0096734A">
            <w:pPr>
              <w:rPr>
                <w:rFonts w:cs="Arial"/>
              </w:rPr>
            </w:pPr>
            <w:r>
              <w:rPr>
                <w:rFonts w:cs="Arial"/>
              </w:rPr>
              <w:t>Region</w:t>
            </w:r>
          </w:p>
        </w:tc>
        <w:tc>
          <w:tcPr>
            <w:tcW w:w="1107" w:type="pct"/>
          </w:tcPr>
          <w:p w14:paraId="27F17660" w14:textId="4CE1B5C9" w:rsidR="009917C6" w:rsidRDefault="009917C6" w:rsidP="0096734A">
            <w:pPr>
              <w:rPr>
                <w:rFonts w:cs="Arial"/>
              </w:rPr>
            </w:pPr>
            <w:r>
              <w:rPr>
                <w:rFonts w:cs="Arial"/>
              </w:rPr>
              <w:t>18 Gigalitres/year</w:t>
            </w:r>
          </w:p>
        </w:tc>
        <w:tc>
          <w:tcPr>
            <w:tcW w:w="1995" w:type="pct"/>
            <w:vMerge/>
          </w:tcPr>
          <w:p w14:paraId="6F572783" w14:textId="77777777" w:rsidR="009917C6" w:rsidRPr="00E05A88" w:rsidRDefault="009917C6" w:rsidP="0096734A">
            <w:pPr>
              <w:rPr>
                <w:rFonts w:cs="Arial"/>
              </w:rPr>
            </w:pPr>
          </w:p>
        </w:tc>
      </w:tr>
    </w:tbl>
    <w:p w14:paraId="2A837309" w14:textId="77777777" w:rsidR="001C1067" w:rsidRDefault="001C1067" w:rsidP="00CF0B88">
      <w:pPr>
        <w:rPr>
          <w:rFonts w:ascii="Calibri" w:eastAsia="Times New Roman" w:hAnsi="Calibri" w:cs="Arial"/>
          <w:b/>
          <w:bCs/>
          <w:color w:val="029676"/>
          <w:sz w:val="36"/>
          <w:szCs w:val="28"/>
          <w:lang w:eastAsia="en-AU"/>
        </w:rPr>
      </w:pPr>
    </w:p>
    <w:tbl>
      <w:tblPr>
        <w:tblStyle w:val="TableGrid11"/>
        <w:tblW w:w="0" w:type="auto"/>
        <w:tblLook w:val="04A0" w:firstRow="1" w:lastRow="0" w:firstColumn="1" w:lastColumn="0" w:noHBand="0" w:noVBand="1"/>
      </w:tblPr>
      <w:tblGrid>
        <w:gridCol w:w="9016"/>
      </w:tblGrid>
      <w:tr w:rsidR="001C1067" w:rsidRPr="007A00A4" w14:paraId="424CF3D9" w14:textId="77777777" w:rsidTr="0060254E">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016" w:type="dxa"/>
          </w:tcPr>
          <w:p w14:paraId="0FE0E8BA" w14:textId="77777777" w:rsidR="001C1067" w:rsidRPr="007A00A4" w:rsidRDefault="001C1067" w:rsidP="0060254E">
            <w:pPr>
              <w:rPr>
                <w:b/>
                <w:bCs/>
              </w:rPr>
            </w:pPr>
            <w:bookmarkStart w:id="2" w:name="_Hlk115347304"/>
            <w:r w:rsidRPr="007A00A4">
              <w:rPr>
                <w:b/>
                <w:bCs/>
              </w:rPr>
              <w:t>Our targets for the future, as of September 2022</w:t>
            </w:r>
          </w:p>
        </w:tc>
      </w:tr>
      <w:tr w:rsidR="001C1067" w:rsidRPr="007A00A4" w14:paraId="60E34F1B" w14:textId="77777777" w:rsidTr="0060254E">
        <w:tc>
          <w:tcPr>
            <w:tcW w:w="9016" w:type="dxa"/>
          </w:tcPr>
          <w:p w14:paraId="1D33A23A" w14:textId="77777777" w:rsidR="001C1067" w:rsidRPr="007A00A4" w:rsidRDefault="001C1067" w:rsidP="0060254E">
            <w:r w:rsidRPr="007A00A4">
              <w:t xml:space="preserve">150 litres per person per day by </w:t>
            </w:r>
            <w:r w:rsidRPr="007A00A4">
              <w:rPr>
                <w:b/>
                <w:bCs/>
              </w:rPr>
              <w:t>2024</w:t>
            </w:r>
            <w:r w:rsidRPr="007A00A4">
              <w:t xml:space="preserve"> for the </w:t>
            </w:r>
            <w:r w:rsidRPr="007A00A4">
              <w:rPr>
                <w:b/>
                <w:bCs/>
              </w:rPr>
              <w:t>Greater Melbourne Region</w:t>
            </w:r>
            <w:r w:rsidRPr="007A00A4">
              <w:t xml:space="preserve"> (as per the Central and Gippsland Region Sustainable Water Strategy) </w:t>
            </w:r>
          </w:p>
        </w:tc>
      </w:tr>
      <w:tr w:rsidR="001C1067" w:rsidRPr="007A00A4" w14:paraId="46AB6EA2" w14:textId="77777777" w:rsidTr="0060254E">
        <w:tc>
          <w:tcPr>
            <w:tcW w:w="9016" w:type="dxa"/>
          </w:tcPr>
          <w:p w14:paraId="0B5E95F4" w14:textId="76D01B59" w:rsidR="001C1067" w:rsidRPr="007A00A4" w:rsidRDefault="001C1067" w:rsidP="0060254E">
            <w:r>
              <w:t>14</w:t>
            </w:r>
            <w:r w:rsidRPr="007A00A4">
              <w:t xml:space="preserve"> Gigalitres/year of alternative water sources that substitute potable mains supply by </w:t>
            </w:r>
            <w:r w:rsidRPr="007A00A4">
              <w:rPr>
                <w:b/>
                <w:bCs/>
              </w:rPr>
              <w:t>2030</w:t>
            </w:r>
            <w:r w:rsidRPr="007A00A4">
              <w:t xml:space="preserve"> for the </w:t>
            </w:r>
            <w:r w:rsidRPr="007A00A4">
              <w:rPr>
                <w:b/>
                <w:bCs/>
              </w:rPr>
              <w:t>catchment</w:t>
            </w:r>
          </w:p>
        </w:tc>
      </w:tr>
      <w:tr w:rsidR="001C1067" w:rsidRPr="007A00A4" w14:paraId="185E9F8C" w14:textId="77777777" w:rsidTr="0060254E">
        <w:tc>
          <w:tcPr>
            <w:tcW w:w="9016" w:type="dxa"/>
          </w:tcPr>
          <w:p w14:paraId="39C01126" w14:textId="77777777" w:rsidR="001C1067" w:rsidRPr="007A00A4" w:rsidRDefault="001C1067" w:rsidP="0060254E">
            <w:r w:rsidRPr="007A00A4">
              <w:t xml:space="preserve">53 Gigalitres/year of alternative water sources that substitute potable mains supply by </w:t>
            </w:r>
            <w:r w:rsidRPr="007A00A4">
              <w:rPr>
                <w:b/>
                <w:bCs/>
              </w:rPr>
              <w:t>2030</w:t>
            </w:r>
            <w:r w:rsidRPr="007A00A4">
              <w:t xml:space="preserve"> for the </w:t>
            </w:r>
            <w:r w:rsidRPr="007A00A4">
              <w:rPr>
                <w:b/>
                <w:bCs/>
              </w:rPr>
              <w:t>Greater Melbourne Region</w:t>
            </w:r>
          </w:p>
        </w:tc>
      </w:tr>
      <w:tr w:rsidR="001C1067" w:rsidRPr="007A00A4" w14:paraId="147BC60E" w14:textId="77777777" w:rsidTr="0060254E">
        <w:tc>
          <w:tcPr>
            <w:tcW w:w="9016" w:type="dxa"/>
          </w:tcPr>
          <w:p w14:paraId="011B6EF1" w14:textId="77777777" w:rsidR="001C1067" w:rsidRPr="007A00A4" w:rsidRDefault="001C1067" w:rsidP="0060254E">
            <w:r w:rsidRPr="007A00A4">
              <w:t xml:space="preserve">150 Gigalitres/year of alternative water sources that substitute potable mains supply by </w:t>
            </w:r>
            <w:r w:rsidRPr="007A00A4">
              <w:rPr>
                <w:b/>
                <w:bCs/>
              </w:rPr>
              <w:t>2050</w:t>
            </w:r>
            <w:r w:rsidRPr="007A00A4">
              <w:t xml:space="preserve"> for the </w:t>
            </w:r>
            <w:r w:rsidRPr="007A00A4">
              <w:rPr>
                <w:b/>
                <w:bCs/>
              </w:rPr>
              <w:t>Greater Melbourne Region</w:t>
            </w:r>
          </w:p>
        </w:tc>
      </w:tr>
      <w:bookmarkEnd w:id="2"/>
    </w:tbl>
    <w:p w14:paraId="5ADC8ED5" w14:textId="6FCD1AA1" w:rsidR="00CF0B88" w:rsidRDefault="00FD7FFB" w:rsidP="00CF0B88">
      <w:pPr>
        <w:rPr>
          <w:rStyle w:val="Strong"/>
          <w:lang w:eastAsia="en-AU"/>
        </w:rPr>
      </w:pPr>
      <w:r>
        <w:rPr>
          <w:rFonts w:ascii="Calibri" w:eastAsia="Times New Roman" w:hAnsi="Calibri" w:cs="Arial"/>
          <w:b/>
          <w:bCs/>
          <w:color w:val="029676"/>
          <w:sz w:val="36"/>
          <w:szCs w:val="28"/>
          <w:lang w:eastAsia="en-AU"/>
        </w:rPr>
        <w:br w:type="page"/>
      </w:r>
    </w:p>
    <w:p w14:paraId="0CBAA5A2" w14:textId="77777777" w:rsidR="00CF0B88" w:rsidRDefault="00CF0B88" w:rsidP="00F5568B">
      <w:pPr>
        <w:rPr>
          <w:rStyle w:val="Strong"/>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1938"/>
      </w:tblGrid>
      <w:tr w:rsidR="00CF0B88" w14:paraId="5C6BB4AF" w14:textId="77777777" w:rsidTr="00F70456">
        <w:tc>
          <w:tcPr>
            <w:tcW w:w="7088" w:type="dxa"/>
            <w:shd w:val="clear" w:color="auto" w:fill="auto"/>
          </w:tcPr>
          <w:p w14:paraId="1E4C752C" w14:textId="77777777" w:rsidR="00CF0B88" w:rsidRPr="00CF151F" w:rsidRDefault="00CF0B88" w:rsidP="00F70456">
            <w:pPr>
              <w:pStyle w:val="Heading1"/>
              <w:outlineLvl w:val="0"/>
              <w:rPr>
                <w:sz w:val="48"/>
                <w:szCs w:val="48"/>
              </w:rPr>
            </w:pPr>
            <w:bookmarkStart w:id="3" w:name="_Toc70609087"/>
            <w:r>
              <w:rPr>
                <w:rFonts w:ascii="Arial" w:hAnsi="Arial" w:cs="Arial"/>
                <w:color w:val="44C1A3"/>
                <w:szCs w:val="36"/>
              </w:rPr>
              <w:t xml:space="preserve">Strategic Outcome 2 - </w:t>
            </w:r>
            <w:r>
              <w:rPr>
                <w:rFonts w:ascii="Arial" w:hAnsi="Arial" w:cs="Arial"/>
                <w:b w:val="0"/>
                <w:bCs w:val="0"/>
                <w:color w:val="44C1A3"/>
                <w:szCs w:val="36"/>
              </w:rPr>
              <w:t>Effective and affordable wastewater systems</w:t>
            </w:r>
            <w:bookmarkEnd w:id="3"/>
          </w:p>
          <w:p w14:paraId="7637E303" w14:textId="77777777" w:rsidR="00CF0B88" w:rsidRDefault="00CF0B88" w:rsidP="00F70456">
            <w:pPr>
              <w:pStyle w:val="BodyText"/>
              <w:rPr>
                <w:rFonts w:ascii="Arial" w:hAnsi="Arial" w:cs="Arial"/>
                <w:color w:val="44C1A3"/>
                <w:sz w:val="36"/>
                <w:szCs w:val="36"/>
              </w:rPr>
            </w:pPr>
          </w:p>
        </w:tc>
        <w:tc>
          <w:tcPr>
            <w:tcW w:w="1938" w:type="dxa"/>
            <w:shd w:val="clear" w:color="auto" w:fill="auto"/>
          </w:tcPr>
          <w:p w14:paraId="590CD59C" w14:textId="77777777" w:rsidR="00CF0B88" w:rsidRDefault="00CF0B88" w:rsidP="00F70456">
            <w:pPr>
              <w:pStyle w:val="BodyText"/>
              <w:rPr>
                <w:rFonts w:ascii="Arial" w:hAnsi="Arial" w:cs="Arial"/>
                <w:color w:val="44C1A3"/>
                <w:sz w:val="36"/>
                <w:szCs w:val="36"/>
              </w:rPr>
            </w:pPr>
            <w:r>
              <w:rPr>
                <w:noProof/>
              </w:rPr>
              <w:drawing>
                <wp:inline distT="0" distB="0" distL="0" distR="0" wp14:anchorId="2AFF96CF" wp14:editId="6B282DD4">
                  <wp:extent cx="900684" cy="900684"/>
                  <wp:effectExtent l="0" t="0" r="0" b="0"/>
                  <wp:docPr id="47" name="Picture 4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pic:nvPicPr>
                        <pic:blipFill>
                          <a:blip r:embed="rId16">
                            <a:extLst>
                              <a:ext uri="{28A0092B-C50C-407E-A947-70E740481C1C}">
                                <a14:useLocalDpi xmlns:a14="http://schemas.microsoft.com/office/drawing/2010/main" val="0"/>
                              </a:ext>
                            </a:extLst>
                          </a:blip>
                          <a:stretch>
                            <a:fillRect/>
                          </a:stretch>
                        </pic:blipFill>
                        <pic:spPr>
                          <a:xfrm>
                            <a:off x="0" y="0"/>
                            <a:ext cx="900684" cy="900684"/>
                          </a:xfrm>
                          <a:prstGeom prst="rect">
                            <a:avLst/>
                          </a:prstGeom>
                        </pic:spPr>
                      </pic:pic>
                    </a:graphicData>
                  </a:graphic>
                </wp:inline>
              </w:drawing>
            </w:r>
          </w:p>
        </w:tc>
      </w:tr>
    </w:tbl>
    <w:p w14:paraId="16F70A22" w14:textId="77777777" w:rsidR="00CF0B88" w:rsidRDefault="00CF0B88" w:rsidP="00F5568B">
      <w:pPr>
        <w:rPr>
          <w:rStyle w:val="Strong"/>
          <w:lang w:eastAsia="en-AU"/>
        </w:rPr>
      </w:pPr>
    </w:p>
    <w:p w14:paraId="24808531" w14:textId="7D99F91F" w:rsidR="00FD7FFB" w:rsidRPr="00F5568B" w:rsidRDefault="00FD7FFB" w:rsidP="00F5568B">
      <w:pPr>
        <w:rPr>
          <w:rStyle w:val="Strong"/>
          <w:lang w:eastAsia="en-AU"/>
        </w:rPr>
      </w:pPr>
      <w:r w:rsidRPr="00F5568B">
        <w:rPr>
          <w:rStyle w:val="Strong"/>
          <w:lang w:eastAsia="en-AU"/>
        </w:rPr>
        <w:t>Providing effective and affordable wastewater systems in the region is the remit and responsibility of water corporations, and various performance indicators are already tracked to monitor and drive progress. The indicators and measures selected for this Plan focus on how we can better utilise wastewater as a resource and transition towards a circular economy.</w:t>
      </w:r>
    </w:p>
    <w:p w14:paraId="62CA5993" w14:textId="7404A136" w:rsidR="00FD7FFB" w:rsidRDefault="00FD7FFB" w:rsidP="00FD7FFB">
      <w:pPr>
        <w:keepNext/>
        <w:keepLines/>
        <w:tabs>
          <w:tab w:val="num" w:pos="0"/>
        </w:tabs>
        <w:spacing w:after="0" w:line="240" w:lineRule="auto"/>
        <w:outlineLvl w:val="0"/>
        <w:rPr>
          <w:rFonts w:ascii="Calibri" w:eastAsia="Meiryo" w:hAnsi="Calibri" w:cs="Arial"/>
          <w:b/>
          <w:bCs/>
          <w:color w:val="029676"/>
          <w:sz w:val="36"/>
          <w:szCs w:val="28"/>
          <w:lang w:eastAsia="en-AU"/>
        </w:rPr>
      </w:pPr>
      <w:r w:rsidRPr="00ED7A1E">
        <w:rPr>
          <w:rFonts w:ascii="Calibri" w:eastAsia="Meiryo" w:hAnsi="Calibri" w:cs="Arial"/>
          <w:b/>
          <w:bCs/>
          <w:color w:val="029676"/>
          <w:sz w:val="36"/>
          <w:szCs w:val="28"/>
          <w:lang w:eastAsia="en-AU"/>
        </w:rPr>
        <w:t>The case for change</w:t>
      </w:r>
    </w:p>
    <w:p w14:paraId="70A98ADA" w14:textId="77777777" w:rsidR="007C0ABB" w:rsidRDefault="007C0ABB" w:rsidP="001512FF">
      <w:pPr>
        <w:rPr>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067"/>
      </w:tblGrid>
      <w:tr w:rsidR="00FD7FFB" w14:paraId="68E22EAF" w14:textId="77777777" w:rsidTr="00135514">
        <w:trPr>
          <w:trHeight w:val="2725"/>
        </w:trPr>
        <w:tc>
          <w:tcPr>
            <w:tcW w:w="5949" w:type="dxa"/>
            <w:vMerge w:val="restart"/>
          </w:tcPr>
          <w:p w14:paraId="5712B191" w14:textId="1A5ED0B9" w:rsidR="00FD7FFB" w:rsidRDefault="00FD7FFB" w:rsidP="00F70456">
            <w:pPr>
              <w:pStyle w:val="BodyText"/>
              <w:rPr>
                <w:color w:val="002060"/>
              </w:rPr>
            </w:pPr>
            <w:r>
              <w:rPr>
                <w:rFonts w:ascii="Calibri" w:hAnsi="Calibri" w:cs="Arial"/>
                <w:b/>
                <w:bCs/>
                <w:iCs/>
                <w:color w:val="0989B1"/>
                <w:kern w:val="20"/>
                <w:sz w:val="24"/>
                <w:szCs w:val="28"/>
              </w:rPr>
              <w:t>Managing our wastewater</w:t>
            </w:r>
          </w:p>
          <w:p w14:paraId="4F0A95D4" w14:textId="2A621BC3" w:rsidR="00FD7FFB" w:rsidRPr="00FD7FFB" w:rsidRDefault="00FD7FFB" w:rsidP="00FD7FFB">
            <w:pPr>
              <w:pStyle w:val="BodyText"/>
            </w:pPr>
            <w:r w:rsidRPr="00FD7FFB">
              <w:t xml:space="preserve">The majority of the Catchment’s wastewater is transferred to </w:t>
            </w:r>
            <w:r w:rsidR="0022391E">
              <w:t xml:space="preserve">either </w:t>
            </w:r>
            <w:r w:rsidRPr="00FD7FFB">
              <w:t>the Western Treatment Plant</w:t>
            </w:r>
            <w:r w:rsidR="0022391E">
              <w:t xml:space="preserve"> or the Eastern Treatment Plant</w:t>
            </w:r>
            <w:r w:rsidRPr="00FD7FFB">
              <w:t xml:space="preserve">, </w:t>
            </w:r>
            <w:r w:rsidR="0022391E">
              <w:t>both</w:t>
            </w:r>
            <w:r w:rsidRPr="00FD7FFB">
              <w:t xml:space="preserve"> managed by Melbourne Water. However, there are also local wastewater treatment plants at </w:t>
            </w:r>
            <w:r w:rsidR="0022391E">
              <w:t>Brushy Creek, Lilydale, Craigieburn, Upper Yarra, Healesville, Monbulk, Wallan, Whittlesea and Aurora</w:t>
            </w:r>
            <w:r w:rsidRPr="00FD7FFB">
              <w:t xml:space="preserve"> which are managed by </w:t>
            </w:r>
            <w:r w:rsidR="0022391E">
              <w:t>Yarra Valley Water</w:t>
            </w:r>
            <w:r w:rsidR="00106A4B">
              <w:t>.</w:t>
            </w:r>
          </w:p>
          <w:p w14:paraId="049CD31B" w14:textId="77336D61" w:rsidR="00FD7FFB" w:rsidRPr="00FD7FFB" w:rsidRDefault="00FD7FFB" w:rsidP="00FD7FFB">
            <w:pPr>
              <w:pStyle w:val="BodyText"/>
              <w:rPr>
                <w:rFonts w:ascii="Calibri" w:hAnsi="Calibri" w:cs="Arial"/>
                <w:b/>
                <w:bCs/>
                <w:iCs/>
                <w:color w:val="0989B1"/>
                <w:kern w:val="20"/>
                <w:sz w:val="24"/>
                <w:szCs w:val="28"/>
              </w:rPr>
            </w:pPr>
            <w:r w:rsidRPr="00FD7FFB">
              <w:rPr>
                <w:rFonts w:ascii="Calibri" w:hAnsi="Calibri" w:cs="Arial"/>
                <w:b/>
                <w:bCs/>
                <w:iCs/>
                <w:color w:val="0989B1"/>
                <w:kern w:val="20"/>
                <w:sz w:val="24"/>
                <w:szCs w:val="28"/>
              </w:rPr>
              <w:t>A growing resource</w:t>
            </w:r>
          </w:p>
          <w:p w14:paraId="0332DB13" w14:textId="2AB1A0CB" w:rsidR="00FD7FFB" w:rsidRPr="008A771A" w:rsidRDefault="00FD7FFB" w:rsidP="00F70456">
            <w:pPr>
              <w:pStyle w:val="BodyText"/>
            </w:pPr>
            <w:r w:rsidRPr="00FD7FFB">
              <w:t xml:space="preserve">As the population </w:t>
            </w:r>
            <w:r w:rsidRPr="00FD7FFB" w:rsidDel="007D2D50">
              <w:t xml:space="preserve">in the catchment </w:t>
            </w:r>
            <w:r w:rsidRPr="00FD7FFB">
              <w:t xml:space="preserve">grows, so too will wastewater generation. In the </w:t>
            </w:r>
            <w:r w:rsidR="000E01D7">
              <w:t>Yarra</w:t>
            </w:r>
            <w:r w:rsidRPr="00FD7FFB">
              <w:t xml:space="preserve"> Catchment, the wastewater resource </w:t>
            </w:r>
            <w:r w:rsidR="007C0ABB">
              <w:t>is predominantly transferred out of the catchment to</w:t>
            </w:r>
            <w:r w:rsidRPr="00FD7FFB" w:rsidDel="00E30CE3">
              <w:t xml:space="preserve"> </w:t>
            </w:r>
            <w:r w:rsidRPr="00FD7FFB">
              <w:t>the Western</w:t>
            </w:r>
            <w:r w:rsidR="0022391E">
              <w:t xml:space="preserve"> and Eastern</w:t>
            </w:r>
            <w:r w:rsidRPr="00FD7FFB">
              <w:t xml:space="preserve"> Treatment Plant</w:t>
            </w:r>
            <w:r w:rsidR="0022391E">
              <w:t>s</w:t>
            </w:r>
            <w:r w:rsidR="007C0ABB">
              <w:t xml:space="preserve">. Nevertheless, there are opportunities to intercept and harness wastewater within the catchment, particularly wastewater already </w:t>
            </w:r>
            <w:r w:rsidR="0022391E">
              <w:t>managed</w:t>
            </w:r>
            <w:r w:rsidR="007C0ABB">
              <w:t xml:space="preserve"> </w:t>
            </w:r>
            <w:r w:rsidR="00F6588D">
              <w:t>at local</w:t>
            </w:r>
            <w:r w:rsidR="0022391E">
              <w:t xml:space="preserve"> treatment plant</w:t>
            </w:r>
            <w:r w:rsidR="00F6588D">
              <w:t>s</w:t>
            </w:r>
            <w:r w:rsidR="007C0ABB">
              <w:t>.</w:t>
            </w:r>
            <w:r w:rsidR="00F6588D">
              <w:t xml:space="preserve"> A new treatment plant is planned in Wollert to treat wastewater from the growing northern suburbs.</w:t>
            </w:r>
          </w:p>
        </w:tc>
        <w:tc>
          <w:tcPr>
            <w:tcW w:w="3067" w:type="dxa"/>
          </w:tcPr>
          <w:p w14:paraId="5184A607" w14:textId="63A39AF6" w:rsidR="00FD7FFB" w:rsidRDefault="00FD7FFB" w:rsidP="00FD7FFB">
            <w:pPr>
              <w:pStyle w:val="BodyText"/>
              <w:rPr>
                <w:color w:val="002060"/>
              </w:rPr>
            </w:pPr>
          </w:p>
        </w:tc>
      </w:tr>
      <w:tr w:rsidR="00FD7FFB" w14:paraId="2CF68017" w14:textId="77777777" w:rsidTr="00135514">
        <w:trPr>
          <w:trHeight w:val="2725"/>
        </w:trPr>
        <w:tc>
          <w:tcPr>
            <w:tcW w:w="5949" w:type="dxa"/>
            <w:vMerge/>
          </w:tcPr>
          <w:p w14:paraId="3D3CE862" w14:textId="77777777" w:rsidR="00FD7FFB" w:rsidRDefault="00FD7FFB" w:rsidP="00F70456">
            <w:pPr>
              <w:pStyle w:val="BodyText"/>
              <w:rPr>
                <w:rFonts w:ascii="Calibri" w:hAnsi="Calibri" w:cs="Arial"/>
                <w:b/>
                <w:bCs/>
                <w:iCs/>
                <w:color w:val="0989B1"/>
                <w:kern w:val="20"/>
                <w:sz w:val="24"/>
                <w:szCs w:val="28"/>
              </w:rPr>
            </w:pPr>
          </w:p>
        </w:tc>
        <w:tc>
          <w:tcPr>
            <w:tcW w:w="3067" w:type="dxa"/>
          </w:tcPr>
          <w:p w14:paraId="167CAD7B" w14:textId="09E369D9" w:rsidR="00FD7FFB" w:rsidRDefault="00FD7FFB" w:rsidP="00FD7FFB">
            <w:pPr>
              <w:pStyle w:val="BodyText"/>
              <w:rPr>
                <w:color w:val="002060"/>
              </w:rPr>
            </w:pPr>
            <w:r>
              <w:rPr>
                <w:color w:val="002060"/>
              </w:rPr>
              <w:t xml:space="preserve">2019: </w:t>
            </w:r>
            <w:r w:rsidR="0022391E">
              <w:rPr>
                <w:color w:val="002060"/>
              </w:rPr>
              <w:t>6</w:t>
            </w:r>
            <w:r>
              <w:rPr>
                <w:color w:val="002060"/>
              </w:rPr>
              <w:t xml:space="preserve"> </w:t>
            </w:r>
            <w:r w:rsidR="00B31592">
              <w:rPr>
                <w:color w:val="002060"/>
              </w:rPr>
              <w:t>Gigalitres</w:t>
            </w:r>
          </w:p>
          <w:p w14:paraId="64ABC6CD" w14:textId="53749B96" w:rsidR="00FD7FFB" w:rsidRDefault="00B31592" w:rsidP="00FD7FFB">
            <w:pPr>
              <w:pStyle w:val="BodyText"/>
              <w:rPr>
                <w:color w:val="002060"/>
              </w:rPr>
            </w:pPr>
            <w:r>
              <w:rPr>
                <w:color w:val="002060"/>
              </w:rPr>
              <w:t>T</w:t>
            </w:r>
            <w:r w:rsidR="00FD7FFB">
              <w:rPr>
                <w:color w:val="002060"/>
              </w:rPr>
              <w:t>reated wastewater produced annually in the catchment which could be recycled</w:t>
            </w:r>
            <w:r w:rsidR="009E5B5A">
              <w:rPr>
                <w:color w:val="002060"/>
              </w:rPr>
              <w:t xml:space="preserve">, and which will otherwise be released to the </w:t>
            </w:r>
            <w:proofErr w:type="spellStart"/>
            <w:r w:rsidR="009E5B5A">
              <w:rPr>
                <w:color w:val="002060"/>
              </w:rPr>
              <w:t>environment</w:t>
            </w:r>
            <w:r w:rsidR="00781B13" w:rsidRPr="00744FD1">
              <w:rPr>
                <w:color w:val="002060"/>
                <w:vertAlign w:val="superscript"/>
              </w:rPr>
              <w:t>f</w:t>
            </w:r>
            <w:proofErr w:type="spellEnd"/>
          </w:p>
        </w:tc>
      </w:tr>
      <w:tr w:rsidR="00FD7FFB" w14:paraId="5D01614A" w14:textId="77777777" w:rsidTr="00744FD1">
        <w:tc>
          <w:tcPr>
            <w:tcW w:w="5949" w:type="dxa"/>
          </w:tcPr>
          <w:p w14:paraId="4249BB50" w14:textId="21A3C35B" w:rsidR="00135514" w:rsidRDefault="00135514" w:rsidP="00F70456">
            <w:pPr>
              <w:pStyle w:val="BodyText"/>
            </w:pPr>
            <w:r>
              <w:rPr>
                <w:rFonts w:ascii="Calibri" w:hAnsi="Calibri" w:cs="Arial"/>
                <w:b/>
                <w:bCs/>
                <w:iCs/>
                <w:color w:val="0989B1"/>
                <w:kern w:val="20"/>
                <w:sz w:val="24"/>
                <w:szCs w:val="28"/>
              </w:rPr>
              <w:t>Harnessing resources and avoiding waste</w:t>
            </w:r>
          </w:p>
          <w:p w14:paraId="72529820" w14:textId="7490C8E9" w:rsidR="00FD7FFB" w:rsidRPr="00C042B8" w:rsidRDefault="007C0ABB" w:rsidP="00F70456">
            <w:pPr>
              <w:pStyle w:val="BodyText"/>
            </w:pPr>
            <w:r>
              <w:t xml:space="preserve">The </w:t>
            </w:r>
            <w:r w:rsidR="00F6623A">
              <w:t xml:space="preserve">local </w:t>
            </w:r>
            <w:r w:rsidR="00AA231E">
              <w:t>treatment plants currently release treated wastewater</w:t>
            </w:r>
            <w:r w:rsidR="009E5B5A" w:rsidRPr="00FD7FFB">
              <w:t xml:space="preserve"> (at least irregularly) to waterways that ultimately flow to Por</w:t>
            </w:r>
            <w:r w:rsidR="009E5B5A">
              <w:t>t P</w:t>
            </w:r>
            <w:r w:rsidR="009E5B5A" w:rsidRPr="00FD7FFB">
              <w:t>hillip Bay.</w:t>
            </w:r>
            <w:r w:rsidR="009E5B5A">
              <w:t xml:space="preserve"> </w:t>
            </w:r>
            <w:r w:rsidR="00FD7FFB">
              <w:t xml:space="preserve">It has been recognised that we need to move away from a </w:t>
            </w:r>
            <w:r w:rsidR="00FD7FFB" w:rsidRPr="008E453F">
              <w:t xml:space="preserve">linear ‘treat and discharge’ system to a ‘resource recovery’ system </w:t>
            </w:r>
            <w:r w:rsidR="00FD7FFB">
              <w:t xml:space="preserve">to support a </w:t>
            </w:r>
            <w:r w:rsidR="00FD7FFB" w:rsidRPr="008E453F">
              <w:t>circular economy</w:t>
            </w:r>
            <w:r w:rsidR="00FD7FFB">
              <w:t xml:space="preserve"> and drive more sustainable outcomes</w:t>
            </w:r>
            <w:r w:rsidR="00FD7FFB" w:rsidRPr="008E453F">
              <w:t>.</w:t>
            </w:r>
            <w:r w:rsidR="0092302F">
              <w:rPr>
                <w:vertAlign w:val="superscript"/>
              </w:rPr>
              <w:t>7</w:t>
            </w:r>
            <w:r w:rsidR="00FD7FFB" w:rsidRPr="008E453F">
              <w:t xml:space="preserve"> </w:t>
            </w:r>
            <w:r w:rsidR="00FD7FFB">
              <w:t>We have started this journey by progressively using more recycled water. However, there are other resources from wastewater that could also be harnessed to fertilise crops or generate energy.</w:t>
            </w:r>
          </w:p>
        </w:tc>
        <w:tc>
          <w:tcPr>
            <w:tcW w:w="3067" w:type="dxa"/>
            <w:shd w:val="clear" w:color="auto" w:fill="auto"/>
          </w:tcPr>
          <w:p w14:paraId="404E4E64" w14:textId="41988B0D" w:rsidR="00FD7FFB" w:rsidRDefault="00FD355A" w:rsidP="00F70456">
            <w:pPr>
              <w:pStyle w:val="BodyText"/>
              <w:rPr>
                <w:color w:val="002060"/>
              </w:rPr>
            </w:pPr>
            <w:r>
              <w:rPr>
                <w:color w:val="002060"/>
              </w:rPr>
              <w:t>2</w:t>
            </w:r>
            <w:r w:rsidR="00FD7FFB">
              <w:rPr>
                <w:color w:val="002060"/>
              </w:rPr>
              <w:t xml:space="preserve">% </w:t>
            </w:r>
          </w:p>
          <w:p w14:paraId="1A35CA21" w14:textId="57B639BD" w:rsidR="00FD7FFB" w:rsidRDefault="00FD7FFB" w:rsidP="00F70456">
            <w:pPr>
              <w:pStyle w:val="BodyText"/>
              <w:rPr>
                <w:color w:val="002060"/>
              </w:rPr>
            </w:pPr>
            <w:r>
              <w:rPr>
                <w:color w:val="002060"/>
              </w:rPr>
              <w:t xml:space="preserve">of nitrogen from the catchment’s wastewater is </w:t>
            </w:r>
            <w:r w:rsidR="00EF61E7">
              <w:rPr>
                <w:color w:val="002060"/>
              </w:rPr>
              <w:t xml:space="preserve">recovered and used </w:t>
            </w:r>
            <w:proofErr w:type="spellStart"/>
            <w:r w:rsidR="00EF61E7">
              <w:rPr>
                <w:color w:val="002060"/>
              </w:rPr>
              <w:t>beneficially</w:t>
            </w:r>
            <w:r w:rsidR="00EF61E7" w:rsidRPr="00744FD1">
              <w:rPr>
                <w:color w:val="002060"/>
                <w:vertAlign w:val="superscript"/>
              </w:rPr>
              <w:t>g</w:t>
            </w:r>
            <w:proofErr w:type="spellEnd"/>
          </w:p>
          <w:p w14:paraId="5B132EAE" w14:textId="783F8D2F" w:rsidR="00FD7FFB" w:rsidRDefault="00FD355A" w:rsidP="00F70456">
            <w:pPr>
              <w:pStyle w:val="BodyText"/>
              <w:rPr>
                <w:color w:val="002060"/>
              </w:rPr>
            </w:pPr>
            <w:r>
              <w:rPr>
                <w:color w:val="002060"/>
              </w:rPr>
              <w:t>0</w:t>
            </w:r>
            <w:r w:rsidR="00FD7FFB">
              <w:rPr>
                <w:color w:val="002060"/>
              </w:rPr>
              <w:t xml:space="preserve">% </w:t>
            </w:r>
          </w:p>
          <w:p w14:paraId="793ABA13" w14:textId="04D1F822" w:rsidR="00FD7FFB" w:rsidRDefault="00FD7FFB" w:rsidP="00F70456">
            <w:pPr>
              <w:pStyle w:val="BodyText"/>
              <w:rPr>
                <w:color w:val="002060"/>
              </w:rPr>
            </w:pPr>
            <w:r>
              <w:rPr>
                <w:color w:val="002060"/>
              </w:rPr>
              <w:t xml:space="preserve">of carbon from the catchment’s wastewater is </w:t>
            </w:r>
            <w:r w:rsidR="00EF61E7">
              <w:rPr>
                <w:color w:val="002060"/>
              </w:rPr>
              <w:t xml:space="preserve">recovered and used </w:t>
            </w:r>
            <w:proofErr w:type="spellStart"/>
            <w:r w:rsidR="00EF61E7">
              <w:rPr>
                <w:color w:val="002060"/>
              </w:rPr>
              <w:t>beneficially</w:t>
            </w:r>
            <w:r w:rsidR="00781B13" w:rsidRPr="00744FD1">
              <w:rPr>
                <w:color w:val="002060"/>
                <w:vertAlign w:val="superscript"/>
              </w:rPr>
              <w:t>g</w:t>
            </w:r>
            <w:proofErr w:type="spellEnd"/>
          </w:p>
        </w:tc>
      </w:tr>
    </w:tbl>
    <w:p w14:paraId="179D373D" w14:textId="77777777" w:rsidR="00273C6C" w:rsidRDefault="00273C6C" w:rsidP="001512FF">
      <w:pPr>
        <w:rPr>
          <w:lang w:eastAsia="en-AU"/>
        </w:rPr>
      </w:pPr>
    </w:p>
    <w:p w14:paraId="56375B4E" w14:textId="77777777" w:rsidR="00273C6C" w:rsidRDefault="00273C6C">
      <w:pPr>
        <w:rPr>
          <w:rFonts w:ascii="Calibri" w:eastAsia="Times New Roman" w:hAnsi="Calibri" w:cs="Arial"/>
          <w:b/>
          <w:bCs/>
          <w:color w:val="029676"/>
          <w:sz w:val="36"/>
          <w:szCs w:val="28"/>
          <w:lang w:eastAsia="en-AU"/>
        </w:rPr>
      </w:pPr>
      <w:r>
        <w:rPr>
          <w:rFonts w:ascii="Calibri" w:eastAsia="Times New Roman" w:hAnsi="Calibri" w:cs="Arial"/>
          <w:b/>
          <w:bCs/>
          <w:color w:val="029676"/>
          <w:sz w:val="36"/>
          <w:szCs w:val="28"/>
          <w:lang w:eastAsia="en-AU"/>
        </w:rPr>
        <w:br w:type="page"/>
      </w:r>
    </w:p>
    <w:p w14:paraId="4DE99AD2" w14:textId="59CF3556" w:rsidR="00135514" w:rsidRDefault="00CC0077" w:rsidP="001512FF">
      <w:pPr>
        <w:keepNext/>
        <w:keepLines/>
        <w:tabs>
          <w:tab w:val="num" w:pos="0"/>
        </w:tabs>
        <w:spacing w:after="0" w:line="276" w:lineRule="auto"/>
        <w:outlineLvl w:val="0"/>
        <w:rPr>
          <w:rFonts w:ascii="Calibri" w:eastAsia="Times New Roman" w:hAnsi="Calibri" w:cs="Arial"/>
          <w:b/>
          <w:bCs/>
          <w:color w:val="029676"/>
          <w:sz w:val="36"/>
          <w:szCs w:val="28"/>
          <w:lang w:eastAsia="en-AU"/>
        </w:rPr>
      </w:pPr>
      <w:r>
        <w:rPr>
          <w:rFonts w:ascii="Calibri" w:eastAsia="Times New Roman" w:hAnsi="Calibri" w:cs="Arial"/>
          <w:b/>
          <w:bCs/>
          <w:color w:val="029676"/>
          <w:sz w:val="36"/>
          <w:szCs w:val="28"/>
          <w:lang w:eastAsia="en-AU"/>
        </w:rPr>
        <w:lastRenderedPageBreak/>
        <w:t>Measuring the change we want to make</w:t>
      </w:r>
    </w:p>
    <w:tbl>
      <w:tblPr>
        <w:tblStyle w:val="TableGrid1"/>
        <w:tblW w:w="8921" w:type="dxa"/>
        <w:tblLook w:val="04A0" w:firstRow="1" w:lastRow="0" w:firstColumn="1" w:lastColumn="0" w:noHBand="0" w:noVBand="1"/>
      </w:tblPr>
      <w:tblGrid>
        <w:gridCol w:w="2197"/>
        <w:gridCol w:w="1327"/>
        <w:gridCol w:w="422"/>
        <w:gridCol w:w="1364"/>
        <w:gridCol w:w="3611"/>
      </w:tblGrid>
      <w:tr w:rsidR="00FC2283" w:rsidRPr="00E05A88" w14:paraId="3ADABBCF" w14:textId="77777777" w:rsidTr="00FC2283">
        <w:trPr>
          <w:cnfStyle w:val="100000000000" w:firstRow="1" w:lastRow="0" w:firstColumn="0" w:lastColumn="0" w:oddVBand="0" w:evenVBand="0" w:oddHBand="0" w:evenHBand="0" w:firstRowFirstColumn="0" w:firstRowLastColumn="0" w:lastRowFirstColumn="0" w:lastRowLastColumn="0"/>
          <w:trHeight w:val="708"/>
          <w:tblHeader/>
        </w:trPr>
        <w:tc>
          <w:tcPr>
            <w:cnfStyle w:val="000000000100" w:firstRow="0" w:lastRow="0" w:firstColumn="0" w:lastColumn="0" w:oddVBand="0" w:evenVBand="0" w:oddHBand="0" w:evenHBand="0" w:firstRowFirstColumn="1" w:firstRowLastColumn="0" w:lastRowFirstColumn="0" w:lastRowLastColumn="0"/>
            <w:tcW w:w="2197" w:type="dxa"/>
          </w:tcPr>
          <w:p w14:paraId="3516F362" w14:textId="77777777" w:rsidR="00FC2283" w:rsidRPr="00E05A88" w:rsidRDefault="00FC2283" w:rsidP="00635FA1">
            <w:pPr>
              <w:rPr>
                <w:rFonts w:cs="Arial"/>
                <w:b/>
                <w:bCs/>
              </w:rPr>
            </w:pPr>
            <w:r>
              <w:rPr>
                <w:rFonts w:cs="Arial"/>
                <w:b/>
                <w:bCs/>
              </w:rPr>
              <w:t>Our measures</w:t>
            </w:r>
          </w:p>
        </w:tc>
        <w:tc>
          <w:tcPr>
            <w:tcW w:w="1327" w:type="dxa"/>
            <w:vAlign w:val="center"/>
          </w:tcPr>
          <w:p w14:paraId="0B8F766F" w14:textId="77777777" w:rsidR="00FC2283" w:rsidRDefault="00FC2283" w:rsidP="00635FA1">
            <w:pPr>
              <w:ind w:left="0"/>
              <w:cnfStyle w:val="100000000000" w:firstRow="1" w:lastRow="0" w:firstColumn="0" w:lastColumn="0" w:oddVBand="0" w:evenVBand="0" w:oddHBand="0" w:evenHBand="0" w:firstRowFirstColumn="0" w:firstRowLastColumn="0" w:lastRowFirstColumn="0" w:lastRowLastColumn="0"/>
              <w:rPr>
                <w:rFonts w:cs="Arial"/>
                <w:b/>
                <w:bCs/>
              </w:rPr>
            </w:pPr>
            <w:r>
              <w:rPr>
                <w:rFonts w:cs="Arial"/>
                <w:b/>
                <w:bCs/>
              </w:rPr>
              <w:t>Scale</w:t>
            </w:r>
          </w:p>
        </w:tc>
        <w:tc>
          <w:tcPr>
            <w:tcW w:w="1786" w:type="dxa"/>
            <w:gridSpan w:val="2"/>
            <w:vAlign w:val="center"/>
          </w:tcPr>
          <w:p w14:paraId="5A7A6B61" w14:textId="7C809492" w:rsidR="00FC2283" w:rsidRDefault="00FC2283" w:rsidP="00FC2283">
            <w:pPr>
              <w:cnfStyle w:val="100000000000" w:firstRow="1" w:lastRow="0" w:firstColumn="0" w:lastColumn="0" w:oddVBand="0" w:evenVBand="0" w:oddHBand="0" w:evenHBand="0" w:firstRowFirstColumn="0" w:firstRowLastColumn="0" w:lastRowFirstColumn="0" w:lastRowLastColumn="0"/>
              <w:rPr>
                <w:rFonts w:cs="Arial"/>
                <w:b/>
                <w:bCs/>
              </w:rPr>
            </w:pPr>
            <w:r>
              <w:rPr>
                <w:rFonts w:cs="Arial"/>
                <w:b/>
                <w:bCs/>
              </w:rPr>
              <w:t>Our current performance (2019)</w:t>
            </w:r>
          </w:p>
        </w:tc>
        <w:tc>
          <w:tcPr>
            <w:tcW w:w="3611" w:type="dxa"/>
            <w:vAlign w:val="center"/>
          </w:tcPr>
          <w:p w14:paraId="4863E1D0" w14:textId="6BD09A00" w:rsidR="00FC2283" w:rsidRPr="00E05A88" w:rsidRDefault="00FC2283" w:rsidP="00FC2283">
            <w:pPr>
              <w:cnfStyle w:val="100000000000" w:firstRow="1" w:lastRow="0" w:firstColumn="0" w:lastColumn="0" w:oddVBand="0" w:evenVBand="0" w:oddHBand="0" w:evenHBand="0" w:firstRowFirstColumn="0" w:firstRowLastColumn="0" w:lastRowFirstColumn="0" w:lastRowLastColumn="0"/>
              <w:rPr>
                <w:rFonts w:cs="Arial"/>
                <w:b/>
                <w:bCs/>
              </w:rPr>
            </w:pPr>
            <w:r w:rsidRPr="00FC2283">
              <w:rPr>
                <w:rFonts w:cs="Arial"/>
                <w:b/>
                <w:bCs/>
              </w:rPr>
              <w:t>Why is this measure important?</w:t>
            </w:r>
          </w:p>
        </w:tc>
      </w:tr>
      <w:tr w:rsidR="00635FA1" w:rsidRPr="00E05A88" w14:paraId="377BF5B5" w14:textId="77777777" w:rsidTr="00FC2283">
        <w:trPr>
          <w:trHeight w:val="1303"/>
        </w:trPr>
        <w:tc>
          <w:tcPr>
            <w:tcW w:w="2197" w:type="dxa"/>
            <w:vMerge w:val="restart"/>
          </w:tcPr>
          <w:p w14:paraId="7CEC33F8" w14:textId="7ACB17C3" w:rsidR="00635FA1" w:rsidRPr="00744FD1" w:rsidRDefault="00635FA1" w:rsidP="00BC2432">
            <w:pPr>
              <w:rPr>
                <w:rFonts w:ascii="Calibri" w:hAnsi="Calibri" w:cs="Arial"/>
                <w:vertAlign w:val="superscript"/>
              </w:rPr>
            </w:pPr>
            <w:r>
              <w:rPr>
                <w:rFonts w:ascii="Calibri" w:hAnsi="Calibri" w:cs="Arial"/>
              </w:rPr>
              <w:t xml:space="preserve">2.1a </w:t>
            </w:r>
            <w:r w:rsidRPr="009E5B5A">
              <w:rPr>
                <w:rFonts w:ascii="Calibri" w:hAnsi="Calibri" w:cs="Arial"/>
              </w:rPr>
              <w:t xml:space="preserve">Recycled water delivered to </w:t>
            </w:r>
            <w:proofErr w:type="spellStart"/>
            <w:r w:rsidRPr="009E5B5A">
              <w:rPr>
                <w:rFonts w:ascii="Calibri" w:hAnsi="Calibri" w:cs="Arial"/>
              </w:rPr>
              <w:t>customers</w:t>
            </w:r>
            <w:r>
              <w:rPr>
                <w:rFonts w:ascii="Calibri" w:hAnsi="Calibri" w:cs="Arial"/>
                <w:vertAlign w:val="superscript"/>
              </w:rPr>
              <w:t>h</w:t>
            </w:r>
            <w:proofErr w:type="spellEnd"/>
          </w:p>
        </w:tc>
        <w:tc>
          <w:tcPr>
            <w:tcW w:w="1327" w:type="dxa"/>
          </w:tcPr>
          <w:p w14:paraId="0C92BF29" w14:textId="7A66E15D" w:rsidR="00635FA1" w:rsidRDefault="00635FA1" w:rsidP="00BC2432">
            <w:pPr>
              <w:rPr>
                <w:rFonts w:ascii="Calibri" w:hAnsi="Calibri" w:cs="Arial"/>
              </w:rPr>
            </w:pPr>
            <w:r>
              <w:rPr>
                <w:rFonts w:ascii="Calibri" w:hAnsi="Calibri" w:cs="Arial"/>
              </w:rPr>
              <w:t>Catchment</w:t>
            </w:r>
          </w:p>
        </w:tc>
        <w:tc>
          <w:tcPr>
            <w:tcW w:w="1786" w:type="dxa"/>
            <w:gridSpan w:val="2"/>
          </w:tcPr>
          <w:p w14:paraId="74BC4A5A" w14:textId="13FB6543" w:rsidR="00635FA1" w:rsidRPr="00E05A88" w:rsidRDefault="00635FA1" w:rsidP="00BC2432">
            <w:pPr>
              <w:rPr>
                <w:rFonts w:ascii="Calibri" w:hAnsi="Calibri" w:cs="Arial"/>
              </w:rPr>
            </w:pPr>
            <w:r>
              <w:rPr>
                <w:rFonts w:ascii="Calibri" w:hAnsi="Calibri" w:cs="Arial"/>
              </w:rPr>
              <w:t xml:space="preserve">1.3 </w:t>
            </w:r>
            <w:r w:rsidRPr="00E05A88">
              <w:rPr>
                <w:rFonts w:ascii="Calibri" w:hAnsi="Calibri" w:cs="Arial"/>
              </w:rPr>
              <w:t>G</w:t>
            </w:r>
            <w:r>
              <w:rPr>
                <w:rFonts w:ascii="Calibri" w:hAnsi="Calibri" w:cs="Arial"/>
              </w:rPr>
              <w:t xml:space="preserve">igalitres /year </w:t>
            </w:r>
          </w:p>
        </w:tc>
        <w:tc>
          <w:tcPr>
            <w:tcW w:w="3611" w:type="dxa"/>
            <w:vMerge w:val="restart"/>
          </w:tcPr>
          <w:p w14:paraId="232E04D4" w14:textId="70851207" w:rsidR="00635FA1" w:rsidRPr="00730614" w:rsidRDefault="00635FA1" w:rsidP="00BC2432">
            <w:pPr>
              <w:rPr>
                <w:rFonts w:ascii="Calibri" w:hAnsi="Calibri" w:cs="Arial"/>
                <w:color w:val="FF0000"/>
              </w:rPr>
            </w:pPr>
            <w:r w:rsidRPr="009E5B5A">
              <w:rPr>
                <w:rFonts w:ascii="Calibri" w:hAnsi="Calibri" w:cs="Arial"/>
                <w:color w:val="auto"/>
              </w:rPr>
              <w:t>Th</w:t>
            </w:r>
            <w:r>
              <w:rPr>
                <w:rFonts w:ascii="Calibri" w:hAnsi="Calibri" w:cs="Arial"/>
                <w:color w:val="auto"/>
              </w:rPr>
              <w:t>is</w:t>
            </w:r>
            <w:r w:rsidRPr="009E5B5A">
              <w:rPr>
                <w:rFonts w:ascii="Calibri" w:hAnsi="Calibri" w:cs="Arial"/>
                <w:color w:val="auto"/>
              </w:rPr>
              <w:t xml:space="preserve"> measure gives insight into the use of recycled water</w:t>
            </w:r>
            <w:r>
              <w:rPr>
                <w:rFonts w:ascii="Calibri" w:hAnsi="Calibri" w:cs="Arial"/>
                <w:color w:val="auto"/>
              </w:rPr>
              <w:t xml:space="preserve"> to support needs in the community. </w:t>
            </w:r>
            <w:r w:rsidRPr="00E05A88">
              <w:rPr>
                <w:rFonts w:ascii="Calibri" w:hAnsi="Calibri" w:cs="Arial"/>
              </w:rPr>
              <w:t>In achieving th</w:t>
            </w:r>
            <w:r>
              <w:rPr>
                <w:rFonts w:ascii="Calibri" w:hAnsi="Calibri" w:cs="Arial"/>
              </w:rPr>
              <w:t>e</w:t>
            </w:r>
            <w:r w:rsidRPr="00E05A88">
              <w:rPr>
                <w:rFonts w:ascii="Calibri" w:hAnsi="Calibri" w:cs="Arial"/>
              </w:rPr>
              <w:t xml:space="preserve"> target</w:t>
            </w:r>
            <w:r>
              <w:rPr>
                <w:rFonts w:ascii="Calibri" w:hAnsi="Calibri" w:cs="Arial"/>
              </w:rPr>
              <w:t>s for this measure (see below)</w:t>
            </w:r>
            <w:r w:rsidRPr="00E05A88">
              <w:rPr>
                <w:rFonts w:ascii="Calibri" w:hAnsi="Calibri" w:cs="Arial"/>
              </w:rPr>
              <w:t>, the Melbourne region will be a world leader in advancing a circular economy and will be on track to beneficially use 100% of our water and resources by 2070 while ensuring affordability for current and future generations of Melburnians.</w:t>
            </w:r>
          </w:p>
        </w:tc>
      </w:tr>
      <w:tr w:rsidR="00635FA1" w:rsidRPr="00E05A88" w14:paraId="2ABFDDE9" w14:textId="77777777" w:rsidTr="00FC2283">
        <w:trPr>
          <w:trHeight w:val="682"/>
        </w:trPr>
        <w:tc>
          <w:tcPr>
            <w:tcW w:w="2197" w:type="dxa"/>
            <w:vMerge/>
          </w:tcPr>
          <w:p w14:paraId="7FE1EFAC" w14:textId="77777777" w:rsidR="00635FA1" w:rsidRDefault="00635FA1" w:rsidP="00BC2432">
            <w:pPr>
              <w:rPr>
                <w:rFonts w:ascii="Calibri" w:hAnsi="Calibri" w:cs="Arial"/>
              </w:rPr>
            </w:pPr>
          </w:p>
        </w:tc>
        <w:tc>
          <w:tcPr>
            <w:tcW w:w="1327" w:type="dxa"/>
          </w:tcPr>
          <w:p w14:paraId="19B4890E" w14:textId="73DDDEFF" w:rsidR="00635FA1" w:rsidRDefault="00635FA1" w:rsidP="00BC2432">
            <w:pPr>
              <w:rPr>
                <w:rFonts w:ascii="Calibri" w:hAnsi="Calibri" w:cs="Arial"/>
              </w:rPr>
            </w:pPr>
            <w:r>
              <w:rPr>
                <w:rFonts w:ascii="Calibri" w:hAnsi="Calibri" w:cs="Arial"/>
              </w:rPr>
              <w:t>Region</w:t>
            </w:r>
          </w:p>
        </w:tc>
        <w:tc>
          <w:tcPr>
            <w:tcW w:w="1786" w:type="dxa"/>
            <w:gridSpan w:val="2"/>
          </w:tcPr>
          <w:p w14:paraId="3DFAAEEF" w14:textId="0584BC65" w:rsidR="00635FA1" w:rsidRDefault="00635FA1" w:rsidP="00BC2432">
            <w:pPr>
              <w:rPr>
                <w:rFonts w:ascii="Calibri" w:hAnsi="Calibri" w:cs="Arial"/>
              </w:rPr>
            </w:pPr>
            <w:r>
              <w:rPr>
                <w:rFonts w:ascii="Calibri" w:hAnsi="Calibri" w:cs="Arial"/>
              </w:rPr>
              <w:t xml:space="preserve">44 </w:t>
            </w:r>
            <w:r w:rsidRPr="00E05A88">
              <w:rPr>
                <w:rFonts w:ascii="Calibri" w:hAnsi="Calibri" w:cs="Arial"/>
              </w:rPr>
              <w:t>G</w:t>
            </w:r>
            <w:r>
              <w:rPr>
                <w:rFonts w:ascii="Calibri" w:hAnsi="Calibri" w:cs="Arial"/>
              </w:rPr>
              <w:t>igalitres /year</w:t>
            </w:r>
          </w:p>
        </w:tc>
        <w:tc>
          <w:tcPr>
            <w:tcW w:w="3611" w:type="dxa"/>
            <w:vMerge/>
          </w:tcPr>
          <w:p w14:paraId="145562E6" w14:textId="77777777" w:rsidR="00635FA1" w:rsidRPr="009E5B5A" w:rsidRDefault="00635FA1" w:rsidP="00BC2432">
            <w:pPr>
              <w:rPr>
                <w:rFonts w:ascii="Calibri" w:hAnsi="Calibri" w:cs="Arial"/>
              </w:rPr>
            </w:pPr>
          </w:p>
        </w:tc>
      </w:tr>
      <w:tr w:rsidR="00635FA1" w:rsidRPr="00E05A88" w14:paraId="229D8B49" w14:textId="77777777" w:rsidTr="00635FA1">
        <w:trPr>
          <w:trHeight w:val="410"/>
        </w:trPr>
        <w:tc>
          <w:tcPr>
            <w:tcW w:w="2197" w:type="dxa"/>
            <w:vMerge w:val="restart"/>
          </w:tcPr>
          <w:p w14:paraId="298DFF8A" w14:textId="070C0FE6" w:rsidR="00635FA1" w:rsidRPr="00E05A88" w:rsidRDefault="00635FA1" w:rsidP="00BC2432">
            <w:pPr>
              <w:rPr>
                <w:rFonts w:ascii="Calibri" w:hAnsi="Calibri" w:cs="Arial"/>
              </w:rPr>
            </w:pPr>
            <w:r w:rsidRPr="009E5B5A">
              <w:rPr>
                <w:rFonts w:ascii="Calibri" w:hAnsi="Calibri" w:cs="Arial"/>
              </w:rPr>
              <w:t xml:space="preserve">2.1b Nitrogen recovered at treatment facilities for beneficial </w:t>
            </w:r>
            <w:proofErr w:type="spellStart"/>
            <w:r w:rsidRPr="009E5B5A">
              <w:rPr>
                <w:rFonts w:ascii="Calibri" w:hAnsi="Calibri" w:cs="Arial"/>
              </w:rPr>
              <w:t>use</w:t>
            </w:r>
            <w:r>
              <w:rPr>
                <w:rFonts w:ascii="Calibri" w:hAnsi="Calibri" w:cs="Arial"/>
                <w:vertAlign w:val="superscript"/>
              </w:rPr>
              <w:t>g</w:t>
            </w:r>
            <w:proofErr w:type="spellEnd"/>
          </w:p>
        </w:tc>
        <w:tc>
          <w:tcPr>
            <w:tcW w:w="1749" w:type="dxa"/>
            <w:gridSpan w:val="2"/>
          </w:tcPr>
          <w:p w14:paraId="4791225B" w14:textId="1B6606D6" w:rsidR="00635FA1" w:rsidRDefault="00635FA1" w:rsidP="00BC2432">
            <w:pPr>
              <w:rPr>
                <w:rFonts w:ascii="Calibri" w:hAnsi="Calibri" w:cs="Arial"/>
              </w:rPr>
            </w:pPr>
            <w:r>
              <w:rPr>
                <w:rFonts w:ascii="Calibri" w:hAnsi="Calibri" w:cs="Arial"/>
              </w:rPr>
              <w:t>Catchment</w:t>
            </w:r>
          </w:p>
        </w:tc>
        <w:tc>
          <w:tcPr>
            <w:tcW w:w="1364" w:type="dxa"/>
          </w:tcPr>
          <w:p w14:paraId="25DFD301" w14:textId="778158D2" w:rsidR="00635FA1" w:rsidRPr="00E05A88" w:rsidRDefault="00635FA1" w:rsidP="00BC2432">
            <w:pPr>
              <w:rPr>
                <w:rFonts w:ascii="Calibri" w:hAnsi="Calibri" w:cs="Arial"/>
              </w:rPr>
            </w:pPr>
            <w:r>
              <w:rPr>
                <w:rFonts w:ascii="Calibri" w:hAnsi="Calibri" w:cs="Arial"/>
              </w:rPr>
              <w:t>2 %</w:t>
            </w:r>
          </w:p>
        </w:tc>
        <w:tc>
          <w:tcPr>
            <w:tcW w:w="3611" w:type="dxa"/>
            <w:vMerge w:val="restart"/>
          </w:tcPr>
          <w:p w14:paraId="2F81D38D" w14:textId="08F0B939" w:rsidR="00635FA1" w:rsidRPr="00730614" w:rsidRDefault="00635FA1" w:rsidP="00BC2432">
            <w:pPr>
              <w:rPr>
                <w:rFonts w:ascii="Calibri" w:hAnsi="Calibri" w:cs="Arial"/>
                <w:color w:val="FF0000"/>
              </w:rPr>
            </w:pPr>
            <w:r w:rsidRPr="00135514">
              <w:rPr>
                <w:rFonts w:ascii="Calibri" w:hAnsi="Calibri" w:cs="Arial"/>
              </w:rPr>
              <w:t>Th</w:t>
            </w:r>
            <w:r>
              <w:rPr>
                <w:rFonts w:ascii="Calibri" w:hAnsi="Calibri" w:cs="Arial"/>
              </w:rPr>
              <w:t>ese</w:t>
            </w:r>
            <w:r w:rsidRPr="00135514">
              <w:rPr>
                <w:rFonts w:ascii="Calibri" w:hAnsi="Calibri" w:cs="Arial"/>
              </w:rPr>
              <w:t xml:space="preserve"> measure</w:t>
            </w:r>
            <w:r>
              <w:rPr>
                <w:rFonts w:ascii="Calibri" w:hAnsi="Calibri" w:cs="Arial"/>
              </w:rPr>
              <w:t>s</w:t>
            </w:r>
            <w:r w:rsidRPr="00135514">
              <w:rPr>
                <w:rFonts w:ascii="Calibri" w:hAnsi="Calibri" w:cs="Arial"/>
              </w:rPr>
              <w:t xml:space="preserve"> ha</w:t>
            </w:r>
            <w:r>
              <w:rPr>
                <w:rFonts w:ascii="Calibri" w:hAnsi="Calibri" w:cs="Arial"/>
              </w:rPr>
              <w:t>ve</w:t>
            </w:r>
            <w:r w:rsidRPr="00135514">
              <w:rPr>
                <w:rFonts w:ascii="Calibri" w:hAnsi="Calibri" w:cs="Arial"/>
              </w:rPr>
              <w:t xml:space="preserve"> been chosen to enable tracking of the recovery of </w:t>
            </w:r>
            <w:r>
              <w:rPr>
                <w:rFonts w:ascii="Calibri" w:hAnsi="Calibri" w:cs="Arial"/>
              </w:rPr>
              <w:t>two</w:t>
            </w:r>
            <w:r w:rsidRPr="00135514">
              <w:rPr>
                <w:rFonts w:ascii="Calibri" w:hAnsi="Calibri" w:cs="Arial"/>
              </w:rPr>
              <w:t xml:space="preserve"> of the more valuable components of wastewater, nitrogen</w:t>
            </w:r>
            <w:r>
              <w:rPr>
                <w:rFonts w:ascii="Calibri" w:hAnsi="Calibri" w:cs="Arial"/>
              </w:rPr>
              <w:t xml:space="preserve"> and carbon. </w:t>
            </w:r>
            <w:r w:rsidRPr="00E05A88">
              <w:rPr>
                <w:rFonts w:ascii="Calibri" w:hAnsi="Calibri" w:cs="Arial"/>
              </w:rPr>
              <w:t xml:space="preserve">The 2050 targets </w:t>
            </w:r>
            <w:r>
              <w:rPr>
                <w:rFonts w:ascii="Calibri" w:hAnsi="Calibri" w:cs="Arial"/>
              </w:rPr>
              <w:t xml:space="preserve">(see below) </w:t>
            </w:r>
            <w:r w:rsidRPr="00E05A88">
              <w:rPr>
                <w:rFonts w:ascii="Calibri" w:hAnsi="Calibri" w:cs="Arial"/>
              </w:rPr>
              <w:t>are based on the concept of a major paradigm shift in how we manage</w:t>
            </w:r>
            <w:r>
              <w:rPr>
                <w:rFonts w:ascii="Calibri" w:hAnsi="Calibri" w:cs="Arial"/>
              </w:rPr>
              <w:t xml:space="preserve"> wastewater</w:t>
            </w:r>
            <w:r w:rsidRPr="00E05A88">
              <w:rPr>
                <w:rFonts w:ascii="Calibri" w:hAnsi="Calibri" w:cs="Arial"/>
              </w:rPr>
              <w:t>. These targets will drive a change that re-frames wastewater as a key resource, from which resources can be harvested for beneficial use.</w:t>
            </w:r>
            <w:r>
              <w:rPr>
                <w:rFonts w:ascii="Calibri" w:hAnsi="Calibri" w:cs="Arial"/>
              </w:rPr>
              <w:t xml:space="preserve"> The targets give f</w:t>
            </w:r>
            <w:r w:rsidRPr="00D213EA">
              <w:rPr>
                <w:rFonts w:cs="Gilroy"/>
                <w:color w:val="000000" w:themeColor="text1"/>
                <w:szCs w:val="18"/>
              </w:rPr>
              <w:t>ocus to where the greatest impacts can be made - primarily at the Western and Eastern Treatment Plants which service the majority of the region.</w:t>
            </w:r>
          </w:p>
        </w:tc>
      </w:tr>
      <w:tr w:rsidR="00635FA1" w:rsidRPr="00E05A88" w14:paraId="25C3869E" w14:textId="77777777" w:rsidTr="00635FA1">
        <w:trPr>
          <w:trHeight w:val="409"/>
        </w:trPr>
        <w:tc>
          <w:tcPr>
            <w:tcW w:w="2197" w:type="dxa"/>
            <w:vMerge/>
          </w:tcPr>
          <w:p w14:paraId="74D16756" w14:textId="77777777" w:rsidR="00635FA1" w:rsidRPr="009E5B5A" w:rsidRDefault="00635FA1" w:rsidP="00EA0593">
            <w:pPr>
              <w:rPr>
                <w:rFonts w:ascii="Calibri" w:hAnsi="Calibri" w:cs="Arial"/>
              </w:rPr>
            </w:pPr>
          </w:p>
        </w:tc>
        <w:tc>
          <w:tcPr>
            <w:tcW w:w="1749" w:type="dxa"/>
            <w:gridSpan w:val="2"/>
          </w:tcPr>
          <w:p w14:paraId="2076544B" w14:textId="664E93A7" w:rsidR="00635FA1" w:rsidRDefault="00635FA1" w:rsidP="00EA0593">
            <w:pPr>
              <w:rPr>
                <w:rFonts w:ascii="Calibri" w:hAnsi="Calibri" w:cs="Arial"/>
              </w:rPr>
            </w:pPr>
            <w:r>
              <w:rPr>
                <w:rFonts w:ascii="Calibri" w:hAnsi="Calibri" w:cs="Arial"/>
              </w:rPr>
              <w:t>Region</w:t>
            </w:r>
          </w:p>
        </w:tc>
        <w:tc>
          <w:tcPr>
            <w:tcW w:w="1364" w:type="dxa"/>
          </w:tcPr>
          <w:p w14:paraId="768C7312" w14:textId="607BE107" w:rsidR="00635FA1" w:rsidRDefault="00635FA1" w:rsidP="00EA0593">
            <w:pPr>
              <w:rPr>
                <w:rFonts w:ascii="Calibri" w:hAnsi="Calibri" w:cs="Arial"/>
              </w:rPr>
            </w:pPr>
            <w:r>
              <w:rPr>
                <w:rFonts w:ascii="Calibri" w:hAnsi="Calibri" w:cs="Arial"/>
              </w:rPr>
              <w:t>8 %</w:t>
            </w:r>
          </w:p>
        </w:tc>
        <w:tc>
          <w:tcPr>
            <w:tcW w:w="3611" w:type="dxa"/>
            <w:vMerge/>
          </w:tcPr>
          <w:p w14:paraId="7A0826C0" w14:textId="77777777" w:rsidR="00635FA1" w:rsidRPr="00135514" w:rsidRDefault="00635FA1" w:rsidP="00EA0593">
            <w:pPr>
              <w:rPr>
                <w:rFonts w:ascii="Calibri" w:hAnsi="Calibri" w:cs="Arial"/>
              </w:rPr>
            </w:pPr>
          </w:p>
        </w:tc>
      </w:tr>
      <w:tr w:rsidR="00635FA1" w:rsidRPr="00E05A88" w14:paraId="4B441018" w14:textId="77777777" w:rsidTr="00635FA1">
        <w:trPr>
          <w:trHeight w:val="1327"/>
        </w:trPr>
        <w:tc>
          <w:tcPr>
            <w:tcW w:w="2197" w:type="dxa"/>
            <w:vMerge w:val="restart"/>
          </w:tcPr>
          <w:p w14:paraId="10F538CD" w14:textId="1F1CE80D" w:rsidR="00635FA1" w:rsidRPr="00744FD1" w:rsidRDefault="00635FA1" w:rsidP="00EA0593">
            <w:pPr>
              <w:rPr>
                <w:rFonts w:ascii="Calibri" w:hAnsi="Calibri" w:cs="Arial"/>
                <w:vertAlign w:val="superscript"/>
              </w:rPr>
            </w:pPr>
            <w:r w:rsidRPr="009E5B5A">
              <w:rPr>
                <w:rFonts w:ascii="Calibri" w:hAnsi="Calibri" w:cs="Arial"/>
              </w:rPr>
              <w:t xml:space="preserve">2.1c Carbon recovered at treatment facilities for beneficial </w:t>
            </w:r>
            <w:proofErr w:type="spellStart"/>
            <w:r w:rsidRPr="009E5B5A">
              <w:rPr>
                <w:rFonts w:ascii="Calibri" w:hAnsi="Calibri" w:cs="Arial"/>
              </w:rPr>
              <w:t>use</w:t>
            </w:r>
            <w:r>
              <w:rPr>
                <w:rFonts w:ascii="Calibri" w:hAnsi="Calibri" w:cs="Arial"/>
                <w:vertAlign w:val="superscript"/>
              </w:rPr>
              <w:t>g</w:t>
            </w:r>
            <w:proofErr w:type="spellEnd"/>
          </w:p>
        </w:tc>
        <w:tc>
          <w:tcPr>
            <w:tcW w:w="1749" w:type="dxa"/>
            <w:gridSpan w:val="2"/>
          </w:tcPr>
          <w:p w14:paraId="2A90DCAD" w14:textId="6C68F403" w:rsidR="00635FA1" w:rsidRDefault="00635FA1" w:rsidP="00EA0593">
            <w:pPr>
              <w:rPr>
                <w:rFonts w:ascii="Calibri" w:hAnsi="Calibri" w:cs="Arial"/>
              </w:rPr>
            </w:pPr>
            <w:r>
              <w:rPr>
                <w:rFonts w:ascii="Calibri" w:hAnsi="Calibri" w:cs="Arial"/>
              </w:rPr>
              <w:t>Catchment</w:t>
            </w:r>
          </w:p>
        </w:tc>
        <w:tc>
          <w:tcPr>
            <w:tcW w:w="1364" w:type="dxa"/>
          </w:tcPr>
          <w:p w14:paraId="126EA846" w14:textId="0AD78EFA" w:rsidR="00635FA1" w:rsidRPr="00E05A88" w:rsidRDefault="00635FA1" w:rsidP="00EA0593">
            <w:pPr>
              <w:rPr>
                <w:rFonts w:ascii="Calibri" w:hAnsi="Calibri" w:cs="Arial"/>
              </w:rPr>
            </w:pPr>
            <w:r>
              <w:rPr>
                <w:rFonts w:ascii="Calibri" w:hAnsi="Calibri" w:cs="Arial"/>
              </w:rPr>
              <w:t>0 %</w:t>
            </w:r>
          </w:p>
        </w:tc>
        <w:tc>
          <w:tcPr>
            <w:tcW w:w="3611" w:type="dxa"/>
            <w:vMerge/>
          </w:tcPr>
          <w:p w14:paraId="6A90ACDA" w14:textId="77777777" w:rsidR="00635FA1" w:rsidRPr="00730614" w:rsidRDefault="00635FA1" w:rsidP="00EA0593">
            <w:pPr>
              <w:rPr>
                <w:rFonts w:ascii="Calibri" w:hAnsi="Calibri" w:cs="Arial"/>
                <w:color w:val="FF0000"/>
              </w:rPr>
            </w:pPr>
          </w:p>
        </w:tc>
      </w:tr>
      <w:tr w:rsidR="00635FA1" w:rsidRPr="00E05A88" w14:paraId="2508AF70" w14:textId="77777777" w:rsidTr="00FC2283">
        <w:trPr>
          <w:trHeight w:val="796"/>
        </w:trPr>
        <w:tc>
          <w:tcPr>
            <w:tcW w:w="2197" w:type="dxa"/>
            <w:vMerge/>
          </w:tcPr>
          <w:p w14:paraId="0F0F8EF3" w14:textId="77777777" w:rsidR="00635FA1" w:rsidRPr="009E5B5A" w:rsidRDefault="00635FA1" w:rsidP="00EA0593">
            <w:pPr>
              <w:rPr>
                <w:rFonts w:ascii="Calibri" w:hAnsi="Calibri" w:cs="Arial"/>
              </w:rPr>
            </w:pPr>
          </w:p>
        </w:tc>
        <w:tc>
          <w:tcPr>
            <w:tcW w:w="1749" w:type="dxa"/>
            <w:gridSpan w:val="2"/>
          </w:tcPr>
          <w:p w14:paraId="62EBA8BD" w14:textId="1165F8F3" w:rsidR="00635FA1" w:rsidRDefault="00635FA1" w:rsidP="00EA0593">
            <w:pPr>
              <w:rPr>
                <w:rFonts w:ascii="Calibri" w:hAnsi="Calibri" w:cs="Arial"/>
              </w:rPr>
            </w:pPr>
            <w:r>
              <w:rPr>
                <w:rFonts w:ascii="Calibri" w:hAnsi="Calibri" w:cs="Arial"/>
              </w:rPr>
              <w:t>Region</w:t>
            </w:r>
          </w:p>
        </w:tc>
        <w:tc>
          <w:tcPr>
            <w:tcW w:w="1364" w:type="dxa"/>
          </w:tcPr>
          <w:p w14:paraId="05B537CD" w14:textId="0B74BDAF" w:rsidR="00635FA1" w:rsidRDefault="00635FA1" w:rsidP="00EA0593">
            <w:pPr>
              <w:rPr>
                <w:rFonts w:ascii="Calibri" w:hAnsi="Calibri" w:cs="Arial"/>
              </w:rPr>
            </w:pPr>
            <w:r>
              <w:rPr>
                <w:rFonts w:ascii="Calibri" w:hAnsi="Calibri" w:cs="Arial"/>
              </w:rPr>
              <w:t>17 %</w:t>
            </w:r>
          </w:p>
        </w:tc>
        <w:tc>
          <w:tcPr>
            <w:tcW w:w="3611" w:type="dxa"/>
            <w:vMerge/>
          </w:tcPr>
          <w:p w14:paraId="5A590B05" w14:textId="77777777" w:rsidR="00635FA1" w:rsidRPr="00730614" w:rsidRDefault="00635FA1" w:rsidP="00EA0593">
            <w:pPr>
              <w:rPr>
                <w:rFonts w:ascii="Calibri" w:hAnsi="Calibri" w:cs="Arial"/>
                <w:color w:val="FF0000"/>
              </w:rPr>
            </w:pPr>
          </w:p>
        </w:tc>
      </w:tr>
    </w:tbl>
    <w:p w14:paraId="4B1C07E7" w14:textId="77777777" w:rsidR="00EA0593" w:rsidRDefault="00EA0593">
      <w:pPr>
        <w:rPr>
          <w:rFonts w:ascii="Calibri" w:eastAsia="Times New Roman" w:hAnsi="Calibri" w:cs="Arial"/>
          <w:b/>
          <w:bCs/>
          <w:color w:val="029676"/>
          <w:sz w:val="36"/>
          <w:szCs w:val="28"/>
          <w:lang w:eastAsia="en-AU"/>
        </w:rPr>
      </w:pPr>
    </w:p>
    <w:tbl>
      <w:tblPr>
        <w:tblStyle w:val="TableGrid1"/>
        <w:tblW w:w="0" w:type="auto"/>
        <w:tblLook w:val="04A0" w:firstRow="1" w:lastRow="0" w:firstColumn="1" w:lastColumn="0" w:noHBand="0" w:noVBand="1"/>
      </w:tblPr>
      <w:tblGrid>
        <w:gridCol w:w="9016"/>
      </w:tblGrid>
      <w:tr w:rsidR="008953F1" w14:paraId="5A93D997" w14:textId="77777777" w:rsidTr="0060254E">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016" w:type="dxa"/>
          </w:tcPr>
          <w:p w14:paraId="794EAEC6" w14:textId="77777777" w:rsidR="008953F1" w:rsidRDefault="008953F1" w:rsidP="0060254E">
            <w:pPr>
              <w:rPr>
                <w:b/>
                <w:bCs/>
              </w:rPr>
            </w:pPr>
            <w:r w:rsidRPr="00AD4C30">
              <w:rPr>
                <w:b/>
                <w:bCs/>
              </w:rPr>
              <w:t>Our targets for the future, as of September 2022</w:t>
            </w:r>
          </w:p>
        </w:tc>
      </w:tr>
      <w:tr w:rsidR="008953F1" w14:paraId="67E9EBE7" w14:textId="77777777" w:rsidTr="0060254E">
        <w:tc>
          <w:tcPr>
            <w:tcW w:w="9016" w:type="dxa"/>
          </w:tcPr>
          <w:p w14:paraId="750F52D7" w14:textId="77777777" w:rsidR="008953F1" w:rsidRPr="00735084" w:rsidRDefault="008953F1" w:rsidP="0060254E">
            <w:r w:rsidRPr="00E44A99">
              <w:t xml:space="preserve">85 Gigalitres/year of recycled water delivered to customers by </w:t>
            </w:r>
            <w:r w:rsidRPr="00F025BF">
              <w:rPr>
                <w:b/>
                <w:bCs/>
              </w:rPr>
              <w:t>2030</w:t>
            </w:r>
            <w:r w:rsidRPr="00E44A99">
              <w:t xml:space="preserve"> for the </w:t>
            </w:r>
            <w:r w:rsidRPr="00F025BF">
              <w:rPr>
                <w:b/>
                <w:bCs/>
              </w:rPr>
              <w:t>Greater Melbourne Region</w:t>
            </w:r>
          </w:p>
        </w:tc>
      </w:tr>
      <w:tr w:rsidR="008953F1" w14:paraId="27F80298" w14:textId="77777777" w:rsidTr="0060254E">
        <w:tc>
          <w:tcPr>
            <w:tcW w:w="9016" w:type="dxa"/>
          </w:tcPr>
          <w:p w14:paraId="140BE90B" w14:textId="77777777" w:rsidR="008953F1" w:rsidRPr="00735084" w:rsidRDefault="008953F1" w:rsidP="0060254E">
            <w:r>
              <w:t>2</w:t>
            </w:r>
            <w:r w:rsidRPr="00E44A99">
              <w:t xml:space="preserve">30 Gigalitres/year of recycled water delivered to customers by </w:t>
            </w:r>
            <w:r w:rsidRPr="00F025BF">
              <w:rPr>
                <w:b/>
                <w:bCs/>
              </w:rPr>
              <w:t>2050</w:t>
            </w:r>
            <w:r w:rsidRPr="00E44A99">
              <w:t xml:space="preserve"> for the </w:t>
            </w:r>
            <w:r w:rsidRPr="00F025BF">
              <w:rPr>
                <w:b/>
                <w:bCs/>
              </w:rPr>
              <w:t>Greater Melbourne Region</w:t>
            </w:r>
          </w:p>
        </w:tc>
      </w:tr>
      <w:tr w:rsidR="008953F1" w14:paraId="38D26EDD" w14:textId="77777777" w:rsidTr="0060254E">
        <w:tc>
          <w:tcPr>
            <w:tcW w:w="9016" w:type="dxa"/>
          </w:tcPr>
          <w:p w14:paraId="70885283" w14:textId="77777777" w:rsidR="008953F1" w:rsidRPr="00735084" w:rsidRDefault="008953F1" w:rsidP="0060254E">
            <w:r w:rsidRPr="00E44A99">
              <w:t xml:space="preserve">94% nitrogen recovered at treatment facilities for beneficial use by </w:t>
            </w:r>
            <w:r w:rsidRPr="00F025BF">
              <w:rPr>
                <w:b/>
                <w:bCs/>
              </w:rPr>
              <w:t>2050</w:t>
            </w:r>
            <w:r w:rsidRPr="00E44A99">
              <w:t xml:space="preserve"> for the</w:t>
            </w:r>
            <w:r w:rsidRPr="00F025BF">
              <w:rPr>
                <w:b/>
                <w:bCs/>
              </w:rPr>
              <w:t xml:space="preserve"> Greater Melbourne Region</w:t>
            </w:r>
          </w:p>
        </w:tc>
      </w:tr>
      <w:tr w:rsidR="008953F1" w14:paraId="595C03C7" w14:textId="77777777" w:rsidTr="0060254E">
        <w:tc>
          <w:tcPr>
            <w:tcW w:w="9016" w:type="dxa"/>
          </w:tcPr>
          <w:p w14:paraId="7BF3F71D" w14:textId="77777777" w:rsidR="008953F1" w:rsidRPr="00735084" w:rsidRDefault="008953F1" w:rsidP="0060254E">
            <w:r w:rsidRPr="00E44A99">
              <w:t xml:space="preserve">67% carbon recovered at treatment facilities for beneficial use by </w:t>
            </w:r>
            <w:r w:rsidRPr="00F025BF">
              <w:rPr>
                <w:b/>
                <w:bCs/>
              </w:rPr>
              <w:t>2050</w:t>
            </w:r>
            <w:r w:rsidRPr="00E44A99">
              <w:t xml:space="preserve"> for the </w:t>
            </w:r>
            <w:r w:rsidRPr="00F025BF">
              <w:rPr>
                <w:b/>
                <w:bCs/>
              </w:rPr>
              <w:t>Greater Melbourne Region</w:t>
            </w:r>
          </w:p>
        </w:tc>
      </w:tr>
    </w:tbl>
    <w:p w14:paraId="53B2C1F9" w14:textId="77777777" w:rsidR="00EA0593" w:rsidRDefault="00EA0593">
      <w:pPr>
        <w:rPr>
          <w:rStyle w:val="Strong"/>
          <w:lang w:eastAsia="en-AU"/>
        </w:rPr>
      </w:pPr>
      <w:r>
        <w:rPr>
          <w:rStyle w:val="Strong"/>
          <w:lang w:eastAsia="en-AU"/>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1938"/>
      </w:tblGrid>
      <w:tr w:rsidR="00135514" w14:paraId="0C193250" w14:textId="77777777" w:rsidTr="00F70456">
        <w:tc>
          <w:tcPr>
            <w:tcW w:w="7088" w:type="dxa"/>
            <w:shd w:val="clear" w:color="auto" w:fill="auto"/>
          </w:tcPr>
          <w:p w14:paraId="111BB4F2" w14:textId="77777777" w:rsidR="00135514" w:rsidRPr="00CF151F" w:rsidRDefault="00135514" w:rsidP="00135514">
            <w:pPr>
              <w:pStyle w:val="Heading1"/>
              <w:outlineLvl w:val="0"/>
              <w:rPr>
                <w:sz w:val="48"/>
                <w:szCs w:val="48"/>
              </w:rPr>
            </w:pPr>
            <w:bookmarkStart w:id="4" w:name="_Toc71903528"/>
            <w:r>
              <w:rPr>
                <w:rFonts w:ascii="Arial" w:hAnsi="Arial" w:cs="Arial"/>
                <w:color w:val="44C1A3"/>
                <w:szCs w:val="36"/>
              </w:rPr>
              <w:lastRenderedPageBreak/>
              <w:t xml:space="preserve">Strategic Outcome 3 - </w:t>
            </w:r>
            <w:r w:rsidRPr="00F02AA5">
              <w:rPr>
                <w:rFonts w:ascii="Arial" w:hAnsi="Arial" w:cs="Arial"/>
                <w:b w:val="0"/>
                <w:bCs w:val="0"/>
                <w:color w:val="44C1A3"/>
                <w:szCs w:val="36"/>
              </w:rPr>
              <w:t>Existing and future flood risks are managed to maximise outcomes for the community</w:t>
            </w:r>
            <w:bookmarkEnd w:id="4"/>
          </w:p>
          <w:p w14:paraId="6F2CAE1B" w14:textId="77777777" w:rsidR="00135514" w:rsidRDefault="00135514" w:rsidP="00135514">
            <w:pPr>
              <w:pStyle w:val="BodyText"/>
              <w:rPr>
                <w:rFonts w:ascii="Arial" w:hAnsi="Arial" w:cs="Arial"/>
                <w:color w:val="44C1A3"/>
                <w:sz w:val="36"/>
                <w:szCs w:val="36"/>
              </w:rPr>
            </w:pPr>
          </w:p>
        </w:tc>
        <w:tc>
          <w:tcPr>
            <w:tcW w:w="1938" w:type="dxa"/>
            <w:shd w:val="clear" w:color="auto" w:fill="auto"/>
          </w:tcPr>
          <w:p w14:paraId="20202431" w14:textId="70814DFF" w:rsidR="00135514" w:rsidRDefault="00135514" w:rsidP="00135514">
            <w:pPr>
              <w:pStyle w:val="BodyText"/>
              <w:rPr>
                <w:rFonts w:ascii="Arial" w:hAnsi="Arial" w:cs="Arial"/>
                <w:color w:val="44C1A3"/>
                <w:sz w:val="36"/>
                <w:szCs w:val="36"/>
              </w:rPr>
            </w:pPr>
            <w:r>
              <w:rPr>
                <w:noProof/>
              </w:rPr>
              <w:drawing>
                <wp:inline distT="0" distB="0" distL="0" distR="0" wp14:anchorId="2B9A1DDC" wp14:editId="44AF9249">
                  <wp:extent cx="900684" cy="900684"/>
                  <wp:effectExtent l="0" t="0" r="0" b="0"/>
                  <wp:docPr id="53" name="Picture 5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pic:nvPicPr>
                        <pic:blipFill>
                          <a:blip r:embed="rId17">
                            <a:extLst>
                              <a:ext uri="{28A0092B-C50C-407E-A947-70E740481C1C}">
                                <a14:useLocalDpi xmlns:a14="http://schemas.microsoft.com/office/drawing/2010/main" val="0"/>
                              </a:ext>
                            </a:extLst>
                          </a:blip>
                          <a:stretch>
                            <a:fillRect/>
                          </a:stretch>
                        </pic:blipFill>
                        <pic:spPr>
                          <a:xfrm>
                            <a:off x="0" y="0"/>
                            <a:ext cx="900684" cy="900684"/>
                          </a:xfrm>
                          <a:prstGeom prst="rect">
                            <a:avLst/>
                          </a:prstGeom>
                        </pic:spPr>
                      </pic:pic>
                    </a:graphicData>
                  </a:graphic>
                </wp:inline>
              </w:drawing>
            </w:r>
          </w:p>
        </w:tc>
      </w:tr>
    </w:tbl>
    <w:p w14:paraId="498525A0" w14:textId="77777777" w:rsidR="00135514" w:rsidRPr="00F5568B" w:rsidRDefault="00135514">
      <w:pPr>
        <w:rPr>
          <w:rStyle w:val="Strong"/>
        </w:rPr>
      </w:pPr>
      <w:r w:rsidRPr="00F5568B">
        <w:rPr>
          <w:rStyle w:val="Strong"/>
          <w:lang w:eastAsia="en-AU"/>
        </w:rPr>
        <w:t>Flooding can have major impacts on communities and businesses, and needs to be considered as part of an IWM approach. To date, flood risk management has often been managed separately from the rest of the water cycle, but there are many ways in which flood risk management initiatives can deliver multiple benefits to the water cycle, and in which other stormwater management and greening initiatives can reduce flood risk.</w:t>
      </w:r>
    </w:p>
    <w:p w14:paraId="140158C0" w14:textId="77777777" w:rsidR="00135514" w:rsidRDefault="00135514" w:rsidP="00135514">
      <w:pPr>
        <w:keepNext/>
        <w:keepLines/>
        <w:tabs>
          <w:tab w:val="num" w:pos="0"/>
        </w:tabs>
        <w:spacing w:after="0" w:line="240" w:lineRule="auto"/>
        <w:outlineLvl w:val="0"/>
        <w:rPr>
          <w:rFonts w:ascii="Calibri" w:eastAsia="Meiryo" w:hAnsi="Calibri" w:cs="Arial"/>
          <w:b/>
          <w:bCs/>
          <w:color w:val="029676"/>
          <w:sz w:val="36"/>
          <w:szCs w:val="28"/>
          <w:lang w:eastAsia="en-AU"/>
        </w:rPr>
      </w:pPr>
      <w:r w:rsidRPr="00ED7A1E">
        <w:rPr>
          <w:rFonts w:ascii="Calibri" w:eastAsia="Meiryo" w:hAnsi="Calibri" w:cs="Arial"/>
          <w:b/>
          <w:bCs/>
          <w:color w:val="029676"/>
          <w:sz w:val="36"/>
          <w:szCs w:val="28"/>
          <w:lang w:eastAsia="en-AU"/>
        </w:rPr>
        <w:t>The case for change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067"/>
      </w:tblGrid>
      <w:tr w:rsidR="00135514" w14:paraId="54FD625E" w14:textId="77777777" w:rsidTr="00F70456">
        <w:trPr>
          <w:trHeight w:val="2725"/>
        </w:trPr>
        <w:tc>
          <w:tcPr>
            <w:tcW w:w="5949" w:type="dxa"/>
            <w:vMerge w:val="restart"/>
          </w:tcPr>
          <w:p w14:paraId="12B66743" w14:textId="34DF151C" w:rsidR="00135514" w:rsidRPr="00135514" w:rsidRDefault="00135514" w:rsidP="00F70456">
            <w:pPr>
              <w:pStyle w:val="BodyText"/>
              <w:rPr>
                <w:rFonts w:ascii="Calibri" w:hAnsi="Calibri" w:cs="Arial"/>
                <w:b/>
                <w:bCs/>
                <w:iCs/>
                <w:color w:val="0989B1"/>
                <w:kern w:val="20"/>
                <w:sz w:val="24"/>
                <w:szCs w:val="28"/>
              </w:rPr>
            </w:pPr>
            <w:r>
              <w:rPr>
                <w:rFonts w:ascii="Calibri" w:hAnsi="Calibri" w:cs="Arial"/>
                <w:b/>
                <w:bCs/>
                <w:iCs/>
                <w:color w:val="0989B1"/>
                <w:kern w:val="20"/>
                <w:sz w:val="24"/>
                <w:szCs w:val="28"/>
              </w:rPr>
              <w:t>Increasing impacts of flooding</w:t>
            </w:r>
          </w:p>
          <w:p w14:paraId="01D26136" w14:textId="52C61BF8" w:rsidR="00135514" w:rsidRPr="002856F9" w:rsidRDefault="00135514" w:rsidP="00135514">
            <w:pPr>
              <w:pStyle w:val="BodyText"/>
            </w:pPr>
            <w:r>
              <w:t xml:space="preserve">In urbanised areas, flooding of the stormwater drainage system can cause significant damage and disruption. </w:t>
            </w:r>
            <w:r w:rsidR="006C183B">
              <w:t>This is particularly an issue i</w:t>
            </w:r>
            <w:r>
              <w:t xml:space="preserve">n older </w:t>
            </w:r>
            <w:r w:rsidR="008A3411">
              <w:t xml:space="preserve">and more established parts </w:t>
            </w:r>
            <w:r>
              <w:t xml:space="preserve">of the </w:t>
            </w:r>
            <w:r w:rsidR="00291BE6">
              <w:t>catchment</w:t>
            </w:r>
            <w:r>
              <w:t xml:space="preserve">, where neighbourhoods have developed and changed over time since the drainage system was planned. </w:t>
            </w:r>
            <w:r w:rsidRPr="00F02AA5">
              <w:t xml:space="preserve">When there is more runoff than underground drains </w:t>
            </w:r>
            <w:r>
              <w:t>or designated overland flow paths</w:t>
            </w:r>
            <w:r w:rsidRPr="00F02AA5">
              <w:t xml:space="preserve"> can </w:t>
            </w:r>
            <w:r>
              <w:t>accommodate</w:t>
            </w:r>
            <w:r w:rsidRPr="00F02AA5">
              <w:t xml:space="preserve">, water can </w:t>
            </w:r>
            <w:r>
              <w:t>spill into</w:t>
            </w:r>
            <w:r w:rsidRPr="00F02AA5">
              <w:t xml:space="preserve"> surrounding land, flooding roads and properties.</w:t>
            </w:r>
            <w:r>
              <w:t xml:space="preserve"> As our population continues to grow and development of urban areas intensifie</w:t>
            </w:r>
            <w:r w:rsidR="00DF1617">
              <w:t>s</w:t>
            </w:r>
            <w:r>
              <w:t xml:space="preserve">, the impacts of flooding will increase. Furthermore, while </w:t>
            </w:r>
            <w:r w:rsidRPr="002856F9">
              <w:t xml:space="preserve">the future climate is expected to be drier, more intense rainstorms are </w:t>
            </w:r>
            <w:r w:rsidR="00AA0CDD">
              <w:t>anticipated</w:t>
            </w:r>
            <w:r w:rsidR="00453024" w:rsidRPr="002856F9">
              <w:t xml:space="preserve"> </w:t>
            </w:r>
            <w:r w:rsidRPr="002856F9">
              <w:t>to exacerbate flooding.</w:t>
            </w:r>
          </w:p>
          <w:p w14:paraId="583BA5CB" w14:textId="36B55C05" w:rsidR="00135514" w:rsidRPr="00135514" w:rsidRDefault="00135514" w:rsidP="00135514">
            <w:pPr>
              <w:pStyle w:val="BodyText"/>
              <w:rPr>
                <w:rFonts w:ascii="Calibri" w:hAnsi="Calibri" w:cs="Arial"/>
                <w:b/>
                <w:bCs/>
                <w:iCs/>
                <w:color w:val="0989B1"/>
                <w:kern w:val="20"/>
                <w:sz w:val="24"/>
                <w:szCs w:val="28"/>
              </w:rPr>
            </w:pPr>
            <w:r>
              <w:rPr>
                <w:rFonts w:ascii="Calibri" w:hAnsi="Calibri" w:cs="Arial"/>
                <w:b/>
                <w:bCs/>
                <w:iCs/>
                <w:color w:val="0989B1"/>
                <w:kern w:val="20"/>
                <w:sz w:val="24"/>
                <w:szCs w:val="28"/>
              </w:rPr>
              <w:t>An IWM approach to f</w:t>
            </w:r>
            <w:r w:rsidRPr="00135514">
              <w:rPr>
                <w:rFonts w:ascii="Calibri" w:hAnsi="Calibri" w:cs="Arial"/>
                <w:b/>
                <w:bCs/>
                <w:iCs/>
                <w:color w:val="0989B1"/>
                <w:kern w:val="20"/>
                <w:sz w:val="24"/>
                <w:szCs w:val="28"/>
              </w:rPr>
              <w:t xml:space="preserve">lood management </w:t>
            </w:r>
          </w:p>
          <w:p w14:paraId="30BD45C0" w14:textId="4F1F5749" w:rsidR="00135514" w:rsidRDefault="00135514" w:rsidP="00135514">
            <w:pPr>
              <w:pStyle w:val="BodyText"/>
            </w:pPr>
            <w:r>
              <w:t xml:space="preserve">An </w:t>
            </w:r>
            <w:r w:rsidR="00A07AB8">
              <w:t>IWM</w:t>
            </w:r>
            <w:r>
              <w:t xml:space="preserve"> approach can </w:t>
            </w:r>
            <w:r w:rsidRPr="00F02AA5">
              <w:t>reduce</w:t>
            </w:r>
            <w:r>
              <w:t xml:space="preserve"> the impacts of</w:t>
            </w:r>
            <w:r w:rsidRPr="00F02AA5">
              <w:t xml:space="preserve"> flooding from drainage systems </w:t>
            </w:r>
            <w:r w:rsidR="00A17050">
              <w:t>b</w:t>
            </w:r>
            <w:r>
              <w:t xml:space="preserve">y harvesting rainwater or stormwater, retaining more water in the landscape, or creating </w:t>
            </w:r>
            <w:r w:rsidRPr="00F02AA5">
              <w:t xml:space="preserve">more storage in urban </w:t>
            </w:r>
            <w:r>
              <w:t>catchment</w:t>
            </w:r>
            <w:r w:rsidRPr="00F02AA5">
              <w:t>s</w:t>
            </w:r>
            <w:r>
              <w:t xml:space="preserve"> to slow flows to the drainage system</w:t>
            </w:r>
            <w:r w:rsidRPr="00F02AA5">
              <w:t xml:space="preserve">. </w:t>
            </w:r>
            <w:r>
              <w:t>Equally, flood management infrastructure such as retarding basins and floodplains can be designed to enhance recreation opportunities and provide greater amenity. Better integration between flood management and other IWM initiatives will ensure we deliver cross-benefits to the community.</w:t>
            </w:r>
          </w:p>
          <w:p w14:paraId="118530FA" w14:textId="3DB70165" w:rsidR="00135514" w:rsidRPr="00135514" w:rsidRDefault="00135514" w:rsidP="00135514">
            <w:pPr>
              <w:pStyle w:val="BodyText"/>
            </w:pPr>
          </w:p>
        </w:tc>
        <w:tc>
          <w:tcPr>
            <w:tcW w:w="3067" w:type="dxa"/>
          </w:tcPr>
          <w:p w14:paraId="2C896711" w14:textId="77777777" w:rsidR="00135514" w:rsidRDefault="00135514" w:rsidP="00F70456">
            <w:pPr>
              <w:pStyle w:val="BodyText"/>
            </w:pPr>
            <w:r w:rsidRPr="0008296F">
              <w:t>$735</w:t>
            </w:r>
            <w:r>
              <w:t>.5</w:t>
            </w:r>
            <w:r w:rsidRPr="0008296F">
              <w:t xml:space="preserve"> million</w:t>
            </w:r>
          </w:p>
          <w:p w14:paraId="48FEA876" w14:textId="359B8F23" w:rsidR="00135514" w:rsidRPr="00DD53B7" w:rsidRDefault="00135514" w:rsidP="00F70456">
            <w:pPr>
              <w:pStyle w:val="BodyText"/>
              <w:rPr>
                <w:vertAlign w:val="superscript"/>
              </w:rPr>
            </w:pPr>
            <w:r>
              <w:t>Is the estimate of the annual average damage (AAD) caused by flooding in the region (2020 baseline)</w:t>
            </w:r>
            <w:r w:rsidR="0092302F">
              <w:rPr>
                <w:vertAlign w:val="superscript"/>
              </w:rPr>
              <w:t>8</w:t>
            </w:r>
          </w:p>
          <w:p w14:paraId="1A067A06" w14:textId="058407C2" w:rsidR="00135514" w:rsidRDefault="00135514" w:rsidP="00F70456">
            <w:pPr>
              <w:pStyle w:val="BodyText"/>
            </w:pPr>
          </w:p>
          <w:p w14:paraId="352A4D35" w14:textId="3B88819A" w:rsidR="00135514" w:rsidRDefault="00135514" w:rsidP="00F70456">
            <w:pPr>
              <w:pStyle w:val="BodyText"/>
            </w:pPr>
            <w:r>
              <w:t>60%</w:t>
            </w:r>
          </w:p>
          <w:p w14:paraId="7EE0C563" w14:textId="4015229B" w:rsidR="00135514" w:rsidRDefault="00135514" w:rsidP="00F70456">
            <w:pPr>
              <w:pStyle w:val="BodyText"/>
            </w:pPr>
            <w:r>
              <w:t xml:space="preserve">increase in the economic impact of damages from flooding could be seen by 2050 if no action is </w:t>
            </w:r>
            <w:r w:rsidR="00750C30">
              <w:t>taken</w:t>
            </w:r>
            <w:r w:rsidR="0092302F">
              <w:rPr>
                <w:vertAlign w:val="superscript"/>
              </w:rPr>
              <w:t>8</w:t>
            </w:r>
          </w:p>
          <w:p w14:paraId="3DB49D25" w14:textId="19141147" w:rsidR="00135514" w:rsidRDefault="00135514" w:rsidP="00135514">
            <w:pPr>
              <w:pStyle w:val="BodyText"/>
              <w:rPr>
                <w:color w:val="002060"/>
              </w:rPr>
            </w:pPr>
          </w:p>
        </w:tc>
      </w:tr>
      <w:tr w:rsidR="00135514" w14:paraId="6E645F89" w14:textId="77777777" w:rsidTr="00F70456">
        <w:trPr>
          <w:trHeight w:val="2725"/>
        </w:trPr>
        <w:tc>
          <w:tcPr>
            <w:tcW w:w="5949" w:type="dxa"/>
            <w:vMerge/>
          </w:tcPr>
          <w:p w14:paraId="17B38665" w14:textId="77777777" w:rsidR="00135514" w:rsidRDefault="00135514" w:rsidP="00F70456">
            <w:pPr>
              <w:pStyle w:val="BodyText"/>
              <w:rPr>
                <w:rFonts w:ascii="Calibri" w:hAnsi="Calibri" w:cs="Arial"/>
                <w:b/>
                <w:bCs/>
                <w:iCs/>
                <w:color w:val="0989B1"/>
                <w:kern w:val="20"/>
                <w:sz w:val="24"/>
                <w:szCs w:val="28"/>
              </w:rPr>
            </w:pPr>
          </w:p>
        </w:tc>
        <w:tc>
          <w:tcPr>
            <w:tcW w:w="3067" w:type="dxa"/>
          </w:tcPr>
          <w:p w14:paraId="09B48BD0" w14:textId="0FAC46FF" w:rsidR="00135514" w:rsidRDefault="00135514" w:rsidP="00F70456">
            <w:pPr>
              <w:pStyle w:val="BodyText"/>
              <w:rPr>
                <w:color w:val="002060"/>
              </w:rPr>
            </w:pPr>
          </w:p>
        </w:tc>
      </w:tr>
    </w:tbl>
    <w:p w14:paraId="21048A87" w14:textId="77777777" w:rsidR="00C11F16" w:rsidRDefault="00C11F16" w:rsidP="00FF1F97">
      <w:pPr>
        <w:rPr>
          <w:lang w:eastAsia="en-AU"/>
        </w:rPr>
      </w:pPr>
    </w:p>
    <w:p w14:paraId="1AABD8A4" w14:textId="77777777" w:rsidR="00C11F16" w:rsidRDefault="00C11F16">
      <w:pPr>
        <w:rPr>
          <w:rFonts w:ascii="Calibri" w:eastAsia="Times New Roman" w:hAnsi="Calibri" w:cs="Arial"/>
          <w:b/>
          <w:bCs/>
          <w:color w:val="029676"/>
          <w:sz w:val="36"/>
          <w:szCs w:val="28"/>
          <w:lang w:eastAsia="en-AU"/>
        </w:rPr>
      </w:pPr>
      <w:r>
        <w:rPr>
          <w:rFonts w:ascii="Calibri" w:eastAsia="Times New Roman" w:hAnsi="Calibri" w:cs="Arial"/>
          <w:b/>
          <w:bCs/>
          <w:color w:val="029676"/>
          <w:sz w:val="36"/>
          <w:szCs w:val="28"/>
          <w:lang w:eastAsia="en-AU"/>
        </w:rPr>
        <w:br w:type="page"/>
      </w:r>
    </w:p>
    <w:p w14:paraId="061F13C3" w14:textId="14CAAB50" w:rsidR="00BA0810" w:rsidRPr="00ED7A1E" w:rsidRDefault="00CC0077" w:rsidP="00FF1F97">
      <w:pPr>
        <w:keepNext/>
        <w:keepLines/>
        <w:tabs>
          <w:tab w:val="num" w:pos="0"/>
        </w:tabs>
        <w:spacing w:after="0" w:line="276" w:lineRule="auto"/>
        <w:outlineLvl w:val="0"/>
        <w:rPr>
          <w:rFonts w:ascii="Calibri" w:eastAsia="Times New Roman" w:hAnsi="Calibri" w:cs="Arial"/>
          <w:b/>
          <w:bCs/>
          <w:color w:val="029676"/>
          <w:sz w:val="36"/>
          <w:szCs w:val="28"/>
          <w:lang w:eastAsia="en-AU"/>
        </w:rPr>
      </w:pPr>
      <w:r>
        <w:rPr>
          <w:rFonts w:ascii="Calibri" w:eastAsia="Times New Roman" w:hAnsi="Calibri" w:cs="Arial"/>
          <w:b/>
          <w:bCs/>
          <w:color w:val="029676"/>
          <w:sz w:val="36"/>
          <w:szCs w:val="28"/>
          <w:lang w:eastAsia="en-AU"/>
        </w:rPr>
        <w:lastRenderedPageBreak/>
        <w:t>Measuring the change we want to make</w:t>
      </w:r>
    </w:p>
    <w:tbl>
      <w:tblPr>
        <w:tblStyle w:val="TableGrid1"/>
        <w:tblW w:w="9214" w:type="dxa"/>
        <w:tblLook w:val="04A0" w:firstRow="1" w:lastRow="0" w:firstColumn="1" w:lastColumn="0" w:noHBand="0" w:noVBand="1"/>
      </w:tblPr>
      <w:tblGrid>
        <w:gridCol w:w="2552"/>
        <w:gridCol w:w="1248"/>
        <w:gridCol w:w="59"/>
        <w:gridCol w:w="1449"/>
        <w:gridCol w:w="3906"/>
      </w:tblGrid>
      <w:tr w:rsidR="00AA4C60" w:rsidRPr="00E05A88" w14:paraId="32C69E19" w14:textId="77777777" w:rsidTr="00A872D1">
        <w:trPr>
          <w:cnfStyle w:val="100000000000" w:firstRow="1" w:lastRow="0" w:firstColumn="0" w:lastColumn="0" w:oddVBand="0" w:evenVBand="0" w:oddHBand="0" w:evenHBand="0" w:firstRowFirstColumn="0" w:firstRowLastColumn="0" w:lastRowFirstColumn="0" w:lastRowLastColumn="0"/>
          <w:trHeight w:val="384"/>
          <w:tblHeader/>
        </w:trPr>
        <w:tc>
          <w:tcPr>
            <w:cnfStyle w:val="000000000100" w:firstRow="0" w:lastRow="0" w:firstColumn="0" w:lastColumn="0" w:oddVBand="0" w:evenVBand="0" w:oddHBand="0" w:evenHBand="0" w:firstRowFirstColumn="1" w:firstRowLastColumn="0" w:lastRowFirstColumn="0" w:lastRowLastColumn="0"/>
            <w:tcW w:w="2552" w:type="dxa"/>
            <w:vMerge w:val="restart"/>
          </w:tcPr>
          <w:p w14:paraId="0A3AB6AF" w14:textId="77777777" w:rsidR="00AA4C60" w:rsidRPr="00B43354" w:rsidRDefault="00AA4C60" w:rsidP="00960531">
            <w:pPr>
              <w:rPr>
                <w:rFonts w:cs="Arial"/>
                <w:b/>
                <w:bCs/>
              </w:rPr>
            </w:pPr>
            <w:r w:rsidRPr="00B43354">
              <w:rPr>
                <w:rFonts w:cs="Arial"/>
                <w:b/>
                <w:bCs/>
              </w:rPr>
              <w:t>Our measures</w:t>
            </w:r>
          </w:p>
        </w:tc>
        <w:tc>
          <w:tcPr>
            <w:tcW w:w="1307" w:type="dxa"/>
            <w:gridSpan w:val="2"/>
            <w:vMerge w:val="restart"/>
            <w:vAlign w:val="center"/>
          </w:tcPr>
          <w:p w14:paraId="07B9EE9A" w14:textId="020D6BE9" w:rsidR="00AA4C60" w:rsidRPr="00B43354" w:rsidRDefault="00AA4C60" w:rsidP="00960531">
            <w:pPr>
              <w:cnfStyle w:val="100000000000" w:firstRow="1" w:lastRow="0" w:firstColumn="0" w:lastColumn="0" w:oddVBand="0" w:evenVBand="0" w:oddHBand="0" w:evenHBand="0" w:firstRowFirstColumn="0" w:firstRowLastColumn="0" w:lastRowFirstColumn="0" w:lastRowLastColumn="0"/>
              <w:rPr>
                <w:rFonts w:cs="Arial"/>
                <w:b/>
                <w:bCs/>
              </w:rPr>
            </w:pPr>
            <w:r w:rsidRPr="00B43354">
              <w:rPr>
                <w:rFonts w:cs="Arial"/>
                <w:b/>
                <w:bCs/>
              </w:rPr>
              <w:t>Scale</w:t>
            </w:r>
          </w:p>
        </w:tc>
        <w:tc>
          <w:tcPr>
            <w:tcW w:w="1449" w:type="dxa"/>
            <w:vMerge w:val="restart"/>
            <w:vAlign w:val="center"/>
          </w:tcPr>
          <w:p w14:paraId="097F0C41" w14:textId="1B513156" w:rsidR="00AA4C60" w:rsidRPr="00B43354" w:rsidRDefault="00AA4C60" w:rsidP="00960531">
            <w:pPr>
              <w:cnfStyle w:val="100000000000" w:firstRow="1" w:lastRow="0" w:firstColumn="0" w:lastColumn="0" w:oddVBand="0" w:evenVBand="0" w:oddHBand="0" w:evenHBand="0" w:firstRowFirstColumn="0" w:firstRowLastColumn="0" w:lastRowFirstColumn="0" w:lastRowLastColumn="0"/>
              <w:rPr>
                <w:rFonts w:cs="Arial"/>
                <w:b/>
                <w:bCs/>
              </w:rPr>
            </w:pPr>
            <w:r w:rsidRPr="00B43354">
              <w:rPr>
                <w:rFonts w:cs="Arial"/>
                <w:b/>
                <w:bCs/>
              </w:rPr>
              <w:t>Our current performance</w:t>
            </w:r>
            <w:r>
              <w:rPr>
                <w:rFonts w:cs="Arial"/>
                <w:b/>
                <w:bCs/>
              </w:rPr>
              <w:t xml:space="preserve"> (2019)</w:t>
            </w:r>
          </w:p>
        </w:tc>
        <w:tc>
          <w:tcPr>
            <w:tcW w:w="3906" w:type="dxa"/>
            <w:vMerge w:val="restart"/>
            <w:vAlign w:val="center"/>
          </w:tcPr>
          <w:p w14:paraId="79D67154" w14:textId="13B2AF4C" w:rsidR="00AA4C60" w:rsidRPr="00B43354" w:rsidRDefault="00BB4318" w:rsidP="00960531">
            <w:pPr>
              <w:cnfStyle w:val="100000000000" w:firstRow="1" w:lastRow="0" w:firstColumn="0" w:lastColumn="0" w:oddVBand="0" w:evenVBand="0" w:oddHBand="0" w:evenHBand="0" w:firstRowFirstColumn="0" w:firstRowLastColumn="0" w:lastRowFirstColumn="0" w:lastRowLastColumn="0"/>
              <w:rPr>
                <w:rFonts w:cs="Arial"/>
                <w:b/>
                <w:bCs/>
              </w:rPr>
            </w:pPr>
            <w:r>
              <w:rPr>
                <w:rFonts w:cs="Arial"/>
                <w:b/>
                <w:bCs/>
              </w:rPr>
              <w:t>Why is this measure important</w:t>
            </w:r>
            <w:r w:rsidR="00AA4C60" w:rsidRPr="00B43354">
              <w:rPr>
                <w:rFonts w:cs="Arial"/>
                <w:b/>
                <w:bCs/>
              </w:rPr>
              <w:t>?</w:t>
            </w:r>
          </w:p>
        </w:tc>
      </w:tr>
      <w:tr w:rsidR="00AA4C60" w:rsidRPr="00E05A88" w14:paraId="2729BA45" w14:textId="77777777" w:rsidTr="00A872D1">
        <w:trPr>
          <w:cnfStyle w:val="100000000000" w:firstRow="1" w:lastRow="0" w:firstColumn="0" w:lastColumn="0" w:oddVBand="0" w:evenVBand="0" w:oddHBand="0" w:evenHBand="0" w:firstRowFirstColumn="0" w:firstRowLastColumn="0" w:lastRowFirstColumn="0" w:lastRowLastColumn="0"/>
          <w:trHeight w:val="384"/>
          <w:tblHeader/>
        </w:trPr>
        <w:tc>
          <w:tcPr>
            <w:cnfStyle w:val="000000000100" w:firstRow="0" w:lastRow="0" w:firstColumn="0" w:lastColumn="0" w:oddVBand="0" w:evenVBand="0" w:oddHBand="0" w:evenHBand="0" w:firstRowFirstColumn="1" w:firstRowLastColumn="0" w:lastRowFirstColumn="0" w:lastRowLastColumn="0"/>
            <w:tcW w:w="2552" w:type="dxa"/>
            <w:vMerge/>
          </w:tcPr>
          <w:p w14:paraId="08AC0538" w14:textId="77777777" w:rsidR="00AA4C60" w:rsidRPr="00E05A88" w:rsidRDefault="00AA4C60" w:rsidP="0060254E">
            <w:pPr>
              <w:rPr>
                <w:rFonts w:cs="Arial"/>
              </w:rPr>
            </w:pPr>
          </w:p>
        </w:tc>
        <w:tc>
          <w:tcPr>
            <w:tcW w:w="1307" w:type="dxa"/>
            <w:gridSpan w:val="2"/>
            <w:vMerge/>
          </w:tcPr>
          <w:p w14:paraId="4A50EA8B" w14:textId="514FE8CC" w:rsidR="00AA4C60" w:rsidRPr="00E05A88" w:rsidRDefault="00AA4C60" w:rsidP="0060254E">
            <w:pPr>
              <w:jc w:val="center"/>
              <w:cnfStyle w:val="100000000000" w:firstRow="1" w:lastRow="0" w:firstColumn="0" w:lastColumn="0" w:oddVBand="0" w:evenVBand="0" w:oddHBand="0" w:evenHBand="0" w:firstRowFirstColumn="0" w:firstRowLastColumn="0" w:lastRowFirstColumn="0" w:lastRowLastColumn="0"/>
              <w:rPr>
                <w:rFonts w:cs="Arial"/>
              </w:rPr>
            </w:pPr>
          </w:p>
        </w:tc>
        <w:tc>
          <w:tcPr>
            <w:tcW w:w="1449" w:type="dxa"/>
            <w:vMerge/>
          </w:tcPr>
          <w:p w14:paraId="1D42AEFD" w14:textId="5E03C2AA" w:rsidR="00AA4C60" w:rsidRPr="00E05A88" w:rsidRDefault="00AA4C60" w:rsidP="0060254E">
            <w:pPr>
              <w:jc w:val="center"/>
              <w:cnfStyle w:val="100000000000" w:firstRow="1" w:lastRow="0" w:firstColumn="0" w:lastColumn="0" w:oddVBand="0" w:evenVBand="0" w:oddHBand="0" w:evenHBand="0" w:firstRowFirstColumn="0" w:firstRowLastColumn="0" w:lastRowFirstColumn="0" w:lastRowLastColumn="0"/>
              <w:rPr>
                <w:rFonts w:cs="Arial"/>
              </w:rPr>
            </w:pPr>
          </w:p>
        </w:tc>
        <w:tc>
          <w:tcPr>
            <w:tcW w:w="3906" w:type="dxa"/>
            <w:vMerge/>
          </w:tcPr>
          <w:p w14:paraId="25C239A2" w14:textId="77777777" w:rsidR="00AA4C60" w:rsidRPr="00E05A88" w:rsidRDefault="00AA4C60" w:rsidP="0060254E">
            <w:pPr>
              <w:cnfStyle w:val="100000000000" w:firstRow="1" w:lastRow="0" w:firstColumn="0" w:lastColumn="0" w:oddVBand="0" w:evenVBand="0" w:oddHBand="0" w:evenHBand="0" w:firstRowFirstColumn="0" w:firstRowLastColumn="0" w:lastRowFirstColumn="0" w:lastRowLastColumn="0"/>
              <w:rPr>
                <w:rFonts w:cs="Arial"/>
              </w:rPr>
            </w:pPr>
          </w:p>
        </w:tc>
      </w:tr>
      <w:tr w:rsidR="00AA4C60" w:rsidRPr="00E05A88" w14:paraId="48AD83F6" w14:textId="77777777" w:rsidTr="00A872D1">
        <w:trPr>
          <w:trHeight w:val="384"/>
        </w:trPr>
        <w:tc>
          <w:tcPr>
            <w:tcW w:w="2552" w:type="dxa"/>
            <w:vMerge w:val="restart"/>
          </w:tcPr>
          <w:p w14:paraId="06DBA84F" w14:textId="77777777" w:rsidR="00AA4C60" w:rsidRPr="00E05A88" w:rsidRDefault="00AA4C60" w:rsidP="0060254E">
            <w:pPr>
              <w:rPr>
                <w:rFonts w:ascii="Calibri" w:hAnsi="Calibri" w:cs="Arial"/>
              </w:rPr>
            </w:pPr>
            <w:r w:rsidRPr="00135514">
              <w:rPr>
                <w:rFonts w:ascii="Calibri" w:hAnsi="Calibri" w:cs="Arial"/>
              </w:rPr>
              <w:t>3.1 Reduction in Annual Average Damage (AAD) delivered by flood management initiatives</w:t>
            </w:r>
            <w:r>
              <w:rPr>
                <w:rFonts w:ascii="Calibri" w:hAnsi="Calibri" w:cs="Arial"/>
              </w:rPr>
              <w:t xml:space="preserve"> </w:t>
            </w:r>
          </w:p>
        </w:tc>
        <w:tc>
          <w:tcPr>
            <w:tcW w:w="1307" w:type="dxa"/>
            <w:gridSpan w:val="2"/>
          </w:tcPr>
          <w:p w14:paraId="33D49DDD" w14:textId="2EA58ECF" w:rsidR="00AA4C60" w:rsidRDefault="00AA4C60" w:rsidP="00B43354">
            <w:pPr>
              <w:rPr>
                <w:rFonts w:ascii="Calibri" w:hAnsi="Calibri" w:cs="Arial"/>
              </w:rPr>
            </w:pPr>
            <w:r>
              <w:rPr>
                <w:rFonts w:ascii="Calibri" w:hAnsi="Calibri" w:cs="Arial"/>
              </w:rPr>
              <w:t xml:space="preserve">Catchment </w:t>
            </w:r>
          </w:p>
        </w:tc>
        <w:tc>
          <w:tcPr>
            <w:tcW w:w="1449" w:type="dxa"/>
          </w:tcPr>
          <w:p w14:paraId="7EB905D7" w14:textId="725F2B02" w:rsidR="00AA4C60" w:rsidRPr="00E05A88" w:rsidRDefault="00AA4C60" w:rsidP="00B43354">
            <w:pPr>
              <w:rPr>
                <w:rFonts w:ascii="Calibri" w:hAnsi="Calibri" w:cs="Arial"/>
              </w:rPr>
            </w:pPr>
            <w:r>
              <w:rPr>
                <w:rFonts w:ascii="Calibri" w:hAnsi="Calibri" w:cs="Arial"/>
              </w:rPr>
              <w:t>Zeroed to 2020 baseline</w:t>
            </w:r>
          </w:p>
        </w:tc>
        <w:tc>
          <w:tcPr>
            <w:tcW w:w="3906" w:type="dxa"/>
            <w:vMerge w:val="restart"/>
          </w:tcPr>
          <w:p w14:paraId="15D5DDDF" w14:textId="711326A9" w:rsidR="00AA4C60" w:rsidRPr="00135514" w:rsidRDefault="00AA4C60" w:rsidP="0060254E">
            <w:pPr>
              <w:rPr>
                <w:rFonts w:ascii="Calibri" w:hAnsi="Calibri" w:cs="Arial"/>
                <w:color w:val="auto"/>
              </w:rPr>
            </w:pPr>
            <w:r w:rsidRPr="00135514">
              <w:rPr>
                <w:rFonts w:ascii="Calibri" w:hAnsi="Calibri" w:cs="Arial"/>
                <w:color w:val="auto"/>
              </w:rPr>
              <w:t xml:space="preserve">This measure considers progress in reducing the estimated AAD from flooding </w:t>
            </w:r>
            <w:r>
              <w:rPr>
                <w:rFonts w:ascii="Calibri" w:hAnsi="Calibri" w:cs="Arial"/>
                <w:color w:val="auto"/>
              </w:rPr>
              <w:t>through</w:t>
            </w:r>
            <w:r w:rsidRPr="00135514">
              <w:rPr>
                <w:rFonts w:ascii="Calibri" w:hAnsi="Calibri" w:cs="Arial"/>
                <w:color w:val="auto"/>
              </w:rPr>
              <w:t xml:space="preserve"> physical interventions, policy changes or education. It is baselined against the AAD estimation </w:t>
            </w:r>
            <w:r>
              <w:rPr>
                <w:rFonts w:ascii="Calibri" w:hAnsi="Calibri" w:cs="Arial"/>
                <w:color w:val="auto"/>
              </w:rPr>
              <w:t xml:space="preserve">for 2020. </w:t>
            </w:r>
            <w:r w:rsidRPr="00E05A88">
              <w:rPr>
                <w:rFonts w:ascii="Calibri" w:hAnsi="Calibri" w:cs="Arial"/>
              </w:rPr>
              <w:t xml:space="preserve">A 2050 target has been set for the region </w:t>
            </w:r>
            <w:r w:rsidR="00BB4318">
              <w:rPr>
                <w:rFonts w:ascii="Calibri" w:hAnsi="Calibri" w:cs="Arial"/>
              </w:rPr>
              <w:t xml:space="preserve">(see below) </w:t>
            </w:r>
            <w:r w:rsidRPr="00E05A88">
              <w:rPr>
                <w:rFonts w:ascii="Calibri" w:hAnsi="Calibri" w:cs="Arial"/>
              </w:rPr>
              <w:t>which seeks to negate the increases expected due to both climate change and urban consolidation, thereby ensuring that the impacts of flooding in the region do not significantly increase in the future.</w:t>
            </w:r>
          </w:p>
        </w:tc>
      </w:tr>
      <w:tr w:rsidR="00AA4C60" w:rsidRPr="00E05A88" w14:paraId="7925056B" w14:textId="77777777" w:rsidTr="00A872D1">
        <w:trPr>
          <w:trHeight w:val="384"/>
        </w:trPr>
        <w:tc>
          <w:tcPr>
            <w:tcW w:w="2552" w:type="dxa"/>
            <w:vMerge/>
          </w:tcPr>
          <w:p w14:paraId="6047CE68" w14:textId="77777777" w:rsidR="00AA4C60" w:rsidRPr="00135514" w:rsidRDefault="00AA4C60" w:rsidP="0060254E">
            <w:pPr>
              <w:rPr>
                <w:rFonts w:ascii="Calibri" w:hAnsi="Calibri" w:cs="Arial"/>
              </w:rPr>
            </w:pPr>
          </w:p>
        </w:tc>
        <w:tc>
          <w:tcPr>
            <w:tcW w:w="1307" w:type="dxa"/>
            <w:gridSpan w:val="2"/>
          </w:tcPr>
          <w:p w14:paraId="3DC64BC4" w14:textId="20647471" w:rsidR="00AA4C60" w:rsidRDefault="00AA4C60" w:rsidP="00B43354">
            <w:pPr>
              <w:rPr>
                <w:rFonts w:ascii="Calibri" w:hAnsi="Calibri" w:cs="Arial"/>
              </w:rPr>
            </w:pPr>
            <w:r>
              <w:rPr>
                <w:rFonts w:ascii="Calibri" w:hAnsi="Calibri" w:cs="Arial"/>
              </w:rPr>
              <w:t>Region</w:t>
            </w:r>
          </w:p>
        </w:tc>
        <w:tc>
          <w:tcPr>
            <w:tcW w:w="1449" w:type="dxa"/>
          </w:tcPr>
          <w:p w14:paraId="7B556BD3" w14:textId="51E7FA64" w:rsidR="00AA4C60" w:rsidRDefault="00AA4C60" w:rsidP="00B43354">
            <w:pPr>
              <w:rPr>
                <w:rFonts w:ascii="Calibri" w:hAnsi="Calibri" w:cs="Arial"/>
              </w:rPr>
            </w:pPr>
            <w:r>
              <w:rPr>
                <w:rFonts w:ascii="Calibri" w:hAnsi="Calibri" w:cs="Arial"/>
              </w:rPr>
              <w:t>Zeroed to 2020 baseline</w:t>
            </w:r>
          </w:p>
        </w:tc>
        <w:tc>
          <w:tcPr>
            <w:tcW w:w="3906" w:type="dxa"/>
            <w:vMerge/>
          </w:tcPr>
          <w:p w14:paraId="601DFAA2" w14:textId="77777777" w:rsidR="00AA4C60" w:rsidRPr="00135514" w:rsidRDefault="00AA4C60" w:rsidP="0060254E">
            <w:pPr>
              <w:rPr>
                <w:rFonts w:ascii="Calibri" w:hAnsi="Calibri" w:cs="Arial"/>
              </w:rPr>
            </w:pPr>
          </w:p>
        </w:tc>
      </w:tr>
      <w:tr w:rsidR="00AA4C60" w:rsidRPr="00E05A88" w14:paraId="3B95EE4C" w14:textId="77777777" w:rsidTr="00A872D1">
        <w:trPr>
          <w:trHeight w:val="384"/>
        </w:trPr>
        <w:tc>
          <w:tcPr>
            <w:tcW w:w="2552" w:type="dxa"/>
            <w:vMerge w:val="restart"/>
          </w:tcPr>
          <w:p w14:paraId="43AC46F0" w14:textId="77777777" w:rsidR="00AA4C60" w:rsidRPr="00E05A88" w:rsidRDefault="00AA4C60" w:rsidP="0060254E">
            <w:pPr>
              <w:rPr>
                <w:rFonts w:ascii="Calibri" w:hAnsi="Calibri" w:cs="Arial"/>
              </w:rPr>
            </w:pPr>
            <w:r w:rsidRPr="00135514">
              <w:rPr>
                <w:rFonts w:ascii="Calibri" w:hAnsi="Calibri" w:cs="Arial"/>
              </w:rPr>
              <w:t>3.2 Effective flood storage volume created as part of multi-functional assets</w:t>
            </w:r>
          </w:p>
        </w:tc>
        <w:tc>
          <w:tcPr>
            <w:tcW w:w="1248" w:type="dxa"/>
          </w:tcPr>
          <w:p w14:paraId="432A4578" w14:textId="1962AF0B" w:rsidR="00AA4C60" w:rsidRDefault="00AA4C60" w:rsidP="0060254E">
            <w:pPr>
              <w:rPr>
                <w:rFonts w:ascii="Calibri" w:hAnsi="Calibri" w:cs="Arial"/>
              </w:rPr>
            </w:pPr>
            <w:r>
              <w:rPr>
                <w:rFonts w:ascii="Calibri" w:hAnsi="Calibri" w:cs="Arial"/>
              </w:rPr>
              <w:t>Catchment</w:t>
            </w:r>
          </w:p>
        </w:tc>
        <w:tc>
          <w:tcPr>
            <w:tcW w:w="1508" w:type="dxa"/>
            <w:gridSpan w:val="2"/>
          </w:tcPr>
          <w:p w14:paraId="47B7F618" w14:textId="0D32A876" w:rsidR="00AA4C60" w:rsidRPr="00E05A88" w:rsidRDefault="00AA4C60" w:rsidP="0060254E">
            <w:pPr>
              <w:rPr>
                <w:rFonts w:ascii="Calibri" w:hAnsi="Calibri" w:cs="Arial"/>
              </w:rPr>
            </w:pPr>
            <w:r>
              <w:rPr>
                <w:rFonts w:ascii="Calibri" w:hAnsi="Calibri" w:cs="Arial"/>
              </w:rPr>
              <w:t>10,000 m</w:t>
            </w:r>
            <w:r w:rsidRPr="00201C0E">
              <w:rPr>
                <w:rFonts w:ascii="Calibri" w:hAnsi="Calibri" w:cs="Arial"/>
                <w:vertAlign w:val="superscript"/>
              </w:rPr>
              <w:t>3</w:t>
            </w:r>
          </w:p>
        </w:tc>
        <w:tc>
          <w:tcPr>
            <w:tcW w:w="3906" w:type="dxa"/>
            <w:vMerge w:val="restart"/>
          </w:tcPr>
          <w:p w14:paraId="09A5E02E" w14:textId="77777777" w:rsidR="00AA4C60" w:rsidRPr="00730614" w:rsidRDefault="00AA4C60" w:rsidP="0060254E">
            <w:pPr>
              <w:rPr>
                <w:rFonts w:ascii="Calibri" w:hAnsi="Calibri" w:cs="Arial"/>
                <w:color w:val="FF0000"/>
              </w:rPr>
            </w:pPr>
            <w:r w:rsidRPr="00135514">
              <w:rPr>
                <w:rFonts w:ascii="Calibri" w:hAnsi="Calibri" w:cs="Arial"/>
                <w:color w:val="auto"/>
              </w:rPr>
              <w:t>This measure seeks to understand how well we are integrating flood mitigation through an IWM process by delivering multi-functional assets that also provide flood storage.</w:t>
            </w:r>
          </w:p>
        </w:tc>
      </w:tr>
      <w:tr w:rsidR="00AA4C60" w:rsidRPr="00E05A88" w14:paraId="40352FAB" w14:textId="77777777" w:rsidTr="00A872D1">
        <w:trPr>
          <w:trHeight w:val="384"/>
        </w:trPr>
        <w:tc>
          <w:tcPr>
            <w:tcW w:w="2552" w:type="dxa"/>
            <w:vMerge/>
          </w:tcPr>
          <w:p w14:paraId="6826616D" w14:textId="77777777" w:rsidR="00AA4C60" w:rsidRPr="00135514" w:rsidRDefault="00AA4C60" w:rsidP="00B43354">
            <w:pPr>
              <w:rPr>
                <w:rFonts w:ascii="Calibri" w:hAnsi="Calibri" w:cs="Arial"/>
              </w:rPr>
            </w:pPr>
          </w:p>
        </w:tc>
        <w:tc>
          <w:tcPr>
            <w:tcW w:w="1248" w:type="dxa"/>
          </w:tcPr>
          <w:p w14:paraId="237473DB" w14:textId="56158E3C" w:rsidR="00AA4C60" w:rsidRDefault="00AA4C60" w:rsidP="00B43354">
            <w:pPr>
              <w:rPr>
                <w:rFonts w:ascii="Calibri" w:hAnsi="Calibri" w:cs="Arial"/>
              </w:rPr>
            </w:pPr>
            <w:r>
              <w:rPr>
                <w:rFonts w:ascii="Calibri" w:hAnsi="Calibri" w:cs="Arial"/>
              </w:rPr>
              <w:t>Region</w:t>
            </w:r>
          </w:p>
        </w:tc>
        <w:tc>
          <w:tcPr>
            <w:tcW w:w="1508" w:type="dxa"/>
            <w:gridSpan w:val="2"/>
          </w:tcPr>
          <w:p w14:paraId="458D698E" w14:textId="300CC133" w:rsidR="00AA4C60" w:rsidRDefault="00AA4C60" w:rsidP="00B43354">
            <w:pPr>
              <w:rPr>
                <w:rFonts w:ascii="Calibri" w:hAnsi="Calibri" w:cs="Arial"/>
              </w:rPr>
            </w:pPr>
            <w:r>
              <w:rPr>
                <w:rFonts w:ascii="Calibri" w:hAnsi="Calibri" w:cs="Arial"/>
              </w:rPr>
              <w:t>106,000 m</w:t>
            </w:r>
            <w:r w:rsidRPr="00201C0E">
              <w:rPr>
                <w:rFonts w:ascii="Calibri" w:hAnsi="Calibri" w:cs="Arial"/>
                <w:vertAlign w:val="superscript"/>
              </w:rPr>
              <w:t>3</w:t>
            </w:r>
          </w:p>
        </w:tc>
        <w:tc>
          <w:tcPr>
            <w:tcW w:w="3906" w:type="dxa"/>
            <w:vMerge/>
          </w:tcPr>
          <w:p w14:paraId="62FDDDDC" w14:textId="77777777" w:rsidR="00AA4C60" w:rsidRPr="00135514" w:rsidRDefault="00AA4C60" w:rsidP="00B43354">
            <w:pPr>
              <w:rPr>
                <w:rFonts w:ascii="Calibri" w:hAnsi="Calibri" w:cs="Arial"/>
              </w:rPr>
            </w:pPr>
          </w:p>
        </w:tc>
      </w:tr>
      <w:tr w:rsidR="00A872D1" w:rsidRPr="00E05A88" w14:paraId="0D435DBF" w14:textId="77777777" w:rsidTr="00A872D1">
        <w:trPr>
          <w:trHeight w:val="384"/>
        </w:trPr>
        <w:tc>
          <w:tcPr>
            <w:tcW w:w="2552" w:type="dxa"/>
            <w:vMerge w:val="restart"/>
          </w:tcPr>
          <w:p w14:paraId="01E3AC2F" w14:textId="77777777" w:rsidR="00A872D1" w:rsidRPr="00E05A88" w:rsidRDefault="00A872D1" w:rsidP="00A872D1">
            <w:pPr>
              <w:rPr>
                <w:rFonts w:ascii="Calibri" w:hAnsi="Calibri" w:cs="Arial"/>
              </w:rPr>
            </w:pPr>
            <w:r w:rsidRPr="00135514">
              <w:rPr>
                <w:rFonts w:ascii="Calibri" w:hAnsi="Calibri" w:cs="Arial"/>
              </w:rPr>
              <w:t>3.3 Projects that cross-consider IWM and flood mitigation opportunities as part of their design</w:t>
            </w:r>
          </w:p>
        </w:tc>
        <w:tc>
          <w:tcPr>
            <w:tcW w:w="1248" w:type="dxa"/>
          </w:tcPr>
          <w:p w14:paraId="165140FF" w14:textId="3A51B60A" w:rsidR="00A872D1" w:rsidRDefault="00A872D1" w:rsidP="00A872D1">
            <w:pPr>
              <w:rPr>
                <w:rFonts w:ascii="Calibri" w:hAnsi="Calibri" w:cs="Arial"/>
              </w:rPr>
            </w:pPr>
            <w:r>
              <w:rPr>
                <w:rFonts w:ascii="Calibri" w:hAnsi="Calibri" w:cs="Arial"/>
              </w:rPr>
              <w:t>Catchment</w:t>
            </w:r>
          </w:p>
        </w:tc>
        <w:tc>
          <w:tcPr>
            <w:tcW w:w="1508" w:type="dxa"/>
            <w:gridSpan w:val="2"/>
            <w:vMerge w:val="restart"/>
          </w:tcPr>
          <w:p w14:paraId="463739C6" w14:textId="4F214ABB" w:rsidR="00A872D1" w:rsidRPr="00E05A88" w:rsidRDefault="00A872D1" w:rsidP="00A872D1">
            <w:pPr>
              <w:rPr>
                <w:rFonts w:ascii="Calibri" w:hAnsi="Calibri" w:cs="Arial"/>
              </w:rPr>
            </w:pPr>
            <w:r w:rsidRPr="00835DCF">
              <w:rPr>
                <w:rFonts w:ascii="Calibri" w:hAnsi="Calibri" w:cs="Arial"/>
              </w:rPr>
              <w:t>Data collection</w:t>
            </w:r>
            <w:r>
              <w:rPr>
                <w:rFonts w:ascii="Calibri" w:hAnsi="Calibri" w:cs="Arial"/>
              </w:rPr>
              <w:t xml:space="preserve"> </w:t>
            </w:r>
            <w:r w:rsidRPr="00835DCF">
              <w:rPr>
                <w:rFonts w:ascii="Calibri" w:hAnsi="Calibri" w:cs="Arial"/>
              </w:rPr>
              <w:t>methods under</w:t>
            </w:r>
            <w:r>
              <w:rPr>
                <w:rFonts w:ascii="Calibri" w:hAnsi="Calibri" w:cs="Arial"/>
              </w:rPr>
              <w:t xml:space="preserve"> </w:t>
            </w:r>
            <w:r w:rsidRPr="00835DCF">
              <w:rPr>
                <w:rFonts w:ascii="Calibri" w:hAnsi="Calibri" w:cs="Arial"/>
              </w:rPr>
              <w:t>development</w:t>
            </w:r>
          </w:p>
        </w:tc>
        <w:tc>
          <w:tcPr>
            <w:tcW w:w="3906" w:type="dxa"/>
            <w:vMerge w:val="restart"/>
          </w:tcPr>
          <w:p w14:paraId="4FCD2CFA" w14:textId="76CE247C" w:rsidR="00A872D1" w:rsidRPr="00730614" w:rsidRDefault="00A872D1" w:rsidP="00A872D1">
            <w:pPr>
              <w:rPr>
                <w:rFonts w:ascii="Calibri" w:hAnsi="Calibri" w:cs="Arial"/>
                <w:color w:val="FF0000"/>
              </w:rPr>
            </w:pPr>
            <w:r w:rsidRPr="00926676">
              <w:rPr>
                <w:rFonts w:ascii="Calibri" w:hAnsi="Calibri" w:cs="Arial"/>
              </w:rPr>
              <w:t>This measure is designed to drive a change</w:t>
            </w:r>
            <w:r>
              <w:rPr>
                <w:rFonts w:ascii="Calibri" w:hAnsi="Calibri" w:cs="Arial"/>
              </w:rPr>
              <w:t xml:space="preserve"> </w:t>
            </w:r>
            <w:r w:rsidRPr="00926676">
              <w:rPr>
                <w:rFonts w:ascii="Calibri" w:hAnsi="Calibri" w:cs="Arial"/>
              </w:rPr>
              <w:t>in practice by building knowledge and</w:t>
            </w:r>
            <w:r>
              <w:rPr>
                <w:rFonts w:ascii="Calibri" w:hAnsi="Calibri" w:cs="Arial"/>
              </w:rPr>
              <w:t xml:space="preserve"> </w:t>
            </w:r>
            <w:r w:rsidRPr="00926676">
              <w:rPr>
                <w:rFonts w:ascii="Calibri" w:hAnsi="Calibri" w:cs="Arial"/>
              </w:rPr>
              <w:t>stronger relationships between flood</w:t>
            </w:r>
            <w:r>
              <w:rPr>
                <w:rFonts w:ascii="Calibri" w:hAnsi="Calibri" w:cs="Arial"/>
              </w:rPr>
              <w:t xml:space="preserve"> </w:t>
            </w:r>
            <w:r w:rsidRPr="00926676">
              <w:rPr>
                <w:rFonts w:ascii="Calibri" w:hAnsi="Calibri" w:cs="Arial"/>
              </w:rPr>
              <w:t>management and other aspects of IWM.</w:t>
            </w:r>
          </w:p>
        </w:tc>
      </w:tr>
      <w:tr w:rsidR="00FB6EC5" w:rsidRPr="00E05A88" w14:paraId="7C1078F9" w14:textId="77777777" w:rsidTr="00A872D1">
        <w:trPr>
          <w:trHeight w:val="384"/>
        </w:trPr>
        <w:tc>
          <w:tcPr>
            <w:tcW w:w="2552" w:type="dxa"/>
            <w:vMerge/>
          </w:tcPr>
          <w:p w14:paraId="6E6D6473" w14:textId="77777777" w:rsidR="00FB6EC5" w:rsidRPr="00135514" w:rsidRDefault="00FB6EC5" w:rsidP="00B43354">
            <w:pPr>
              <w:rPr>
                <w:rFonts w:ascii="Calibri" w:hAnsi="Calibri" w:cs="Arial"/>
              </w:rPr>
            </w:pPr>
          </w:p>
        </w:tc>
        <w:tc>
          <w:tcPr>
            <w:tcW w:w="1248" w:type="dxa"/>
          </w:tcPr>
          <w:p w14:paraId="75B38B42" w14:textId="5C4A07EC" w:rsidR="00FB6EC5" w:rsidRDefault="00FB6EC5" w:rsidP="00B43354">
            <w:pPr>
              <w:rPr>
                <w:rFonts w:ascii="Calibri" w:hAnsi="Calibri" w:cs="Arial"/>
              </w:rPr>
            </w:pPr>
            <w:r>
              <w:rPr>
                <w:rFonts w:ascii="Calibri" w:hAnsi="Calibri" w:cs="Arial"/>
              </w:rPr>
              <w:t>Region</w:t>
            </w:r>
          </w:p>
        </w:tc>
        <w:tc>
          <w:tcPr>
            <w:tcW w:w="1508" w:type="dxa"/>
            <w:gridSpan w:val="2"/>
            <w:vMerge/>
          </w:tcPr>
          <w:p w14:paraId="03F24A02" w14:textId="7EB39263" w:rsidR="00FB6EC5" w:rsidRDefault="00FB6EC5" w:rsidP="00B43354">
            <w:pPr>
              <w:rPr>
                <w:rFonts w:ascii="Calibri" w:hAnsi="Calibri" w:cs="Arial"/>
              </w:rPr>
            </w:pPr>
          </w:p>
        </w:tc>
        <w:tc>
          <w:tcPr>
            <w:tcW w:w="3906" w:type="dxa"/>
            <w:vMerge/>
          </w:tcPr>
          <w:p w14:paraId="486C4143" w14:textId="77777777" w:rsidR="00FB6EC5" w:rsidRPr="00135514" w:rsidRDefault="00FB6EC5" w:rsidP="00B43354">
            <w:pPr>
              <w:rPr>
                <w:rFonts w:ascii="Calibri" w:hAnsi="Calibri" w:cs="Arial"/>
              </w:rPr>
            </w:pPr>
          </w:p>
        </w:tc>
      </w:tr>
    </w:tbl>
    <w:p w14:paraId="71E984EE" w14:textId="77777777" w:rsidR="00F618B7" w:rsidRDefault="00F618B7">
      <w:pPr>
        <w:rPr>
          <w:rStyle w:val="Strong"/>
          <w:lang w:eastAsia="en-AU"/>
        </w:rPr>
      </w:pPr>
    </w:p>
    <w:tbl>
      <w:tblPr>
        <w:tblStyle w:val="TableGrid1"/>
        <w:tblW w:w="9214" w:type="dxa"/>
        <w:tblLook w:val="0420" w:firstRow="1" w:lastRow="0" w:firstColumn="0" w:lastColumn="0" w:noHBand="0" w:noVBand="1"/>
      </w:tblPr>
      <w:tblGrid>
        <w:gridCol w:w="9214"/>
      </w:tblGrid>
      <w:tr w:rsidR="00F618B7" w:rsidRPr="00D42C8C" w14:paraId="039862A7" w14:textId="77777777" w:rsidTr="00A872D1">
        <w:trPr>
          <w:cnfStyle w:val="100000000000" w:firstRow="1" w:lastRow="0" w:firstColumn="0" w:lastColumn="0" w:oddVBand="0" w:evenVBand="0" w:oddHBand="0" w:evenHBand="0" w:firstRowFirstColumn="0" w:firstRowLastColumn="0" w:lastRowFirstColumn="0" w:lastRowLastColumn="0"/>
          <w:trHeight w:val="428"/>
        </w:trPr>
        <w:tc>
          <w:tcPr>
            <w:tcW w:w="9214" w:type="dxa"/>
            <w:hideMark/>
          </w:tcPr>
          <w:p w14:paraId="269D8231" w14:textId="77777777" w:rsidR="00F618B7" w:rsidRPr="00D42C8C" w:rsidRDefault="00F618B7" w:rsidP="0060254E">
            <w:pPr>
              <w:spacing w:after="0" w:line="240" w:lineRule="auto"/>
              <w:rPr>
                <w:rFonts w:asciiTheme="minorHAnsi" w:hAnsiTheme="minorHAnsi" w:cstheme="minorHAnsi"/>
                <w:szCs w:val="18"/>
              </w:rPr>
            </w:pPr>
            <w:r w:rsidRPr="00D42C8C">
              <w:rPr>
                <w:rFonts w:asciiTheme="minorHAnsi" w:hAnsiTheme="minorHAnsi" w:cstheme="minorHAnsi"/>
                <w:b/>
                <w:bCs/>
                <w:color w:val="auto"/>
                <w:kern w:val="24"/>
                <w:szCs w:val="18"/>
              </w:rPr>
              <w:t>Our targets for the future, as of September 2022</w:t>
            </w:r>
          </w:p>
        </w:tc>
      </w:tr>
      <w:tr w:rsidR="00F618B7" w:rsidRPr="00D42C8C" w14:paraId="025381C4" w14:textId="77777777" w:rsidTr="00A872D1">
        <w:trPr>
          <w:trHeight w:val="457"/>
        </w:trPr>
        <w:tc>
          <w:tcPr>
            <w:tcW w:w="9214" w:type="dxa"/>
            <w:hideMark/>
          </w:tcPr>
          <w:p w14:paraId="080D53C6" w14:textId="3E81B6F5" w:rsidR="00F618B7" w:rsidRPr="00D42C8C" w:rsidRDefault="00F618B7" w:rsidP="0060254E">
            <w:pPr>
              <w:spacing w:after="0" w:line="240" w:lineRule="auto"/>
              <w:rPr>
                <w:rFonts w:cstheme="minorHAnsi"/>
                <w:szCs w:val="18"/>
              </w:rPr>
            </w:pPr>
            <w:r w:rsidRPr="00E05A88">
              <w:rPr>
                <w:rFonts w:ascii="Calibri" w:hAnsi="Calibri" w:cs="Calibri"/>
              </w:rPr>
              <w:t>$</w:t>
            </w:r>
            <w:r>
              <w:rPr>
                <w:rFonts w:ascii="Calibri" w:hAnsi="Calibri" w:cs="Calibri"/>
              </w:rPr>
              <w:t>10</w:t>
            </w:r>
            <w:r w:rsidRPr="00E05A88">
              <w:rPr>
                <w:rFonts w:ascii="Calibri" w:hAnsi="Calibri" w:cs="Calibri"/>
              </w:rPr>
              <w:t xml:space="preserve"> </w:t>
            </w:r>
            <w:proofErr w:type="spellStart"/>
            <w:r w:rsidRPr="00E05A88">
              <w:rPr>
                <w:rFonts w:ascii="Calibri" w:hAnsi="Calibri" w:cs="Calibri"/>
              </w:rPr>
              <w:t>million</w:t>
            </w:r>
            <w:r w:rsidRPr="00192955">
              <w:rPr>
                <w:rFonts w:ascii="Calibri" w:hAnsi="Calibri" w:cs="Calibri"/>
                <w:vertAlign w:val="superscript"/>
              </w:rPr>
              <w:t>i</w:t>
            </w:r>
            <w:proofErr w:type="spellEnd"/>
            <w:r>
              <w:rPr>
                <w:rFonts w:ascii="Calibri" w:hAnsi="Calibri" w:cs="Calibri"/>
              </w:rPr>
              <w:t xml:space="preserve"> </w:t>
            </w:r>
            <w:r w:rsidRPr="00D42C8C">
              <w:rPr>
                <w:rFonts w:cstheme="minorHAnsi"/>
                <w:color w:val="393838"/>
                <w:kern w:val="24"/>
                <w:szCs w:val="18"/>
              </w:rPr>
              <w:t xml:space="preserve">reduction in AAD delivered by flood management initiatives by </w:t>
            </w:r>
            <w:r w:rsidRPr="00D42C8C">
              <w:rPr>
                <w:rFonts w:cstheme="minorHAnsi"/>
                <w:b/>
                <w:bCs/>
                <w:color w:val="393838"/>
                <w:kern w:val="24"/>
                <w:szCs w:val="18"/>
              </w:rPr>
              <w:t xml:space="preserve">2030 </w:t>
            </w:r>
            <w:r w:rsidRPr="00D42C8C">
              <w:rPr>
                <w:rFonts w:cstheme="minorHAnsi"/>
                <w:color w:val="393838"/>
                <w:kern w:val="24"/>
                <w:szCs w:val="18"/>
              </w:rPr>
              <w:t xml:space="preserve">for the </w:t>
            </w:r>
            <w:r w:rsidRPr="00D42C8C">
              <w:rPr>
                <w:rFonts w:cstheme="minorHAnsi"/>
                <w:b/>
                <w:bCs/>
                <w:color w:val="393838"/>
                <w:kern w:val="24"/>
                <w:szCs w:val="18"/>
              </w:rPr>
              <w:t xml:space="preserve">catchment </w:t>
            </w:r>
          </w:p>
        </w:tc>
      </w:tr>
      <w:tr w:rsidR="00F618B7" w:rsidRPr="00D42C8C" w14:paraId="6E2E374F" w14:textId="77777777" w:rsidTr="00A872D1">
        <w:trPr>
          <w:trHeight w:val="404"/>
        </w:trPr>
        <w:tc>
          <w:tcPr>
            <w:tcW w:w="9214" w:type="dxa"/>
            <w:hideMark/>
          </w:tcPr>
          <w:p w14:paraId="58A5DD78" w14:textId="77777777" w:rsidR="00F618B7" w:rsidRPr="00D42C8C" w:rsidRDefault="00F618B7" w:rsidP="0060254E">
            <w:pPr>
              <w:spacing w:after="0" w:line="240" w:lineRule="auto"/>
              <w:rPr>
                <w:rFonts w:cstheme="minorHAnsi"/>
                <w:szCs w:val="18"/>
              </w:rPr>
            </w:pPr>
            <w:r w:rsidRPr="00E05A88">
              <w:rPr>
                <w:rFonts w:ascii="Calibri" w:hAnsi="Calibri" w:cs="Calibri"/>
              </w:rPr>
              <w:t>$3</w:t>
            </w:r>
            <w:r>
              <w:rPr>
                <w:rFonts w:ascii="Calibri" w:hAnsi="Calibri" w:cs="Calibri"/>
              </w:rPr>
              <w:t>7</w:t>
            </w:r>
            <w:r w:rsidRPr="00E05A88">
              <w:rPr>
                <w:rFonts w:ascii="Calibri" w:hAnsi="Calibri" w:cs="Calibri"/>
              </w:rPr>
              <w:t>-1</w:t>
            </w:r>
            <w:r>
              <w:rPr>
                <w:rFonts w:ascii="Calibri" w:hAnsi="Calibri" w:cs="Calibri"/>
              </w:rPr>
              <w:t>02</w:t>
            </w:r>
            <w:r w:rsidRPr="00E05A88">
              <w:rPr>
                <w:rFonts w:ascii="Calibri" w:hAnsi="Calibri" w:cs="Calibri"/>
              </w:rPr>
              <w:t xml:space="preserve"> </w:t>
            </w:r>
            <w:proofErr w:type="spellStart"/>
            <w:r w:rsidRPr="00E05A88">
              <w:rPr>
                <w:rFonts w:ascii="Calibri" w:hAnsi="Calibri" w:cs="Calibri"/>
              </w:rPr>
              <w:t>million</w:t>
            </w:r>
            <w:r w:rsidRPr="00192955">
              <w:rPr>
                <w:rFonts w:ascii="Calibri" w:hAnsi="Calibri" w:cs="Calibri"/>
                <w:vertAlign w:val="superscript"/>
              </w:rPr>
              <w:t>i</w:t>
            </w:r>
            <w:proofErr w:type="spellEnd"/>
            <w:r w:rsidRPr="00D42C8C">
              <w:rPr>
                <w:rFonts w:cstheme="minorHAnsi"/>
                <w:color w:val="00B2A9"/>
                <w:kern w:val="24"/>
                <w:position w:val="11"/>
                <w:szCs w:val="18"/>
                <w:vertAlign w:val="superscript"/>
              </w:rPr>
              <w:t xml:space="preserve"> </w:t>
            </w:r>
            <w:r w:rsidRPr="00D42C8C">
              <w:rPr>
                <w:rFonts w:cstheme="minorHAnsi"/>
                <w:color w:val="393838"/>
                <w:kern w:val="24"/>
                <w:szCs w:val="18"/>
              </w:rPr>
              <w:t>reduction in AAD delivered by flood management initiatives by</w:t>
            </w:r>
            <w:r w:rsidRPr="00D42C8C">
              <w:rPr>
                <w:rFonts w:cstheme="minorHAnsi"/>
                <w:b/>
                <w:bCs/>
                <w:color w:val="393838"/>
                <w:kern w:val="24"/>
                <w:szCs w:val="18"/>
              </w:rPr>
              <w:t xml:space="preserve"> 2030 </w:t>
            </w:r>
            <w:r w:rsidRPr="00D42C8C">
              <w:rPr>
                <w:rFonts w:cstheme="minorHAnsi"/>
                <w:color w:val="393838"/>
                <w:kern w:val="24"/>
                <w:szCs w:val="18"/>
              </w:rPr>
              <w:t xml:space="preserve">for the </w:t>
            </w:r>
            <w:r w:rsidRPr="00D42C8C">
              <w:rPr>
                <w:rFonts w:cstheme="minorHAnsi"/>
                <w:b/>
                <w:bCs/>
                <w:color w:val="393838"/>
                <w:kern w:val="24"/>
                <w:szCs w:val="18"/>
              </w:rPr>
              <w:t xml:space="preserve">Greater Melbourne Region </w:t>
            </w:r>
          </w:p>
        </w:tc>
      </w:tr>
      <w:tr w:rsidR="00F618B7" w:rsidRPr="00D42C8C" w14:paraId="4B173119" w14:textId="77777777" w:rsidTr="00A872D1">
        <w:trPr>
          <w:trHeight w:val="412"/>
        </w:trPr>
        <w:tc>
          <w:tcPr>
            <w:tcW w:w="9214" w:type="dxa"/>
            <w:hideMark/>
          </w:tcPr>
          <w:p w14:paraId="7E0CC60F" w14:textId="77777777" w:rsidR="00F618B7" w:rsidRPr="00D42C8C" w:rsidRDefault="00F618B7" w:rsidP="0060254E">
            <w:pPr>
              <w:spacing w:after="0" w:line="240" w:lineRule="auto"/>
              <w:rPr>
                <w:rFonts w:cstheme="minorHAnsi"/>
                <w:szCs w:val="18"/>
              </w:rPr>
            </w:pPr>
            <w:r w:rsidRPr="00D42C8C">
              <w:rPr>
                <w:rFonts w:cstheme="minorHAnsi"/>
                <w:color w:val="auto"/>
                <w:kern w:val="24"/>
                <w:szCs w:val="18"/>
              </w:rPr>
              <w:t>$408 million r</w:t>
            </w:r>
            <w:r w:rsidRPr="00D42C8C">
              <w:rPr>
                <w:rFonts w:cstheme="minorHAnsi"/>
                <w:color w:val="393838"/>
                <w:kern w:val="24"/>
                <w:szCs w:val="18"/>
              </w:rPr>
              <w:t xml:space="preserve">eduction in AAD delivered by flood management initiatives by </w:t>
            </w:r>
            <w:r w:rsidRPr="00D42C8C">
              <w:rPr>
                <w:rFonts w:cstheme="minorHAnsi"/>
                <w:b/>
                <w:bCs/>
                <w:color w:val="393838"/>
                <w:kern w:val="24"/>
                <w:szCs w:val="18"/>
              </w:rPr>
              <w:t>2050</w:t>
            </w:r>
            <w:r w:rsidRPr="00D42C8C">
              <w:rPr>
                <w:rFonts w:cstheme="minorHAnsi"/>
                <w:color w:val="00B2A9"/>
                <w:kern w:val="24"/>
                <w:szCs w:val="18"/>
              </w:rPr>
              <w:t xml:space="preserve"> </w:t>
            </w:r>
            <w:r w:rsidRPr="00D42C8C">
              <w:rPr>
                <w:rFonts w:cstheme="minorHAnsi"/>
                <w:color w:val="393838"/>
                <w:kern w:val="24"/>
                <w:szCs w:val="18"/>
              </w:rPr>
              <w:t xml:space="preserve">for the </w:t>
            </w:r>
            <w:r w:rsidRPr="00D42C8C">
              <w:rPr>
                <w:rFonts w:cstheme="minorHAnsi"/>
                <w:b/>
                <w:bCs/>
                <w:color w:val="393838"/>
                <w:kern w:val="24"/>
                <w:szCs w:val="18"/>
              </w:rPr>
              <w:t xml:space="preserve">Greater Melbourne Region </w:t>
            </w:r>
          </w:p>
        </w:tc>
      </w:tr>
      <w:tr w:rsidR="00F618B7" w:rsidRPr="00D42C8C" w14:paraId="0AFE96D7" w14:textId="77777777" w:rsidTr="00A872D1">
        <w:trPr>
          <w:trHeight w:val="544"/>
        </w:trPr>
        <w:tc>
          <w:tcPr>
            <w:tcW w:w="9214" w:type="dxa"/>
            <w:hideMark/>
          </w:tcPr>
          <w:p w14:paraId="53C36B77" w14:textId="77777777" w:rsidR="00F618B7" w:rsidRPr="00D42C8C" w:rsidRDefault="00F618B7" w:rsidP="0060254E">
            <w:pPr>
              <w:spacing w:after="0" w:line="240" w:lineRule="auto"/>
              <w:rPr>
                <w:rFonts w:cstheme="minorHAnsi"/>
                <w:szCs w:val="18"/>
              </w:rPr>
            </w:pPr>
            <w:r w:rsidRPr="00D42C8C">
              <w:rPr>
                <w:rFonts w:cstheme="minorHAnsi"/>
                <w:color w:val="auto"/>
                <w:kern w:val="24"/>
                <w:szCs w:val="18"/>
              </w:rPr>
              <w:t xml:space="preserve">100% </w:t>
            </w:r>
            <w:r w:rsidRPr="00D42C8C">
              <w:rPr>
                <w:rFonts w:cstheme="minorHAnsi"/>
                <w:color w:val="393838"/>
                <w:kern w:val="24"/>
                <w:szCs w:val="18"/>
              </w:rPr>
              <w:t>of projects cross-consider IWM and flood mitigation opportunities as part of their design by</w:t>
            </w:r>
            <w:r w:rsidRPr="00D42C8C">
              <w:rPr>
                <w:rFonts w:cstheme="minorHAnsi"/>
                <w:b/>
                <w:bCs/>
                <w:color w:val="393838"/>
                <w:kern w:val="24"/>
                <w:szCs w:val="18"/>
              </w:rPr>
              <w:t xml:space="preserve"> 2030 </w:t>
            </w:r>
            <w:r w:rsidRPr="00D42C8C">
              <w:rPr>
                <w:rFonts w:cstheme="minorHAnsi"/>
                <w:color w:val="393838"/>
                <w:kern w:val="24"/>
                <w:szCs w:val="18"/>
              </w:rPr>
              <w:t>and</w:t>
            </w:r>
            <w:r w:rsidRPr="00D42C8C">
              <w:rPr>
                <w:rFonts w:cstheme="minorHAnsi"/>
                <w:b/>
                <w:bCs/>
                <w:color w:val="393838"/>
                <w:kern w:val="24"/>
                <w:szCs w:val="18"/>
              </w:rPr>
              <w:t xml:space="preserve"> </w:t>
            </w:r>
            <w:r w:rsidRPr="002870A3">
              <w:rPr>
                <w:rFonts w:cstheme="minorHAnsi"/>
                <w:color w:val="393838"/>
                <w:kern w:val="24"/>
                <w:szCs w:val="18"/>
              </w:rPr>
              <w:t>maintained by</w:t>
            </w:r>
            <w:r>
              <w:rPr>
                <w:rFonts w:cstheme="minorHAnsi"/>
                <w:b/>
                <w:bCs/>
                <w:color w:val="393838"/>
                <w:kern w:val="24"/>
                <w:szCs w:val="18"/>
              </w:rPr>
              <w:t xml:space="preserve"> </w:t>
            </w:r>
            <w:r w:rsidRPr="00D42C8C">
              <w:rPr>
                <w:rFonts w:cstheme="minorHAnsi"/>
                <w:b/>
                <w:bCs/>
                <w:color w:val="393838"/>
                <w:kern w:val="24"/>
                <w:szCs w:val="18"/>
              </w:rPr>
              <w:t xml:space="preserve">2050 </w:t>
            </w:r>
            <w:r w:rsidRPr="00D42C8C">
              <w:rPr>
                <w:rFonts w:cstheme="minorHAnsi"/>
                <w:color w:val="393838"/>
                <w:kern w:val="24"/>
                <w:szCs w:val="18"/>
              </w:rPr>
              <w:t>for the</w:t>
            </w:r>
            <w:r w:rsidRPr="00D42C8C">
              <w:rPr>
                <w:rFonts w:cstheme="minorHAnsi"/>
                <w:b/>
                <w:bCs/>
                <w:color w:val="393838"/>
                <w:kern w:val="24"/>
                <w:szCs w:val="18"/>
              </w:rPr>
              <w:t xml:space="preserve"> catchment </w:t>
            </w:r>
            <w:r w:rsidRPr="00D42C8C">
              <w:rPr>
                <w:rFonts w:cstheme="minorHAnsi"/>
                <w:color w:val="393838"/>
                <w:kern w:val="24"/>
                <w:szCs w:val="18"/>
              </w:rPr>
              <w:t>and</w:t>
            </w:r>
            <w:r w:rsidRPr="00D42C8C">
              <w:rPr>
                <w:rFonts w:cstheme="minorHAnsi"/>
                <w:b/>
                <w:bCs/>
                <w:color w:val="393838"/>
                <w:kern w:val="24"/>
                <w:szCs w:val="18"/>
              </w:rPr>
              <w:t xml:space="preserve"> Greater Melbourne Region </w:t>
            </w:r>
          </w:p>
        </w:tc>
      </w:tr>
    </w:tbl>
    <w:p w14:paraId="7D5B22DA" w14:textId="6C6B780D" w:rsidR="00CF0B88" w:rsidRDefault="00CF0B88">
      <w:pPr>
        <w:rPr>
          <w:rStyle w:val="Strong"/>
          <w:lang w:eastAsia="en-AU"/>
        </w:rPr>
      </w:pPr>
      <w:r>
        <w:rPr>
          <w:rStyle w:val="Strong"/>
          <w:lang w:eastAsia="en-AU"/>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1938"/>
      </w:tblGrid>
      <w:tr w:rsidR="00F5568B" w14:paraId="6DC26FF4" w14:textId="77777777" w:rsidTr="00F70456">
        <w:tc>
          <w:tcPr>
            <w:tcW w:w="7088" w:type="dxa"/>
          </w:tcPr>
          <w:p w14:paraId="0DF7FFEE" w14:textId="77777777" w:rsidR="00F5568B" w:rsidRPr="00DF3600" w:rsidRDefault="00F5568B" w:rsidP="00F70456">
            <w:pPr>
              <w:pStyle w:val="Heading1"/>
              <w:outlineLvl w:val="0"/>
              <w:rPr>
                <w:rFonts w:ascii="Arial" w:hAnsi="Arial" w:cs="Arial"/>
                <w:b w:val="0"/>
                <w:bCs w:val="0"/>
                <w:color w:val="44C1A3"/>
                <w:szCs w:val="36"/>
              </w:rPr>
            </w:pPr>
            <w:bookmarkStart w:id="5" w:name="_Toc71903539"/>
            <w:r w:rsidRPr="00DF3600">
              <w:rPr>
                <w:rFonts w:ascii="Arial" w:hAnsi="Arial" w:cs="Arial"/>
                <w:color w:val="44C1A3"/>
                <w:szCs w:val="36"/>
              </w:rPr>
              <w:lastRenderedPageBreak/>
              <w:t xml:space="preserve">Strategic Outcome </w:t>
            </w:r>
            <w:r>
              <w:rPr>
                <w:rFonts w:ascii="Arial" w:hAnsi="Arial" w:cs="Arial"/>
                <w:color w:val="44C1A3"/>
                <w:szCs w:val="36"/>
              </w:rPr>
              <w:t>4</w:t>
            </w:r>
            <w:r w:rsidRPr="00DF3600">
              <w:rPr>
                <w:rFonts w:ascii="Arial" w:hAnsi="Arial" w:cs="Arial"/>
                <w:b w:val="0"/>
                <w:bCs w:val="0"/>
                <w:color w:val="44C1A3"/>
                <w:szCs w:val="36"/>
              </w:rPr>
              <w:t xml:space="preserve"> </w:t>
            </w:r>
            <w:r>
              <w:rPr>
                <w:rFonts w:ascii="Arial" w:hAnsi="Arial" w:cs="Arial"/>
                <w:b w:val="0"/>
                <w:bCs w:val="0"/>
                <w:color w:val="44C1A3"/>
                <w:szCs w:val="36"/>
              </w:rPr>
              <w:t>–</w:t>
            </w:r>
            <w:r w:rsidRPr="00DF3600">
              <w:rPr>
                <w:rFonts w:ascii="Arial" w:hAnsi="Arial" w:cs="Arial"/>
                <w:b w:val="0"/>
                <w:bCs w:val="0"/>
                <w:color w:val="44C1A3"/>
                <w:szCs w:val="36"/>
              </w:rPr>
              <w:t xml:space="preserve"> </w:t>
            </w:r>
            <w:r>
              <w:rPr>
                <w:rFonts w:ascii="Arial" w:hAnsi="Arial" w:cs="Arial"/>
                <w:b w:val="0"/>
                <w:bCs w:val="0"/>
                <w:color w:val="44C1A3"/>
                <w:szCs w:val="36"/>
              </w:rPr>
              <w:t>Healthy and valued waterways and marine environments</w:t>
            </w:r>
            <w:bookmarkEnd w:id="5"/>
          </w:p>
          <w:p w14:paraId="7E22129E" w14:textId="77777777" w:rsidR="00F5568B" w:rsidRDefault="00F5568B" w:rsidP="00F70456">
            <w:pPr>
              <w:pStyle w:val="BodyText"/>
              <w:rPr>
                <w:rFonts w:ascii="Arial" w:hAnsi="Arial" w:cs="Arial"/>
                <w:color w:val="44C1A3"/>
                <w:sz w:val="36"/>
                <w:szCs w:val="36"/>
              </w:rPr>
            </w:pPr>
          </w:p>
        </w:tc>
        <w:tc>
          <w:tcPr>
            <w:tcW w:w="1938" w:type="dxa"/>
          </w:tcPr>
          <w:p w14:paraId="7C312A56" w14:textId="77777777" w:rsidR="00F5568B" w:rsidRDefault="00F5568B" w:rsidP="00F70456">
            <w:pPr>
              <w:pStyle w:val="BodyText"/>
              <w:rPr>
                <w:rFonts w:ascii="Arial" w:hAnsi="Arial" w:cs="Arial"/>
                <w:color w:val="44C1A3"/>
                <w:sz w:val="36"/>
                <w:szCs w:val="36"/>
              </w:rPr>
            </w:pPr>
            <w:r>
              <w:rPr>
                <w:noProof/>
              </w:rPr>
              <w:drawing>
                <wp:inline distT="0" distB="0" distL="0" distR="0" wp14:anchorId="574DE15F" wp14:editId="6CF0275A">
                  <wp:extent cx="900684" cy="900684"/>
                  <wp:effectExtent l="0" t="0" r="0" b="0"/>
                  <wp:docPr id="63" name="Picture 63"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pic:nvPicPr>
                        <pic:blipFill>
                          <a:blip r:embed="rId18">
                            <a:extLst>
                              <a:ext uri="{28A0092B-C50C-407E-A947-70E740481C1C}">
                                <a14:useLocalDpi xmlns:a14="http://schemas.microsoft.com/office/drawing/2010/main" val="0"/>
                              </a:ext>
                            </a:extLst>
                          </a:blip>
                          <a:stretch>
                            <a:fillRect/>
                          </a:stretch>
                        </pic:blipFill>
                        <pic:spPr>
                          <a:xfrm>
                            <a:off x="0" y="0"/>
                            <a:ext cx="900684" cy="900684"/>
                          </a:xfrm>
                          <a:prstGeom prst="rect">
                            <a:avLst/>
                          </a:prstGeom>
                        </pic:spPr>
                      </pic:pic>
                    </a:graphicData>
                  </a:graphic>
                </wp:inline>
              </w:drawing>
            </w:r>
          </w:p>
          <w:p w14:paraId="053217A9" w14:textId="77777777" w:rsidR="00F5568B" w:rsidRDefault="00F5568B" w:rsidP="00F70456">
            <w:pPr>
              <w:pStyle w:val="BodyText"/>
              <w:rPr>
                <w:rFonts w:ascii="Arial" w:hAnsi="Arial" w:cs="Arial"/>
                <w:color w:val="44C1A3"/>
                <w:sz w:val="36"/>
                <w:szCs w:val="36"/>
              </w:rPr>
            </w:pPr>
          </w:p>
        </w:tc>
      </w:tr>
    </w:tbl>
    <w:p w14:paraId="7FFB1A6A" w14:textId="05DD5E1E" w:rsidR="00FD7FFB" w:rsidRPr="00F5568B" w:rsidRDefault="00F5568B">
      <w:pPr>
        <w:rPr>
          <w:rStyle w:val="Strong"/>
        </w:rPr>
      </w:pPr>
      <w:r w:rsidRPr="00F5568B">
        <w:rPr>
          <w:rStyle w:val="Strong"/>
          <w:lang w:eastAsia="en-AU"/>
        </w:rPr>
        <w:t xml:space="preserve">An understanding of the health of our waterways and marine environments is crucial to IWM as they interact with many parts of the water cycle and </w:t>
      </w:r>
      <w:r w:rsidR="00E31750" w:rsidRPr="00E31750">
        <w:rPr>
          <w:rStyle w:val="Strong"/>
          <w:lang w:eastAsia="en-AU"/>
        </w:rPr>
        <w:t>support a range of community and environmental values</w:t>
      </w:r>
      <w:r w:rsidRPr="00F5568B">
        <w:rPr>
          <w:rStyle w:val="Strong"/>
          <w:lang w:eastAsia="en-AU"/>
        </w:rPr>
        <w:t xml:space="preserve">. This strategic outcome explores how IWM can improve the health of our waterways and bays. It also explores the impacts of the use of river catchments for water supplies and how we are improving the amount of water available for the environment in waterways.  </w:t>
      </w:r>
    </w:p>
    <w:p w14:paraId="08F70BD6" w14:textId="77777777" w:rsidR="00F5568B" w:rsidRDefault="00F5568B" w:rsidP="00F5568B">
      <w:pPr>
        <w:keepNext/>
        <w:keepLines/>
        <w:tabs>
          <w:tab w:val="num" w:pos="0"/>
        </w:tabs>
        <w:spacing w:after="0" w:line="240" w:lineRule="auto"/>
        <w:outlineLvl w:val="0"/>
        <w:rPr>
          <w:rFonts w:ascii="Calibri" w:eastAsia="Meiryo" w:hAnsi="Calibri" w:cs="Arial"/>
          <w:b/>
          <w:bCs/>
          <w:color w:val="029676"/>
          <w:sz w:val="36"/>
          <w:szCs w:val="28"/>
          <w:lang w:eastAsia="en-AU"/>
        </w:rPr>
      </w:pPr>
      <w:r w:rsidRPr="00ED7A1E">
        <w:rPr>
          <w:rFonts w:ascii="Calibri" w:eastAsia="Meiryo" w:hAnsi="Calibri" w:cs="Arial"/>
          <w:b/>
          <w:bCs/>
          <w:color w:val="029676"/>
          <w:sz w:val="36"/>
          <w:szCs w:val="28"/>
          <w:lang w:eastAsia="en-AU"/>
        </w:rPr>
        <w:t>The case for change</w:t>
      </w:r>
    </w:p>
    <w:p w14:paraId="7F4441A0" w14:textId="78968591" w:rsidR="00F5568B" w:rsidRDefault="00F5568B">
      <w:pPr>
        <w:rPr>
          <w:rFonts w:ascii="Calibri" w:eastAsia="Times New Roman" w:hAnsi="Calibri" w:cs="Arial"/>
          <w:b/>
          <w:bCs/>
          <w:color w:val="029676"/>
          <w:sz w:val="36"/>
          <w:szCs w:val="28"/>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067"/>
      </w:tblGrid>
      <w:tr w:rsidR="00F5568B" w14:paraId="2271934E" w14:textId="77777777" w:rsidTr="00BA0810">
        <w:trPr>
          <w:trHeight w:val="2978"/>
        </w:trPr>
        <w:tc>
          <w:tcPr>
            <w:tcW w:w="5949" w:type="dxa"/>
          </w:tcPr>
          <w:p w14:paraId="6FFE3566" w14:textId="013FCD12" w:rsidR="00F5568B" w:rsidRDefault="00F5568B" w:rsidP="00F70456">
            <w:pPr>
              <w:pStyle w:val="BodyText"/>
              <w:rPr>
                <w:rFonts w:ascii="Calibri" w:hAnsi="Calibri" w:cs="Arial"/>
                <w:b/>
                <w:bCs/>
                <w:iCs/>
                <w:color w:val="0989B1"/>
                <w:kern w:val="20"/>
                <w:sz w:val="24"/>
                <w:szCs w:val="28"/>
              </w:rPr>
            </w:pPr>
            <w:r>
              <w:rPr>
                <w:rFonts w:ascii="Calibri" w:hAnsi="Calibri" w:cs="Arial"/>
                <w:b/>
                <w:bCs/>
                <w:iCs/>
                <w:color w:val="0989B1"/>
                <w:kern w:val="20"/>
                <w:sz w:val="24"/>
                <w:szCs w:val="28"/>
              </w:rPr>
              <w:t>Our waterways and Port Phillip Bay</w:t>
            </w:r>
          </w:p>
          <w:p w14:paraId="5C969743" w14:textId="2BB2E4A9" w:rsidR="003A2F92" w:rsidRDefault="00F6623A" w:rsidP="00F6623A">
            <w:pPr>
              <w:pStyle w:val="BodyText"/>
              <w:spacing w:before="0" w:after="0"/>
              <w:jc w:val="both"/>
            </w:pPr>
            <w:r w:rsidRPr="00F6623A">
              <w:t xml:space="preserve">The Yarra Catchment contains an array of significant and biologically diverse waterways ranging from expansive rivers with variable flows to small ephemeral creeks and streams. All major waterways in the Catchment eventually join the Yarra River, </w:t>
            </w:r>
            <w:r w:rsidR="00CE7B34" w:rsidRPr="00F6623A">
              <w:t>one of Australia’s most iconic and culturally significant waterways,</w:t>
            </w:r>
            <w:r w:rsidR="004368F6">
              <w:t xml:space="preserve"> which became the first in Australia to be legally recognised as a living entity under the</w:t>
            </w:r>
            <w:r w:rsidR="00167792">
              <w:t xml:space="preserve"> </w:t>
            </w:r>
            <w:r w:rsidR="00167792" w:rsidRPr="00167792">
              <w:rPr>
                <w:i/>
                <w:iCs/>
              </w:rPr>
              <w:t>Yarra River Protection (</w:t>
            </w:r>
            <w:proofErr w:type="spellStart"/>
            <w:r w:rsidR="00167792" w:rsidRPr="00167792">
              <w:rPr>
                <w:i/>
                <w:iCs/>
              </w:rPr>
              <w:t>Wilip</w:t>
            </w:r>
            <w:proofErr w:type="spellEnd"/>
            <w:r w:rsidR="00167792" w:rsidRPr="00167792">
              <w:rPr>
                <w:i/>
                <w:iCs/>
              </w:rPr>
              <w:t xml:space="preserve">-gin </w:t>
            </w:r>
            <w:proofErr w:type="spellStart"/>
            <w:r w:rsidR="00167792" w:rsidRPr="00167792">
              <w:rPr>
                <w:i/>
                <w:iCs/>
              </w:rPr>
              <w:t>Birrarung</w:t>
            </w:r>
            <w:proofErr w:type="spellEnd"/>
            <w:r w:rsidR="00167792" w:rsidRPr="00167792">
              <w:rPr>
                <w:i/>
                <w:iCs/>
              </w:rPr>
              <w:t xml:space="preserve"> </w:t>
            </w:r>
            <w:proofErr w:type="spellStart"/>
            <w:r w:rsidR="00167792" w:rsidRPr="00167792">
              <w:rPr>
                <w:i/>
                <w:iCs/>
              </w:rPr>
              <w:t>murron</w:t>
            </w:r>
            <w:proofErr w:type="spellEnd"/>
            <w:r w:rsidR="00167792" w:rsidRPr="00167792">
              <w:rPr>
                <w:i/>
                <w:iCs/>
              </w:rPr>
              <w:t>) Act 2017</w:t>
            </w:r>
            <w:r w:rsidR="004368F6">
              <w:t>. The Yarra River</w:t>
            </w:r>
            <w:r w:rsidR="00CE7B34" w:rsidRPr="00F6623A">
              <w:t xml:space="preserve"> flows from its near natural upper reaches at Mt Baw </w:t>
            </w:r>
            <w:proofErr w:type="spellStart"/>
            <w:r w:rsidR="00CE7B34" w:rsidRPr="00F6623A">
              <w:t>Baw</w:t>
            </w:r>
            <w:proofErr w:type="spellEnd"/>
            <w:r w:rsidR="00CE7B34" w:rsidRPr="00F6623A">
              <w:t xml:space="preserve"> in the Yarra Ranges through the catchment to Port Phillip Bay</w:t>
            </w:r>
            <w:r>
              <w:t>, which is a treasured centrepiece for the Region</w:t>
            </w:r>
            <w:r w:rsidRPr="004C232D">
              <w:t>.</w:t>
            </w:r>
            <w:r w:rsidR="00CE7B34">
              <w:t xml:space="preserve"> </w:t>
            </w:r>
            <w:r w:rsidRPr="00F6623A">
              <w:t xml:space="preserve">Other notable waterways in the Catchment include the </w:t>
            </w:r>
            <w:proofErr w:type="spellStart"/>
            <w:r w:rsidRPr="00F6623A">
              <w:t>O’Shannassy</w:t>
            </w:r>
            <w:proofErr w:type="spellEnd"/>
            <w:r w:rsidRPr="00F6623A">
              <w:t xml:space="preserve"> River, Little Yarra River, Woori Yallock Creek, Watts River, Plenty River, as well as the Merri Creek and Darebin Creek.</w:t>
            </w:r>
          </w:p>
          <w:p w14:paraId="2F51F0DB" w14:textId="5C6A49EB" w:rsidR="00F5568B" w:rsidRPr="00135514" w:rsidRDefault="00F5568B" w:rsidP="00F90EAE">
            <w:pPr>
              <w:pStyle w:val="BodyText"/>
            </w:pPr>
          </w:p>
        </w:tc>
        <w:tc>
          <w:tcPr>
            <w:tcW w:w="3067" w:type="dxa"/>
          </w:tcPr>
          <w:p w14:paraId="534C3C3C" w14:textId="77777777" w:rsidR="00F5568B" w:rsidRDefault="0013481C" w:rsidP="00F5568B">
            <w:pPr>
              <w:pStyle w:val="BodyText"/>
              <w:rPr>
                <w:color w:val="002060"/>
              </w:rPr>
            </w:pPr>
            <w:r>
              <w:rPr>
                <w:color w:val="002060"/>
              </w:rPr>
              <w:t>$107 million/year</w:t>
            </w:r>
          </w:p>
          <w:p w14:paraId="35F566B2" w14:textId="7ACB0196" w:rsidR="0013481C" w:rsidRPr="0013481C" w:rsidRDefault="0013481C" w:rsidP="00F5568B">
            <w:pPr>
              <w:pStyle w:val="BodyText"/>
              <w:rPr>
                <w:color w:val="002060"/>
              </w:rPr>
            </w:pPr>
            <w:r w:rsidRPr="0013481C">
              <w:rPr>
                <w:color w:val="auto"/>
              </w:rPr>
              <w:t>The estimated impact on the economy if pollution</w:t>
            </w:r>
            <w:r w:rsidR="00EF61E7">
              <w:rPr>
                <w:color w:val="auto"/>
              </w:rPr>
              <w:t xml:space="preserve"> </w:t>
            </w:r>
            <w:r w:rsidRPr="0013481C">
              <w:rPr>
                <w:color w:val="auto"/>
              </w:rPr>
              <w:t xml:space="preserve">entering Port Phillip Bay results in </w:t>
            </w:r>
            <w:r w:rsidRPr="0013481C">
              <w:rPr>
                <w:rFonts w:cstheme="minorBidi"/>
                <w:color w:val="auto"/>
              </w:rPr>
              <w:t>more persistent algal blooms and poor water quality at beaches.</w:t>
            </w:r>
            <w:r w:rsidR="0092302F">
              <w:rPr>
                <w:rFonts w:cstheme="minorBidi"/>
                <w:color w:val="auto"/>
                <w:vertAlign w:val="superscript"/>
              </w:rPr>
              <w:t>1</w:t>
            </w:r>
            <w:r w:rsidR="0092302F">
              <w:rPr>
                <w:vertAlign w:val="superscript"/>
              </w:rPr>
              <w:t>0</w:t>
            </w:r>
          </w:p>
        </w:tc>
      </w:tr>
      <w:tr w:rsidR="00F5568B" w14:paraId="7BF7E6F2" w14:textId="77777777" w:rsidTr="00BA0810">
        <w:trPr>
          <w:trHeight w:val="2725"/>
        </w:trPr>
        <w:tc>
          <w:tcPr>
            <w:tcW w:w="5949" w:type="dxa"/>
          </w:tcPr>
          <w:p w14:paraId="49C3A84F" w14:textId="006A8CD5" w:rsidR="00F5568B" w:rsidRDefault="00F5568B" w:rsidP="00F5568B">
            <w:pPr>
              <w:pStyle w:val="BodyText"/>
              <w:rPr>
                <w:rFonts w:ascii="Calibri" w:hAnsi="Calibri" w:cs="Arial"/>
                <w:b/>
                <w:bCs/>
                <w:iCs/>
                <w:color w:val="0989B1"/>
                <w:kern w:val="20"/>
                <w:sz w:val="24"/>
                <w:szCs w:val="28"/>
              </w:rPr>
            </w:pPr>
            <w:r w:rsidRPr="00F5568B">
              <w:rPr>
                <w:rFonts w:ascii="Calibri" w:hAnsi="Calibri" w:cs="Arial"/>
                <w:b/>
                <w:bCs/>
                <w:iCs/>
                <w:color w:val="0989B1"/>
                <w:kern w:val="20"/>
                <w:sz w:val="24"/>
                <w:szCs w:val="28"/>
              </w:rPr>
              <w:t xml:space="preserve">Changes in </w:t>
            </w:r>
            <w:r w:rsidR="003042AA">
              <w:rPr>
                <w:rFonts w:ascii="Calibri" w:hAnsi="Calibri" w:cs="Arial"/>
                <w:b/>
                <w:bCs/>
                <w:iCs/>
                <w:color w:val="0989B1"/>
                <w:kern w:val="20"/>
                <w:sz w:val="24"/>
                <w:szCs w:val="28"/>
              </w:rPr>
              <w:t xml:space="preserve">stormwater </w:t>
            </w:r>
            <w:r w:rsidRPr="00F5568B">
              <w:rPr>
                <w:rFonts w:ascii="Calibri" w:hAnsi="Calibri" w:cs="Arial"/>
                <w:b/>
                <w:bCs/>
                <w:iCs/>
                <w:color w:val="0989B1"/>
                <w:kern w:val="20"/>
                <w:sz w:val="24"/>
                <w:szCs w:val="28"/>
              </w:rPr>
              <w:t>runoff volumes</w:t>
            </w:r>
          </w:p>
          <w:p w14:paraId="721CBB28" w14:textId="79F7BC87" w:rsidR="00F5568B" w:rsidRPr="00F5568B" w:rsidRDefault="00F5568B" w:rsidP="00F5568B">
            <w:pPr>
              <w:pStyle w:val="BodyText"/>
              <w:spacing w:before="0" w:after="0"/>
              <w:jc w:val="both"/>
            </w:pPr>
            <w:r w:rsidRPr="00F5568B">
              <w:t xml:space="preserve">Increasingly, the volume of </w:t>
            </w:r>
            <w:r w:rsidR="003042AA">
              <w:t xml:space="preserve">stormwater </w:t>
            </w:r>
            <w:r w:rsidRPr="00F5568B">
              <w:t>runoff from urbanised areas entering waterways is being recognised as a key predictor of waterway health.</w:t>
            </w:r>
            <w:r w:rsidR="0092302F">
              <w:rPr>
                <w:vertAlign w:val="superscript"/>
              </w:rPr>
              <w:t>9</w:t>
            </w:r>
            <w:r>
              <w:t xml:space="preserve"> As an area is developed and more </w:t>
            </w:r>
            <w:r w:rsidR="00721E7D">
              <w:t>hard</w:t>
            </w:r>
            <w:r>
              <w:t xml:space="preserve"> surfaces are introduced, more stormwater runoff is created and directed to waterways through the drainage system instead of soaking into the ground, evaporating or being absorbed by plants. These large volumes of runoff enter waterways very quickly and with greater intensity, disrupt</w:t>
            </w:r>
            <w:r w:rsidR="002E00AB">
              <w:t>ing</w:t>
            </w:r>
            <w:r>
              <w:t xml:space="preserve"> natural flow patterns and degrad</w:t>
            </w:r>
            <w:r w:rsidR="002E00AB">
              <w:t>ing</w:t>
            </w:r>
            <w:r>
              <w:t xml:space="preserve"> waterway forms and habitats.</w:t>
            </w:r>
            <w:r w:rsidR="00750C30">
              <w:t xml:space="preserve"> </w:t>
            </w:r>
            <w:r w:rsidR="00F90EAE">
              <w:t>T</w:t>
            </w:r>
            <w:r w:rsidR="00750C30">
              <w:t xml:space="preserve">he </w:t>
            </w:r>
            <w:r w:rsidR="000E01D7">
              <w:t>Yarra</w:t>
            </w:r>
            <w:r w:rsidR="00750C30">
              <w:t xml:space="preserve"> Catchment is becoming increasingly urbanised, changing the volume, location and timing of runoff entering waterways.</w:t>
            </w:r>
          </w:p>
          <w:p w14:paraId="7A2CEC9A" w14:textId="77777777" w:rsidR="00F5568B" w:rsidRDefault="00F5568B" w:rsidP="00F70456">
            <w:pPr>
              <w:pStyle w:val="BodyText"/>
              <w:rPr>
                <w:rFonts w:ascii="Calibri" w:hAnsi="Calibri" w:cs="Arial"/>
                <w:b/>
                <w:bCs/>
                <w:iCs/>
                <w:color w:val="0989B1"/>
                <w:kern w:val="20"/>
                <w:sz w:val="24"/>
                <w:szCs w:val="28"/>
              </w:rPr>
            </w:pPr>
          </w:p>
        </w:tc>
        <w:tc>
          <w:tcPr>
            <w:tcW w:w="3067" w:type="dxa"/>
          </w:tcPr>
          <w:p w14:paraId="187B6740" w14:textId="2E72FFFD" w:rsidR="00F5568B" w:rsidRDefault="00F5568B" w:rsidP="00F70456">
            <w:pPr>
              <w:pStyle w:val="BodyText"/>
              <w:rPr>
                <w:color w:val="002060"/>
              </w:rPr>
            </w:pPr>
          </w:p>
          <w:p w14:paraId="28AD6F4B" w14:textId="293C46BE" w:rsidR="00F5568B" w:rsidRDefault="00F5568B" w:rsidP="00F5568B">
            <w:pPr>
              <w:pStyle w:val="BodyText"/>
              <w:rPr>
                <w:color w:val="002060"/>
              </w:rPr>
            </w:pPr>
            <w:r>
              <w:rPr>
                <w:color w:val="002060"/>
              </w:rPr>
              <w:t xml:space="preserve">2019: </w:t>
            </w:r>
            <w:r w:rsidR="00F6623A">
              <w:rPr>
                <w:color w:val="002060"/>
              </w:rPr>
              <w:t>253</w:t>
            </w:r>
            <w:r w:rsidR="0092302F">
              <w:rPr>
                <w:color w:val="002060"/>
              </w:rPr>
              <w:t xml:space="preserve"> Gigalitres</w:t>
            </w:r>
          </w:p>
          <w:p w14:paraId="20934A05" w14:textId="01A548D6" w:rsidR="00F5568B" w:rsidRDefault="00F5568B" w:rsidP="00F5568B">
            <w:pPr>
              <w:pStyle w:val="BodyText"/>
              <w:rPr>
                <w:color w:val="002060"/>
              </w:rPr>
            </w:pPr>
            <w:r>
              <w:rPr>
                <w:color w:val="002060"/>
              </w:rPr>
              <w:t xml:space="preserve">2050: </w:t>
            </w:r>
            <w:r w:rsidR="00F6623A">
              <w:rPr>
                <w:color w:val="002060"/>
              </w:rPr>
              <w:t>338</w:t>
            </w:r>
            <w:r w:rsidR="0092302F">
              <w:rPr>
                <w:color w:val="002060"/>
              </w:rPr>
              <w:t xml:space="preserve"> Gigalitres</w:t>
            </w:r>
          </w:p>
          <w:p w14:paraId="1E56CA51" w14:textId="652C9803" w:rsidR="00F5568B" w:rsidRDefault="0092302F" w:rsidP="00F5568B">
            <w:pPr>
              <w:pStyle w:val="BodyText"/>
              <w:rPr>
                <w:color w:val="002060"/>
              </w:rPr>
            </w:pPr>
            <w:r>
              <w:rPr>
                <w:color w:val="002060"/>
              </w:rPr>
              <w:t>R</w:t>
            </w:r>
            <w:r w:rsidR="00F5568B">
              <w:rPr>
                <w:color w:val="002060"/>
              </w:rPr>
              <w:t>unoff generated from urban areas</w:t>
            </w:r>
            <w:r w:rsidR="00FE1CC6">
              <w:rPr>
                <w:color w:val="002060"/>
              </w:rPr>
              <w:t xml:space="preserve"> in the catchment</w:t>
            </w:r>
            <w:r w:rsidR="00F5568B">
              <w:rPr>
                <w:color w:val="002060"/>
              </w:rPr>
              <w:t xml:space="preserve"> in excess of that which would runoff a natural landscape, which, if not retained or harvested, is drained to receiving </w:t>
            </w:r>
            <w:proofErr w:type="spellStart"/>
            <w:r w:rsidR="00F5568B">
              <w:rPr>
                <w:color w:val="002060"/>
              </w:rPr>
              <w:t>environments</w:t>
            </w:r>
            <w:r w:rsidR="004263EA" w:rsidRPr="00744FD1">
              <w:rPr>
                <w:color w:val="002060"/>
                <w:vertAlign w:val="superscript"/>
              </w:rPr>
              <w:t>c</w:t>
            </w:r>
            <w:proofErr w:type="spellEnd"/>
          </w:p>
          <w:p w14:paraId="287DC4E9" w14:textId="203EA543" w:rsidR="00F5568B" w:rsidRDefault="00F5568B" w:rsidP="00F70456">
            <w:pPr>
              <w:pStyle w:val="BodyText"/>
              <w:rPr>
                <w:color w:val="002060"/>
              </w:rPr>
            </w:pPr>
          </w:p>
        </w:tc>
      </w:tr>
      <w:tr w:rsidR="00F5568B" w14:paraId="55A8D299" w14:textId="77777777" w:rsidTr="00BA0810">
        <w:trPr>
          <w:trHeight w:val="2725"/>
        </w:trPr>
        <w:tc>
          <w:tcPr>
            <w:tcW w:w="5949" w:type="dxa"/>
          </w:tcPr>
          <w:p w14:paraId="6DC3FECF" w14:textId="77777777" w:rsidR="00F5568B" w:rsidRDefault="00F5568B" w:rsidP="00F5568B">
            <w:pPr>
              <w:pStyle w:val="BodyText"/>
              <w:rPr>
                <w:rFonts w:ascii="Calibri" w:hAnsi="Calibri" w:cs="Arial"/>
                <w:b/>
                <w:bCs/>
                <w:iCs/>
                <w:color w:val="0989B1"/>
                <w:kern w:val="20"/>
                <w:sz w:val="24"/>
                <w:szCs w:val="28"/>
              </w:rPr>
            </w:pPr>
            <w:r>
              <w:rPr>
                <w:rFonts w:ascii="Calibri" w:hAnsi="Calibri" w:cs="Arial"/>
                <w:b/>
                <w:bCs/>
                <w:iCs/>
                <w:color w:val="0989B1"/>
                <w:kern w:val="20"/>
                <w:sz w:val="24"/>
                <w:szCs w:val="28"/>
              </w:rPr>
              <w:lastRenderedPageBreak/>
              <w:t>Changes in water quality</w:t>
            </w:r>
          </w:p>
          <w:p w14:paraId="13134629" w14:textId="2FCCEA80" w:rsidR="00F5568B" w:rsidRDefault="00F5568B" w:rsidP="00F5568B">
            <w:pPr>
              <w:pStyle w:val="BodyText"/>
              <w:spacing w:before="0" w:after="0"/>
              <w:jc w:val="both"/>
            </w:pPr>
            <w:r>
              <w:t>Poor or declining water quality in our waterways and bays has long been recognised as an issue in the region</w:t>
            </w:r>
            <w:r w:rsidR="005D6D8E">
              <w:t>.</w:t>
            </w:r>
            <w:r w:rsidR="0092302F">
              <w:rPr>
                <w:vertAlign w:val="superscript"/>
              </w:rPr>
              <w:t>9</w:t>
            </w:r>
            <w:r w:rsidRPr="00F5568B">
              <w:t xml:space="preserve"> </w:t>
            </w:r>
            <w:r>
              <w:t xml:space="preserve">Two key contributors to pollution of our waterways and the Bay are the contribution of various pollutants from land runoff (from both rural and urban areas) and from releases of treated wastewater. Over the last three decades, there has been considerable work done in the Melbourne region to improve water quality through improved treatment and local recycling of stormwater and wastewater, and improved management of rural land and our waterway corridors. However, as our population grows, so too will the potential pollution of our receiving environments. </w:t>
            </w:r>
          </w:p>
          <w:p w14:paraId="62C7D73F" w14:textId="27997EFA" w:rsidR="008B3064" w:rsidRDefault="008B3064" w:rsidP="00F5568B">
            <w:pPr>
              <w:pStyle w:val="BodyText"/>
              <w:spacing w:before="0" w:after="0"/>
              <w:jc w:val="both"/>
            </w:pPr>
          </w:p>
          <w:p w14:paraId="62488BE1" w14:textId="26868AFB" w:rsidR="00F5568B" w:rsidRDefault="00EF0B53" w:rsidP="00744FD1">
            <w:pPr>
              <w:pStyle w:val="BodyText"/>
              <w:spacing w:before="0" w:after="0"/>
              <w:jc w:val="both"/>
              <w:rPr>
                <w:rFonts w:ascii="Calibri" w:hAnsi="Calibri" w:cs="Arial"/>
                <w:b/>
                <w:bCs/>
                <w:iCs/>
                <w:color w:val="0989B1"/>
                <w:kern w:val="20"/>
                <w:sz w:val="24"/>
                <w:szCs w:val="28"/>
              </w:rPr>
            </w:pPr>
            <w:r>
              <w:t>Increases to nitrogen levels in Port Phillip Bay could increase the risk of algal blooms or over-stimulate the growth of other marine plants.</w:t>
            </w:r>
            <w:r w:rsidR="00F90EAE">
              <w:t xml:space="preserve"> Sediments, and the pollutants </w:t>
            </w:r>
            <w:r w:rsidR="00AC66D4">
              <w:t>they carry, reduce water quality of our waterways and the Bay.</w:t>
            </w:r>
            <w:r w:rsidR="00F90EAE">
              <w:t xml:space="preserve"> </w:t>
            </w:r>
            <w:r>
              <w:t xml:space="preserve"> </w:t>
            </w:r>
            <w:r w:rsidR="008B3064">
              <w:t xml:space="preserve">In the </w:t>
            </w:r>
            <w:r w:rsidR="000E01D7">
              <w:t>Yarra</w:t>
            </w:r>
            <w:r w:rsidR="008B3064">
              <w:t xml:space="preserve"> Catchment, </w:t>
            </w:r>
            <w:r w:rsidR="00C60A26">
              <w:t xml:space="preserve">most of the </w:t>
            </w:r>
            <w:r w:rsidR="00AC66D4">
              <w:t xml:space="preserve">pollutants </w:t>
            </w:r>
            <w:r w:rsidR="008B3064">
              <w:t xml:space="preserve">entering the environment arise from </w:t>
            </w:r>
            <w:r w:rsidR="00F90EAE">
              <w:t>runoff</w:t>
            </w:r>
            <w:r w:rsidR="008B3064">
              <w:t xml:space="preserve">. </w:t>
            </w:r>
          </w:p>
        </w:tc>
        <w:tc>
          <w:tcPr>
            <w:tcW w:w="3067" w:type="dxa"/>
          </w:tcPr>
          <w:p w14:paraId="65AF3C46" w14:textId="66BC1EE8" w:rsidR="006206A6" w:rsidRPr="00744FD1" w:rsidRDefault="006206A6" w:rsidP="006206A6">
            <w:pPr>
              <w:pStyle w:val="BodyText"/>
              <w:rPr>
                <w:color w:val="auto"/>
                <w:vertAlign w:val="superscript"/>
              </w:rPr>
            </w:pPr>
            <w:r w:rsidRPr="006206A6">
              <w:rPr>
                <w:color w:val="auto"/>
              </w:rPr>
              <w:t xml:space="preserve">Proportion of </w:t>
            </w:r>
            <w:r>
              <w:rPr>
                <w:color w:val="auto"/>
              </w:rPr>
              <w:t>pollutants</w:t>
            </w:r>
            <w:r w:rsidRPr="006206A6">
              <w:rPr>
                <w:color w:val="auto"/>
              </w:rPr>
              <w:t xml:space="preserve"> released to the environment in the </w:t>
            </w:r>
            <w:proofErr w:type="spellStart"/>
            <w:r w:rsidRPr="006206A6">
              <w:rPr>
                <w:color w:val="auto"/>
              </w:rPr>
              <w:t>Catchment</w:t>
            </w:r>
            <w:r w:rsidR="000058CD" w:rsidRPr="00744FD1">
              <w:rPr>
                <w:color w:val="auto"/>
                <w:vertAlign w:val="superscript"/>
              </w:rPr>
              <w:t>j</w:t>
            </w:r>
            <w:proofErr w:type="spellEnd"/>
          </w:p>
          <w:p w14:paraId="1CD6C2BB" w14:textId="77777777" w:rsidR="006206A6" w:rsidRDefault="006206A6" w:rsidP="00F70456">
            <w:pPr>
              <w:pStyle w:val="BodyText"/>
              <w:rPr>
                <w:color w:val="002060"/>
              </w:rPr>
            </w:pPr>
          </w:p>
          <w:p w14:paraId="73B79A81" w14:textId="29DDF461" w:rsidR="006206A6" w:rsidRDefault="006206A6" w:rsidP="00F70456">
            <w:pPr>
              <w:pStyle w:val="BodyText"/>
              <w:rPr>
                <w:color w:val="002060"/>
              </w:rPr>
            </w:pPr>
            <w:r>
              <w:rPr>
                <w:color w:val="002060"/>
              </w:rPr>
              <w:t>Total Nitrogen:</w:t>
            </w:r>
          </w:p>
          <w:p w14:paraId="68AA1BEB" w14:textId="43E97757" w:rsidR="001F57B7" w:rsidRDefault="006206A6" w:rsidP="00F70456">
            <w:pPr>
              <w:pStyle w:val="BodyText"/>
              <w:rPr>
                <w:color w:val="002060"/>
              </w:rPr>
            </w:pPr>
            <w:r>
              <w:rPr>
                <w:color w:val="002060"/>
              </w:rPr>
              <w:t xml:space="preserve">From runoff: </w:t>
            </w:r>
            <w:r w:rsidR="00AA231E">
              <w:rPr>
                <w:color w:val="002060"/>
              </w:rPr>
              <w:t>9</w:t>
            </w:r>
            <w:r w:rsidR="00F6623A">
              <w:rPr>
                <w:color w:val="002060"/>
              </w:rPr>
              <w:t>8</w:t>
            </w:r>
            <w:r>
              <w:rPr>
                <w:color w:val="002060"/>
              </w:rPr>
              <w:t>%</w:t>
            </w:r>
          </w:p>
          <w:p w14:paraId="729BCE70" w14:textId="42A035C0" w:rsidR="006206A6" w:rsidRDefault="006206A6" w:rsidP="00F70456">
            <w:pPr>
              <w:pStyle w:val="BodyText"/>
              <w:rPr>
                <w:color w:val="002060"/>
              </w:rPr>
            </w:pPr>
            <w:r>
              <w:rPr>
                <w:color w:val="002060"/>
              </w:rPr>
              <w:t xml:space="preserve">From treated wastewater discharges: </w:t>
            </w:r>
            <w:r w:rsidR="00F6623A">
              <w:rPr>
                <w:color w:val="002060"/>
              </w:rPr>
              <w:t>2</w:t>
            </w:r>
            <w:r>
              <w:rPr>
                <w:color w:val="002060"/>
              </w:rPr>
              <w:t>%</w:t>
            </w:r>
          </w:p>
          <w:p w14:paraId="650CB2D9" w14:textId="42F4F385" w:rsidR="001F57B7" w:rsidRDefault="001F57B7" w:rsidP="001F57B7">
            <w:pPr>
              <w:pStyle w:val="BodyText"/>
              <w:rPr>
                <w:color w:val="auto"/>
              </w:rPr>
            </w:pPr>
          </w:p>
          <w:p w14:paraId="4A2F1DB1" w14:textId="0C320A85" w:rsidR="006206A6" w:rsidRDefault="006206A6" w:rsidP="001F57B7">
            <w:pPr>
              <w:pStyle w:val="BodyText"/>
              <w:rPr>
                <w:color w:val="auto"/>
              </w:rPr>
            </w:pPr>
            <w:r>
              <w:rPr>
                <w:color w:val="auto"/>
              </w:rPr>
              <w:t>Total Suspended Solids</w:t>
            </w:r>
          </w:p>
          <w:p w14:paraId="1FB7C83F" w14:textId="725F5273" w:rsidR="006206A6" w:rsidRDefault="006206A6" w:rsidP="006206A6">
            <w:pPr>
              <w:pStyle w:val="BodyText"/>
              <w:rPr>
                <w:color w:val="002060"/>
              </w:rPr>
            </w:pPr>
            <w:r>
              <w:rPr>
                <w:color w:val="002060"/>
              </w:rPr>
              <w:t xml:space="preserve">From runoff: </w:t>
            </w:r>
            <w:r w:rsidR="00AA231E">
              <w:rPr>
                <w:color w:val="002060"/>
              </w:rPr>
              <w:t>100</w:t>
            </w:r>
            <w:r>
              <w:rPr>
                <w:color w:val="002060"/>
              </w:rPr>
              <w:t>%</w:t>
            </w:r>
          </w:p>
          <w:p w14:paraId="4BADF512" w14:textId="49FE3AA0" w:rsidR="006206A6" w:rsidRPr="006206A6" w:rsidRDefault="006206A6" w:rsidP="001F57B7">
            <w:pPr>
              <w:pStyle w:val="BodyText"/>
              <w:rPr>
                <w:color w:val="002060"/>
              </w:rPr>
            </w:pPr>
            <w:r>
              <w:rPr>
                <w:color w:val="002060"/>
              </w:rPr>
              <w:t xml:space="preserve">From treated wastewater discharges: </w:t>
            </w:r>
            <w:r w:rsidR="00AA231E">
              <w:rPr>
                <w:color w:val="002060"/>
              </w:rPr>
              <w:t>0</w:t>
            </w:r>
            <w:r>
              <w:rPr>
                <w:color w:val="002060"/>
              </w:rPr>
              <w:t>%</w:t>
            </w:r>
          </w:p>
          <w:p w14:paraId="3D13E7D8" w14:textId="77777777" w:rsidR="001F57B7" w:rsidRDefault="001F57B7" w:rsidP="001F57B7">
            <w:pPr>
              <w:pStyle w:val="BodyText"/>
              <w:rPr>
                <w:color w:val="002060"/>
                <w:highlight w:val="yellow"/>
              </w:rPr>
            </w:pPr>
          </w:p>
          <w:p w14:paraId="142B214A" w14:textId="4C8D6D62" w:rsidR="001F57B7" w:rsidRDefault="001F57B7" w:rsidP="00F70456">
            <w:pPr>
              <w:pStyle w:val="BodyText"/>
              <w:rPr>
                <w:color w:val="002060"/>
              </w:rPr>
            </w:pPr>
          </w:p>
        </w:tc>
      </w:tr>
      <w:tr w:rsidR="00F5568B" w14:paraId="1D8B93E9" w14:textId="77777777" w:rsidTr="00BA0810">
        <w:trPr>
          <w:trHeight w:val="2725"/>
        </w:trPr>
        <w:tc>
          <w:tcPr>
            <w:tcW w:w="5949" w:type="dxa"/>
          </w:tcPr>
          <w:p w14:paraId="7C19B7F3" w14:textId="77777777" w:rsidR="00F5568B" w:rsidRPr="00135514" w:rsidRDefault="00F5568B" w:rsidP="00F5568B">
            <w:pPr>
              <w:pStyle w:val="BodyText"/>
              <w:rPr>
                <w:rFonts w:ascii="Calibri" w:hAnsi="Calibri" w:cs="Arial"/>
                <w:b/>
                <w:bCs/>
                <w:iCs/>
                <w:color w:val="0989B1"/>
                <w:kern w:val="20"/>
                <w:sz w:val="24"/>
                <w:szCs w:val="28"/>
              </w:rPr>
            </w:pPr>
            <w:r>
              <w:rPr>
                <w:rFonts w:ascii="Calibri" w:hAnsi="Calibri" w:cs="Arial"/>
                <w:b/>
                <w:bCs/>
                <w:iCs/>
                <w:color w:val="0989B1"/>
                <w:kern w:val="20"/>
                <w:sz w:val="24"/>
                <w:szCs w:val="28"/>
              </w:rPr>
              <w:t>Environmental flows in waterways</w:t>
            </w:r>
          </w:p>
          <w:p w14:paraId="2B5A5BB9" w14:textId="7F63FCF5" w:rsidR="00F5568B" w:rsidRDefault="006206A6" w:rsidP="006206A6">
            <w:pPr>
              <w:pStyle w:val="BodyText"/>
              <w:spacing w:before="0" w:after="0"/>
              <w:jc w:val="both"/>
              <w:rPr>
                <w:rFonts w:ascii="Calibri" w:hAnsi="Calibri" w:cs="Arial"/>
                <w:b/>
                <w:bCs/>
                <w:iCs/>
                <w:color w:val="0989B1"/>
                <w:kern w:val="20"/>
                <w:sz w:val="24"/>
                <w:szCs w:val="28"/>
              </w:rPr>
            </w:pPr>
            <w:r>
              <w:t>N</w:t>
            </w:r>
            <w:r w:rsidRPr="00231B82">
              <w:t xml:space="preserve">atural flow patterns </w:t>
            </w:r>
            <w:r>
              <w:t xml:space="preserve">in the </w:t>
            </w:r>
            <w:r w:rsidR="000E01D7">
              <w:t>Yarra</w:t>
            </w:r>
            <w:r>
              <w:t xml:space="preserve"> River </w:t>
            </w:r>
            <w:r w:rsidRPr="00231B82">
              <w:t>have been altered by bulk water supply</w:t>
            </w:r>
            <w:r>
              <w:t xml:space="preserve"> extractions</w:t>
            </w:r>
            <w:r w:rsidRPr="00231B82">
              <w:t xml:space="preserve"> </w:t>
            </w:r>
            <w:r>
              <w:t>and</w:t>
            </w:r>
            <w:r w:rsidRPr="00231B82">
              <w:t xml:space="preserve"> irrigation diversions</w:t>
            </w:r>
            <w:r>
              <w:t xml:space="preserve">. This has resulted in a shortfall in flows for the environment. </w:t>
            </w:r>
            <w:r w:rsidR="0013481C">
              <w:t xml:space="preserve">An </w:t>
            </w:r>
            <w:r w:rsidR="00D379F9">
              <w:t>IWM</w:t>
            </w:r>
            <w:r w:rsidR="0013481C">
              <w:t xml:space="preserve"> approach can support changes to catchment management and water supplies that will enable more water to be provided to the environment.</w:t>
            </w:r>
          </w:p>
        </w:tc>
        <w:tc>
          <w:tcPr>
            <w:tcW w:w="3067" w:type="dxa"/>
          </w:tcPr>
          <w:p w14:paraId="797892AC" w14:textId="79CD948C" w:rsidR="00F5568B" w:rsidRDefault="00D91495" w:rsidP="00F70456">
            <w:pPr>
              <w:pStyle w:val="BodyText"/>
              <w:rPr>
                <w:color w:val="002060"/>
              </w:rPr>
            </w:pPr>
            <w:r>
              <w:rPr>
                <w:color w:val="002060"/>
              </w:rPr>
              <w:t>49</w:t>
            </w:r>
            <w:r w:rsidR="00F5568B">
              <w:rPr>
                <w:color w:val="002060"/>
              </w:rPr>
              <w:t>%</w:t>
            </w:r>
          </w:p>
          <w:p w14:paraId="447D7F5B" w14:textId="1C05CF20" w:rsidR="00F5568B" w:rsidRPr="00F5568B" w:rsidRDefault="00ED5DBA" w:rsidP="00F70456">
            <w:pPr>
              <w:pStyle w:val="BodyText"/>
              <w:rPr>
                <w:color w:val="002060"/>
                <w:vertAlign w:val="superscript"/>
              </w:rPr>
            </w:pPr>
            <w:r>
              <w:rPr>
                <w:color w:val="002060"/>
              </w:rPr>
              <w:t xml:space="preserve">Current share of the flows in the </w:t>
            </w:r>
            <w:r w:rsidR="000E01D7">
              <w:rPr>
                <w:color w:val="002060"/>
              </w:rPr>
              <w:t>Yarra</w:t>
            </w:r>
            <w:r>
              <w:rPr>
                <w:color w:val="002060"/>
              </w:rPr>
              <w:t xml:space="preserve"> for the environment</w:t>
            </w:r>
            <w:r w:rsidR="0092302F">
              <w:rPr>
                <w:color w:val="002060"/>
                <w:vertAlign w:val="superscript"/>
              </w:rPr>
              <w:t>6</w:t>
            </w:r>
          </w:p>
        </w:tc>
      </w:tr>
    </w:tbl>
    <w:p w14:paraId="10329614" w14:textId="77777777" w:rsidR="00273C6C" w:rsidRDefault="00273C6C" w:rsidP="00960531">
      <w:pPr>
        <w:rPr>
          <w:lang w:eastAsia="en-AU"/>
        </w:rPr>
      </w:pPr>
    </w:p>
    <w:p w14:paraId="3EB61B15" w14:textId="77777777" w:rsidR="00273C6C" w:rsidRDefault="00273C6C">
      <w:pPr>
        <w:rPr>
          <w:rFonts w:ascii="Calibri" w:eastAsia="Times New Roman" w:hAnsi="Calibri" w:cs="Arial"/>
          <w:b/>
          <w:bCs/>
          <w:color w:val="029676"/>
          <w:sz w:val="36"/>
          <w:szCs w:val="28"/>
          <w:lang w:eastAsia="en-AU"/>
        </w:rPr>
      </w:pPr>
      <w:r>
        <w:rPr>
          <w:rFonts w:ascii="Calibri" w:eastAsia="Times New Roman" w:hAnsi="Calibri" w:cs="Arial"/>
          <w:b/>
          <w:bCs/>
          <w:color w:val="029676"/>
          <w:sz w:val="36"/>
          <w:szCs w:val="28"/>
          <w:lang w:eastAsia="en-AU"/>
        </w:rPr>
        <w:br w:type="page"/>
      </w:r>
    </w:p>
    <w:p w14:paraId="7145C4ED" w14:textId="7FB43083" w:rsidR="00BA0810" w:rsidRPr="00ED7A1E" w:rsidRDefault="00CC0077" w:rsidP="00960531">
      <w:pPr>
        <w:keepNext/>
        <w:keepLines/>
        <w:tabs>
          <w:tab w:val="num" w:pos="0"/>
        </w:tabs>
        <w:spacing w:after="0" w:line="276" w:lineRule="auto"/>
        <w:outlineLvl w:val="0"/>
        <w:rPr>
          <w:rFonts w:ascii="Calibri" w:eastAsia="Times New Roman" w:hAnsi="Calibri" w:cs="Arial"/>
          <w:b/>
          <w:bCs/>
          <w:color w:val="029676"/>
          <w:sz w:val="36"/>
          <w:szCs w:val="28"/>
          <w:lang w:eastAsia="en-AU"/>
        </w:rPr>
      </w:pPr>
      <w:r>
        <w:rPr>
          <w:rFonts w:ascii="Calibri" w:eastAsia="Times New Roman" w:hAnsi="Calibri" w:cs="Arial"/>
          <w:b/>
          <w:bCs/>
          <w:color w:val="029676"/>
          <w:sz w:val="36"/>
          <w:szCs w:val="28"/>
          <w:lang w:eastAsia="en-AU"/>
        </w:rPr>
        <w:lastRenderedPageBreak/>
        <w:t>Measuring the change we want to make</w:t>
      </w:r>
    </w:p>
    <w:tbl>
      <w:tblPr>
        <w:tblStyle w:val="TableGrid11"/>
        <w:tblW w:w="9408" w:type="dxa"/>
        <w:tblLook w:val="04A0" w:firstRow="1" w:lastRow="0" w:firstColumn="1" w:lastColumn="0" w:noHBand="0" w:noVBand="1"/>
      </w:tblPr>
      <w:tblGrid>
        <w:gridCol w:w="2821"/>
        <w:gridCol w:w="1028"/>
        <w:gridCol w:w="1963"/>
        <w:gridCol w:w="3596"/>
      </w:tblGrid>
      <w:tr w:rsidR="00465771" w:rsidRPr="00E05A88" w14:paraId="14FA2E38" w14:textId="77777777" w:rsidTr="4B112C98">
        <w:trPr>
          <w:cnfStyle w:val="100000000000" w:firstRow="1" w:lastRow="0" w:firstColumn="0" w:lastColumn="0" w:oddVBand="0" w:evenVBand="0" w:oddHBand="0" w:evenHBand="0" w:firstRowFirstColumn="0" w:firstRowLastColumn="0" w:lastRowFirstColumn="0" w:lastRowLastColumn="0"/>
          <w:trHeight w:val="372"/>
        </w:trPr>
        <w:tc>
          <w:tcPr>
            <w:cnfStyle w:val="000000000100" w:firstRow="0" w:lastRow="0" w:firstColumn="0" w:lastColumn="0" w:oddVBand="0" w:evenVBand="0" w:oddHBand="0" w:evenHBand="0" w:firstRowFirstColumn="1" w:firstRowLastColumn="0" w:lastRowFirstColumn="0" w:lastRowLastColumn="0"/>
            <w:tcW w:w="2821" w:type="dxa"/>
            <w:vMerge w:val="restart"/>
          </w:tcPr>
          <w:p w14:paraId="6159C686" w14:textId="77777777" w:rsidR="00807E52" w:rsidRPr="00C24AE7" w:rsidRDefault="00807E52" w:rsidP="00807E52">
            <w:pPr>
              <w:rPr>
                <w:rFonts w:cs="Arial"/>
                <w:b/>
                <w:bCs/>
              </w:rPr>
            </w:pPr>
            <w:r w:rsidRPr="00C24AE7">
              <w:rPr>
                <w:rFonts w:cs="Arial"/>
                <w:b/>
                <w:bCs/>
              </w:rPr>
              <w:t>Our measures</w:t>
            </w:r>
          </w:p>
        </w:tc>
        <w:tc>
          <w:tcPr>
            <w:tcW w:w="1028" w:type="dxa"/>
            <w:vMerge w:val="restart"/>
            <w:vAlign w:val="center"/>
          </w:tcPr>
          <w:p w14:paraId="2C0411CB" w14:textId="58CA6A0D" w:rsidR="00807E52" w:rsidRPr="00C24AE7" w:rsidRDefault="00807E52" w:rsidP="00807E52">
            <w:pPr>
              <w:cnfStyle w:val="100000000000" w:firstRow="1" w:lastRow="0" w:firstColumn="0" w:lastColumn="0" w:oddVBand="0" w:evenVBand="0" w:oddHBand="0" w:evenHBand="0" w:firstRowFirstColumn="0" w:firstRowLastColumn="0" w:lastRowFirstColumn="0" w:lastRowLastColumn="0"/>
              <w:rPr>
                <w:rFonts w:cs="Arial"/>
                <w:b/>
                <w:bCs/>
              </w:rPr>
            </w:pPr>
            <w:r w:rsidRPr="00C24AE7">
              <w:rPr>
                <w:rFonts w:cs="Arial"/>
                <w:b/>
                <w:bCs/>
              </w:rPr>
              <w:t>Scale</w:t>
            </w:r>
          </w:p>
        </w:tc>
        <w:tc>
          <w:tcPr>
            <w:tcW w:w="1963" w:type="dxa"/>
            <w:vMerge w:val="restart"/>
            <w:vAlign w:val="center"/>
          </w:tcPr>
          <w:p w14:paraId="4C21F2B2" w14:textId="43338616" w:rsidR="00807E52" w:rsidRPr="00C24AE7" w:rsidRDefault="00807E52" w:rsidP="00807E52">
            <w:pPr>
              <w:cnfStyle w:val="100000000000" w:firstRow="1" w:lastRow="0" w:firstColumn="0" w:lastColumn="0" w:oddVBand="0" w:evenVBand="0" w:oddHBand="0" w:evenHBand="0" w:firstRowFirstColumn="0" w:firstRowLastColumn="0" w:lastRowFirstColumn="0" w:lastRowLastColumn="0"/>
              <w:rPr>
                <w:rFonts w:cs="Arial"/>
                <w:b/>
                <w:bCs/>
              </w:rPr>
            </w:pPr>
            <w:r w:rsidRPr="00C24AE7">
              <w:rPr>
                <w:rFonts w:cs="Arial"/>
                <w:b/>
                <w:bCs/>
              </w:rPr>
              <w:t>Our current performance</w:t>
            </w:r>
            <w:r>
              <w:rPr>
                <w:rFonts w:cs="Arial"/>
                <w:b/>
                <w:bCs/>
              </w:rPr>
              <w:t xml:space="preserve"> (2019)</w:t>
            </w:r>
          </w:p>
        </w:tc>
        <w:tc>
          <w:tcPr>
            <w:tcW w:w="3596" w:type="dxa"/>
            <w:vMerge w:val="restart"/>
            <w:vAlign w:val="center"/>
          </w:tcPr>
          <w:p w14:paraId="3DDE51F0" w14:textId="67DA0B3D" w:rsidR="00807E52" w:rsidRPr="00C24AE7" w:rsidRDefault="00807E52" w:rsidP="00807E52">
            <w:pPr>
              <w:cnfStyle w:val="100000000000" w:firstRow="1" w:lastRow="0" w:firstColumn="0" w:lastColumn="0" w:oddVBand="0" w:evenVBand="0" w:oddHBand="0" w:evenHBand="0" w:firstRowFirstColumn="0" w:firstRowLastColumn="0" w:lastRowFirstColumn="0" w:lastRowLastColumn="0"/>
              <w:rPr>
                <w:rFonts w:cs="Arial"/>
                <w:b/>
                <w:bCs/>
              </w:rPr>
            </w:pPr>
            <w:r w:rsidRPr="001051EB">
              <w:rPr>
                <w:rFonts w:cs="Arial"/>
                <w:b/>
                <w:bCs/>
              </w:rPr>
              <w:t>Why is this measure important?</w:t>
            </w:r>
          </w:p>
        </w:tc>
      </w:tr>
      <w:tr w:rsidR="00807E52" w:rsidRPr="00E05A88" w14:paraId="102FE635" w14:textId="77777777" w:rsidTr="4B112C98">
        <w:trPr>
          <w:trHeight w:val="372"/>
        </w:trPr>
        <w:tc>
          <w:tcPr>
            <w:tcW w:w="2821" w:type="dxa"/>
            <w:vMerge/>
          </w:tcPr>
          <w:p w14:paraId="5CCBDF80" w14:textId="77777777" w:rsidR="00807E52" w:rsidRPr="00E05A88" w:rsidRDefault="00807E52" w:rsidP="00807E52">
            <w:pPr>
              <w:rPr>
                <w:rFonts w:cs="Arial"/>
              </w:rPr>
            </w:pPr>
          </w:p>
        </w:tc>
        <w:tc>
          <w:tcPr>
            <w:tcW w:w="1028" w:type="dxa"/>
            <w:vMerge/>
          </w:tcPr>
          <w:p w14:paraId="144A2471" w14:textId="2AB8D391" w:rsidR="00807E52" w:rsidRPr="00E05A88" w:rsidRDefault="00807E52" w:rsidP="00807E52">
            <w:pPr>
              <w:jc w:val="center"/>
              <w:rPr>
                <w:rFonts w:cs="Arial"/>
              </w:rPr>
            </w:pPr>
          </w:p>
        </w:tc>
        <w:tc>
          <w:tcPr>
            <w:tcW w:w="1963" w:type="dxa"/>
            <w:vMerge/>
          </w:tcPr>
          <w:p w14:paraId="7B64CEF3" w14:textId="589A18DE" w:rsidR="00807E52" w:rsidRPr="00E05A88" w:rsidRDefault="00807E52" w:rsidP="00807E52">
            <w:pPr>
              <w:jc w:val="center"/>
              <w:rPr>
                <w:rFonts w:cs="Arial"/>
              </w:rPr>
            </w:pPr>
          </w:p>
        </w:tc>
        <w:tc>
          <w:tcPr>
            <w:tcW w:w="3596" w:type="dxa"/>
            <w:vMerge/>
          </w:tcPr>
          <w:p w14:paraId="66316656" w14:textId="77777777" w:rsidR="00807E52" w:rsidRPr="00E05A88" w:rsidRDefault="00807E52" w:rsidP="00807E52">
            <w:pPr>
              <w:rPr>
                <w:rFonts w:cs="Arial"/>
              </w:rPr>
            </w:pPr>
          </w:p>
        </w:tc>
      </w:tr>
      <w:tr w:rsidR="00807E52" w:rsidRPr="00E05A88" w14:paraId="7931D74A" w14:textId="77777777" w:rsidTr="4B112C98">
        <w:trPr>
          <w:trHeight w:val="372"/>
        </w:trPr>
        <w:tc>
          <w:tcPr>
            <w:tcW w:w="2821" w:type="dxa"/>
            <w:vMerge w:val="restart"/>
          </w:tcPr>
          <w:p w14:paraId="189F477D" w14:textId="77777777" w:rsidR="00807E52" w:rsidRPr="00E05A88" w:rsidRDefault="00807E52" w:rsidP="00807E52">
            <w:pPr>
              <w:rPr>
                <w:rFonts w:ascii="Calibri" w:hAnsi="Calibri" w:cs="Arial"/>
              </w:rPr>
            </w:pPr>
            <w:r w:rsidRPr="0013481C">
              <w:rPr>
                <w:rFonts w:ascii="Calibri" w:hAnsi="Calibri" w:cs="Arial"/>
              </w:rPr>
              <w:t xml:space="preserve">4.1 Mean annual </w:t>
            </w:r>
            <w:r>
              <w:rPr>
                <w:rFonts w:ascii="Calibri" w:hAnsi="Calibri" w:cs="Arial"/>
              </w:rPr>
              <w:t xml:space="preserve">urban </w:t>
            </w:r>
            <w:r w:rsidRPr="0013481C">
              <w:rPr>
                <w:rFonts w:ascii="Calibri" w:hAnsi="Calibri" w:cs="Arial"/>
              </w:rPr>
              <w:t>runoff volume reduction</w:t>
            </w:r>
          </w:p>
        </w:tc>
        <w:tc>
          <w:tcPr>
            <w:tcW w:w="1028" w:type="dxa"/>
          </w:tcPr>
          <w:p w14:paraId="31863DC9" w14:textId="657AAA1B" w:rsidR="00807E52" w:rsidRDefault="00807E52" w:rsidP="00807E52">
            <w:pPr>
              <w:rPr>
                <w:rFonts w:ascii="Calibri" w:hAnsi="Calibri" w:cs="Arial"/>
              </w:rPr>
            </w:pPr>
            <w:r>
              <w:rPr>
                <w:rFonts w:ascii="Calibri" w:hAnsi="Calibri" w:cs="Arial"/>
              </w:rPr>
              <w:t>Catchment</w:t>
            </w:r>
          </w:p>
        </w:tc>
        <w:tc>
          <w:tcPr>
            <w:tcW w:w="1963" w:type="dxa"/>
          </w:tcPr>
          <w:p w14:paraId="05FD046A" w14:textId="2DDB13E1" w:rsidR="00807E52" w:rsidRPr="00E05A88" w:rsidRDefault="00807E52" w:rsidP="00807E52">
            <w:pPr>
              <w:rPr>
                <w:rFonts w:ascii="Calibri" w:hAnsi="Calibri" w:cs="Arial"/>
              </w:rPr>
            </w:pPr>
            <w:r>
              <w:rPr>
                <w:rFonts w:ascii="Calibri" w:hAnsi="Calibri" w:cs="Arial"/>
              </w:rPr>
              <w:t>6 Gigalitres/year</w:t>
            </w:r>
            <w:r w:rsidDel="00C24AE7">
              <w:rPr>
                <w:rFonts w:ascii="Calibri" w:hAnsi="Calibri" w:cs="Arial"/>
              </w:rPr>
              <w:t xml:space="preserve"> </w:t>
            </w:r>
          </w:p>
        </w:tc>
        <w:tc>
          <w:tcPr>
            <w:tcW w:w="3596" w:type="dxa"/>
            <w:vMerge w:val="restart"/>
          </w:tcPr>
          <w:p w14:paraId="5EBFA535" w14:textId="6FC1F2A7" w:rsidR="00807E52" w:rsidRPr="00135514" w:rsidRDefault="00807E52" w:rsidP="00807E52">
            <w:pPr>
              <w:rPr>
                <w:rFonts w:ascii="Calibri" w:hAnsi="Calibri" w:cs="Arial"/>
                <w:color w:val="auto"/>
              </w:rPr>
            </w:pPr>
            <w:r w:rsidRPr="0013481C">
              <w:rPr>
                <w:rFonts w:ascii="Calibri" w:hAnsi="Calibri" w:cs="Arial"/>
                <w:color w:val="auto"/>
              </w:rPr>
              <w:t xml:space="preserve">This measure focuses on </w:t>
            </w:r>
            <w:r>
              <w:rPr>
                <w:rFonts w:ascii="Calibri" w:hAnsi="Calibri" w:cs="Arial"/>
                <w:color w:val="auto"/>
              </w:rPr>
              <w:t>runoff</w:t>
            </w:r>
            <w:r w:rsidRPr="0013481C">
              <w:rPr>
                <w:rFonts w:ascii="Calibri" w:hAnsi="Calibri" w:cs="Arial"/>
                <w:color w:val="auto"/>
              </w:rPr>
              <w:t xml:space="preserve"> volume reductions</w:t>
            </w:r>
            <w:r>
              <w:rPr>
                <w:rFonts w:ascii="Calibri" w:hAnsi="Calibri" w:cs="Arial"/>
                <w:color w:val="auto"/>
              </w:rPr>
              <w:t xml:space="preserve"> from urban areas</w:t>
            </w:r>
            <w:r w:rsidRPr="0013481C">
              <w:rPr>
                <w:rFonts w:ascii="Calibri" w:hAnsi="Calibri" w:cs="Arial"/>
                <w:color w:val="auto"/>
              </w:rPr>
              <w:t xml:space="preserve">, reflecting the desire to reduce the adverse impact that </w:t>
            </w:r>
            <w:r>
              <w:rPr>
                <w:rFonts w:ascii="Calibri" w:hAnsi="Calibri" w:cs="Arial"/>
                <w:color w:val="auto"/>
              </w:rPr>
              <w:t>increases in stormwater runoff have</w:t>
            </w:r>
            <w:r w:rsidRPr="0013481C">
              <w:rPr>
                <w:rFonts w:ascii="Calibri" w:hAnsi="Calibri" w:cs="Arial"/>
                <w:color w:val="auto"/>
              </w:rPr>
              <w:t xml:space="preserve"> on waterways. </w:t>
            </w:r>
            <w:r w:rsidRPr="00E05A88">
              <w:rPr>
                <w:rFonts w:ascii="Calibri" w:hAnsi="Calibri" w:cs="Arial"/>
              </w:rPr>
              <w:t>The target</w:t>
            </w:r>
            <w:r>
              <w:rPr>
                <w:rFonts w:ascii="Calibri" w:hAnsi="Calibri" w:cs="Arial"/>
              </w:rPr>
              <w:t xml:space="preserve">s (see below) </w:t>
            </w:r>
            <w:r w:rsidRPr="00E05A88">
              <w:rPr>
                <w:rFonts w:ascii="Calibri" w:hAnsi="Calibri" w:cs="Arial"/>
              </w:rPr>
              <w:t xml:space="preserve">aim to remove a majority of </w:t>
            </w:r>
            <w:r>
              <w:rPr>
                <w:rFonts w:ascii="Calibri" w:hAnsi="Calibri" w:cs="Arial"/>
              </w:rPr>
              <w:t xml:space="preserve">anticipated </w:t>
            </w:r>
            <w:r w:rsidRPr="00E05A88">
              <w:rPr>
                <w:rFonts w:ascii="Calibri" w:hAnsi="Calibri" w:cs="Arial"/>
              </w:rPr>
              <w:t>increase</w:t>
            </w:r>
            <w:r>
              <w:rPr>
                <w:rFonts w:ascii="Calibri" w:hAnsi="Calibri" w:cs="Arial"/>
              </w:rPr>
              <w:t>s in stormwater runoff</w:t>
            </w:r>
            <w:r w:rsidRPr="00E05A88">
              <w:rPr>
                <w:rFonts w:ascii="Calibri" w:hAnsi="Calibri" w:cs="Arial"/>
              </w:rPr>
              <w:t xml:space="preserve"> in targeted locations where our waterways are most vulnerable to flow increases.</w:t>
            </w:r>
          </w:p>
        </w:tc>
      </w:tr>
      <w:tr w:rsidR="00807E52" w:rsidRPr="00E05A88" w14:paraId="3271A754" w14:textId="77777777" w:rsidTr="4B112C98">
        <w:trPr>
          <w:trHeight w:val="372"/>
        </w:trPr>
        <w:tc>
          <w:tcPr>
            <w:tcW w:w="2821" w:type="dxa"/>
            <w:vMerge/>
          </w:tcPr>
          <w:p w14:paraId="1A9CB342" w14:textId="77777777" w:rsidR="00807E52" w:rsidRPr="0013481C" w:rsidRDefault="00807E52" w:rsidP="00807E52">
            <w:pPr>
              <w:rPr>
                <w:rFonts w:ascii="Calibri" w:hAnsi="Calibri" w:cs="Arial"/>
              </w:rPr>
            </w:pPr>
          </w:p>
        </w:tc>
        <w:tc>
          <w:tcPr>
            <w:tcW w:w="1028" w:type="dxa"/>
          </w:tcPr>
          <w:p w14:paraId="08959CBC" w14:textId="029A3ECA" w:rsidR="00807E52" w:rsidRDefault="00807E52" w:rsidP="00807E52">
            <w:pPr>
              <w:rPr>
                <w:rFonts w:ascii="Calibri" w:hAnsi="Calibri" w:cs="Arial"/>
              </w:rPr>
            </w:pPr>
            <w:r>
              <w:rPr>
                <w:rFonts w:ascii="Calibri" w:hAnsi="Calibri" w:cs="Arial"/>
              </w:rPr>
              <w:t>Region</w:t>
            </w:r>
          </w:p>
        </w:tc>
        <w:tc>
          <w:tcPr>
            <w:tcW w:w="1963" w:type="dxa"/>
          </w:tcPr>
          <w:p w14:paraId="6EAA7CC9" w14:textId="79C34640" w:rsidR="00807E52" w:rsidRDefault="00807E52" w:rsidP="00807E52">
            <w:pPr>
              <w:rPr>
                <w:rFonts w:ascii="Calibri" w:hAnsi="Calibri" w:cs="Arial"/>
              </w:rPr>
            </w:pPr>
            <w:r>
              <w:rPr>
                <w:rFonts w:ascii="Calibri" w:hAnsi="Calibri" w:cs="Arial"/>
              </w:rPr>
              <w:t>22 Gigalitres/year</w:t>
            </w:r>
            <w:r w:rsidDel="00C24AE7">
              <w:rPr>
                <w:rFonts w:ascii="Calibri" w:hAnsi="Calibri" w:cs="Arial"/>
              </w:rPr>
              <w:t xml:space="preserve"> </w:t>
            </w:r>
          </w:p>
        </w:tc>
        <w:tc>
          <w:tcPr>
            <w:tcW w:w="3596" w:type="dxa"/>
            <w:vMerge/>
          </w:tcPr>
          <w:p w14:paraId="254DBDA8" w14:textId="77777777" w:rsidR="00807E52" w:rsidRPr="0013481C" w:rsidRDefault="00807E52" w:rsidP="00807E52">
            <w:pPr>
              <w:rPr>
                <w:rFonts w:ascii="Calibri" w:hAnsi="Calibri" w:cs="Arial"/>
              </w:rPr>
            </w:pPr>
          </w:p>
        </w:tc>
      </w:tr>
      <w:tr w:rsidR="00807E52" w:rsidRPr="00E05A88" w14:paraId="3FB0795E" w14:textId="77777777" w:rsidTr="4B112C98">
        <w:trPr>
          <w:trHeight w:val="372"/>
        </w:trPr>
        <w:tc>
          <w:tcPr>
            <w:tcW w:w="2821" w:type="dxa"/>
            <w:vMerge w:val="restart"/>
          </w:tcPr>
          <w:p w14:paraId="081D2773" w14:textId="2FAE4716" w:rsidR="00807E52" w:rsidRPr="00E05A88" w:rsidRDefault="00807E52" w:rsidP="00807E52">
            <w:pPr>
              <w:rPr>
                <w:rFonts w:ascii="Calibri" w:hAnsi="Calibri" w:cs="Arial"/>
              </w:rPr>
            </w:pPr>
            <w:r w:rsidRPr="0013481C">
              <w:rPr>
                <w:rFonts w:ascii="Calibri" w:hAnsi="Calibri" w:cs="Arial"/>
              </w:rPr>
              <w:t xml:space="preserve">4.2a Mean annual Total Suspended Solids (TSS) prevented from discharging to receiving </w:t>
            </w:r>
            <w:proofErr w:type="spellStart"/>
            <w:r w:rsidRPr="0013481C">
              <w:rPr>
                <w:rFonts w:ascii="Calibri" w:hAnsi="Calibri" w:cs="Arial"/>
              </w:rPr>
              <w:t>waters</w:t>
            </w:r>
            <w:r>
              <w:rPr>
                <w:color w:val="auto"/>
                <w:vertAlign w:val="superscript"/>
              </w:rPr>
              <w:t>j</w:t>
            </w:r>
            <w:proofErr w:type="spellEnd"/>
          </w:p>
        </w:tc>
        <w:tc>
          <w:tcPr>
            <w:tcW w:w="1028" w:type="dxa"/>
          </w:tcPr>
          <w:p w14:paraId="6419418B" w14:textId="58962491" w:rsidR="00807E52" w:rsidRDefault="00807E52" w:rsidP="00807E52">
            <w:pPr>
              <w:rPr>
                <w:rFonts w:ascii="Calibri" w:hAnsi="Calibri" w:cs="Arial"/>
              </w:rPr>
            </w:pPr>
            <w:r>
              <w:rPr>
                <w:rFonts w:ascii="Calibri" w:hAnsi="Calibri" w:cs="Arial"/>
              </w:rPr>
              <w:t>Catchment</w:t>
            </w:r>
          </w:p>
        </w:tc>
        <w:tc>
          <w:tcPr>
            <w:tcW w:w="1963" w:type="dxa"/>
          </w:tcPr>
          <w:p w14:paraId="3C37CB33" w14:textId="5FF9C17E" w:rsidR="00807E52" w:rsidRDefault="00807E52" w:rsidP="00807E52">
            <w:pPr>
              <w:rPr>
                <w:rFonts w:ascii="Calibri" w:hAnsi="Calibri" w:cs="Arial"/>
              </w:rPr>
            </w:pPr>
            <w:r>
              <w:rPr>
                <w:rFonts w:ascii="Calibri" w:hAnsi="Calibri" w:cs="Arial"/>
              </w:rPr>
              <w:t>18,000</w:t>
            </w:r>
          </w:p>
          <w:p w14:paraId="37F45321" w14:textId="536AF39E" w:rsidR="00807E52" w:rsidRPr="00E05A88" w:rsidRDefault="00807E52" w:rsidP="00807E52">
            <w:pPr>
              <w:rPr>
                <w:rFonts w:ascii="Calibri" w:hAnsi="Calibri" w:cs="Arial"/>
              </w:rPr>
            </w:pPr>
            <w:r>
              <w:rPr>
                <w:rFonts w:ascii="Calibri" w:hAnsi="Calibri" w:cs="Arial"/>
              </w:rPr>
              <w:t>tonnes/year</w:t>
            </w:r>
          </w:p>
        </w:tc>
        <w:tc>
          <w:tcPr>
            <w:tcW w:w="3596" w:type="dxa"/>
            <w:vMerge w:val="restart"/>
          </w:tcPr>
          <w:p w14:paraId="50073607" w14:textId="15F69940" w:rsidR="00807E52" w:rsidRPr="00730614" w:rsidRDefault="00807E52" w:rsidP="00807E52">
            <w:pPr>
              <w:rPr>
                <w:rFonts w:ascii="Calibri" w:hAnsi="Calibri" w:cs="Arial"/>
                <w:color w:val="FF0000"/>
              </w:rPr>
            </w:pPr>
            <w:r w:rsidRPr="0013481C">
              <w:rPr>
                <w:rFonts w:ascii="Calibri" w:hAnsi="Calibri" w:cs="Arial"/>
                <w:color w:val="auto"/>
              </w:rPr>
              <w:t>Th</w:t>
            </w:r>
            <w:r>
              <w:rPr>
                <w:rFonts w:ascii="Calibri" w:hAnsi="Calibri" w:cs="Arial"/>
                <w:color w:val="auto"/>
              </w:rPr>
              <w:t xml:space="preserve">ese </w:t>
            </w:r>
            <w:r w:rsidRPr="0013481C">
              <w:rPr>
                <w:rFonts w:ascii="Calibri" w:hAnsi="Calibri" w:cs="Arial"/>
                <w:color w:val="auto"/>
              </w:rPr>
              <w:t>measure</w:t>
            </w:r>
            <w:r>
              <w:rPr>
                <w:rFonts w:ascii="Calibri" w:hAnsi="Calibri" w:cs="Arial"/>
                <w:color w:val="auto"/>
              </w:rPr>
              <w:t>s</w:t>
            </w:r>
            <w:r w:rsidRPr="0013481C">
              <w:rPr>
                <w:rFonts w:ascii="Calibri" w:hAnsi="Calibri" w:cs="Arial"/>
                <w:color w:val="auto"/>
              </w:rPr>
              <w:t xml:space="preserve"> focus on how well we are employing water management techniques to improve water quality by measuring the reduction </w:t>
            </w:r>
            <w:r>
              <w:rPr>
                <w:rFonts w:ascii="Calibri" w:hAnsi="Calibri" w:cs="Arial"/>
                <w:color w:val="auto"/>
              </w:rPr>
              <w:t>in two</w:t>
            </w:r>
            <w:r w:rsidRPr="0013481C">
              <w:rPr>
                <w:rFonts w:ascii="Calibri" w:hAnsi="Calibri" w:cs="Arial"/>
                <w:color w:val="auto"/>
              </w:rPr>
              <w:t xml:space="preserve"> key pollutant</w:t>
            </w:r>
            <w:r>
              <w:rPr>
                <w:rFonts w:ascii="Calibri" w:hAnsi="Calibri" w:cs="Arial"/>
                <w:color w:val="auto"/>
              </w:rPr>
              <w:t>s</w:t>
            </w:r>
            <w:r w:rsidRPr="0013481C">
              <w:rPr>
                <w:rFonts w:ascii="Calibri" w:hAnsi="Calibri" w:cs="Arial"/>
                <w:color w:val="auto"/>
              </w:rPr>
              <w:t xml:space="preserve"> transferred to receiving environments</w:t>
            </w:r>
            <w:r>
              <w:rPr>
                <w:rFonts w:ascii="Calibri" w:hAnsi="Calibri" w:cs="Arial"/>
                <w:color w:val="auto"/>
              </w:rPr>
              <w:t xml:space="preserve">. </w:t>
            </w:r>
            <w:r>
              <w:rPr>
                <w:rFonts w:ascii="Calibri" w:hAnsi="Calibri" w:cs="Arial"/>
              </w:rPr>
              <w:t xml:space="preserve">This </w:t>
            </w:r>
            <w:r w:rsidRPr="00E05A88">
              <w:rPr>
                <w:rFonts w:ascii="Calibri" w:hAnsi="Calibri" w:cs="Arial"/>
              </w:rPr>
              <w:t xml:space="preserve">will </w:t>
            </w:r>
            <w:r>
              <w:rPr>
                <w:rFonts w:ascii="Calibri" w:hAnsi="Calibri" w:cs="Arial"/>
              </w:rPr>
              <w:t xml:space="preserve">help </w:t>
            </w:r>
            <w:r w:rsidRPr="00E05A88">
              <w:rPr>
                <w:rFonts w:ascii="Calibri" w:hAnsi="Calibri" w:cs="Arial"/>
              </w:rPr>
              <w:t xml:space="preserve">protect the health of Port Phillip Bay </w:t>
            </w:r>
            <w:r>
              <w:rPr>
                <w:rFonts w:ascii="Calibri" w:hAnsi="Calibri" w:cs="Arial"/>
              </w:rPr>
              <w:t>and Western Port</w:t>
            </w:r>
            <w:r w:rsidRPr="00E05A88">
              <w:rPr>
                <w:rFonts w:ascii="Calibri" w:hAnsi="Calibri" w:cs="Arial"/>
              </w:rPr>
              <w:t>.</w:t>
            </w:r>
          </w:p>
        </w:tc>
      </w:tr>
      <w:tr w:rsidR="00807E52" w:rsidRPr="00E05A88" w14:paraId="41A2BD9B" w14:textId="77777777" w:rsidTr="4B112C98">
        <w:trPr>
          <w:trHeight w:val="372"/>
        </w:trPr>
        <w:tc>
          <w:tcPr>
            <w:tcW w:w="2821" w:type="dxa"/>
            <w:vMerge/>
          </w:tcPr>
          <w:p w14:paraId="1A928AB7" w14:textId="77777777" w:rsidR="00807E52" w:rsidRPr="0013481C" w:rsidRDefault="00807E52" w:rsidP="00807E52">
            <w:pPr>
              <w:rPr>
                <w:rFonts w:ascii="Calibri" w:hAnsi="Calibri" w:cs="Arial"/>
              </w:rPr>
            </w:pPr>
          </w:p>
        </w:tc>
        <w:tc>
          <w:tcPr>
            <w:tcW w:w="1028" w:type="dxa"/>
          </w:tcPr>
          <w:p w14:paraId="02E04A34" w14:textId="1305B52E" w:rsidR="00807E52" w:rsidRDefault="00807E52" w:rsidP="00807E52">
            <w:pPr>
              <w:rPr>
                <w:rFonts w:ascii="Calibri" w:hAnsi="Calibri" w:cs="Arial"/>
              </w:rPr>
            </w:pPr>
            <w:r>
              <w:rPr>
                <w:rFonts w:ascii="Calibri" w:hAnsi="Calibri" w:cs="Arial"/>
              </w:rPr>
              <w:t>Region</w:t>
            </w:r>
          </w:p>
        </w:tc>
        <w:tc>
          <w:tcPr>
            <w:tcW w:w="1963" w:type="dxa"/>
          </w:tcPr>
          <w:p w14:paraId="718B5772" w14:textId="672BC9DB" w:rsidR="00807E52" w:rsidRDefault="00807E52" w:rsidP="00807E52">
            <w:pPr>
              <w:rPr>
                <w:rFonts w:ascii="Calibri" w:hAnsi="Calibri" w:cs="Arial"/>
              </w:rPr>
            </w:pPr>
            <w:r>
              <w:rPr>
                <w:rFonts w:ascii="Calibri" w:hAnsi="Calibri" w:cs="Arial"/>
              </w:rPr>
              <w:t>211,000 tonnes/year</w:t>
            </w:r>
          </w:p>
        </w:tc>
        <w:tc>
          <w:tcPr>
            <w:tcW w:w="3596" w:type="dxa"/>
            <w:vMerge/>
          </w:tcPr>
          <w:p w14:paraId="5BCF7AB1" w14:textId="77777777" w:rsidR="00807E52" w:rsidRPr="0013481C" w:rsidRDefault="00807E52" w:rsidP="00807E52">
            <w:pPr>
              <w:rPr>
                <w:rFonts w:ascii="Calibri" w:hAnsi="Calibri" w:cs="Arial"/>
              </w:rPr>
            </w:pPr>
          </w:p>
        </w:tc>
      </w:tr>
      <w:tr w:rsidR="00807E52" w:rsidRPr="00E05A88" w14:paraId="0837DF85" w14:textId="77777777" w:rsidTr="4B112C98">
        <w:trPr>
          <w:trHeight w:val="372"/>
        </w:trPr>
        <w:tc>
          <w:tcPr>
            <w:tcW w:w="2821" w:type="dxa"/>
            <w:vMerge w:val="restart"/>
          </w:tcPr>
          <w:p w14:paraId="702CE848" w14:textId="4BE9D867" w:rsidR="00807E52" w:rsidRPr="00E05A88" w:rsidRDefault="00807E52" w:rsidP="00807E52">
            <w:pPr>
              <w:rPr>
                <w:rFonts w:ascii="Calibri" w:hAnsi="Calibri" w:cs="Arial"/>
              </w:rPr>
            </w:pPr>
            <w:r w:rsidRPr="0013481C">
              <w:rPr>
                <w:rFonts w:ascii="Calibri" w:hAnsi="Calibri" w:cs="Arial"/>
              </w:rPr>
              <w:t xml:space="preserve">4.2b Mean annual Total Nitrogen (TN) prevented from discharging to receiving </w:t>
            </w:r>
            <w:proofErr w:type="spellStart"/>
            <w:r w:rsidRPr="0013481C">
              <w:rPr>
                <w:rFonts w:ascii="Calibri" w:hAnsi="Calibri" w:cs="Arial"/>
              </w:rPr>
              <w:t>waters</w:t>
            </w:r>
            <w:r>
              <w:rPr>
                <w:color w:val="auto"/>
                <w:vertAlign w:val="superscript"/>
              </w:rPr>
              <w:t>j</w:t>
            </w:r>
            <w:proofErr w:type="spellEnd"/>
          </w:p>
        </w:tc>
        <w:tc>
          <w:tcPr>
            <w:tcW w:w="1028" w:type="dxa"/>
          </w:tcPr>
          <w:p w14:paraId="05D809E5" w14:textId="5A9E03A0" w:rsidR="00807E52" w:rsidRDefault="00807E52" w:rsidP="00807E52">
            <w:pPr>
              <w:rPr>
                <w:rFonts w:ascii="Calibri" w:hAnsi="Calibri" w:cs="Arial"/>
              </w:rPr>
            </w:pPr>
            <w:r>
              <w:rPr>
                <w:rFonts w:ascii="Calibri" w:hAnsi="Calibri" w:cs="Arial"/>
              </w:rPr>
              <w:t>Catchment</w:t>
            </w:r>
          </w:p>
        </w:tc>
        <w:tc>
          <w:tcPr>
            <w:tcW w:w="1963" w:type="dxa"/>
          </w:tcPr>
          <w:p w14:paraId="4C0053DB" w14:textId="3B78E511" w:rsidR="00807E52" w:rsidRPr="00E05A88" w:rsidRDefault="00807E52" w:rsidP="00807E52">
            <w:pPr>
              <w:rPr>
                <w:rFonts w:ascii="Calibri" w:hAnsi="Calibri" w:cs="Arial"/>
              </w:rPr>
            </w:pPr>
            <w:r>
              <w:rPr>
                <w:rFonts w:ascii="Calibri" w:hAnsi="Calibri" w:cs="Arial"/>
              </w:rPr>
              <w:t>932 tonnes/year</w:t>
            </w:r>
          </w:p>
        </w:tc>
        <w:tc>
          <w:tcPr>
            <w:tcW w:w="3596" w:type="dxa"/>
            <w:vMerge/>
          </w:tcPr>
          <w:p w14:paraId="1B6EE445" w14:textId="77777777" w:rsidR="00807E52" w:rsidRPr="00730614" w:rsidRDefault="00807E52" w:rsidP="00807E52">
            <w:pPr>
              <w:rPr>
                <w:rFonts w:ascii="Calibri" w:hAnsi="Calibri" w:cs="Arial"/>
                <w:color w:val="FF0000"/>
              </w:rPr>
            </w:pPr>
          </w:p>
        </w:tc>
      </w:tr>
      <w:tr w:rsidR="00807E52" w:rsidRPr="00E05A88" w14:paraId="4A985187" w14:textId="77777777" w:rsidTr="4B112C98">
        <w:trPr>
          <w:trHeight w:val="491"/>
        </w:trPr>
        <w:tc>
          <w:tcPr>
            <w:tcW w:w="2821" w:type="dxa"/>
            <w:vMerge/>
          </w:tcPr>
          <w:p w14:paraId="71532EA3" w14:textId="77777777" w:rsidR="00807E52" w:rsidRPr="0013481C" w:rsidRDefault="00807E52" w:rsidP="00807E52">
            <w:pPr>
              <w:rPr>
                <w:rFonts w:ascii="Calibri" w:hAnsi="Calibri" w:cs="Arial"/>
              </w:rPr>
            </w:pPr>
          </w:p>
        </w:tc>
        <w:tc>
          <w:tcPr>
            <w:tcW w:w="1028" w:type="dxa"/>
          </w:tcPr>
          <w:p w14:paraId="1F3115B5" w14:textId="7AFE04A9" w:rsidR="00807E52" w:rsidRDefault="00807E52" w:rsidP="00807E52">
            <w:pPr>
              <w:rPr>
                <w:rFonts w:ascii="Calibri" w:hAnsi="Calibri" w:cs="Arial"/>
              </w:rPr>
            </w:pPr>
            <w:r>
              <w:rPr>
                <w:rFonts w:ascii="Calibri" w:hAnsi="Calibri" w:cs="Arial"/>
              </w:rPr>
              <w:t>Region</w:t>
            </w:r>
          </w:p>
        </w:tc>
        <w:tc>
          <w:tcPr>
            <w:tcW w:w="1963" w:type="dxa"/>
          </w:tcPr>
          <w:p w14:paraId="391A8936" w14:textId="00670F75" w:rsidR="00807E52" w:rsidRDefault="00807E52" w:rsidP="00807E52">
            <w:pPr>
              <w:rPr>
                <w:rFonts w:ascii="Calibri" w:hAnsi="Calibri" w:cs="Arial"/>
              </w:rPr>
            </w:pPr>
            <w:r>
              <w:rPr>
                <w:rFonts w:ascii="Calibri" w:hAnsi="Calibri" w:cs="Arial"/>
              </w:rPr>
              <w:t>20,363 tonnes/year</w:t>
            </w:r>
          </w:p>
        </w:tc>
        <w:tc>
          <w:tcPr>
            <w:tcW w:w="3596" w:type="dxa"/>
            <w:vMerge/>
          </w:tcPr>
          <w:p w14:paraId="2F722F96" w14:textId="77777777" w:rsidR="00807E52" w:rsidRPr="00730614" w:rsidRDefault="00807E52" w:rsidP="00807E52">
            <w:pPr>
              <w:rPr>
                <w:rFonts w:ascii="Calibri" w:hAnsi="Calibri" w:cs="Arial"/>
                <w:color w:val="FF0000"/>
              </w:rPr>
            </w:pPr>
          </w:p>
        </w:tc>
      </w:tr>
      <w:tr w:rsidR="00807E52" w:rsidRPr="00135514" w14:paraId="005D75D5" w14:textId="77777777" w:rsidTr="4B112C98">
        <w:trPr>
          <w:trHeight w:val="372"/>
        </w:trPr>
        <w:tc>
          <w:tcPr>
            <w:tcW w:w="2821" w:type="dxa"/>
            <w:vMerge w:val="restart"/>
          </w:tcPr>
          <w:p w14:paraId="6286AA7C" w14:textId="45EE3104" w:rsidR="00807E52" w:rsidRPr="00E05A88" w:rsidRDefault="00807E52" w:rsidP="00807E52">
            <w:pPr>
              <w:rPr>
                <w:rFonts w:ascii="Calibri" w:hAnsi="Calibri" w:cs="Arial"/>
              </w:rPr>
            </w:pPr>
            <w:r w:rsidRPr="000841C6">
              <w:rPr>
                <w:rFonts w:ascii="Calibri" w:hAnsi="Calibri" w:cs="Arial"/>
              </w:rPr>
              <w:t>4.3</w:t>
            </w:r>
            <w:r>
              <w:t xml:space="preserve"> </w:t>
            </w:r>
            <w:r w:rsidRPr="008B0DDC">
              <w:rPr>
                <w:rFonts w:ascii="Calibri" w:hAnsi="Calibri" w:cs="Arial"/>
              </w:rPr>
              <w:t>Volume of water secured for the environment to improve waterway health</w:t>
            </w:r>
          </w:p>
        </w:tc>
        <w:tc>
          <w:tcPr>
            <w:tcW w:w="1028" w:type="dxa"/>
          </w:tcPr>
          <w:p w14:paraId="63474796" w14:textId="1AAF85D4" w:rsidR="00807E52" w:rsidRDefault="00807E52" w:rsidP="00807E52">
            <w:pPr>
              <w:rPr>
                <w:rFonts w:ascii="Calibri" w:hAnsi="Calibri" w:cs="Arial"/>
              </w:rPr>
            </w:pPr>
            <w:r>
              <w:rPr>
                <w:rFonts w:ascii="Calibri" w:hAnsi="Calibri" w:cs="Arial"/>
              </w:rPr>
              <w:t>Catchment</w:t>
            </w:r>
          </w:p>
        </w:tc>
        <w:tc>
          <w:tcPr>
            <w:tcW w:w="1963" w:type="dxa"/>
          </w:tcPr>
          <w:p w14:paraId="40923EF4" w14:textId="1C0A9A63" w:rsidR="00807E52" w:rsidRPr="00E05A88" w:rsidRDefault="00807E52" w:rsidP="00807E52">
            <w:pPr>
              <w:rPr>
                <w:rFonts w:ascii="Calibri" w:hAnsi="Calibri" w:cs="Arial"/>
              </w:rPr>
            </w:pPr>
            <w:r>
              <w:rPr>
                <w:rFonts w:ascii="Calibri" w:hAnsi="Calibri" w:cs="Arial"/>
              </w:rPr>
              <w:t>17 Gigalitres/year</w:t>
            </w:r>
          </w:p>
        </w:tc>
        <w:tc>
          <w:tcPr>
            <w:tcW w:w="3596" w:type="dxa"/>
            <w:vMerge w:val="restart"/>
          </w:tcPr>
          <w:p w14:paraId="3B2E7579" w14:textId="1F4E1972" w:rsidR="00807E52" w:rsidRPr="00135514" w:rsidRDefault="783A478E" w:rsidP="00807E52">
            <w:pPr>
              <w:rPr>
                <w:rFonts w:ascii="Calibri" w:hAnsi="Calibri" w:cs="Arial"/>
                <w:color w:val="auto"/>
              </w:rPr>
            </w:pPr>
            <w:r w:rsidRPr="4B112C98">
              <w:rPr>
                <w:rFonts w:ascii="Calibri" w:hAnsi="Calibri" w:cs="Arial"/>
                <w:color w:val="auto"/>
              </w:rPr>
              <w:t xml:space="preserve">This measure </w:t>
            </w:r>
            <w:r w:rsidR="5D1BFC66" w:rsidRPr="4B112C98">
              <w:rPr>
                <w:rFonts w:ascii="Calibri" w:hAnsi="Calibri" w:cs="Arial"/>
                <w:color w:val="auto"/>
              </w:rPr>
              <w:t>drive</w:t>
            </w:r>
            <w:r w:rsidRPr="4B112C98">
              <w:rPr>
                <w:rFonts w:ascii="Calibri" w:hAnsi="Calibri" w:cs="Arial"/>
                <w:color w:val="auto"/>
              </w:rPr>
              <w:t>s the contribution of IWM to environmental entitlements, which are important for waterways where natural flow patterns have been significantly altered by bulk water supply and/or irrigation diversions.</w:t>
            </w:r>
          </w:p>
        </w:tc>
      </w:tr>
      <w:tr w:rsidR="00CF0833" w:rsidRPr="00135514" w14:paraId="748F0BBB" w14:textId="77777777" w:rsidTr="4B112C98">
        <w:trPr>
          <w:trHeight w:val="372"/>
        </w:trPr>
        <w:tc>
          <w:tcPr>
            <w:tcW w:w="2821" w:type="dxa"/>
            <w:vMerge/>
          </w:tcPr>
          <w:p w14:paraId="2A32957E" w14:textId="77777777" w:rsidR="00CF0833" w:rsidRPr="000841C6" w:rsidRDefault="00CF0833" w:rsidP="00C24AE7">
            <w:pPr>
              <w:rPr>
                <w:rFonts w:ascii="Calibri" w:hAnsi="Calibri" w:cs="Arial"/>
              </w:rPr>
            </w:pPr>
          </w:p>
        </w:tc>
        <w:tc>
          <w:tcPr>
            <w:tcW w:w="1028" w:type="dxa"/>
          </w:tcPr>
          <w:p w14:paraId="719DD857" w14:textId="5AADDDB9" w:rsidR="00CF0833" w:rsidRDefault="00CF0833" w:rsidP="00C24AE7">
            <w:pPr>
              <w:rPr>
                <w:rFonts w:ascii="Calibri" w:hAnsi="Calibri" w:cs="Arial"/>
              </w:rPr>
            </w:pPr>
            <w:r>
              <w:rPr>
                <w:rFonts w:ascii="Calibri" w:hAnsi="Calibri" w:cs="Arial"/>
              </w:rPr>
              <w:t>Region</w:t>
            </w:r>
          </w:p>
        </w:tc>
        <w:tc>
          <w:tcPr>
            <w:tcW w:w="1963" w:type="dxa"/>
          </w:tcPr>
          <w:p w14:paraId="4F816C14" w14:textId="38061A3D" w:rsidR="00CF0833" w:rsidRDefault="00CF0833" w:rsidP="00C24AE7">
            <w:pPr>
              <w:rPr>
                <w:rFonts w:ascii="Calibri" w:hAnsi="Calibri" w:cs="Arial"/>
              </w:rPr>
            </w:pPr>
            <w:r>
              <w:rPr>
                <w:rFonts w:ascii="Calibri" w:hAnsi="Calibri" w:cs="Arial"/>
              </w:rPr>
              <w:t>22.6 Gigalitres/year</w:t>
            </w:r>
          </w:p>
        </w:tc>
        <w:tc>
          <w:tcPr>
            <w:tcW w:w="3596" w:type="dxa"/>
            <w:vMerge/>
          </w:tcPr>
          <w:p w14:paraId="580936FA" w14:textId="77777777" w:rsidR="00CF0833" w:rsidRPr="000841C6" w:rsidRDefault="00CF0833" w:rsidP="00C24AE7">
            <w:pPr>
              <w:rPr>
                <w:rFonts w:ascii="Calibri" w:hAnsi="Calibri" w:cs="Arial"/>
              </w:rPr>
            </w:pPr>
          </w:p>
        </w:tc>
      </w:tr>
    </w:tbl>
    <w:p w14:paraId="565D9867" w14:textId="77777777" w:rsidR="006A6F81" w:rsidRDefault="006A6F81">
      <w:pPr>
        <w:rPr>
          <w:rFonts w:ascii="Calibri" w:eastAsia="Times New Roman" w:hAnsi="Calibri" w:cs="Arial"/>
          <w:b/>
          <w:bCs/>
          <w:color w:val="029676"/>
          <w:sz w:val="36"/>
          <w:szCs w:val="28"/>
          <w:lang w:eastAsia="en-AU"/>
        </w:rPr>
      </w:pPr>
    </w:p>
    <w:tbl>
      <w:tblPr>
        <w:tblStyle w:val="TableGrid1"/>
        <w:tblW w:w="9367" w:type="dxa"/>
        <w:tblLook w:val="0420" w:firstRow="1" w:lastRow="0" w:firstColumn="0" w:lastColumn="0" w:noHBand="0" w:noVBand="1"/>
      </w:tblPr>
      <w:tblGrid>
        <w:gridCol w:w="9367"/>
      </w:tblGrid>
      <w:tr w:rsidR="002E57F9" w:rsidRPr="00D42C8C" w14:paraId="088D21DD" w14:textId="77777777" w:rsidTr="4B112C98">
        <w:trPr>
          <w:cnfStyle w:val="100000000000" w:firstRow="1" w:lastRow="0" w:firstColumn="0" w:lastColumn="0" w:oddVBand="0" w:evenVBand="0" w:oddHBand="0" w:evenHBand="0" w:firstRowFirstColumn="0" w:firstRowLastColumn="0" w:lastRowFirstColumn="0" w:lastRowLastColumn="0"/>
          <w:trHeight w:val="440"/>
        </w:trPr>
        <w:tc>
          <w:tcPr>
            <w:tcW w:w="9367" w:type="dxa"/>
            <w:hideMark/>
          </w:tcPr>
          <w:p w14:paraId="2797E085" w14:textId="77777777" w:rsidR="002E57F9" w:rsidRPr="00D42C8C" w:rsidRDefault="002E57F9" w:rsidP="0060254E">
            <w:pPr>
              <w:spacing w:after="0" w:line="240" w:lineRule="auto"/>
              <w:rPr>
                <w:rFonts w:asciiTheme="minorHAnsi" w:hAnsiTheme="minorHAnsi" w:cstheme="minorHAnsi"/>
                <w:szCs w:val="18"/>
              </w:rPr>
            </w:pPr>
            <w:bookmarkStart w:id="6" w:name="_Hlk115349582"/>
            <w:r w:rsidRPr="00D42C8C">
              <w:rPr>
                <w:rFonts w:asciiTheme="minorHAnsi" w:hAnsiTheme="minorHAnsi" w:cstheme="minorHAnsi"/>
                <w:b/>
                <w:bCs/>
                <w:color w:val="auto"/>
                <w:kern w:val="24"/>
                <w:szCs w:val="18"/>
              </w:rPr>
              <w:t>Our targets for the future, as of September 2022</w:t>
            </w:r>
          </w:p>
        </w:tc>
      </w:tr>
      <w:tr w:rsidR="002E57F9" w:rsidRPr="00D42C8C" w14:paraId="520BDD77" w14:textId="77777777" w:rsidTr="4B112C98">
        <w:trPr>
          <w:trHeight w:val="546"/>
        </w:trPr>
        <w:tc>
          <w:tcPr>
            <w:tcW w:w="9367" w:type="dxa"/>
            <w:hideMark/>
          </w:tcPr>
          <w:p w14:paraId="2958E311" w14:textId="0888A848" w:rsidR="002E57F9" w:rsidRPr="00D42C8C" w:rsidRDefault="00861F0C" w:rsidP="0060254E">
            <w:pPr>
              <w:spacing w:after="0" w:line="240" w:lineRule="auto"/>
              <w:rPr>
                <w:rFonts w:cstheme="minorHAnsi"/>
                <w:szCs w:val="18"/>
              </w:rPr>
            </w:pPr>
            <w:r>
              <w:rPr>
                <w:rFonts w:ascii="Calibri" w:hAnsi="Calibri" w:cs="Calibri"/>
              </w:rPr>
              <w:t>21</w:t>
            </w:r>
            <w:r w:rsidR="002E57F9" w:rsidRPr="0058553A">
              <w:rPr>
                <w:rFonts w:ascii="Calibri" w:hAnsi="Calibri" w:cs="Calibri"/>
              </w:rPr>
              <w:t xml:space="preserve"> Gigalitres/year and 70 Gigalitres/year of mean annual urban runoff volume reduction by </w:t>
            </w:r>
            <w:r w:rsidR="002E57F9" w:rsidRPr="0058553A">
              <w:rPr>
                <w:rFonts w:ascii="Calibri" w:hAnsi="Calibri" w:cs="Calibri"/>
                <w:b/>
                <w:bCs/>
              </w:rPr>
              <w:t>2030</w:t>
            </w:r>
            <w:r w:rsidR="002E57F9" w:rsidRPr="0058553A">
              <w:rPr>
                <w:rFonts w:ascii="Calibri" w:hAnsi="Calibri" w:cs="Calibri"/>
              </w:rPr>
              <w:t xml:space="preserve"> for the </w:t>
            </w:r>
            <w:r w:rsidR="002E57F9" w:rsidRPr="0058553A">
              <w:rPr>
                <w:rFonts w:ascii="Calibri" w:hAnsi="Calibri" w:cs="Calibri"/>
                <w:b/>
                <w:bCs/>
              </w:rPr>
              <w:t>catchment</w:t>
            </w:r>
            <w:r w:rsidR="002E57F9">
              <w:rPr>
                <w:rFonts w:ascii="Calibri" w:hAnsi="Calibri" w:cs="Calibri"/>
              </w:rPr>
              <w:t xml:space="preserve"> </w:t>
            </w:r>
            <w:r w:rsidR="002E57F9" w:rsidRPr="0058553A">
              <w:rPr>
                <w:rFonts w:ascii="Calibri" w:hAnsi="Calibri" w:cs="Calibri"/>
              </w:rPr>
              <w:t xml:space="preserve">and the </w:t>
            </w:r>
            <w:r w:rsidR="002E57F9" w:rsidRPr="0058553A">
              <w:rPr>
                <w:rFonts w:ascii="Calibri" w:hAnsi="Calibri" w:cs="Calibri"/>
                <w:b/>
                <w:bCs/>
              </w:rPr>
              <w:t>Greater Melbourne Region</w:t>
            </w:r>
            <w:r w:rsidR="002E57F9" w:rsidRPr="0058553A">
              <w:rPr>
                <w:rFonts w:ascii="Calibri" w:hAnsi="Calibri" w:cs="Calibri"/>
              </w:rPr>
              <w:t xml:space="preserve"> respectively</w:t>
            </w:r>
          </w:p>
        </w:tc>
      </w:tr>
      <w:tr w:rsidR="002E57F9" w:rsidRPr="00D42C8C" w14:paraId="12F3845D" w14:textId="77777777" w:rsidTr="4B112C98">
        <w:trPr>
          <w:trHeight w:val="569"/>
        </w:trPr>
        <w:tc>
          <w:tcPr>
            <w:tcW w:w="9367" w:type="dxa"/>
            <w:hideMark/>
          </w:tcPr>
          <w:p w14:paraId="2C3BF35A" w14:textId="062F0591" w:rsidR="002E57F9" w:rsidRPr="00D42C8C" w:rsidRDefault="004522B4" w:rsidP="0060254E">
            <w:pPr>
              <w:spacing w:after="0" w:line="240" w:lineRule="auto"/>
              <w:rPr>
                <w:rFonts w:cstheme="minorHAnsi"/>
                <w:szCs w:val="18"/>
              </w:rPr>
            </w:pPr>
            <w:r>
              <w:rPr>
                <w:rFonts w:ascii="Calibri" w:hAnsi="Calibri" w:cs="Calibri"/>
              </w:rPr>
              <w:t>71</w:t>
            </w:r>
            <w:r w:rsidR="002E57F9" w:rsidRPr="0058553A">
              <w:rPr>
                <w:rFonts w:ascii="Calibri" w:hAnsi="Calibri" w:cs="Calibri"/>
              </w:rPr>
              <w:t xml:space="preserve"> Gigalitres/year and 197 Gigalitres/year of mean annual urban runoff volume reduction by </w:t>
            </w:r>
            <w:r w:rsidR="002E57F9" w:rsidRPr="0058553A">
              <w:rPr>
                <w:rFonts w:ascii="Calibri" w:hAnsi="Calibri" w:cs="Calibri"/>
                <w:b/>
                <w:bCs/>
              </w:rPr>
              <w:t>2050</w:t>
            </w:r>
            <w:r w:rsidR="002E57F9" w:rsidRPr="0058553A">
              <w:rPr>
                <w:rFonts w:ascii="Calibri" w:hAnsi="Calibri" w:cs="Calibri"/>
              </w:rPr>
              <w:t xml:space="preserve"> for the </w:t>
            </w:r>
            <w:r w:rsidR="002E57F9" w:rsidRPr="0058553A">
              <w:rPr>
                <w:rFonts w:ascii="Calibri" w:hAnsi="Calibri" w:cs="Calibri"/>
                <w:b/>
                <w:bCs/>
              </w:rPr>
              <w:t>catchment</w:t>
            </w:r>
            <w:r w:rsidR="002E57F9" w:rsidRPr="0058553A">
              <w:rPr>
                <w:rFonts w:ascii="Calibri" w:hAnsi="Calibri" w:cs="Calibri"/>
              </w:rPr>
              <w:t xml:space="preserve"> and </w:t>
            </w:r>
            <w:r w:rsidR="002E57F9" w:rsidRPr="0058553A">
              <w:rPr>
                <w:rFonts w:ascii="Calibri" w:hAnsi="Calibri" w:cs="Calibri"/>
                <w:b/>
                <w:bCs/>
              </w:rPr>
              <w:t>Greater Melbourne Region</w:t>
            </w:r>
            <w:r w:rsidR="002E57F9" w:rsidRPr="0058553A">
              <w:rPr>
                <w:rFonts w:ascii="Calibri" w:hAnsi="Calibri" w:cs="Calibri"/>
              </w:rPr>
              <w:t xml:space="preserve"> respectively</w:t>
            </w:r>
          </w:p>
        </w:tc>
      </w:tr>
      <w:tr w:rsidR="002E57F9" w:rsidRPr="00D42C8C" w14:paraId="0C35672E" w14:textId="77777777" w:rsidTr="4B112C98">
        <w:trPr>
          <w:trHeight w:val="563"/>
        </w:trPr>
        <w:tc>
          <w:tcPr>
            <w:tcW w:w="9367" w:type="dxa"/>
            <w:hideMark/>
          </w:tcPr>
          <w:p w14:paraId="23298DE6" w14:textId="77777777" w:rsidR="002E57F9" w:rsidRPr="00D42C8C" w:rsidRDefault="002E57F9" w:rsidP="0060254E">
            <w:pPr>
              <w:spacing w:after="0" w:line="240" w:lineRule="auto"/>
              <w:rPr>
                <w:rFonts w:cstheme="minorHAnsi"/>
                <w:szCs w:val="18"/>
              </w:rPr>
            </w:pPr>
            <w:r w:rsidRPr="002D2024">
              <w:rPr>
                <w:rFonts w:cstheme="minorHAnsi"/>
                <w:color w:val="auto"/>
                <w:kern w:val="24"/>
                <w:szCs w:val="18"/>
              </w:rPr>
              <w:t>Remove TSS and TN to achieve the marine pollutant load objectives for the Port Phillip Bay and Western Port, as specified in the Environment Reference Standards 2021</w:t>
            </w:r>
            <w:r>
              <w:rPr>
                <w:rFonts w:cstheme="minorHAnsi"/>
                <w:color w:val="auto"/>
                <w:kern w:val="24"/>
                <w:szCs w:val="18"/>
                <w:vertAlign w:val="superscript"/>
              </w:rPr>
              <w:t>k</w:t>
            </w:r>
          </w:p>
        </w:tc>
      </w:tr>
      <w:tr w:rsidR="002E57F9" w:rsidRPr="00D42C8C" w14:paraId="381F5E90" w14:textId="77777777" w:rsidTr="4B112C98">
        <w:trPr>
          <w:trHeight w:val="560"/>
        </w:trPr>
        <w:tc>
          <w:tcPr>
            <w:tcW w:w="9367" w:type="dxa"/>
            <w:hideMark/>
          </w:tcPr>
          <w:p w14:paraId="77C41325" w14:textId="7C721538" w:rsidR="002E57F9" w:rsidRPr="00D42C8C" w:rsidRDefault="0E56A530" w:rsidP="4B112C98">
            <w:pPr>
              <w:spacing w:after="0" w:line="240" w:lineRule="auto"/>
              <w:rPr>
                <w:rFonts w:cstheme="minorBidi"/>
              </w:rPr>
            </w:pPr>
            <w:r w:rsidRPr="4B112C98">
              <w:rPr>
                <w:rFonts w:cstheme="minorBidi"/>
                <w:color w:val="auto"/>
                <w:kern w:val="24"/>
              </w:rPr>
              <w:t>28</w:t>
            </w:r>
            <w:r w:rsidR="32A47EE6" w:rsidRPr="4B112C98">
              <w:rPr>
                <w:rFonts w:cstheme="minorBidi"/>
                <w:color w:val="auto"/>
                <w:kern w:val="24"/>
              </w:rPr>
              <w:t xml:space="preserve"> Gigalitres/year and 53.9 Gigalitres/year of water secured for the environment to improve waterway health by </w:t>
            </w:r>
            <w:r w:rsidR="32A47EE6" w:rsidRPr="4B112C98">
              <w:rPr>
                <w:rFonts w:cstheme="minorBidi"/>
                <w:b/>
                <w:bCs/>
                <w:color w:val="auto"/>
                <w:kern w:val="24"/>
              </w:rPr>
              <w:t xml:space="preserve">2032 </w:t>
            </w:r>
            <w:r w:rsidR="32A47EE6" w:rsidRPr="4B112C98">
              <w:rPr>
                <w:rFonts w:cstheme="minorBidi"/>
                <w:color w:val="auto"/>
                <w:kern w:val="24"/>
              </w:rPr>
              <w:t xml:space="preserve">for the </w:t>
            </w:r>
            <w:r w:rsidR="32A47EE6" w:rsidRPr="4B112C98">
              <w:rPr>
                <w:rFonts w:cstheme="minorBidi"/>
                <w:b/>
                <w:bCs/>
                <w:color w:val="auto"/>
                <w:kern w:val="24"/>
              </w:rPr>
              <w:t>catchment</w:t>
            </w:r>
            <w:r w:rsidR="32A47EE6" w:rsidRPr="4B112C98">
              <w:rPr>
                <w:rFonts w:cstheme="minorBidi"/>
                <w:color w:val="auto"/>
                <w:kern w:val="24"/>
              </w:rPr>
              <w:t xml:space="preserve"> and the </w:t>
            </w:r>
            <w:r w:rsidR="32A47EE6" w:rsidRPr="4B112C98">
              <w:rPr>
                <w:rFonts w:cstheme="minorBidi"/>
                <w:b/>
                <w:bCs/>
                <w:color w:val="auto"/>
                <w:kern w:val="24"/>
              </w:rPr>
              <w:t>Greater Melbourne Region</w:t>
            </w:r>
            <w:r w:rsidR="32A47EE6" w:rsidRPr="4B112C98">
              <w:rPr>
                <w:rFonts w:cstheme="minorBidi"/>
                <w:color w:val="auto"/>
                <w:kern w:val="24"/>
              </w:rPr>
              <w:t xml:space="preserve"> respectively (as per the Central and Gippsland Region Sustainable Water Strategy)</w:t>
            </w:r>
          </w:p>
        </w:tc>
      </w:tr>
      <w:bookmarkEnd w:id="6"/>
    </w:tbl>
    <w:p w14:paraId="3DD821DD" w14:textId="77777777" w:rsidR="002E57F9" w:rsidRDefault="002E57F9">
      <w:pPr>
        <w:rPr>
          <w:rFonts w:ascii="Calibri" w:eastAsia="Times New Roman" w:hAnsi="Calibri" w:cs="Arial"/>
          <w:b/>
          <w:bCs/>
          <w:color w:val="029676"/>
          <w:sz w:val="36"/>
          <w:szCs w:val="28"/>
          <w:lang w:eastAsia="en-AU"/>
        </w:rPr>
      </w:pPr>
    </w:p>
    <w:p w14:paraId="4CA6A74E" w14:textId="306D2764" w:rsidR="00BA0810" w:rsidRDefault="00BA0810">
      <w:pPr>
        <w:rPr>
          <w:rFonts w:ascii="Calibri" w:eastAsia="Times New Roman" w:hAnsi="Calibri" w:cs="Arial"/>
          <w:b/>
          <w:bCs/>
          <w:color w:val="029676"/>
          <w:sz w:val="36"/>
          <w:szCs w:val="28"/>
          <w:lang w:eastAsia="en-AU"/>
        </w:rPr>
      </w:pPr>
    </w:p>
    <w:p w14:paraId="131D0B15" w14:textId="77777777" w:rsidR="00EA1C26" w:rsidRDefault="00EA1C26">
      <w:pPr>
        <w:rPr>
          <w:rStyle w:val="Strong"/>
          <w:lang w:eastAsia="en-AU"/>
        </w:rPr>
      </w:pPr>
      <w:r>
        <w:rPr>
          <w:rStyle w:val="Strong"/>
          <w:lang w:eastAsia="en-AU"/>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1938"/>
      </w:tblGrid>
      <w:tr w:rsidR="00BA0810" w14:paraId="5E8A2352" w14:textId="77777777" w:rsidTr="00F70456">
        <w:tc>
          <w:tcPr>
            <w:tcW w:w="7088" w:type="dxa"/>
            <w:shd w:val="clear" w:color="auto" w:fill="auto"/>
          </w:tcPr>
          <w:p w14:paraId="4A67078A" w14:textId="77777777" w:rsidR="00BA0810" w:rsidRPr="00DF3600" w:rsidRDefault="00BA0810" w:rsidP="00F70456">
            <w:pPr>
              <w:pStyle w:val="Heading1"/>
              <w:outlineLvl w:val="0"/>
              <w:rPr>
                <w:rFonts w:ascii="Arial" w:hAnsi="Arial" w:cs="Arial"/>
                <w:b w:val="0"/>
                <w:bCs w:val="0"/>
                <w:color w:val="44C1A3"/>
                <w:szCs w:val="36"/>
              </w:rPr>
            </w:pPr>
            <w:bookmarkStart w:id="7" w:name="_Toc71903552"/>
            <w:r w:rsidRPr="00DF3600">
              <w:rPr>
                <w:rFonts w:ascii="Arial" w:hAnsi="Arial" w:cs="Arial"/>
                <w:color w:val="44C1A3"/>
                <w:szCs w:val="36"/>
              </w:rPr>
              <w:lastRenderedPageBreak/>
              <w:t xml:space="preserve">Strategic Outcome </w:t>
            </w:r>
            <w:r>
              <w:rPr>
                <w:rFonts w:ascii="Arial" w:hAnsi="Arial" w:cs="Arial"/>
                <w:color w:val="44C1A3"/>
                <w:szCs w:val="36"/>
              </w:rPr>
              <w:t>5</w:t>
            </w:r>
            <w:r w:rsidRPr="00DF3600">
              <w:rPr>
                <w:rFonts w:ascii="Arial" w:hAnsi="Arial" w:cs="Arial"/>
                <w:b w:val="0"/>
                <w:bCs w:val="0"/>
                <w:color w:val="44C1A3"/>
                <w:szCs w:val="36"/>
              </w:rPr>
              <w:t xml:space="preserve"> </w:t>
            </w:r>
            <w:r>
              <w:rPr>
                <w:rFonts w:ascii="Arial" w:hAnsi="Arial" w:cs="Arial"/>
                <w:b w:val="0"/>
                <w:bCs w:val="0"/>
                <w:color w:val="44C1A3"/>
                <w:szCs w:val="36"/>
              </w:rPr>
              <w:t>–</w:t>
            </w:r>
            <w:r w:rsidRPr="00DF3600">
              <w:rPr>
                <w:rFonts w:ascii="Arial" w:hAnsi="Arial" w:cs="Arial"/>
                <w:b w:val="0"/>
                <w:bCs w:val="0"/>
                <w:color w:val="44C1A3"/>
                <w:szCs w:val="36"/>
              </w:rPr>
              <w:t xml:space="preserve"> </w:t>
            </w:r>
            <w:r>
              <w:rPr>
                <w:rFonts w:ascii="Arial" w:hAnsi="Arial" w:cs="Arial"/>
                <w:b w:val="0"/>
                <w:bCs w:val="0"/>
                <w:color w:val="44C1A3"/>
                <w:szCs w:val="36"/>
              </w:rPr>
              <w:t>Healthy and valued urban and rural landscapes</w:t>
            </w:r>
            <w:bookmarkEnd w:id="7"/>
          </w:p>
          <w:p w14:paraId="6D9924E1" w14:textId="77777777" w:rsidR="00BA0810" w:rsidRDefault="00BA0810" w:rsidP="00F70456">
            <w:pPr>
              <w:pStyle w:val="BodyText"/>
              <w:rPr>
                <w:rFonts w:ascii="Arial" w:hAnsi="Arial" w:cs="Arial"/>
                <w:color w:val="44C1A3"/>
                <w:sz w:val="36"/>
                <w:szCs w:val="36"/>
              </w:rPr>
            </w:pPr>
          </w:p>
        </w:tc>
        <w:tc>
          <w:tcPr>
            <w:tcW w:w="1938" w:type="dxa"/>
            <w:shd w:val="clear" w:color="auto" w:fill="auto"/>
          </w:tcPr>
          <w:p w14:paraId="2728AD39" w14:textId="77777777" w:rsidR="00BA0810" w:rsidRDefault="00BA0810" w:rsidP="00F70456">
            <w:pPr>
              <w:pStyle w:val="BodyText"/>
              <w:rPr>
                <w:rFonts w:ascii="Arial" w:hAnsi="Arial" w:cs="Arial"/>
                <w:color w:val="44C1A3"/>
                <w:sz w:val="36"/>
                <w:szCs w:val="36"/>
              </w:rPr>
            </w:pPr>
            <w:r>
              <w:rPr>
                <w:noProof/>
              </w:rPr>
              <w:drawing>
                <wp:inline distT="0" distB="0" distL="0" distR="0" wp14:anchorId="7479E2CB" wp14:editId="238F0228">
                  <wp:extent cx="900684" cy="900684"/>
                  <wp:effectExtent l="0" t="0" r="0" b="0"/>
                  <wp:docPr id="62" name="Picture 6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pic:nvPicPr>
                        <pic:blipFill>
                          <a:blip r:embed="rId19">
                            <a:extLst>
                              <a:ext uri="{28A0092B-C50C-407E-A947-70E740481C1C}">
                                <a14:useLocalDpi xmlns:a14="http://schemas.microsoft.com/office/drawing/2010/main" val="0"/>
                              </a:ext>
                            </a:extLst>
                          </a:blip>
                          <a:stretch>
                            <a:fillRect/>
                          </a:stretch>
                        </pic:blipFill>
                        <pic:spPr>
                          <a:xfrm>
                            <a:off x="0" y="0"/>
                            <a:ext cx="900684" cy="900684"/>
                          </a:xfrm>
                          <a:prstGeom prst="rect">
                            <a:avLst/>
                          </a:prstGeom>
                        </pic:spPr>
                      </pic:pic>
                    </a:graphicData>
                  </a:graphic>
                </wp:inline>
              </w:drawing>
            </w:r>
          </w:p>
        </w:tc>
      </w:tr>
    </w:tbl>
    <w:p w14:paraId="2B17C82C" w14:textId="4D38E00E" w:rsidR="00BA0810" w:rsidRDefault="00BA0810">
      <w:pPr>
        <w:rPr>
          <w:rFonts w:ascii="Calibri" w:eastAsia="Times New Roman" w:hAnsi="Calibri" w:cs="Arial"/>
          <w:b/>
          <w:bCs/>
          <w:color w:val="029676"/>
          <w:sz w:val="36"/>
          <w:szCs w:val="28"/>
          <w:lang w:eastAsia="en-AU"/>
        </w:rPr>
      </w:pPr>
    </w:p>
    <w:p w14:paraId="19F84A16" w14:textId="4964FA1F" w:rsidR="00BA0810" w:rsidRDefault="00BA0810">
      <w:pPr>
        <w:rPr>
          <w:rStyle w:val="Strong"/>
          <w:lang w:eastAsia="en-AU"/>
        </w:rPr>
      </w:pPr>
      <w:r w:rsidRPr="00BA0810">
        <w:rPr>
          <w:rStyle w:val="Strong"/>
          <w:lang w:eastAsia="en-AU"/>
        </w:rPr>
        <w:t xml:space="preserve">Water is </w:t>
      </w:r>
      <w:r w:rsidR="00E50E87">
        <w:rPr>
          <w:rStyle w:val="Strong"/>
          <w:lang w:eastAsia="en-AU"/>
        </w:rPr>
        <w:t>integral to the health and wellbeing of our</w:t>
      </w:r>
      <w:r w:rsidRPr="00BA0810">
        <w:rPr>
          <w:rStyle w:val="Strong"/>
          <w:lang w:eastAsia="en-AU"/>
        </w:rPr>
        <w:t xml:space="preserve"> landscape</w:t>
      </w:r>
      <w:r w:rsidR="00A913E1">
        <w:rPr>
          <w:rStyle w:val="Strong"/>
          <w:lang w:eastAsia="en-AU"/>
        </w:rPr>
        <w:t>s</w:t>
      </w:r>
      <w:r w:rsidR="00A30A66">
        <w:rPr>
          <w:rStyle w:val="Strong"/>
          <w:lang w:eastAsia="en-AU"/>
        </w:rPr>
        <w:t xml:space="preserve">. </w:t>
      </w:r>
      <w:r w:rsidR="007C5474">
        <w:rPr>
          <w:rStyle w:val="Strong"/>
          <w:lang w:eastAsia="en-AU"/>
        </w:rPr>
        <w:t xml:space="preserve">By supporting and enhancing </w:t>
      </w:r>
      <w:r w:rsidRPr="00BA0810">
        <w:rPr>
          <w:rStyle w:val="Strong"/>
          <w:lang w:eastAsia="en-AU"/>
        </w:rPr>
        <w:t xml:space="preserve">vegetation and green spaces, </w:t>
      </w:r>
      <w:r w:rsidR="007C5474">
        <w:rPr>
          <w:rStyle w:val="Strong"/>
          <w:lang w:eastAsia="en-AU"/>
        </w:rPr>
        <w:t>water</w:t>
      </w:r>
      <w:r w:rsidR="009C3BDF">
        <w:rPr>
          <w:rStyle w:val="Strong"/>
          <w:lang w:eastAsia="en-AU"/>
        </w:rPr>
        <w:t xml:space="preserve"> </w:t>
      </w:r>
      <w:r w:rsidRPr="00BA0810">
        <w:rPr>
          <w:rStyle w:val="Strong"/>
          <w:lang w:eastAsia="en-AU"/>
        </w:rPr>
        <w:t>help</w:t>
      </w:r>
      <w:r w:rsidR="009C3BDF">
        <w:rPr>
          <w:rStyle w:val="Strong"/>
          <w:lang w:eastAsia="en-AU"/>
        </w:rPr>
        <w:t>s</w:t>
      </w:r>
      <w:r w:rsidRPr="00BA0810">
        <w:rPr>
          <w:rStyle w:val="Strong"/>
          <w:lang w:eastAsia="en-AU"/>
        </w:rPr>
        <w:t xml:space="preserve"> to provide greater amenity, better opportunities for recreation, improved ecological value and localised cooling that gives relief to communities during hot weather. </w:t>
      </w:r>
      <w:r w:rsidR="00D03FBB">
        <w:rPr>
          <w:rStyle w:val="Strong"/>
          <w:lang w:eastAsia="en-AU"/>
        </w:rPr>
        <w:t>L</w:t>
      </w:r>
      <w:r w:rsidRPr="00BA0810">
        <w:rPr>
          <w:rStyle w:val="Strong"/>
          <w:lang w:eastAsia="en-AU"/>
        </w:rPr>
        <w:t xml:space="preserve">andscapes </w:t>
      </w:r>
      <w:r w:rsidR="00D147CB">
        <w:rPr>
          <w:rStyle w:val="Strong"/>
          <w:lang w:eastAsia="en-AU"/>
        </w:rPr>
        <w:t>that harness</w:t>
      </w:r>
      <w:r w:rsidR="00D03FBB" w:rsidRPr="00BA0810">
        <w:rPr>
          <w:rStyle w:val="Strong"/>
          <w:lang w:eastAsia="en-AU"/>
        </w:rPr>
        <w:t xml:space="preserve"> </w:t>
      </w:r>
      <w:r w:rsidRPr="00BA0810">
        <w:rPr>
          <w:rStyle w:val="Strong"/>
          <w:lang w:eastAsia="en-AU"/>
        </w:rPr>
        <w:t>alternative water supplies</w:t>
      </w:r>
      <w:r w:rsidR="00B727B8">
        <w:rPr>
          <w:rStyle w:val="Strong"/>
          <w:lang w:eastAsia="en-AU"/>
        </w:rPr>
        <w:t xml:space="preserve"> can</w:t>
      </w:r>
      <w:r w:rsidRPr="00BA0810">
        <w:rPr>
          <w:rStyle w:val="Strong"/>
          <w:lang w:eastAsia="en-AU"/>
        </w:rPr>
        <w:t xml:space="preserve"> also enhance resilience during droughts</w:t>
      </w:r>
      <w:r w:rsidR="00FC01D8">
        <w:rPr>
          <w:rStyle w:val="Strong"/>
          <w:lang w:eastAsia="en-AU"/>
        </w:rPr>
        <w:t>,</w:t>
      </w:r>
      <w:r w:rsidRPr="00BA0810">
        <w:rPr>
          <w:rStyle w:val="Strong"/>
          <w:lang w:eastAsia="en-AU"/>
        </w:rPr>
        <w:t xml:space="preserve"> whe</w:t>
      </w:r>
      <w:r w:rsidR="00EA767E">
        <w:rPr>
          <w:rStyle w:val="Strong"/>
          <w:lang w:eastAsia="en-AU"/>
        </w:rPr>
        <w:t>n</w:t>
      </w:r>
      <w:r w:rsidRPr="00BA0810">
        <w:rPr>
          <w:rStyle w:val="Strong"/>
          <w:lang w:eastAsia="en-AU"/>
        </w:rPr>
        <w:t xml:space="preserve"> potable water supplies may be restricted, and provide water to landscapes that may not otherwise receive irrigation.</w:t>
      </w:r>
    </w:p>
    <w:p w14:paraId="5898347E" w14:textId="77777777" w:rsidR="00BA0810" w:rsidRDefault="00BA0810" w:rsidP="00BA0810">
      <w:pPr>
        <w:keepNext/>
        <w:keepLines/>
        <w:tabs>
          <w:tab w:val="num" w:pos="0"/>
        </w:tabs>
        <w:spacing w:after="0" w:line="240" w:lineRule="auto"/>
        <w:outlineLvl w:val="0"/>
        <w:rPr>
          <w:rFonts w:ascii="Calibri" w:eastAsia="Meiryo" w:hAnsi="Calibri" w:cs="Arial"/>
          <w:b/>
          <w:bCs/>
          <w:color w:val="029676"/>
          <w:sz w:val="36"/>
          <w:szCs w:val="28"/>
          <w:lang w:eastAsia="en-AU"/>
        </w:rPr>
      </w:pPr>
      <w:r w:rsidRPr="00ED7A1E">
        <w:rPr>
          <w:rFonts w:ascii="Calibri" w:eastAsia="Meiryo" w:hAnsi="Calibri" w:cs="Arial"/>
          <w:b/>
          <w:bCs/>
          <w:color w:val="029676"/>
          <w:sz w:val="36"/>
          <w:szCs w:val="28"/>
          <w:lang w:eastAsia="en-AU"/>
        </w:rPr>
        <w:t>The case for change</w:t>
      </w:r>
    </w:p>
    <w:p w14:paraId="0AD2EB44" w14:textId="77777777" w:rsidR="00BA0810" w:rsidRPr="00BA0810" w:rsidRDefault="00BA0810">
      <w:pPr>
        <w:rPr>
          <w:rStyle w:val="Strong"/>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067"/>
      </w:tblGrid>
      <w:tr w:rsidR="000841C6" w14:paraId="59432ABB" w14:textId="77777777" w:rsidTr="00F70456">
        <w:trPr>
          <w:trHeight w:val="2978"/>
        </w:trPr>
        <w:tc>
          <w:tcPr>
            <w:tcW w:w="5949" w:type="dxa"/>
          </w:tcPr>
          <w:p w14:paraId="00CB3E79" w14:textId="77777777" w:rsidR="000841C6" w:rsidRDefault="000841C6" w:rsidP="000841C6">
            <w:pPr>
              <w:pStyle w:val="BodyText"/>
              <w:rPr>
                <w:rFonts w:ascii="Calibri" w:hAnsi="Calibri" w:cs="Arial"/>
                <w:b/>
                <w:bCs/>
                <w:iCs/>
                <w:color w:val="0989B1"/>
                <w:kern w:val="20"/>
                <w:sz w:val="24"/>
                <w:szCs w:val="28"/>
              </w:rPr>
            </w:pPr>
            <w:r>
              <w:rPr>
                <w:rFonts w:ascii="Calibri" w:hAnsi="Calibri" w:cs="Arial"/>
                <w:b/>
                <w:bCs/>
                <w:iCs/>
                <w:color w:val="0989B1"/>
                <w:kern w:val="20"/>
                <w:sz w:val="24"/>
                <w:szCs w:val="28"/>
              </w:rPr>
              <w:t>Urban heat</w:t>
            </w:r>
          </w:p>
          <w:p w14:paraId="1F43CAFF" w14:textId="607B3A4C" w:rsidR="000841C6" w:rsidRDefault="000841C6" w:rsidP="000841C6">
            <w:pPr>
              <w:pStyle w:val="BodyText"/>
              <w:rPr>
                <w:rFonts w:ascii="Calibri" w:hAnsi="Calibri" w:cs="Arial"/>
                <w:b/>
                <w:bCs/>
                <w:iCs/>
                <w:color w:val="0989B1"/>
                <w:kern w:val="20"/>
                <w:sz w:val="24"/>
                <w:szCs w:val="28"/>
              </w:rPr>
            </w:pPr>
            <w:r w:rsidRPr="00AA351F">
              <w:t xml:space="preserve">Temperatures in urban areas tend to be significantly higher </w:t>
            </w:r>
            <w:r w:rsidR="00375B4A">
              <w:t>than rural areas because of higher concentrations of paved surfaces that retain heat, and less vegetation cover.</w:t>
            </w:r>
            <w:r w:rsidRPr="00AA351F">
              <w:t xml:space="preserve"> </w:t>
            </w:r>
            <w:r w:rsidR="00CA5137">
              <w:t xml:space="preserve">Our future climate is likely to be hotter and drier, with increased regularity of heat waves. </w:t>
            </w:r>
            <w:r w:rsidRPr="00AA351F">
              <w:t xml:space="preserve">Heat waves and high temperatures pose a </w:t>
            </w:r>
            <w:r>
              <w:t>significant</w:t>
            </w:r>
            <w:r w:rsidRPr="00AA351F">
              <w:t xml:space="preserve"> threat to human health</w:t>
            </w:r>
            <w:r>
              <w:t>, particularly</w:t>
            </w:r>
            <w:r w:rsidRPr="00AA351F">
              <w:t xml:space="preserve"> </w:t>
            </w:r>
            <w:r>
              <w:t>for</w:t>
            </w:r>
            <w:r w:rsidRPr="00AA351F">
              <w:t xml:space="preserve"> vulnerable populations such as the elderly and young children. </w:t>
            </w:r>
            <w:r>
              <w:t xml:space="preserve">The </w:t>
            </w:r>
            <w:r w:rsidR="000E01D7">
              <w:t>Yarra</w:t>
            </w:r>
            <w:r>
              <w:t xml:space="preserve"> </w:t>
            </w:r>
            <w:r w:rsidR="000B398B">
              <w:t>C</w:t>
            </w:r>
            <w:r>
              <w:t xml:space="preserve">atchment has </w:t>
            </w:r>
            <w:r w:rsidR="002A60C0">
              <w:t>areas with high vulnerability</w:t>
            </w:r>
            <w:r>
              <w:t xml:space="preserve"> to urban heat, in </w:t>
            </w:r>
            <w:r w:rsidR="002A60C0">
              <w:t xml:space="preserve">Whittlesea, Darebin and Moreland </w:t>
            </w:r>
            <w:r>
              <w:t xml:space="preserve">in particular. </w:t>
            </w:r>
            <w:r w:rsidRPr="00AA351F">
              <w:t xml:space="preserve">Adapting our cities to mitigate the impacts of urban heat through better integration </w:t>
            </w:r>
            <w:r w:rsidR="007C708B">
              <w:t xml:space="preserve">of </w:t>
            </w:r>
            <w:r>
              <w:t>water and vegetation</w:t>
            </w:r>
            <w:r w:rsidRPr="00AA351F">
              <w:t xml:space="preserve"> is a key </w:t>
            </w:r>
            <w:r>
              <w:t>priority for the Melbourne region</w:t>
            </w:r>
            <w:r w:rsidRPr="00AA351F">
              <w:t>, recognising the importance of this for both liveability and resilience</w:t>
            </w:r>
            <w:r>
              <w:t>.</w:t>
            </w:r>
            <w:r w:rsidR="00DD53B7">
              <w:rPr>
                <w:vertAlign w:val="superscript"/>
              </w:rPr>
              <w:t>1</w:t>
            </w:r>
            <w:r w:rsidR="0092302F">
              <w:rPr>
                <w:vertAlign w:val="superscript"/>
              </w:rPr>
              <w:t>1</w:t>
            </w:r>
          </w:p>
        </w:tc>
        <w:tc>
          <w:tcPr>
            <w:tcW w:w="3067" w:type="dxa"/>
          </w:tcPr>
          <w:p w14:paraId="06CF497E" w14:textId="77777777" w:rsidR="000841C6" w:rsidRDefault="000841C6" w:rsidP="00F70456">
            <w:pPr>
              <w:pStyle w:val="BodyText"/>
              <w:rPr>
                <w:color w:val="002060"/>
              </w:rPr>
            </w:pPr>
          </w:p>
        </w:tc>
      </w:tr>
      <w:tr w:rsidR="00BA0810" w14:paraId="1525AC1C" w14:textId="77777777" w:rsidTr="0003046E">
        <w:trPr>
          <w:trHeight w:val="567"/>
        </w:trPr>
        <w:tc>
          <w:tcPr>
            <w:tcW w:w="5949" w:type="dxa"/>
          </w:tcPr>
          <w:p w14:paraId="3F28B58A" w14:textId="500BAAC7" w:rsidR="00BA0810" w:rsidRDefault="00BA0810" w:rsidP="00F70456">
            <w:pPr>
              <w:pStyle w:val="BodyText"/>
              <w:rPr>
                <w:rFonts w:ascii="Calibri" w:hAnsi="Calibri" w:cs="Arial"/>
                <w:b/>
                <w:bCs/>
                <w:iCs/>
                <w:color w:val="0989B1"/>
                <w:kern w:val="20"/>
                <w:sz w:val="24"/>
                <w:szCs w:val="28"/>
              </w:rPr>
            </w:pPr>
            <w:r>
              <w:rPr>
                <w:rFonts w:ascii="Calibri" w:hAnsi="Calibri" w:cs="Arial"/>
                <w:b/>
                <w:bCs/>
                <w:iCs/>
                <w:color w:val="0989B1"/>
                <w:kern w:val="20"/>
                <w:sz w:val="24"/>
                <w:szCs w:val="28"/>
              </w:rPr>
              <w:t>Trees and canopy cover</w:t>
            </w:r>
          </w:p>
          <w:p w14:paraId="17C94E99" w14:textId="53455350" w:rsidR="00882C50" w:rsidRPr="00135514" w:rsidRDefault="004040CE" w:rsidP="00F70456">
            <w:pPr>
              <w:pStyle w:val="BodyText"/>
              <w:spacing w:before="0" w:after="0"/>
              <w:jc w:val="both"/>
            </w:pPr>
            <w:r>
              <w:t>The benefits of trees in the urban environment are well-known, providing shade, amenity and biodiversity.</w:t>
            </w:r>
            <w:r w:rsidR="00DD53B7">
              <w:rPr>
                <w:vertAlign w:val="superscript"/>
              </w:rPr>
              <w:t>1</w:t>
            </w:r>
            <w:r w:rsidR="0092302F">
              <w:rPr>
                <w:vertAlign w:val="superscript"/>
              </w:rPr>
              <w:t>2</w:t>
            </w:r>
            <w:r>
              <w:t xml:space="preserve"> Trees with a large, healthy canopy provide the greatest benefits, and </w:t>
            </w:r>
            <w:r w:rsidR="008B3064">
              <w:t>provision of irrigation</w:t>
            </w:r>
            <w:r>
              <w:t xml:space="preserve"> </w:t>
            </w:r>
            <w:r w:rsidR="008B3064">
              <w:t>is</w:t>
            </w:r>
            <w:r>
              <w:t xml:space="preserve"> often necessary to support healthy tree canopies in urban environment</w:t>
            </w:r>
            <w:r w:rsidR="00241F2D">
              <w:t>s</w:t>
            </w:r>
            <w:r>
              <w:t xml:space="preserve"> where trees are planted in </w:t>
            </w:r>
            <w:r w:rsidR="008B3064">
              <w:t>constrained</w:t>
            </w:r>
            <w:r>
              <w:t xml:space="preserve"> areas and have limited access</w:t>
            </w:r>
            <w:r w:rsidR="008B3064">
              <w:t xml:space="preserve"> to water through their root systems. </w:t>
            </w:r>
            <w:r w:rsidR="00375B4A">
              <w:t xml:space="preserve">Tree canopy cover </w:t>
            </w:r>
            <w:r w:rsidR="002A60C0">
              <w:t xml:space="preserve">in the north and west of the catchment is amongst the </w:t>
            </w:r>
            <w:r w:rsidR="00375B4A">
              <w:t>lowest in the region, with challenging growing conditions due to relatively low rainfall.</w:t>
            </w:r>
            <w:r w:rsidR="00375B4A">
              <w:rPr>
                <w:vertAlign w:val="superscript"/>
              </w:rPr>
              <w:t>1</w:t>
            </w:r>
            <w:r w:rsidR="0092302F">
              <w:rPr>
                <w:vertAlign w:val="superscript"/>
              </w:rPr>
              <w:t>2</w:t>
            </w:r>
            <w:r w:rsidR="00375B4A">
              <w:t xml:space="preserve"> </w:t>
            </w:r>
            <w:r w:rsidR="008B3064">
              <w:t>In the future, drier and hotter conditions are likely to make this need even greater.</w:t>
            </w:r>
            <w:r w:rsidR="0003046E">
              <w:t xml:space="preserve"> The east and southern areas of the catchment benefit from a significant urban forest, important to the leafy character of neighbourhoods. However,</w:t>
            </w:r>
            <w:r w:rsidR="008B3064">
              <w:t xml:space="preserve"> </w:t>
            </w:r>
            <w:r w:rsidR="0003046E">
              <w:t>a</w:t>
            </w:r>
            <w:r w:rsidR="00FB22D3">
              <w:t xml:space="preserve"> recent study of tree resilience </w:t>
            </w:r>
            <w:r w:rsidR="008B3064">
              <w:t>identified that a substantial proportion of trees in Melbourne would not be able to survive future climates.</w:t>
            </w:r>
            <w:r w:rsidR="00DD53B7">
              <w:rPr>
                <w:vertAlign w:val="superscript"/>
              </w:rPr>
              <w:t>1</w:t>
            </w:r>
            <w:r w:rsidR="0092302F">
              <w:rPr>
                <w:vertAlign w:val="superscript"/>
              </w:rPr>
              <w:t>3</w:t>
            </w:r>
            <w:r w:rsidR="008B3064">
              <w:t xml:space="preserve"> </w:t>
            </w:r>
            <w:r w:rsidR="008B3064">
              <w:rPr>
                <w:highlight w:val="white"/>
              </w:rPr>
              <w:t>To manage this risk, provision of irrigation is a key strategy to improve survival rates.</w:t>
            </w:r>
            <w:r w:rsidR="00882C50">
              <w:t xml:space="preserve"> Street trees can be supported by alternative water resources, by directing runoff from roads to trees or by irrigating with a recycled water supply.</w:t>
            </w:r>
          </w:p>
        </w:tc>
        <w:tc>
          <w:tcPr>
            <w:tcW w:w="3067" w:type="dxa"/>
          </w:tcPr>
          <w:p w14:paraId="76216264" w14:textId="77777777" w:rsidR="00BA0810" w:rsidRDefault="008B3064" w:rsidP="00F70456">
            <w:pPr>
              <w:pStyle w:val="BodyText"/>
              <w:rPr>
                <w:color w:val="002060"/>
              </w:rPr>
            </w:pPr>
            <w:r>
              <w:rPr>
                <w:color w:val="002060"/>
              </w:rPr>
              <w:t>54%</w:t>
            </w:r>
          </w:p>
          <w:p w14:paraId="731F6597" w14:textId="12A97311" w:rsidR="008B3064" w:rsidRDefault="008B3064" w:rsidP="00F70456">
            <w:pPr>
              <w:pStyle w:val="BodyText"/>
              <w:rPr>
                <w:vertAlign w:val="superscript"/>
              </w:rPr>
            </w:pPr>
            <w:r>
              <w:rPr>
                <w:color w:val="002060"/>
              </w:rPr>
              <w:t xml:space="preserve">Of existing trees across ten local government areas in Melbourne were found to be at risk </w:t>
            </w:r>
            <w:r w:rsidR="00627E30">
              <w:rPr>
                <w:color w:val="002060"/>
              </w:rPr>
              <w:t>under future climate conditions</w:t>
            </w:r>
            <w:r w:rsidR="00DD53B7">
              <w:rPr>
                <w:vertAlign w:val="superscript"/>
              </w:rPr>
              <w:t>1</w:t>
            </w:r>
            <w:r w:rsidR="0092302F">
              <w:rPr>
                <w:vertAlign w:val="superscript"/>
              </w:rPr>
              <w:t>3</w:t>
            </w:r>
          </w:p>
          <w:p w14:paraId="2AF5F407" w14:textId="77777777" w:rsidR="00627E30" w:rsidRDefault="00627E30" w:rsidP="00F70456">
            <w:pPr>
              <w:pStyle w:val="BodyText"/>
              <w:rPr>
                <w:vertAlign w:val="superscript"/>
              </w:rPr>
            </w:pPr>
          </w:p>
          <w:p w14:paraId="1958A5A6" w14:textId="77777777" w:rsidR="00627E30" w:rsidRPr="00627E30" w:rsidRDefault="00627E30" w:rsidP="00F70456">
            <w:pPr>
              <w:pStyle w:val="BodyText"/>
              <w:rPr>
                <w:color w:val="002060"/>
              </w:rPr>
            </w:pPr>
            <w:r w:rsidRPr="00627E30">
              <w:rPr>
                <w:color w:val="002060"/>
              </w:rPr>
              <w:t>4x</w:t>
            </w:r>
          </w:p>
          <w:p w14:paraId="3E992B7A" w14:textId="44715E82" w:rsidR="00627E30" w:rsidRPr="00627E30" w:rsidRDefault="00627E30" w:rsidP="00F70456">
            <w:pPr>
              <w:pStyle w:val="BodyText"/>
              <w:rPr>
                <w:vertAlign w:val="superscript"/>
              </w:rPr>
            </w:pPr>
            <w:r w:rsidRPr="00627E30">
              <w:rPr>
                <w:color w:val="002060"/>
              </w:rPr>
              <w:t xml:space="preserve">Canopy </w:t>
            </w:r>
            <w:r>
              <w:rPr>
                <w:color w:val="002060"/>
              </w:rPr>
              <w:t xml:space="preserve">area </w:t>
            </w:r>
            <w:r w:rsidRPr="00627E30">
              <w:rPr>
                <w:color w:val="002060"/>
              </w:rPr>
              <w:t>increase when irrigation is provided to a street tree planted in typical conditions in urban Melbourne</w:t>
            </w:r>
            <w:r>
              <w:rPr>
                <w:color w:val="002060"/>
              </w:rPr>
              <w:t>.</w:t>
            </w:r>
            <w:r w:rsidR="00DD53B7">
              <w:rPr>
                <w:color w:val="002060"/>
                <w:vertAlign w:val="superscript"/>
              </w:rPr>
              <w:t>1</w:t>
            </w:r>
            <w:r w:rsidR="0092302F">
              <w:rPr>
                <w:color w:val="002060"/>
                <w:vertAlign w:val="superscript"/>
              </w:rPr>
              <w:t>4</w:t>
            </w:r>
          </w:p>
        </w:tc>
      </w:tr>
      <w:tr w:rsidR="00BA0810" w14:paraId="11106AC7" w14:textId="77777777" w:rsidTr="00F70456">
        <w:trPr>
          <w:trHeight w:val="2725"/>
        </w:trPr>
        <w:tc>
          <w:tcPr>
            <w:tcW w:w="5949" w:type="dxa"/>
          </w:tcPr>
          <w:p w14:paraId="614857E8" w14:textId="14660D8B" w:rsidR="00BA0810" w:rsidRDefault="00BA0810" w:rsidP="00F70456">
            <w:pPr>
              <w:pStyle w:val="BodyText"/>
              <w:rPr>
                <w:rFonts w:ascii="Calibri" w:hAnsi="Calibri" w:cs="Arial"/>
                <w:b/>
                <w:bCs/>
                <w:iCs/>
                <w:color w:val="0989B1"/>
                <w:kern w:val="20"/>
                <w:sz w:val="24"/>
                <w:szCs w:val="28"/>
              </w:rPr>
            </w:pPr>
            <w:r>
              <w:rPr>
                <w:rFonts w:ascii="Calibri" w:hAnsi="Calibri" w:cs="Arial"/>
                <w:b/>
                <w:bCs/>
                <w:iCs/>
                <w:color w:val="0989B1"/>
                <w:kern w:val="20"/>
                <w:sz w:val="24"/>
                <w:szCs w:val="28"/>
              </w:rPr>
              <w:lastRenderedPageBreak/>
              <w:t>Active and passive open space</w:t>
            </w:r>
          </w:p>
          <w:p w14:paraId="40D9006D" w14:textId="0D7FD892" w:rsidR="00882C50" w:rsidRPr="00882C50" w:rsidRDefault="00EE04F4" w:rsidP="00882C50">
            <w:pPr>
              <w:pStyle w:val="BodyText"/>
              <w:spacing w:before="0" w:after="0" w:line="240" w:lineRule="auto"/>
            </w:pPr>
            <w:r w:rsidRPr="00C51552">
              <w:t xml:space="preserve">Public open space </w:t>
            </w:r>
            <w:r>
              <w:t>is an important asset for communities</w:t>
            </w:r>
            <w:r w:rsidR="00905467">
              <w:t xml:space="preserve">. These spaces are </w:t>
            </w:r>
            <w:r w:rsidRPr="00C51552">
              <w:t xml:space="preserve">diverse, including </w:t>
            </w:r>
            <w:r>
              <w:t>‘active’ open space such as sportsgrounds and ovals</w:t>
            </w:r>
            <w:r w:rsidR="00A02FB3">
              <w:t>,</w:t>
            </w:r>
            <w:r>
              <w:t xml:space="preserve"> and ‘passive’ open space such as </w:t>
            </w:r>
            <w:r w:rsidRPr="00C51552">
              <w:t>parklands</w:t>
            </w:r>
            <w:r>
              <w:t xml:space="preserve"> and</w:t>
            </w:r>
            <w:r w:rsidRPr="00C51552">
              <w:t xml:space="preserve"> gardens</w:t>
            </w:r>
            <w:r>
              <w:t>.</w:t>
            </w:r>
            <w:r w:rsidRPr="00C51552">
              <w:t xml:space="preserve"> </w:t>
            </w:r>
            <w:r>
              <w:t>Provision of irrigation to these spaces can increase greening and amenity, but also enhance usability and safety for sports. To date, irrigation has been p</w:t>
            </w:r>
            <w:r w:rsidR="00882C50">
              <w:t>rioritised for active open spaces, but there is increasing recognition of the importance of improving passive open spaces for communities and creating local cooler, greener environments during heat waves. Alternative water supplies can provide irrigation of open space by harvesting stormwater runoff or connecting to a recycled water supply.</w:t>
            </w:r>
          </w:p>
        </w:tc>
        <w:tc>
          <w:tcPr>
            <w:tcW w:w="3067" w:type="dxa"/>
          </w:tcPr>
          <w:p w14:paraId="70611F94" w14:textId="77777777" w:rsidR="000841C6" w:rsidRDefault="000841C6" w:rsidP="000841C6">
            <w:pPr>
              <w:pStyle w:val="BodyText"/>
              <w:rPr>
                <w:color w:val="002060"/>
              </w:rPr>
            </w:pPr>
            <w:r>
              <w:rPr>
                <w:color w:val="002060"/>
              </w:rPr>
              <w:t xml:space="preserve">50% </w:t>
            </w:r>
          </w:p>
          <w:p w14:paraId="577A7CBE" w14:textId="21BF40CC" w:rsidR="00BA0810" w:rsidRDefault="000841C6" w:rsidP="000841C6">
            <w:pPr>
              <w:pStyle w:val="BodyText"/>
              <w:rPr>
                <w:color w:val="002060"/>
              </w:rPr>
            </w:pPr>
            <w:r>
              <w:rPr>
                <w:color w:val="002060"/>
                <w:lang w:val="en-US"/>
              </w:rPr>
              <w:t xml:space="preserve">The proportion of open space with irrigation which will </w:t>
            </w:r>
            <w:r w:rsidRPr="004040CE">
              <w:rPr>
                <w:color w:val="002060"/>
                <w:lang w:val="en-US"/>
              </w:rPr>
              <w:t xml:space="preserve">reduce the average land surface temperature across an </w:t>
            </w:r>
            <w:r>
              <w:rPr>
                <w:color w:val="002060"/>
                <w:lang w:val="en-US"/>
              </w:rPr>
              <w:t>urban area</w:t>
            </w:r>
            <w:r w:rsidRPr="004040CE">
              <w:rPr>
                <w:color w:val="002060"/>
                <w:lang w:val="en-US"/>
              </w:rPr>
              <w:t xml:space="preserve"> by up to 5 degrees </w:t>
            </w:r>
            <w:r w:rsidR="009C0F6B" w:rsidRPr="004040CE">
              <w:rPr>
                <w:color w:val="002060"/>
                <w:lang w:val="en-US"/>
              </w:rPr>
              <w:t>Celsius</w:t>
            </w:r>
            <w:r w:rsidRPr="004040CE">
              <w:rPr>
                <w:color w:val="002060"/>
                <w:lang w:val="en-US"/>
              </w:rPr>
              <w:t xml:space="preserve"> on an extreme heat day.</w:t>
            </w:r>
            <w:r w:rsidRPr="00EE04F4">
              <w:rPr>
                <w:color w:val="002060"/>
                <w:vertAlign w:val="superscript"/>
                <w:lang w:val="en-US"/>
              </w:rPr>
              <w:t>1</w:t>
            </w:r>
            <w:r w:rsidR="0092302F">
              <w:rPr>
                <w:color w:val="002060"/>
                <w:vertAlign w:val="superscript"/>
                <w:lang w:val="en-US"/>
              </w:rPr>
              <w:t>5</w:t>
            </w:r>
            <w:r w:rsidRPr="004040CE">
              <w:rPr>
                <w:color w:val="002060"/>
                <w:lang w:val="en-US"/>
              </w:rPr>
              <w:t> </w:t>
            </w:r>
          </w:p>
        </w:tc>
      </w:tr>
    </w:tbl>
    <w:p w14:paraId="3A64D2DC" w14:textId="48FA0A4D" w:rsidR="00BA0810" w:rsidRDefault="00BA0810" w:rsidP="00D73EF1">
      <w:pPr>
        <w:rPr>
          <w:lang w:eastAsia="en-AU"/>
        </w:rPr>
      </w:pPr>
    </w:p>
    <w:p w14:paraId="1CA0B4EE" w14:textId="3B2DC4E3" w:rsidR="00BA0810" w:rsidRPr="00ED7A1E" w:rsidRDefault="00CC0077" w:rsidP="00D73EF1">
      <w:pPr>
        <w:keepNext/>
        <w:keepLines/>
        <w:tabs>
          <w:tab w:val="num" w:pos="0"/>
        </w:tabs>
        <w:spacing w:after="0" w:line="276" w:lineRule="auto"/>
        <w:outlineLvl w:val="0"/>
        <w:rPr>
          <w:rFonts w:ascii="Calibri" w:eastAsia="Times New Roman" w:hAnsi="Calibri" w:cs="Arial"/>
          <w:b/>
          <w:bCs/>
          <w:color w:val="029676"/>
          <w:sz w:val="36"/>
          <w:szCs w:val="28"/>
          <w:lang w:eastAsia="en-AU"/>
        </w:rPr>
      </w:pPr>
      <w:r>
        <w:rPr>
          <w:rFonts w:ascii="Calibri" w:eastAsia="Times New Roman" w:hAnsi="Calibri" w:cs="Arial"/>
          <w:b/>
          <w:bCs/>
          <w:color w:val="029676"/>
          <w:sz w:val="36"/>
          <w:szCs w:val="28"/>
          <w:lang w:eastAsia="en-AU"/>
        </w:rPr>
        <w:t>Measuring the change we want to make</w:t>
      </w:r>
    </w:p>
    <w:tbl>
      <w:tblPr>
        <w:tblStyle w:val="TableGrid1"/>
        <w:tblW w:w="9497" w:type="dxa"/>
        <w:tblLook w:val="04A0" w:firstRow="1" w:lastRow="0" w:firstColumn="1" w:lastColumn="0" w:noHBand="0" w:noVBand="1"/>
      </w:tblPr>
      <w:tblGrid>
        <w:gridCol w:w="2835"/>
        <w:gridCol w:w="1032"/>
        <w:gridCol w:w="1502"/>
        <w:gridCol w:w="4128"/>
      </w:tblGrid>
      <w:tr w:rsidR="00E12872" w:rsidRPr="00E05A88" w14:paraId="169B8B8E" w14:textId="77777777" w:rsidTr="00251DFE">
        <w:trPr>
          <w:cnfStyle w:val="100000000000" w:firstRow="1" w:lastRow="0" w:firstColumn="0" w:lastColumn="0" w:oddVBand="0" w:evenVBand="0" w:oddHBand="0" w:evenHBand="0" w:firstRowFirstColumn="0" w:firstRowLastColumn="0" w:lastRowFirstColumn="0" w:lastRowLastColumn="0"/>
          <w:trHeight w:val="373"/>
          <w:tblHeader/>
        </w:trPr>
        <w:tc>
          <w:tcPr>
            <w:cnfStyle w:val="000000000100" w:firstRow="0" w:lastRow="0" w:firstColumn="0" w:lastColumn="0" w:oddVBand="0" w:evenVBand="0" w:oddHBand="0" w:evenHBand="0" w:firstRowFirstColumn="1" w:firstRowLastColumn="0" w:lastRowFirstColumn="0" w:lastRowLastColumn="0"/>
            <w:tcW w:w="2835" w:type="dxa"/>
            <w:vMerge w:val="restart"/>
          </w:tcPr>
          <w:p w14:paraId="37E1303C" w14:textId="77777777" w:rsidR="00E12872" w:rsidRPr="00E05A88" w:rsidRDefault="00E12872" w:rsidP="00E12872">
            <w:pPr>
              <w:rPr>
                <w:rFonts w:cs="Arial"/>
                <w:b/>
                <w:bCs/>
              </w:rPr>
            </w:pPr>
            <w:r>
              <w:rPr>
                <w:rFonts w:cs="Arial"/>
                <w:b/>
                <w:bCs/>
              </w:rPr>
              <w:t>Our measures</w:t>
            </w:r>
          </w:p>
        </w:tc>
        <w:tc>
          <w:tcPr>
            <w:tcW w:w="1032" w:type="dxa"/>
            <w:vMerge w:val="restart"/>
            <w:vAlign w:val="center"/>
          </w:tcPr>
          <w:p w14:paraId="44EF3502" w14:textId="65E7056A" w:rsidR="00E12872" w:rsidRDefault="00E12872" w:rsidP="00E12872">
            <w:pPr>
              <w:cnfStyle w:val="100000000000" w:firstRow="1" w:lastRow="0" w:firstColumn="0" w:lastColumn="0" w:oddVBand="0" w:evenVBand="0" w:oddHBand="0" w:evenHBand="0" w:firstRowFirstColumn="0" w:firstRowLastColumn="0" w:lastRowFirstColumn="0" w:lastRowLastColumn="0"/>
              <w:rPr>
                <w:rFonts w:cs="Arial"/>
                <w:b/>
                <w:bCs/>
              </w:rPr>
            </w:pPr>
            <w:r>
              <w:rPr>
                <w:rFonts w:cs="Arial"/>
                <w:b/>
                <w:bCs/>
              </w:rPr>
              <w:t>Scale</w:t>
            </w:r>
          </w:p>
        </w:tc>
        <w:tc>
          <w:tcPr>
            <w:tcW w:w="1502" w:type="dxa"/>
            <w:vMerge w:val="restart"/>
            <w:vAlign w:val="center"/>
          </w:tcPr>
          <w:p w14:paraId="5504368D" w14:textId="28AB1660" w:rsidR="00E12872" w:rsidRDefault="00E12872" w:rsidP="00E12872">
            <w:pPr>
              <w:cnfStyle w:val="100000000000" w:firstRow="1" w:lastRow="0" w:firstColumn="0" w:lastColumn="0" w:oddVBand="0" w:evenVBand="0" w:oddHBand="0" w:evenHBand="0" w:firstRowFirstColumn="0" w:firstRowLastColumn="0" w:lastRowFirstColumn="0" w:lastRowLastColumn="0"/>
              <w:rPr>
                <w:rFonts w:cs="Arial"/>
                <w:b/>
                <w:bCs/>
              </w:rPr>
            </w:pPr>
            <w:r>
              <w:rPr>
                <w:rFonts w:cs="Arial"/>
                <w:b/>
                <w:bCs/>
              </w:rPr>
              <w:t>Our current performance (2019)</w:t>
            </w:r>
          </w:p>
        </w:tc>
        <w:tc>
          <w:tcPr>
            <w:tcW w:w="4128" w:type="dxa"/>
            <w:vMerge w:val="restart"/>
            <w:vAlign w:val="center"/>
          </w:tcPr>
          <w:p w14:paraId="29FAD3C9" w14:textId="4432ECFD" w:rsidR="00E12872" w:rsidRPr="00E05A88" w:rsidRDefault="00E12872" w:rsidP="00E12872">
            <w:pPr>
              <w:cnfStyle w:val="100000000000" w:firstRow="1" w:lastRow="0" w:firstColumn="0" w:lastColumn="0" w:oddVBand="0" w:evenVBand="0" w:oddHBand="0" w:evenHBand="0" w:firstRowFirstColumn="0" w:firstRowLastColumn="0" w:lastRowFirstColumn="0" w:lastRowLastColumn="0"/>
              <w:rPr>
                <w:rFonts w:cs="Arial"/>
                <w:b/>
                <w:bCs/>
              </w:rPr>
            </w:pPr>
            <w:r w:rsidRPr="001051EB">
              <w:rPr>
                <w:rFonts w:cs="Arial"/>
                <w:b/>
                <w:bCs/>
              </w:rPr>
              <w:t>Why is this measure important?</w:t>
            </w:r>
          </w:p>
        </w:tc>
      </w:tr>
      <w:tr w:rsidR="00E12872" w:rsidRPr="00E05A88" w14:paraId="6F712070" w14:textId="77777777" w:rsidTr="00251DFE">
        <w:trPr>
          <w:cnfStyle w:val="100000000000" w:firstRow="1" w:lastRow="0" w:firstColumn="0" w:lastColumn="0" w:oddVBand="0" w:evenVBand="0" w:oddHBand="0" w:evenHBand="0" w:firstRowFirstColumn="0" w:firstRowLastColumn="0" w:lastRowFirstColumn="0" w:lastRowLastColumn="0"/>
          <w:trHeight w:val="373"/>
          <w:tblHeader/>
        </w:trPr>
        <w:tc>
          <w:tcPr>
            <w:cnfStyle w:val="000000000100" w:firstRow="0" w:lastRow="0" w:firstColumn="0" w:lastColumn="0" w:oddVBand="0" w:evenVBand="0" w:oddHBand="0" w:evenHBand="0" w:firstRowFirstColumn="1" w:firstRowLastColumn="0" w:lastRowFirstColumn="0" w:lastRowLastColumn="0"/>
            <w:tcW w:w="2835" w:type="dxa"/>
            <w:vMerge/>
          </w:tcPr>
          <w:p w14:paraId="68458FA4" w14:textId="77777777" w:rsidR="00E12872" w:rsidRPr="00E05A88" w:rsidRDefault="00E12872" w:rsidP="00E12872">
            <w:pPr>
              <w:rPr>
                <w:rFonts w:cs="Arial"/>
              </w:rPr>
            </w:pPr>
          </w:p>
        </w:tc>
        <w:tc>
          <w:tcPr>
            <w:tcW w:w="1032" w:type="dxa"/>
            <w:vMerge/>
          </w:tcPr>
          <w:p w14:paraId="4FA4643D" w14:textId="1DD92493" w:rsidR="00E12872" w:rsidRPr="00E05A88" w:rsidRDefault="00E12872" w:rsidP="00E12872">
            <w:pPr>
              <w:jc w:val="center"/>
              <w:cnfStyle w:val="100000000000" w:firstRow="1" w:lastRow="0" w:firstColumn="0" w:lastColumn="0" w:oddVBand="0" w:evenVBand="0" w:oddHBand="0" w:evenHBand="0" w:firstRowFirstColumn="0" w:firstRowLastColumn="0" w:lastRowFirstColumn="0" w:lastRowLastColumn="0"/>
              <w:rPr>
                <w:rFonts w:cs="Arial"/>
              </w:rPr>
            </w:pPr>
          </w:p>
        </w:tc>
        <w:tc>
          <w:tcPr>
            <w:tcW w:w="1502" w:type="dxa"/>
            <w:vMerge/>
          </w:tcPr>
          <w:p w14:paraId="70A653F2" w14:textId="4C0D845F" w:rsidR="00E12872" w:rsidRPr="00E05A88" w:rsidRDefault="00E12872" w:rsidP="00E12872">
            <w:pPr>
              <w:jc w:val="center"/>
              <w:cnfStyle w:val="100000000000" w:firstRow="1" w:lastRow="0" w:firstColumn="0" w:lastColumn="0" w:oddVBand="0" w:evenVBand="0" w:oddHBand="0" w:evenHBand="0" w:firstRowFirstColumn="0" w:firstRowLastColumn="0" w:lastRowFirstColumn="0" w:lastRowLastColumn="0"/>
              <w:rPr>
                <w:rFonts w:cs="Arial"/>
              </w:rPr>
            </w:pPr>
          </w:p>
        </w:tc>
        <w:tc>
          <w:tcPr>
            <w:tcW w:w="4128" w:type="dxa"/>
            <w:vMerge/>
          </w:tcPr>
          <w:p w14:paraId="653CFADF" w14:textId="77777777" w:rsidR="00E12872" w:rsidRPr="00E05A88" w:rsidRDefault="00E12872" w:rsidP="00E12872">
            <w:pPr>
              <w:cnfStyle w:val="100000000000" w:firstRow="1" w:lastRow="0" w:firstColumn="0" w:lastColumn="0" w:oddVBand="0" w:evenVBand="0" w:oddHBand="0" w:evenHBand="0" w:firstRowFirstColumn="0" w:firstRowLastColumn="0" w:lastRowFirstColumn="0" w:lastRowLastColumn="0"/>
              <w:rPr>
                <w:rFonts w:cs="Arial"/>
              </w:rPr>
            </w:pPr>
          </w:p>
        </w:tc>
      </w:tr>
      <w:tr w:rsidR="00E12872" w:rsidRPr="00E05A88" w14:paraId="53E75AC2" w14:textId="77777777" w:rsidTr="00251DFE">
        <w:trPr>
          <w:trHeight w:val="499"/>
        </w:trPr>
        <w:tc>
          <w:tcPr>
            <w:tcW w:w="2835" w:type="dxa"/>
            <w:vMerge w:val="restart"/>
          </w:tcPr>
          <w:p w14:paraId="61F66A50" w14:textId="77777777" w:rsidR="00E12872" w:rsidRPr="00E05A88" w:rsidRDefault="00E12872" w:rsidP="00E12872">
            <w:pPr>
              <w:rPr>
                <w:rFonts w:ascii="Calibri" w:hAnsi="Calibri" w:cs="Arial"/>
              </w:rPr>
            </w:pPr>
            <w:r w:rsidRPr="00A223BE">
              <w:rPr>
                <w:rFonts w:ascii="Calibri" w:hAnsi="Calibri" w:cs="Arial"/>
              </w:rPr>
              <w:t>5.1 Street trees that are supported with permanent irrigation from an alternative water supply</w:t>
            </w:r>
          </w:p>
        </w:tc>
        <w:tc>
          <w:tcPr>
            <w:tcW w:w="1032" w:type="dxa"/>
          </w:tcPr>
          <w:p w14:paraId="45596231" w14:textId="2E5CEECD" w:rsidR="00E12872" w:rsidRDefault="00E12872" w:rsidP="00E12872">
            <w:pPr>
              <w:rPr>
                <w:rFonts w:ascii="Calibri" w:hAnsi="Calibri" w:cs="Arial"/>
              </w:rPr>
            </w:pPr>
            <w:r>
              <w:rPr>
                <w:rFonts w:cs="Arial"/>
              </w:rPr>
              <w:t>Catchment</w:t>
            </w:r>
          </w:p>
        </w:tc>
        <w:tc>
          <w:tcPr>
            <w:tcW w:w="1502" w:type="dxa"/>
          </w:tcPr>
          <w:p w14:paraId="1118D78E" w14:textId="6A01C501" w:rsidR="00E12872" w:rsidRPr="00E05A88" w:rsidRDefault="00E12872" w:rsidP="00E12872">
            <w:pPr>
              <w:jc w:val="center"/>
              <w:rPr>
                <w:rFonts w:ascii="Calibri" w:hAnsi="Calibri" w:cs="Arial"/>
              </w:rPr>
            </w:pPr>
            <w:r>
              <w:rPr>
                <w:rFonts w:ascii="Calibri" w:hAnsi="Calibri" w:cs="Arial"/>
              </w:rPr>
              <w:t>2 %</w:t>
            </w:r>
          </w:p>
        </w:tc>
        <w:tc>
          <w:tcPr>
            <w:tcW w:w="4128" w:type="dxa"/>
            <w:vMerge w:val="restart"/>
          </w:tcPr>
          <w:p w14:paraId="1F53260C" w14:textId="3EFD0C53" w:rsidR="00E12872" w:rsidRPr="00135514" w:rsidRDefault="00E12872" w:rsidP="00E12872">
            <w:pPr>
              <w:rPr>
                <w:rFonts w:ascii="Calibri" w:hAnsi="Calibri" w:cs="Arial"/>
                <w:color w:val="auto"/>
              </w:rPr>
            </w:pPr>
            <w:r>
              <w:rPr>
                <w:rFonts w:ascii="Calibri" w:hAnsi="Calibri" w:cs="Arial"/>
              </w:rPr>
              <w:t xml:space="preserve">This measure seeks to drive </w:t>
            </w:r>
            <w:r w:rsidRPr="00E05A88">
              <w:rPr>
                <w:rFonts w:ascii="Calibri" w:hAnsi="Calibri" w:cs="Arial"/>
              </w:rPr>
              <w:t xml:space="preserve">a change in practice across the region that will support our healthy, thriving street trees in a sustainable way. </w:t>
            </w:r>
          </w:p>
        </w:tc>
      </w:tr>
      <w:tr w:rsidR="00E12872" w:rsidRPr="00E05A88" w14:paraId="0921DFDD" w14:textId="77777777" w:rsidTr="00251DFE">
        <w:trPr>
          <w:trHeight w:val="373"/>
        </w:trPr>
        <w:tc>
          <w:tcPr>
            <w:tcW w:w="2835" w:type="dxa"/>
            <w:vMerge/>
          </w:tcPr>
          <w:p w14:paraId="4774EA27" w14:textId="77777777" w:rsidR="00E12872" w:rsidRPr="00A223BE" w:rsidRDefault="00E12872" w:rsidP="00E12872">
            <w:pPr>
              <w:rPr>
                <w:rFonts w:ascii="Calibri" w:hAnsi="Calibri" w:cs="Arial"/>
              </w:rPr>
            </w:pPr>
          </w:p>
        </w:tc>
        <w:tc>
          <w:tcPr>
            <w:tcW w:w="1032" w:type="dxa"/>
          </w:tcPr>
          <w:p w14:paraId="6B47BC2C" w14:textId="3D9C1E95" w:rsidR="00E12872" w:rsidRDefault="00E12872" w:rsidP="00E12872">
            <w:pPr>
              <w:rPr>
                <w:rFonts w:ascii="Calibri" w:hAnsi="Calibri" w:cs="Arial"/>
              </w:rPr>
            </w:pPr>
            <w:r>
              <w:rPr>
                <w:rFonts w:cs="Arial"/>
              </w:rPr>
              <w:t>Region</w:t>
            </w:r>
          </w:p>
        </w:tc>
        <w:tc>
          <w:tcPr>
            <w:tcW w:w="1502" w:type="dxa"/>
          </w:tcPr>
          <w:p w14:paraId="3A0AD44D" w14:textId="7972F564" w:rsidR="00E12872" w:rsidRDefault="00E12872" w:rsidP="00E12872">
            <w:pPr>
              <w:jc w:val="center"/>
              <w:rPr>
                <w:rFonts w:ascii="Calibri" w:hAnsi="Calibri" w:cs="Arial"/>
              </w:rPr>
            </w:pPr>
            <w:r>
              <w:rPr>
                <w:rFonts w:ascii="Calibri" w:hAnsi="Calibri" w:cs="Arial"/>
              </w:rPr>
              <w:t>2 %</w:t>
            </w:r>
          </w:p>
        </w:tc>
        <w:tc>
          <w:tcPr>
            <w:tcW w:w="4128" w:type="dxa"/>
            <w:vMerge/>
          </w:tcPr>
          <w:p w14:paraId="014D2F72" w14:textId="77777777" w:rsidR="00E12872" w:rsidRDefault="00E12872" w:rsidP="00E12872">
            <w:pPr>
              <w:rPr>
                <w:rFonts w:ascii="Calibri" w:hAnsi="Calibri" w:cs="Arial"/>
              </w:rPr>
            </w:pPr>
          </w:p>
        </w:tc>
      </w:tr>
      <w:tr w:rsidR="00E12872" w:rsidRPr="00E05A88" w14:paraId="53736F63" w14:textId="77777777" w:rsidTr="00251DFE">
        <w:trPr>
          <w:trHeight w:val="373"/>
        </w:trPr>
        <w:tc>
          <w:tcPr>
            <w:tcW w:w="2835" w:type="dxa"/>
            <w:vMerge w:val="restart"/>
          </w:tcPr>
          <w:p w14:paraId="6D91B61A" w14:textId="7DDDDB97" w:rsidR="00E12872" w:rsidRPr="00E05A88" w:rsidRDefault="00E12872" w:rsidP="00E12872">
            <w:pPr>
              <w:rPr>
                <w:rFonts w:ascii="Calibri" w:hAnsi="Calibri" w:cs="Arial"/>
              </w:rPr>
            </w:pPr>
            <w:r w:rsidRPr="00A223BE">
              <w:rPr>
                <w:rFonts w:ascii="Calibri" w:hAnsi="Calibri" w:cs="Arial"/>
              </w:rPr>
              <w:t xml:space="preserve">5.2a Active public open space (sports fields and organised recreation) supported by an alternative water </w:t>
            </w:r>
            <w:proofErr w:type="spellStart"/>
            <w:r w:rsidRPr="00A223BE">
              <w:rPr>
                <w:rFonts w:ascii="Calibri" w:hAnsi="Calibri" w:cs="Arial"/>
              </w:rPr>
              <w:t>source</w:t>
            </w:r>
            <w:r w:rsidRPr="00744FD1">
              <w:rPr>
                <w:rFonts w:ascii="Calibri" w:hAnsi="Calibri" w:cs="Arial"/>
                <w:vertAlign w:val="superscript"/>
              </w:rPr>
              <w:t>l</w:t>
            </w:r>
            <w:proofErr w:type="spellEnd"/>
          </w:p>
        </w:tc>
        <w:tc>
          <w:tcPr>
            <w:tcW w:w="1032" w:type="dxa"/>
          </w:tcPr>
          <w:p w14:paraId="0A040214" w14:textId="34EEB4E7" w:rsidR="00E12872" w:rsidRDefault="00E12872" w:rsidP="00E12872">
            <w:pPr>
              <w:rPr>
                <w:rFonts w:ascii="Calibri" w:hAnsi="Calibri" w:cs="Arial"/>
              </w:rPr>
            </w:pPr>
            <w:r>
              <w:rPr>
                <w:rFonts w:cs="Arial"/>
              </w:rPr>
              <w:t>Catchment</w:t>
            </w:r>
          </w:p>
        </w:tc>
        <w:tc>
          <w:tcPr>
            <w:tcW w:w="1502" w:type="dxa"/>
          </w:tcPr>
          <w:p w14:paraId="56D06BD7" w14:textId="3FD4395E" w:rsidR="00E12872" w:rsidRPr="00E05A88" w:rsidRDefault="00E12872" w:rsidP="00E12872">
            <w:pPr>
              <w:jc w:val="center"/>
              <w:rPr>
                <w:rFonts w:ascii="Calibri" w:hAnsi="Calibri" w:cs="Arial"/>
              </w:rPr>
            </w:pPr>
            <w:r>
              <w:rPr>
                <w:rFonts w:ascii="Calibri" w:hAnsi="Calibri" w:cs="Arial"/>
              </w:rPr>
              <w:t>5 %</w:t>
            </w:r>
          </w:p>
        </w:tc>
        <w:tc>
          <w:tcPr>
            <w:tcW w:w="4128" w:type="dxa"/>
            <w:vMerge w:val="restart"/>
          </w:tcPr>
          <w:p w14:paraId="3E3A08E1" w14:textId="7060C052" w:rsidR="00E12872" w:rsidRPr="00730614" w:rsidRDefault="00E12872" w:rsidP="00E12872">
            <w:pPr>
              <w:rPr>
                <w:rFonts w:ascii="Calibri" w:hAnsi="Calibri" w:cs="Arial"/>
                <w:color w:val="FF0000"/>
              </w:rPr>
            </w:pPr>
            <w:r w:rsidRPr="00480EC8">
              <w:rPr>
                <w:rFonts w:ascii="Calibri" w:hAnsi="Calibri" w:cs="Arial"/>
              </w:rPr>
              <w:t xml:space="preserve">This measure seeks to </w:t>
            </w:r>
            <w:r w:rsidRPr="00E05A88">
              <w:rPr>
                <w:rFonts w:ascii="Calibri" w:hAnsi="Calibri" w:cs="Arial"/>
              </w:rPr>
              <w:t>support sport and recreation</w:t>
            </w:r>
            <w:r>
              <w:rPr>
                <w:rFonts w:ascii="Calibri" w:hAnsi="Calibri" w:cs="Arial"/>
              </w:rPr>
              <w:t>,</w:t>
            </w:r>
            <w:r w:rsidRPr="00E05A88">
              <w:rPr>
                <w:rFonts w:ascii="Calibri" w:hAnsi="Calibri" w:cs="Arial"/>
              </w:rPr>
              <w:t xml:space="preserve"> </w:t>
            </w:r>
            <w:r>
              <w:rPr>
                <w:rFonts w:ascii="Calibri" w:hAnsi="Calibri" w:cs="Arial"/>
              </w:rPr>
              <w:t>and cool our neighbourhoods during heat waves</w:t>
            </w:r>
            <w:r w:rsidRPr="00E05A88">
              <w:rPr>
                <w:rFonts w:ascii="Calibri" w:hAnsi="Calibri" w:cs="Arial"/>
              </w:rPr>
              <w:t>,</w:t>
            </w:r>
            <w:r>
              <w:rPr>
                <w:rFonts w:ascii="Calibri" w:hAnsi="Calibri" w:cs="Arial"/>
              </w:rPr>
              <w:t xml:space="preserve"> increasing the resilience and liveability of our neighbourhoods</w:t>
            </w:r>
            <w:r w:rsidRPr="00E05A88">
              <w:rPr>
                <w:rFonts w:ascii="Calibri" w:hAnsi="Calibri" w:cs="Arial"/>
              </w:rPr>
              <w:t>.</w:t>
            </w:r>
            <w:r>
              <w:rPr>
                <w:rFonts w:ascii="Calibri" w:hAnsi="Calibri" w:cs="Arial"/>
              </w:rPr>
              <w:t xml:space="preserve"> </w:t>
            </w:r>
          </w:p>
        </w:tc>
      </w:tr>
      <w:tr w:rsidR="00E12872" w:rsidRPr="00E05A88" w14:paraId="0644366B" w14:textId="77777777" w:rsidTr="00251DFE">
        <w:trPr>
          <w:trHeight w:val="373"/>
        </w:trPr>
        <w:tc>
          <w:tcPr>
            <w:tcW w:w="2835" w:type="dxa"/>
            <w:vMerge/>
          </w:tcPr>
          <w:p w14:paraId="183D9C81" w14:textId="77777777" w:rsidR="00E12872" w:rsidRPr="00A223BE" w:rsidRDefault="00E12872" w:rsidP="00E12872">
            <w:pPr>
              <w:rPr>
                <w:rFonts w:ascii="Calibri" w:hAnsi="Calibri" w:cs="Arial"/>
              </w:rPr>
            </w:pPr>
          </w:p>
        </w:tc>
        <w:tc>
          <w:tcPr>
            <w:tcW w:w="1032" w:type="dxa"/>
          </w:tcPr>
          <w:p w14:paraId="0EA9B072" w14:textId="1A5C5DA5" w:rsidR="00E12872" w:rsidRDefault="00E12872" w:rsidP="00E12872">
            <w:pPr>
              <w:rPr>
                <w:rFonts w:ascii="Calibri" w:hAnsi="Calibri" w:cs="Arial"/>
              </w:rPr>
            </w:pPr>
            <w:r>
              <w:rPr>
                <w:rFonts w:cs="Arial"/>
              </w:rPr>
              <w:t>Region</w:t>
            </w:r>
          </w:p>
        </w:tc>
        <w:tc>
          <w:tcPr>
            <w:tcW w:w="1502" w:type="dxa"/>
          </w:tcPr>
          <w:p w14:paraId="1EE2C601" w14:textId="466A8CBD" w:rsidR="00E12872" w:rsidRDefault="00E12872" w:rsidP="00E12872">
            <w:pPr>
              <w:jc w:val="center"/>
              <w:rPr>
                <w:rFonts w:ascii="Calibri" w:hAnsi="Calibri" w:cs="Arial"/>
              </w:rPr>
            </w:pPr>
            <w:r>
              <w:rPr>
                <w:rFonts w:ascii="Calibri" w:hAnsi="Calibri" w:cs="Arial"/>
              </w:rPr>
              <w:t>6 %</w:t>
            </w:r>
          </w:p>
        </w:tc>
        <w:tc>
          <w:tcPr>
            <w:tcW w:w="4128" w:type="dxa"/>
            <w:vMerge/>
          </w:tcPr>
          <w:p w14:paraId="6623CB89" w14:textId="77777777" w:rsidR="00E12872" w:rsidRPr="00CA5137" w:rsidDel="00FE083B" w:rsidRDefault="00E12872" w:rsidP="00E12872">
            <w:pPr>
              <w:rPr>
                <w:rFonts w:ascii="Calibri" w:hAnsi="Calibri" w:cs="Arial"/>
              </w:rPr>
            </w:pPr>
          </w:p>
        </w:tc>
      </w:tr>
      <w:tr w:rsidR="00E12872" w:rsidRPr="00E05A88" w14:paraId="7299F500" w14:textId="77777777" w:rsidTr="00251DFE">
        <w:trPr>
          <w:trHeight w:val="373"/>
        </w:trPr>
        <w:tc>
          <w:tcPr>
            <w:tcW w:w="2835" w:type="dxa"/>
            <w:vMerge w:val="restart"/>
          </w:tcPr>
          <w:p w14:paraId="0E850607" w14:textId="433E1B27" w:rsidR="00E12872" w:rsidRPr="00E05A88" w:rsidRDefault="00E12872" w:rsidP="00E12872">
            <w:pPr>
              <w:rPr>
                <w:rFonts w:ascii="Calibri" w:hAnsi="Calibri" w:cs="Arial"/>
              </w:rPr>
            </w:pPr>
            <w:r w:rsidRPr="00A223BE">
              <w:rPr>
                <w:rFonts w:ascii="Calibri" w:hAnsi="Calibri" w:cs="Arial"/>
              </w:rPr>
              <w:t xml:space="preserve">5.2b Passive public open space (parkland and gardens) supported by an alternative water </w:t>
            </w:r>
            <w:proofErr w:type="spellStart"/>
            <w:r w:rsidRPr="00A223BE">
              <w:rPr>
                <w:rFonts w:ascii="Calibri" w:hAnsi="Calibri" w:cs="Arial"/>
              </w:rPr>
              <w:t>source</w:t>
            </w:r>
            <w:r w:rsidRPr="00744FD1">
              <w:rPr>
                <w:rFonts w:ascii="Calibri" w:hAnsi="Calibri" w:cs="Arial"/>
                <w:vertAlign w:val="superscript"/>
              </w:rPr>
              <w:t>l</w:t>
            </w:r>
            <w:proofErr w:type="spellEnd"/>
          </w:p>
        </w:tc>
        <w:tc>
          <w:tcPr>
            <w:tcW w:w="1032" w:type="dxa"/>
          </w:tcPr>
          <w:p w14:paraId="204504F3" w14:textId="7245146C" w:rsidR="00E12872" w:rsidRDefault="00E12872" w:rsidP="00E12872">
            <w:pPr>
              <w:rPr>
                <w:rFonts w:ascii="Calibri" w:hAnsi="Calibri" w:cs="Arial"/>
              </w:rPr>
            </w:pPr>
            <w:r>
              <w:rPr>
                <w:rFonts w:cs="Arial"/>
              </w:rPr>
              <w:t>Catchment</w:t>
            </w:r>
          </w:p>
        </w:tc>
        <w:tc>
          <w:tcPr>
            <w:tcW w:w="1502" w:type="dxa"/>
          </w:tcPr>
          <w:p w14:paraId="12DB9FEB" w14:textId="27CF69A2" w:rsidR="00E12872" w:rsidRPr="00E05A88" w:rsidRDefault="00E12872" w:rsidP="00E12872">
            <w:pPr>
              <w:jc w:val="center"/>
              <w:rPr>
                <w:rFonts w:ascii="Calibri" w:hAnsi="Calibri" w:cs="Arial"/>
              </w:rPr>
            </w:pPr>
            <w:r>
              <w:rPr>
                <w:rFonts w:ascii="Calibri" w:hAnsi="Calibri" w:cs="Arial"/>
              </w:rPr>
              <w:t>0 %</w:t>
            </w:r>
          </w:p>
        </w:tc>
        <w:tc>
          <w:tcPr>
            <w:tcW w:w="4128" w:type="dxa"/>
            <w:vMerge w:val="restart"/>
          </w:tcPr>
          <w:p w14:paraId="5BC012B1" w14:textId="1B2C06D6" w:rsidR="00E12872" w:rsidRPr="00730614" w:rsidRDefault="00E12872" w:rsidP="00E12872">
            <w:pPr>
              <w:rPr>
                <w:rFonts w:ascii="Calibri" w:hAnsi="Calibri" w:cs="Arial"/>
                <w:color w:val="FF0000"/>
              </w:rPr>
            </w:pPr>
            <w:r w:rsidRPr="0055180F">
              <w:rPr>
                <w:rFonts w:ascii="Calibri" w:hAnsi="Calibri" w:cs="Arial"/>
              </w:rPr>
              <w:t xml:space="preserve">This measure seeks to </w:t>
            </w:r>
            <w:r w:rsidRPr="00E05A88">
              <w:rPr>
                <w:rFonts w:ascii="Calibri" w:hAnsi="Calibri" w:cs="Arial"/>
              </w:rPr>
              <w:t>ensure we take opportunities to support passive open space irrigation where it makes sense, to enrich communities by providing healthier, greener and multi-functional open spaces.</w:t>
            </w:r>
          </w:p>
        </w:tc>
      </w:tr>
      <w:tr w:rsidR="00E12872" w:rsidRPr="00E05A88" w14:paraId="458C02FB" w14:textId="77777777" w:rsidTr="00251DFE">
        <w:trPr>
          <w:trHeight w:val="373"/>
        </w:trPr>
        <w:tc>
          <w:tcPr>
            <w:tcW w:w="2835" w:type="dxa"/>
            <w:vMerge/>
          </w:tcPr>
          <w:p w14:paraId="74ECBD12" w14:textId="77777777" w:rsidR="00E12872" w:rsidRPr="00A223BE" w:rsidRDefault="00E12872" w:rsidP="00E12872">
            <w:pPr>
              <w:rPr>
                <w:rFonts w:ascii="Calibri" w:hAnsi="Calibri" w:cs="Arial"/>
              </w:rPr>
            </w:pPr>
          </w:p>
        </w:tc>
        <w:tc>
          <w:tcPr>
            <w:tcW w:w="1032" w:type="dxa"/>
          </w:tcPr>
          <w:p w14:paraId="391E63FC" w14:textId="4927BCE0" w:rsidR="00E12872" w:rsidRDefault="00E12872" w:rsidP="00E12872">
            <w:pPr>
              <w:rPr>
                <w:rFonts w:ascii="Calibri" w:hAnsi="Calibri" w:cs="Arial"/>
              </w:rPr>
            </w:pPr>
            <w:r>
              <w:rPr>
                <w:rFonts w:cs="Arial"/>
              </w:rPr>
              <w:t>Region</w:t>
            </w:r>
          </w:p>
        </w:tc>
        <w:tc>
          <w:tcPr>
            <w:tcW w:w="1502" w:type="dxa"/>
          </w:tcPr>
          <w:p w14:paraId="5DEE8B8B" w14:textId="4FB29688" w:rsidR="00E12872" w:rsidRDefault="00E12872" w:rsidP="00E12872">
            <w:pPr>
              <w:jc w:val="center"/>
              <w:rPr>
                <w:rFonts w:ascii="Calibri" w:hAnsi="Calibri" w:cs="Arial"/>
              </w:rPr>
            </w:pPr>
            <w:r>
              <w:rPr>
                <w:rFonts w:ascii="Calibri" w:hAnsi="Calibri" w:cs="Arial"/>
              </w:rPr>
              <w:t>1 %</w:t>
            </w:r>
          </w:p>
        </w:tc>
        <w:tc>
          <w:tcPr>
            <w:tcW w:w="4128" w:type="dxa"/>
            <w:vMerge/>
          </w:tcPr>
          <w:p w14:paraId="7C2F819B" w14:textId="77777777" w:rsidR="00E12872" w:rsidRPr="00730614" w:rsidRDefault="00E12872" w:rsidP="00E12872">
            <w:pPr>
              <w:rPr>
                <w:rFonts w:ascii="Calibri" w:hAnsi="Calibri" w:cs="Arial"/>
                <w:color w:val="FF0000"/>
              </w:rPr>
            </w:pPr>
          </w:p>
        </w:tc>
      </w:tr>
      <w:tr w:rsidR="009C6A53" w:rsidRPr="00E05A88" w14:paraId="7D2DD387" w14:textId="77777777" w:rsidTr="00251DFE">
        <w:trPr>
          <w:trHeight w:val="373"/>
        </w:trPr>
        <w:tc>
          <w:tcPr>
            <w:tcW w:w="2835" w:type="dxa"/>
            <w:vMerge w:val="restart"/>
          </w:tcPr>
          <w:p w14:paraId="17590600" w14:textId="77777777" w:rsidR="009C6A53" w:rsidRPr="00A223BE" w:rsidRDefault="009C6A53" w:rsidP="009C6A53">
            <w:pPr>
              <w:rPr>
                <w:rFonts w:ascii="Calibri" w:hAnsi="Calibri" w:cs="Arial"/>
              </w:rPr>
            </w:pPr>
            <w:r w:rsidRPr="005B0DA8">
              <w:rPr>
                <w:rFonts w:ascii="Calibri" w:hAnsi="Calibri" w:cs="Arial"/>
              </w:rPr>
              <w:t>5.3 Reduction in land surface temperature attributed to IWM in urban areas</w:t>
            </w:r>
          </w:p>
        </w:tc>
        <w:tc>
          <w:tcPr>
            <w:tcW w:w="1032" w:type="dxa"/>
          </w:tcPr>
          <w:p w14:paraId="4D47F15C" w14:textId="79AA1FE0" w:rsidR="009C6A53" w:rsidRDefault="009C6A53" w:rsidP="009C6A53">
            <w:pPr>
              <w:rPr>
                <w:rFonts w:ascii="Calibri" w:hAnsi="Calibri" w:cs="Arial"/>
              </w:rPr>
            </w:pPr>
            <w:r>
              <w:rPr>
                <w:rFonts w:cs="Arial"/>
              </w:rPr>
              <w:t>Catchment</w:t>
            </w:r>
          </w:p>
        </w:tc>
        <w:tc>
          <w:tcPr>
            <w:tcW w:w="1502" w:type="dxa"/>
            <w:vMerge w:val="restart"/>
          </w:tcPr>
          <w:p w14:paraId="5C033B93" w14:textId="1D468FC7" w:rsidR="009C6A53" w:rsidRDefault="009C6A53" w:rsidP="009C6A53">
            <w:pPr>
              <w:rPr>
                <w:rFonts w:ascii="Calibri" w:hAnsi="Calibri" w:cs="Arial"/>
              </w:rPr>
            </w:pPr>
            <w:r w:rsidRPr="009177D4">
              <w:rPr>
                <w:rFonts w:ascii="Calibri" w:hAnsi="Calibri" w:cs="Arial"/>
              </w:rPr>
              <w:t>Data collection</w:t>
            </w:r>
            <w:r>
              <w:rPr>
                <w:rFonts w:ascii="Calibri" w:hAnsi="Calibri" w:cs="Arial"/>
              </w:rPr>
              <w:t xml:space="preserve"> </w:t>
            </w:r>
            <w:r w:rsidRPr="009177D4">
              <w:rPr>
                <w:rFonts w:ascii="Calibri" w:hAnsi="Calibri" w:cs="Arial"/>
              </w:rPr>
              <w:t>methods under</w:t>
            </w:r>
            <w:r>
              <w:rPr>
                <w:rFonts w:ascii="Calibri" w:hAnsi="Calibri" w:cs="Arial"/>
              </w:rPr>
              <w:t xml:space="preserve"> </w:t>
            </w:r>
            <w:r w:rsidRPr="009177D4">
              <w:rPr>
                <w:rFonts w:ascii="Calibri" w:hAnsi="Calibri" w:cs="Arial"/>
              </w:rPr>
              <w:t>development</w:t>
            </w:r>
          </w:p>
        </w:tc>
        <w:tc>
          <w:tcPr>
            <w:tcW w:w="4128" w:type="dxa"/>
            <w:vMerge w:val="restart"/>
          </w:tcPr>
          <w:p w14:paraId="4B7C5DF8" w14:textId="12C91BE6" w:rsidR="009C6A53" w:rsidRPr="00CA5137" w:rsidRDefault="009C6A53" w:rsidP="009C6A53">
            <w:pPr>
              <w:rPr>
                <w:rFonts w:ascii="Calibri" w:hAnsi="Calibri" w:cs="Arial"/>
              </w:rPr>
            </w:pPr>
            <w:r w:rsidRPr="005B0DA8">
              <w:rPr>
                <w:rFonts w:ascii="Calibri" w:hAnsi="Calibri" w:cs="Arial"/>
              </w:rPr>
              <w:t>Where IWM increases shade, vegetated surfaces or the presence of water in the landscape, there is the potential to reduce local air and land temperatures.</w:t>
            </w:r>
            <w:r>
              <w:rPr>
                <w:rFonts w:ascii="Calibri" w:hAnsi="Calibri" w:cs="Arial"/>
              </w:rPr>
              <w:t xml:space="preserve"> By measuring this impact, we can </w:t>
            </w:r>
            <w:r w:rsidRPr="004F62E1">
              <w:rPr>
                <w:rFonts w:ascii="Calibri" w:hAnsi="Calibri" w:cs="Arial"/>
              </w:rPr>
              <w:t>build</w:t>
            </w:r>
            <w:r>
              <w:rPr>
                <w:rFonts w:ascii="Calibri" w:hAnsi="Calibri" w:cs="Arial"/>
              </w:rPr>
              <w:t xml:space="preserve"> </w:t>
            </w:r>
            <w:r w:rsidRPr="004F62E1">
              <w:rPr>
                <w:rFonts w:ascii="Calibri" w:hAnsi="Calibri" w:cs="Arial"/>
              </w:rPr>
              <w:t xml:space="preserve">understanding and </w:t>
            </w:r>
            <w:r>
              <w:rPr>
                <w:rFonts w:ascii="Calibri" w:hAnsi="Calibri" w:cs="Arial"/>
              </w:rPr>
              <w:t>better articulate the change we are making.</w:t>
            </w:r>
          </w:p>
        </w:tc>
      </w:tr>
      <w:tr w:rsidR="00F5195E" w:rsidRPr="00E05A88" w14:paraId="2C7FE419" w14:textId="77777777" w:rsidTr="00251DFE">
        <w:trPr>
          <w:trHeight w:val="373"/>
        </w:trPr>
        <w:tc>
          <w:tcPr>
            <w:tcW w:w="2835" w:type="dxa"/>
            <w:vMerge/>
          </w:tcPr>
          <w:p w14:paraId="7E34D494" w14:textId="77777777" w:rsidR="00F5195E" w:rsidRPr="005B0DA8" w:rsidRDefault="00F5195E" w:rsidP="00FE083B">
            <w:pPr>
              <w:rPr>
                <w:rFonts w:ascii="Calibri" w:hAnsi="Calibri" w:cs="Arial"/>
              </w:rPr>
            </w:pPr>
          </w:p>
        </w:tc>
        <w:tc>
          <w:tcPr>
            <w:tcW w:w="1032" w:type="dxa"/>
          </w:tcPr>
          <w:p w14:paraId="4BCC2382" w14:textId="4E06DBEF" w:rsidR="00F5195E" w:rsidRDefault="00F5195E" w:rsidP="00744FD1">
            <w:pPr>
              <w:rPr>
                <w:rFonts w:ascii="Calibri" w:hAnsi="Calibri" w:cs="Arial"/>
              </w:rPr>
            </w:pPr>
            <w:r>
              <w:rPr>
                <w:rFonts w:cs="Arial"/>
              </w:rPr>
              <w:t>Region</w:t>
            </w:r>
          </w:p>
        </w:tc>
        <w:tc>
          <w:tcPr>
            <w:tcW w:w="1502" w:type="dxa"/>
            <w:vMerge/>
          </w:tcPr>
          <w:p w14:paraId="717B01DF" w14:textId="1C2B41B3" w:rsidR="00F5195E" w:rsidRDefault="00F5195E" w:rsidP="00FE083B">
            <w:pPr>
              <w:jc w:val="center"/>
              <w:rPr>
                <w:rFonts w:ascii="Calibri" w:hAnsi="Calibri" w:cs="Arial"/>
              </w:rPr>
            </w:pPr>
          </w:p>
        </w:tc>
        <w:tc>
          <w:tcPr>
            <w:tcW w:w="4128" w:type="dxa"/>
            <w:vMerge/>
          </w:tcPr>
          <w:p w14:paraId="07A0523F" w14:textId="77777777" w:rsidR="00F5195E" w:rsidRPr="005B0DA8" w:rsidRDefault="00F5195E" w:rsidP="00FE083B">
            <w:pPr>
              <w:rPr>
                <w:rFonts w:ascii="Calibri" w:hAnsi="Calibri" w:cs="Arial"/>
              </w:rPr>
            </w:pPr>
          </w:p>
        </w:tc>
      </w:tr>
    </w:tbl>
    <w:p w14:paraId="2E041F2A" w14:textId="35080DE6" w:rsidR="00FD07E6" w:rsidRDefault="00FD07E6" w:rsidP="00B4564C">
      <w:pPr>
        <w:rPr>
          <w:lang w:eastAsia="en-AU"/>
        </w:rPr>
      </w:pPr>
    </w:p>
    <w:tbl>
      <w:tblPr>
        <w:tblStyle w:val="TableGrid1"/>
        <w:tblW w:w="9498" w:type="dxa"/>
        <w:tblLook w:val="0420" w:firstRow="1" w:lastRow="0" w:firstColumn="0" w:lastColumn="0" w:noHBand="0" w:noVBand="1"/>
      </w:tblPr>
      <w:tblGrid>
        <w:gridCol w:w="9498"/>
      </w:tblGrid>
      <w:tr w:rsidR="001331F1" w:rsidRPr="00D42C8C" w14:paraId="28C7824A" w14:textId="77777777" w:rsidTr="00251DFE">
        <w:trPr>
          <w:cnfStyle w:val="100000000000" w:firstRow="1" w:lastRow="0" w:firstColumn="0" w:lastColumn="0" w:oddVBand="0" w:evenVBand="0" w:oddHBand="0" w:evenHBand="0" w:firstRowFirstColumn="0" w:firstRowLastColumn="0" w:lastRowFirstColumn="0" w:lastRowLastColumn="0"/>
          <w:trHeight w:val="428"/>
        </w:trPr>
        <w:tc>
          <w:tcPr>
            <w:tcW w:w="9498" w:type="dxa"/>
            <w:hideMark/>
          </w:tcPr>
          <w:p w14:paraId="025F9AEF" w14:textId="77777777" w:rsidR="001331F1" w:rsidRPr="00D42C8C" w:rsidRDefault="001331F1" w:rsidP="0060254E">
            <w:pPr>
              <w:spacing w:after="0" w:line="240" w:lineRule="auto"/>
              <w:rPr>
                <w:rFonts w:asciiTheme="minorHAnsi" w:hAnsiTheme="minorHAnsi" w:cstheme="minorHAnsi"/>
                <w:szCs w:val="18"/>
              </w:rPr>
            </w:pPr>
            <w:r w:rsidRPr="00D42C8C">
              <w:rPr>
                <w:rFonts w:asciiTheme="minorHAnsi" w:hAnsiTheme="minorHAnsi" w:cstheme="minorHAnsi"/>
                <w:b/>
                <w:bCs/>
                <w:color w:val="auto"/>
                <w:kern w:val="24"/>
                <w:szCs w:val="18"/>
              </w:rPr>
              <w:t>Our targets for the future, as of September 2022</w:t>
            </w:r>
          </w:p>
        </w:tc>
      </w:tr>
      <w:tr w:rsidR="001331F1" w:rsidRPr="006053A5" w14:paraId="4D3C8DD7" w14:textId="77777777" w:rsidTr="00251DFE">
        <w:trPr>
          <w:trHeight w:val="511"/>
        </w:trPr>
        <w:tc>
          <w:tcPr>
            <w:tcW w:w="9498" w:type="dxa"/>
            <w:hideMark/>
          </w:tcPr>
          <w:p w14:paraId="08DE24F5" w14:textId="4180FDD6" w:rsidR="001331F1" w:rsidRPr="006053A5" w:rsidRDefault="00F81C40" w:rsidP="0060254E">
            <w:pPr>
              <w:spacing w:after="0" w:line="240" w:lineRule="auto"/>
              <w:rPr>
                <w:rFonts w:cstheme="minorHAnsi"/>
                <w:szCs w:val="18"/>
              </w:rPr>
            </w:pPr>
            <w:r>
              <w:rPr>
                <w:rFonts w:cstheme="minorHAnsi"/>
                <w:color w:val="auto"/>
                <w:kern w:val="24"/>
                <w:szCs w:val="18"/>
              </w:rPr>
              <w:t>8</w:t>
            </w:r>
            <w:r w:rsidR="001331F1" w:rsidRPr="00B17C14">
              <w:rPr>
                <w:rFonts w:cstheme="minorHAnsi"/>
                <w:color w:val="auto"/>
                <w:kern w:val="24"/>
                <w:szCs w:val="18"/>
              </w:rPr>
              <w:t xml:space="preserve">% and </w:t>
            </w:r>
            <w:r w:rsidR="001331F1">
              <w:rPr>
                <w:rFonts w:cstheme="minorHAnsi"/>
                <w:color w:val="auto"/>
                <w:kern w:val="24"/>
                <w:szCs w:val="18"/>
              </w:rPr>
              <w:t>2</w:t>
            </w:r>
            <w:r>
              <w:rPr>
                <w:rFonts w:cstheme="minorHAnsi"/>
                <w:color w:val="auto"/>
                <w:kern w:val="24"/>
                <w:szCs w:val="18"/>
              </w:rPr>
              <w:t>1</w:t>
            </w:r>
            <w:r w:rsidR="001331F1" w:rsidRPr="00B17C14">
              <w:rPr>
                <w:rFonts w:cstheme="minorHAnsi"/>
                <w:color w:val="auto"/>
                <w:kern w:val="24"/>
                <w:szCs w:val="18"/>
              </w:rPr>
              <w:t>% of</w:t>
            </w:r>
            <w:r w:rsidR="001331F1" w:rsidRPr="00B17C14">
              <w:rPr>
                <w:rFonts w:cstheme="minorHAnsi"/>
                <w:color w:val="000000" w:themeColor="text1"/>
                <w:kern w:val="24"/>
                <w:szCs w:val="18"/>
              </w:rPr>
              <w:t xml:space="preserve"> street trees are supported with permanent irrigation from an alternative water supply by </w:t>
            </w:r>
            <w:r w:rsidR="001331F1" w:rsidRPr="00B17C14">
              <w:rPr>
                <w:rFonts w:cstheme="minorHAnsi"/>
                <w:b/>
                <w:bCs/>
                <w:color w:val="000000" w:themeColor="text1"/>
                <w:kern w:val="24"/>
                <w:szCs w:val="18"/>
              </w:rPr>
              <w:t>2030</w:t>
            </w:r>
            <w:r w:rsidR="001331F1" w:rsidRPr="00B17C14">
              <w:rPr>
                <w:rFonts w:cstheme="minorHAnsi"/>
                <w:color w:val="000000" w:themeColor="text1"/>
                <w:kern w:val="24"/>
                <w:szCs w:val="18"/>
              </w:rPr>
              <w:t xml:space="preserve"> and </w:t>
            </w:r>
            <w:r w:rsidR="001331F1" w:rsidRPr="00B17C14">
              <w:rPr>
                <w:rFonts w:cstheme="minorHAnsi"/>
                <w:b/>
                <w:bCs/>
                <w:color w:val="000000" w:themeColor="text1"/>
                <w:kern w:val="24"/>
                <w:szCs w:val="18"/>
              </w:rPr>
              <w:t>2050</w:t>
            </w:r>
            <w:r w:rsidR="001331F1" w:rsidRPr="00B17C14">
              <w:rPr>
                <w:rFonts w:cstheme="minorHAnsi"/>
                <w:color w:val="000000" w:themeColor="text1"/>
                <w:kern w:val="24"/>
                <w:szCs w:val="18"/>
              </w:rPr>
              <w:t xml:space="preserve"> respectively, for the </w:t>
            </w:r>
            <w:r w:rsidR="001331F1" w:rsidRPr="00B17C14">
              <w:rPr>
                <w:rFonts w:cstheme="minorHAnsi"/>
                <w:b/>
                <w:bCs/>
                <w:color w:val="000000" w:themeColor="text1"/>
                <w:kern w:val="24"/>
                <w:szCs w:val="18"/>
              </w:rPr>
              <w:t>catchment</w:t>
            </w:r>
            <w:r w:rsidR="001331F1" w:rsidRPr="00B17C14">
              <w:rPr>
                <w:rFonts w:cstheme="minorHAnsi"/>
                <w:color w:val="000000" w:themeColor="text1"/>
                <w:kern w:val="24"/>
                <w:szCs w:val="18"/>
              </w:rPr>
              <w:t xml:space="preserve"> </w:t>
            </w:r>
          </w:p>
        </w:tc>
      </w:tr>
      <w:tr w:rsidR="001331F1" w:rsidRPr="006053A5" w14:paraId="36DC7609" w14:textId="77777777" w:rsidTr="00251DFE">
        <w:trPr>
          <w:trHeight w:val="547"/>
        </w:trPr>
        <w:tc>
          <w:tcPr>
            <w:tcW w:w="9498" w:type="dxa"/>
            <w:hideMark/>
          </w:tcPr>
          <w:p w14:paraId="271A4BD8" w14:textId="77777777" w:rsidR="001331F1" w:rsidRPr="006053A5" w:rsidRDefault="001331F1" w:rsidP="0060254E">
            <w:pPr>
              <w:spacing w:after="0" w:line="240" w:lineRule="auto"/>
              <w:rPr>
                <w:rFonts w:cstheme="minorHAnsi"/>
                <w:szCs w:val="18"/>
              </w:rPr>
            </w:pPr>
            <w:r w:rsidRPr="00B17C14">
              <w:rPr>
                <w:rFonts w:cstheme="minorHAnsi"/>
                <w:color w:val="auto"/>
                <w:kern w:val="24"/>
                <w:szCs w:val="18"/>
              </w:rPr>
              <w:t>12% and 23% o</w:t>
            </w:r>
            <w:r w:rsidRPr="00B17C14">
              <w:rPr>
                <w:rFonts w:cstheme="minorHAnsi"/>
                <w:color w:val="000000" w:themeColor="text1"/>
                <w:kern w:val="24"/>
                <w:szCs w:val="18"/>
              </w:rPr>
              <w:t xml:space="preserve">f street trees are supported with permanent irrigation from an alternative water supply by </w:t>
            </w:r>
            <w:r w:rsidRPr="00B17C14">
              <w:rPr>
                <w:rFonts w:cstheme="minorHAnsi"/>
                <w:b/>
                <w:bCs/>
                <w:color w:val="000000" w:themeColor="text1"/>
                <w:kern w:val="24"/>
                <w:szCs w:val="18"/>
              </w:rPr>
              <w:t>2030</w:t>
            </w:r>
            <w:r w:rsidRPr="00B17C14">
              <w:rPr>
                <w:rFonts w:cstheme="minorHAnsi"/>
                <w:color w:val="000000" w:themeColor="text1"/>
                <w:kern w:val="24"/>
                <w:szCs w:val="18"/>
              </w:rPr>
              <w:t xml:space="preserve"> and </w:t>
            </w:r>
            <w:r w:rsidRPr="00B17C14">
              <w:rPr>
                <w:rFonts w:cstheme="minorHAnsi"/>
                <w:b/>
                <w:bCs/>
                <w:color w:val="000000" w:themeColor="text1"/>
                <w:kern w:val="24"/>
                <w:szCs w:val="18"/>
              </w:rPr>
              <w:t>2050</w:t>
            </w:r>
            <w:r w:rsidRPr="00B17C14">
              <w:rPr>
                <w:rFonts w:cstheme="minorHAnsi"/>
                <w:color w:val="000000" w:themeColor="text1"/>
                <w:kern w:val="24"/>
                <w:szCs w:val="18"/>
              </w:rPr>
              <w:t xml:space="preserve"> respectively, for the </w:t>
            </w:r>
            <w:r w:rsidRPr="00B17C14">
              <w:rPr>
                <w:rFonts w:cstheme="minorHAnsi"/>
                <w:b/>
                <w:bCs/>
                <w:color w:val="000000" w:themeColor="text1"/>
                <w:kern w:val="24"/>
                <w:szCs w:val="18"/>
              </w:rPr>
              <w:t>Greater Melbourne Region</w:t>
            </w:r>
            <w:r w:rsidRPr="00B17C14">
              <w:rPr>
                <w:rFonts w:cstheme="minorHAnsi"/>
                <w:color w:val="000000" w:themeColor="text1"/>
                <w:kern w:val="24"/>
                <w:szCs w:val="18"/>
              </w:rPr>
              <w:t xml:space="preserve"> </w:t>
            </w:r>
          </w:p>
        </w:tc>
      </w:tr>
      <w:tr w:rsidR="001331F1" w:rsidRPr="006053A5" w14:paraId="694784C2" w14:textId="77777777" w:rsidTr="00251DFE">
        <w:trPr>
          <w:trHeight w:val="540"/>
        </w:trPr>
        <w:tc>
          <w:tcPr>
            <w:tcW w:w="9498" w:type="dxa"/>
            <w:hideMark/>
          </w:tcPr>
          <w:p w14:paraId="42A90592" w14:textId="38DC4200" w:rsidR="001331F1" w:rsidRPr="006053A5" w:rsidRDefault="00F81C40" w:rsidP="0060254E">
            <w:pPr>
              <w:spacing w:after="0" w:line="240" w:lineRule="auto"/>
              <w:rPr>
                <w:rFonts w:cstheme="minorHAnsi"/>
                <w:szCs w:val="18"/>
              </w:rPr>
            </w:pPr>
            <w:r>
              <w:rPr>
                <w:rFonts w:cstheme="minorHAnsi"/>
                <w:color w:val="auto"/>
                <w:kern w:val="24"/>
                <w:szCs w:val="18"/>
              </w:rPr>
              <w:t>18</w:t>
            </w:r>
            <w:r w:rsidR="001331F1" w:rsidRPr="00B17C14">
              <w:rPr>
                <w:rFonts w:cstheme="minorHAnsi"/>
                <w:color w:val="auto"/>
                <w:kern w:val="24"/>
                <w:szCs w:val="18"/>
              </w:rPr>
              <w:t>% and 5</w:t>
            </w:r>
            <w:r>
              <w:rPr>
                <w:rFonts w:cstheme="minorHAnsi"/>
                <w:color w:val="auto"/>
                <w:kern w:val="24"/>
                <w:szCs w:val="18"/>
              </w:rPr>
              <w:t>0</w:t>
            </w:r>
            <w:r w:rsidR="001331F1" w:rsidRPr="00B17C14">
              <w:rPr>
                <w:rFonts w:cstheme="minorHAnsi"/>
                <w:color w:val="auto"/>
                <w:kern w:val="24"/>
                <w:szCs w:val="18"/>
              </w:rPr>
              <w:t>% of</w:t>
            </w:r>
            <w:r w:rsidR="001331F1" w:rsidRPr="00B17C14">
              <w:rPr>
                <w:rFonts w:cstheme="minorHAnsi"/>
                <w:color w:val="000000" w:themeColor="text1"/>
                <w:kern w:val="24"/>
                <w:szCs w:val="18"/>
              </w:rPr>
              <w:t xml:space="preserve"> active public open space (sports fields and organised recreation) is supported by an alternative water source by </w:t>
            </w:r>
            <w:r w:rsidR="001331F1" w:rsidRPr="00B17C14">
              <w:rPr>
                <w:rFonts w:cstheme="minorHAnsi"/>
                <w:b/>
                <w:bCs/>
                <w:color w:val="000000" w:themeColor="text1"/>
                <w:kern w:val="24"/>
                <w:szCs w:val="18"/>
              </w:rPr>
              <w:t>2030</w:t>
            </w:r>
            <w:r w:rsidR="001331F1" w:rsidRPr="00B17C14">
              <w:rPr>
                <w:rFonts w:cstheme="minorHAnsi"/>
                <w:color w:val="000000" w:themeColor="text1"/>
                <w:kern w:val="24"/>
                <w:szCs w:val="18"/>
              </w:rPr>
              <w:t xml:space="preserve"> and </w:t>
            </w:r>
            <w:r w:rsidR="001331F1" w:rsidRPr="00B17C14">
              <w:rPr>
                <w:rFonts w:cstheme="minorHAnsi"/>
                <w:b/>
                <w:bCs/>
                <w:color w:val="000000" w:themeColor="text1"/>
                <w:kern w:val="24"/>
                <w:szCs w:val="18"/>
              </w:rPr>
              <w:t>2050</w:t>
            </w:r>
            <w:r w:rsidR="001331F1" w:rsidRPr="00B17C14">
              <w:rPr>
                <w:rFonts w:cstheme="minorHAnsi"/>
                <w:color w:val="000000" w:themeColor="text1"/>
                <w:kern w:val="24"/>
                <w:szCs w:val="18"/>
              </w:rPr>
              <w:t xml:space="preserve"> respectively, for the </w:t>
            </w:r>
            <w:r w:rsidR="001331F1" w:rsidRPr="00B17C14">
              <w:rPr>
                <w:rFonts w:cstheme="minorHAnsi"/>
                <w:b/>
                <w:bCs/>
                <w:color w:val="000000" w:themeColor="text1"/>
                <w:kern w:val="24"/>
                <w:szCs w:val="18"/>
              </w:rPr>
              <w:t>catchment</w:t>
            </w:r>
          </w:p>
        </w:tc>
      </w:tr>
      <w:tr w:rsidR="001331F1" w:rsidRPr="006053A5" w14:paraId="270431EC" w14:textId="77777777" w:rsidTr="00251DFE">
        <w:trPr>
          <w:trHeight w:val="548"/>
        </w:trPr>
        <w:tc>
          <w:tcPr>
            <w:tcW w:w="9498" w:type="dxa"/>
            <w:hideMark/>
          </w:tcPr>
          <w:p w14:paraId="77BCF4B1" w14:textId="77777777" w:rsidR="001331F1" w:rsidRPr="006053A5" w:rsidRDefault="001331F1" w:rsidP="0060254E">
            <w:pPr>
              <w:spacing w:after="0" w:line="240" w:lineRule="auto"/>
              <w:rPr>
                <w:rFonts w:cstheme="minorHAnsi"/>
                <w:szCs w:val="18"/>
              </w:rPr>
            </w:pPr>
            <w:r w:rsidRPr="00B17C14">
              <w:rPr>
                <w:rFonts w:cstheme="minorHAnsi"/>
                <w:color w:val="auto"/>
                <w:kern w:val="24"/>
                <w:szCs w:val="18"/>
              </w:rPr>
              <w:t>19% and 48% of a</w:t>
            </w:r>
            <w:r w:rsidRPr="00B17C14">
              <w:rPr>
                <w:rFonts w:cstheme="minorHAnsi"/>
                <w:color w:val="000000" w:themeColor="text1"/>
                <w:kern w:val="24"/>
                <w:szCs w:val="18"/>
              </w:rPr>
              <w:t xml:space="preserve">ctive public open space (sports fields and organised recreation) is supported by an alternative water source by </w:t>
            </w:r>
            <w:r w:rsidRPr="00B17C14">
              <w:rPr>
                <w:rFonts w:cstheme="minorHAnsi"/>
                <w:b/>
                <w:bCs/>
                <w:color w:val="000000" w:themeColor="text1"/>
                <w:kern w:val="24"/>
                <w:szCs w:val="18"/>
              </w:rPr>
              <w:t>2030</w:t>
            </w:r>
            <w:r w:rsidRPr="00B17C14">
              <w:rPr>
                <w:rFonts w:cstheme="minorHAnsi"/>
                <w:color w:val="000000" w:themeColor="text1"/>
                <w:kern w:val="24"/>
                <w:szCs w:val="18"/>
              </w:rPr>
              <w:t xml:space="preserve"> and </w:t>
            </w:r>
            <w:r w:rsidRPr="00B17C14">
              <w:rPr>
                <w:rFonts w:cstheme="minorHAnsi"/>
                <w:b/>
                <w:bCs/>
                <w:color w:val="000000" w:themeColor="text1"/>
                <w:kern w:val="24"/>
                <w:szCs w:val="18"/>
              </w:rPr>
              <w:t>2050</w:t>
            </w:r>
            <w:r w:rsidRPr="00B17C14">
              <w:rPr>
                <w:rFonts w:cstheme="minorHAnsi"/>
                <w:color w:val="000000" w:themeColor="text1"/>
                <w:kern w:val="24"/>
                <w:szCs w:val="18"/>
              </w:rPr>
              <w:t xml:space="preserve"> respectively, for the </w:t>
            </w:r>
            <w:r w:rsidRPr="00B17C14">
              <w:rPr>
                <w:rFonts w:cstheme="minorHAnsi"/>
                <w:b/>
                <w:bCs/>
                <w:color w:val="000000" w:themeColor="text1"/>
                <w:kern w:val="24"/>
                <w:szCs w:val="18"/>
              </w:rPr>
              <w:t>Greater Melbourne Region</w:t>
            </w:r>
            <w:r w:rsidRPr="00B17C14">
              <w:rPr>
                <w:rFonts w:cstheme="minorHAnsi"/>
                <w:color w:val="000000" w:themeColor="text1"/>
                <w:kern w:val="24"/>
                <w:szCs w:val="18"/>
              </w:rPr>
              <w:t xml:space="preserve"> </w:t>
            </w:r>
          </w:p>
        </w:tc>
      </w:tr>
      <w:tr w:rsidR="001331F1" w:rsidRPr="006053A5" w14:paraId="6BFADC13" w14:textId="77777777" w:rsidTr="00251DFE">
        <w:trPr>
          <w:trHeight w:val="548"/>
        </w:trPr>
        <w:tc>
          <w:tcPr>
            <w:tcW w:w="9498" w:type="dxa"/>
            <w:hideMark/>
          </w:tcPr>
          <w:p w14:paraId="66FBFBE1" w14:textId="551F4791" w:rsidR="001331F1" w:rsidRPr="006053A5" w:rsidRDefault="00B4564C" w:rsidP="0060254E">
            <w:pPr>
              <w:spacing w:after="0" w:line="240" w:lineRule="auto"/>
              <w:rPr>
                <w:rFonts w:cstheme="minorHAnsi"/>
                <w:szCs w:val="18"/>
              </w:rPr>
            </w:pPr>
            <w:r>
              <w:rPr>
                <w:rFonts w:cstheme="minorHAnsi"/>
                <w:color w:val="auto"/>
                <w:kern w:val="24"/>
                <w:szCs w:val="18"/>
              </w:rPr>
              <w:t>2</w:t>
            </w:r>
            <w:r w:rsidR="001331F1" w:rsidRPr="00B17C14">
              <w:rPr>
                <w:rFonts w:cstheme="minorHAnsi"/>
                <w:color w:val="auto"/>
                <w:kern w:val="24"/>
                <w:szCs w:val="18"/>
              </w:rPr>
              <w:t xml:space="preserve">% and </w:t>
            </w:r>
            <w:r>
              <w:rPr>
                <w:rFonts w:cstheme="minorHAnsi"/>
                <w:color w:val="auto"/>
                <w:kern w:val="24"/>
                <w:szCs w:val="18"/>
              </w:rPr>
              <w:t>30</w:t>
            </w:r>
            <w:r w:rsidR="001331F1" w:rsidRPr="00B17C14">
              <w:rPr>
                <w:rFonts w:cstheme="minorHAnsi"/>
                <w:color w:val="auto"/>
                <w:kern w:val="24"/>
                <w:szCs w:val="18"/>
              </w:rPr>
              <w:t>% of p</w:t>
            </w:r>
            <w:r w:rsidR="001331F1" w:rsidRPr="00B17C14">
              <w:rPr>
                <w:rFonts w:cstheme="minorHAnsi"/>
                <w:color w:val="000000" w:themeColor="text1"/>
                <w:kern w:val="24"/>
                <w:szCs w:val="18"/>
              </w:rPr>
              <w:t xml:space="preserve">assive public open space (parkland and gardens) is supported by an alternative water source </w:t>
            </w:r>
            <w:r w:rsidR="001331F1" w:rsidRPr="00B17C14">
              <w:rPr>
                <w:rFonts w:eastAsiaTheme="minorEastAsia" w:cstheme="minorHAnsi"/>
                <w:color w:val="393838"/>
                <w:kern w:val="24"/>
                <w:szCs w:val="18"/>
              </w:rPr>
              <w:t xml:space="preserve">by </w:t>
            </w:r>
            <w:r w:rsidR="001331F1" w:rsidRPr="00B17C14">
              <w:rPr>
                <w:rFonts w:eastAsiaTheme="minorEastAsia" w:cstheme="minorHAnsi"/>
                <w:b/>
                <w:bCs/>
                <w:color w:val="393838"/>
                <w:kern w:val="24"/>
                <w:szCs w:val="18"/>
              </w:rPr>
              <w:t>2030</w:t>
            </w:r>
            <w:r w:rsidR="001331F1" w:rsidRPr="00B17C14">
              <w:rPr>
                <w:rFonts w:eastAsiaTheme="minorEastAsia" w:cstheme="minorHAnsi"/>
                <w:color w:val="393838"/>
                <w:kern w:val="24"/>
                <w:szCs w:val="18"/>
              </w:rPr>
              <w:t xml:space="preserve"> and </w:t>
            </w:r>
            <w:r w:rsidR="001331F1" w:rsidRPr="00B17C14">
              <w:rPr>
                <w:rFonts w:eastAsiaTheme="minorEastAsia" w:cstheme="minorHAnsi"/>
                <w:b/>
                <w:bCs/>
                <w:color w:val="393838"/>
                <w:kern w:val="24"/>
                <w:szCs w:val="18"/>
              </w:rPr>
              <w:t>2050</w:t>
            </w:r>
            <w:r w:rsidR="001331F1" w:rsidRPr="00B17C14">
              <w:rPr>
                <w:rFonts w:eastAsiaTheme="minorEastAsia" w:cstheme="minorHAnsi"/>
                <w:color w:val="393838"/>
                <w:kern w:val="24"/>
                <w:szCs w:val="18"/>
              </w:rPr>
              <w:t xml:space="preserve"> respectively, </w:t>
            </w:r>
            <w:r w:rsidR="001331F1" w:rsidRPr="00B17C14">
              <w:rPr>
                <w:rFonts w:cstheme="minorHAnsi"/>
                <w:color w:val="000000" w:themeColor="text1"/>
                <w:kern w:val="24"/>
                <w:szCs w:val="18"/>
              </w:rPr>
              <w:t xml:space="preserve">for the </w:t>
            </w:r>
            <w:r w:rsidR="001331F1" w:rsidRPr="00B17C14">
              <w:rPr>
                <w:rFonts w:cstheme="minorHAnsi"/>
                <w:b/>
                <w:bCs/>
                <w:color w:val="000000" w:themeColor="text1"/>
                <w:kern w:val="24"/>
                <w:szCs w:val="18"/>
              </w:rPr>
              <w:t>catchment</w:t>
            </w:r>
            <w:r w:rsidR="001331F1" w:rsidRPr="00B17C14">
              <w:rPr>
                <w:rFonts w:cstheme="minorHAnsi"/>
                <w:color w:val="000000" w:themeColor="text1"/>
                <w:kern w:val="24"/>
                <w:szCs w:val="18"/>
              </w:rPr>
              <w:t xml:space="preserve"> </w:t>
            </w:r>
          </w:p>
        </w:tc>
      </w:tr>
      <w:tr w:rsidR="001331F1" w:rsidRPr="006053A5" w14:paraId="6740D306" w14:textId="77777777" w:rsidTr="00251DFE">
        <w:trPr>
          <w:trHeight w:val="542"/>
        </w:trPr>
        <w:tc>
          <w:tcPr>
            <w:tcW w:w="9498" w:type="dxa"/>
            <w:hideMark/>
          </w:tcPr>
          <w:p w14:paraId="11D9AFFA" w14:textId="77777777" w:rsidR="001331F1" w:rsidRPr="006053A5" w:rsidRDefault="001331F1" w:rsidP="0060254E">
            <w:pPr>
              <w:spacing w:after="0" w:line="240" w:lineRule="auto"/>
              <w:rPr>
                <w:rFonts w:cstheme="minorHAnsi"/>
                <w:szCs w:val="18"/>
              </w:rPr>
            </w:pPr>
            <w:r w:rsidRPr="00B17C14">
              <w:rPr>
                <w:rFonts w:cstheme="minorHAnsi"/>
                <w:color w:val="auto"/>
                <w:kern w:val="24"/>
                <w:szCs w:val="18"/>
              </w:rPr>
              <w:t xml:space="preserve">6% and 28% of </w:t>
            </w:r>
            <w:r w:rsidRPr="00B17C14">
              <w:rPr>
                <w:rFonts w:cstheme="minorHAnsi"/>
                <w:color w:val="000000" w:themeColor="text1"/>
                <w:kern w:val="24"/>
                <w:szCs w:val="18"/>
              </w:rPr>
              <w:t xml:space="preserve">passive public open space (parkland and gardens) is supported by an alternative water source by </w:t>
            </w:r>
            <w:r w:rsidRPr="00B17C14">
              <w:rPr>
                <w:rFonts w:cstheme="minorHAnsi"/>
                <w:b/>
                <w:bCs/>
                <w:color w:val="000000" w:themeColor="text1"/>
                <w:kern w:val="24"/>
                <w:szCs w:val="18"/>
              </w:rPr>
              <w:t>2030</w:t>
            </w:r>
            <w:r w:rsidRPr="00B17C14">
              <w:rPr>
                <w:rFonts w:cstheme="minorHAnsi"/>
                <w:color w:val="000000" w:themeColor="text1"/>
                <w:kern w:val="24"/>
                <w:szCs w:val="18"/>
              </w:rPr>
              <w:t xml:space="preserve"> and </w:t>
            </w:r>
            <w:r w:rsidRPr="00B17C14">
              <w:rPr>
                <w:rFonts w:cstheme="minorHAnsi"/>
                <w:b/>
                <w:bCs/>
                <w:color w:val="000000" w:themeColor="text1"/>
                <w:kern w:val="24"/>
                <w:szCs w:val="18"/>
              </w:rPr>
              <w:t>2050</w:t>
            </w:r>
            <w:r w:rsidRPr="00B17C14">
              <w:rPr>
                <w:rFonts w:cstheme="minorHAnsi"/>
                <w:color w:val="000000" w:themeColor="text1"/>
                <w:kern w:val="24"/>
                <w:szCs w:val="18"/>
              </w:rPr>
              <w:t xml:space="preserve"> respectively, for the </w:t>
            </w:r>
            <w:r w:rsidRPr="00B17C14">
              <w:rPr>
                <w:rFonts w:cstheme="minorHAnsi"/>
                <w:b/>
                <w:bCs/>
                <w:color w:val="000000" w:themeColor="text1"/>
                <w:kern w:val="24"/>
                <w:szCs w:val="18"/>
              </w:rPr>
              <w:t>Greater Melbourne Region</w:t>
            </w:r>
            <w:r w:rsidRPr="00B17C14">
              <w:rPr>
                <w:rFonts w:cstheme="minorHAnsi"/>
                <w:color w:val="000000" w:themeColor="text1"/>
                <w:kern w:val="24"/>
                <w:szCs w:val="18"/>
              </w:rPr>
              <w:t xml:space="preserve"> </w:t>
            </w:r>
          </w:p>
        </w:tc>
      </w:tr>
    </w:tbl>
    <w:p w14:paraId="01BE58CE" w14:textId="77777777" w:rsidR="00B4564C" w:rsidRDefault="00B4564C">
      <w:bookmarkStart w:id="8" w:name="_Toc71903566"/>
      <w:r>
        <w:rPr>
          <w:b/>
          <w:bCs/>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1938"/>
      </w:tblGrid>
      <w:tr w:rsidR="00FD07E6" w14:paraId="76268061" w14:textId="77777777" w:rsidTr="00F70456">
        <w:tc>
          <w:tcPr>
            <w:tcW w:w="7088" w:type="dxa"/>
          </w:tcPr>
          <w:p w14:paraId="7A15F115" w14:textId="2C097445" w:rsidR="00FD07E6" w:rsidRPr="00DF3600" w:rsidRDefault="00FD07E6" w:rsidP="00F70456">
            <w:pPr>
              <w:pStyle w:val="Heading1"/>
              <w:outlineLvl w:val="0"/>
              <w:rPr>
                <w:rFonts w:ascii="Arial" w:hAnsi="Arial" w:cs="Arial"/>
                <w:b w:val="0"/>
                <w:bCs w:val="0"/>
                <w:color w:val="44C1A3"/>
                <w:szCs w:val="36"/>
              </w:rPr>
            </w:pPr>
            <w:r w:rsidRPr="00DF3600">
              <w:rPr>
                <w:rFonts w:ascii="Arial" w:hAnsi="Arial" w:cs="Arial"/>
                <w:color w:val="44C1A3"/>
                <w:szCs w:val="36"/>
              </w:rPr>
              <w:lastRenderedPageBreak/>
              <w:t xml:space="preserve">Strategic Outcome </w:t>
            </w:r>
            <w:r>
              <w:rPr>
                <w:rFonts w:ascii="Arial" w:hAnsi="Arial" w:cs="Arial"/>
                <w:color w:val="44C1A3"/>
                <w:szCs w:val="36"/>
              </w:rPr>
              <w:t>6</w:t>
            </w:r>
            <w:r w:rsidRPr="00DF3600">
              <w:rPr>
                <w:rFonts w:ascii="Arial" w:hAnsi="Arial" w:cs="Arial"/>
                <w:b w:val="0"/>
                <w:bCs w:val="0"/>
                <w:color w:val="44C1A3"/>
                <w:szCs w:val="36"/>
              </w:rPr>
              <w:t xml:space="preserve"> </w:t>
            </w:r>
            <w:r>
              <w:rPr>
                <w:rFonts w:ascii="Arial" w:hAnsi="Arial" w:cs="Arial"/>
                <w:b w:val="0"/>
                <w:bCs w:val="0"/>
                <w:color w:val="44C1A3"/>
                <w:szCs w:val="36"/>
              </w:rPr>
              <w:t>–</w:t>
            </w:r>
            <w:r w:rsidRPr="00DF3600">
              <w:rPr>
                <w:rFonts w:ascii="Arial" w:hAnsi="Arial" w:cs="Arial"/>
                <w:b w:val="0"/>
                <w:bCs w:val="0"/>
                <w:color w:val="44C1A3"/>
                <w:szCs w:val="36"/>
              </w:rPr>
              <w:t xml:space="preserve"> </w:t>
            </w:r>
            <w:r>
              <w:rPr>
                <w:rFonts w:ascii="Arial" w:hAnsi="Arial" w:cs="Arial"/>
                <w:b w:val="0"/>
                <w:bCs w:val="0"/>
                <w:color w:val="44C1A3"/>
                <w:szCs w:val="36"/>
              </w:rPr>
              <w:t>Community values are reflected in place-based planning</w:t>
            </w:r>
            <w:bookmarkEnd w:id="8"/>
          </w:p>
          <w:p w14:paraId="36CEBE4C" w14:textId="77777777" w:rsidR="00FD07E6" w:rsidRDefault="00FD07E6" w:rsidP="00F70456">
            <w:pPr>
              <w:pStyle w:val="BodyText"/>
              <w:rPr>
                <w:rFonts w:ascii="Arial" w:hAnsi="Arial" w:cs="Arial"/>
                <w:color w:val="44C1A3"/>
                <w:sz w:val="36"/>
                <w:szCs w:val="36"/>
              </w:rPr>
            </w:pPr>
          </w:p>
        </w:tc>
        <w:tc>
          <w:tcPr>
            <w:tcW w:w="1938" w:type="dxa"/>
          </w:tcPr>
          <w:p w14:paraId="34673344" w14:textId="77777777" w:rsidR="00FD07E6" w:rsidRDefault="00FD07E6" w:rsidP="00F70456">
            <w:pPr>
              <w:pStyle w:val="BodyText"/>
              <w:rPr>
                <w:rFonts w:ascii="Arial" w:hAnsi="Arial" w:cs="Arial"/>
                <w:color w:val="44C1A3"/>
                <w:sz w:val="36"/>
                <w:szCs w:val="36"/>
              </w:rPr>
            </w:pPr>
            <w:r>
              <w:rPr>
                <w:noProof/>
              </w:rPr>
              <w:drawing>
                <wp:inline distT="0" distB="0" distL="0" distR="0" wp14:anchorId="3E1810C9" wp14:editId="5B3D3085">
                  <wp:extent cx="900684" cy="900684"/>
                  <wp:effectExtent l="0" t="0" r="0" b="0"/>
                  <wp:docPr id="257" name="Picture 257"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pic:nvPicPr>
                        <pic:blipFill>
                          <a:blip r:embed="rId20">
                            <a:extLst>
                              <a:ext uri="{28A0092B-C50C-407E-A947-70E740481C1C}">
                                <a14:useLocalDpi xmlns:a14="http://schemas.microsoft.com/office/drawing/2010/main" val="0"/>
                              </a:ext>
                            </a:extLst>
                          </a:blip>
                          <a:stretch>
                            <a:fillRect/>
                          </a:stretch>
                        </pic:blipFill>
                        <pic:spPr>
                          <a:xfrm>
                            <a:off x="0" y="0"/>
                            <a:ext cx="900684" cy="900684"/>
                          </a:xfrm>
                          <a:prstGeom prst="rect">
                            <a:avLst/>
                          </a:prstGeom>
                        </pic:spPr>
                      </pic:pic>
                    </a:graphicData>
                  </a:graphic>
                </wp:inline>
              </w:drawing>
            </w:r>
          </w:p>
        </w:tc>
      </w:tr>
    </w:tbl>
    <w:p w14:paraId="251036E0" w14:textId="657EEA7D" w:rsidR="00BA0810" w:rsidRPr="00FD07E6" w:rsidRDefault="00FD07E6" w:rsidP="00FD07E6">
      <w:pPr>
        <w:rPr>
          <w:rStyle w:val="Strong"/>
        </w:rPr>
      </w:pPr>
      <w:r w:rsidRPr="00FD07E6">
        <w:rPr>
          <w:rStyle w:val="Strong"/>
        </w:rPr>
        <w:t>This strategic outcome explores the benefits provided to local communities through effective IWM planning. Measures for this outcome include community understanding of water and Traditional Owner perceptions around how well IWM initiatives incorporate Aboriginal values, as well as how proposed initiatives support amenity, health and well-being which are important values to all communities.</w:t>
      </w:r>
    </w:p>
    <w:p w14:paraId="6FB4BD01" w14:textId="77777777" w:rsidR="00FD07E6" w:rsidRDefault="00FD07E6" w:rsidP="00FD07E6">
      <w:pPr>
        <w:keepNext/>
        <w:keepLines/>
        <w:tabs>
          <w:tab w:val="num" w:pos="0"/>
        </w:tabs>
        <w:spacing w:after="0" w:line="240" w:lineRule="auto"/>
        <w:outlineLvl w:val="0"/>
        <w:rPr>
          <w:rFonts w:ascii="Calibri" w:eastAsia="Meiryo" w:hAnsi="Calibri" w:cs="Arial"/>
          <w:b/>
          <w:bCs/>
          <w:color w:val="029676"/>
          <w:sz w:val="36"/>
          <w:szCs w:val="28"/>
          <w:lang w:eastAsia="en-AU"/>
        </w:rPr>
      </w:pPr>
      <w:r w:rsidRPr="00ED7A1E">
        <w:rPr>
          <w:rFonts w:ascii="Calibri" w:eastAsia="Meiryo" w:hAnsi="Calibri" w:cs="Arial"/>
          <w:b/>
          <w:bCs/>
          <w:color w:val="029676"/>
          <w:sz w:val="36"/>
          <w:szCs w:val="28"/>
          <w:lang w:eastAsia="en-AU"/>
        </w:rPr>
        <w:t>The case for change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067"/>
      </w:tblGrid>
      <w:tr w:rsidR="00FD07E6" w14:paraId="06A7264F" w14:textId="77777777" w:rsidTr="00F70456">
        <w:trPr>
          <w:trHeight w:val="2978"/>
        </w:trPr>
        <w:tc>
          <w:tcPr>
            <w:tcW w:w="5949" w:type="dxa"/>
          </w:tcPr>
          <w:p w14:paraId="0A15BE64" w14:textId="2144E87B" w:rsidR="00FD07E6" w:rsidRDefault="0064041C" w:rsidP="00F70456">
            <w:pPr>
              <w:pStyle w:val="BodyText"/>
              <w:rPr>
                <w:rFonts w:ascii="Calibri" w:hAnsi="Calibri" w:cs="Arial"/>
                <w:b/>
                <w:bCs/>
                <w:iCs/>
                <w:color w:val="0989B1"/>
                <w:kern w:val="20"/>
                <w:sz w:val="24"/>
                <w:szCs w:val="28"/>
              </w:rPr>
            </w:pPr>
            <w:r>
              <w:rPr>
                <w:rFonts w:ascii="Calibri" w:hAnsi="Calibri" w:cs="Arial"/>
                <w:b/>
                <w:bCs/>
                <w:iCs/>
                <w:color w:val="0989B1"/>
                <w:kern w:val="20"/>
                <w:sz w:val="24"/>
                <w:szCs w:val="28"/>
              </w:rPr>
              <w:t>Traditional Owner Values</w:t>
            </w:r>
          </w:p>
          <w:p w14:paraId="7F35C1B7" w14:textId="2285FAF9" w:rsidR="00FD07E6" w:rsidRPr="0064041C" w:rsidRDefault="00716DF2" w:rsidP="0064041C">
            <w:pPr>
              <w:pStyle w:val="BodyText"/>
              <w:spacing w:before="0" w:after="0" w:line="240" w:lineRule="auto"/>
            </w:pPr>
            <w:r>
              <w:t xml:space="preserve">Traditional Owners and </w:t>
            </w:r>
            <w:r w:rsidR="002D19B6">
              <w:t>A</w:t>
            </w:r>
            <w:r>
              <w:t>boriginal Victorians</w:t>
            </w:r>
            <w:r w:rsidRPr="0095769D">
              <w:t xml:space="preserve"> </w:t>
            </w:r>
            <w:r w:rsidR="0064041C" w:rsidRPr="0095769D">
              <w:t>have a strong cultural, spiritual and economic connection to water, gathered from the sustainable management of land, water and resources over thousands of generations.</w:t>
            </w:r>
            <w:r w:rsidR="009E79F8">
              <w:t xml:space="preserve"> </w:t>
            </w:r>
            <w:r w:rsidR="009E79F8" w:rsidRPr="00744FD1">
              <w:rPr>
                <w:i/>
                <w:iCs/>
              </w:rPr>
              <w:t>Water for Victoria</w:t>
            </w:r>
            <w:r w:rsidR="0092302F" w:rsidRPr="0092302F">
              <w:rPr>
                <w:vertAlign w:val="superscript"/>
              </w:rPr>
              <w:t>16</w:t>
            </w:r>
            <w:r w:rsidR="009E79F8">
              <w:rPr>
                <w:i/>
                <w:iCs/>
              </w:rPr>
              <w:t xml:space="preserve"> </w:t>
            </w:r>
            <w:r w:rsidR="0064041C" w:rsidRPr="0095769D">
              <w:t xml:space="preserve">outlines Traditional Owners and Aboriginal Victorians' role in the management of the state’s water resources. It includes provisions to recognise and incorporate </w:t>
            </w:r>
            <w:r w:rsidR="0064041C">
              <w:t>A</w:t>
            </w:r>
            <w:r w:rsidR="0064041C" w:rsidRPr="0095769D">
              <w:t xml:space="preserve">boriginal values and knowledge in water planning and to support </w:t>
            </w:r>
            <w:r w:rsidR="0064041C">
              <w:t>A</w:t>
            </w:r>
            <w:r w:rsidR="0064041C" w:rsidRPr="0095769D">
              <w:t>boriginal participation in water management.</w:t>
            </w:r>
            <w:r w:rsidR="0064041C">
              <w:t xml:space="preserve"> </w:t>
            </w:r>
            <w:r w:rsidR="0064041C" w:rsidRPr="0095769D">
              <w:t xml:space="preserve">Respecting the connection to Country of Traditional Owners can positively impact on health, </w:t>
            </w:r>
            <w:r w:rsidR="0064041C">
              <w:t>well-being</w:t>
            </w:r>
            <w:r w:rsidR="0064041C" w:rsidRPr="0095769D">
              <w:t xml:space="preserve"> and cultural identity</w:t>
            </w:r>
            <w:r w:rsidR="0064041C">
              <w:t>.</w:t>
            </w:r>
          </w:p>
        </w:tc>
        <w:tc>
          <w:tcPr>
            <w:tcW w:w="3067" w:type="dxa"/>
          </w:tcPr>
          <w:p w14:paraId="4C557CF2" w14:textId="77777777" w:rsidR="00FD07E6" w:rsidRDefault="00FD07E6" w:rsidP="00F70456">
            <w:pPr>
              <w:pStyle w:val="BodyText"/>
              <w:rPr>
                <w:color w:val="002060"/>
              </w:rPr>
            </w:pPr>
          </w:p>
        </w:tc>
      </w:tr>
      <w:tr w:rsidR="00FD07E6" w14:paraId="4299E29F" w14:textId="77777777" w:rsidTr="005B0DA8">
        <w:trPr>
          <w:trHeight w:val="2978"/>
        </w:trPr>
        <w:tc>
          <w:tcPr>
            <w:tcW w:w="5949" w:type="dxa"/>
          </w:tcPr>
          <w:p w14:paraId="557568BC" w14:textId="6D417336" w:rsidR="00FD07E6" w:rsidRDefault="0064041C" w:rsidP="00F70456">
            <w:pPr>
              <w:pStyle w:val="BodyText"/>
              <w:rPr>
                <w:rFonts w:ascii="Calibri" w:hAnsi="Calibri" w:cs="Arial"/>
                <w:b/>
                <w:bCs/>
                <w:iCs/>
                <w:color w:val="0989B1"/>
                <w:kern w:val="20"/>
                <w:sz w:val="24"/>
                <w:szCs w:val="28"/>
              </w:rPr>
            </w:pPr>
            <w:r>
              <w:rPr>
                <w:rFonts w:ascii="Calibri" w:hAnsi="Calibri" w:cs="Arial"/>
                <w:b/>
                <w:bCs/>
                <w:iCs/>
                <w:color w:val="0989B1"/>
                <w:kern w:val="20"/>
                <w:sz w:val="24"/>
                <w:szCs w:val="28"/>
              </w:rPr>
              <w:t>Sense of place and amenity</w:t>
            </w:r>
          </w:p>
          <w:p w14:paraId="6E6C6B0A" w14:textId="06E3BEA6" w:rsidR="00FD07E6" w:rsidRDefault="0064041C" w:rsidP="00F70456">
            <w:pPr>
              <w:pStyle w:val="BodyText"/>
              <w:spacing w:before="0" w:after="0"/>
              <w:jc w:val="both"/>
            </w:pPr>
            <w:r w:rsidRPr="0095769D">
              <w:t>Sense of place and satisfaction with local amenity are broad concepts that planners and local governments work hard to enhance. Water can play a significant role in enhancing amenity and local character through the integration and enhancement of blue-green infrastructure, such as waterways, wetlands, and other stormwater management assets. Greener neighbourhoods and access to quality open space, waterways, lakes</w:t>
            </w:r>
            <w:r>
              <w:t xml:space="preserve"> </w:t>
            </w:r>
            <w:r w:rsidRPr="0095769D">
              <w:t>and beaches ha</w:t>
            </w:r>
            <w:r>
              <w:t>ve</w:t>
            </w:r>
            <w:r w:rsidRPr="0095769D">
              <w:t xml:space="preserve"> been shown to significantly improve both physical and mental health.</w:t>
            </w:r>
            <w:r>
              <w:rPr>
                <w:vertAlign w:val="superscript"/>
              </w:rPr>
              <w:t>1</w:t>
            </w:r>
            <w:r w:rsidR="0092302F">
              <w:rPr>
                <w:vertAlign w:val="superscript"/>
              </w:rPr>
              <w:t>7</w:t>
            </w:r>
            <w:r>
              <w:t xml:space="preserve"> R</w:t>
            </w:r>
            <w:r w:rsidRPr="00B25B75">
              <w:t>ecently, the COVID-19 pandemic has led to a growing community appreciation of the multiple health and well-being benefits that blue-green spaces in urban areas can provide.</w:t>
            </w:r>
            <w:r w:rsidR="00FE66A9">
              <w:t xml:space="preserve"> Through better integration of IWM with neighbourhood planning, we can enhance amenity and benefits for the community.</w:t>
            </w:r>
          </w:p>
          <w:p w14:paraId="5053594A" w14:textId="77777777" w:rsidR="00FD07E6" w:rsidRPr="00135514" w:rsidRDefault="00FD07E6" w:rsidP="00F70456">
            <w:pPr>
              <w:pStyle w:val="BodyText"/>
              <w:spacing w:before="0" w:after="0"/>
              <w:jc w:val="both"/>
            </w:pPr>
          </w:p>
        </w:tc>
        <w:tc>
          <w:tcPr>
            <w:tcW w:w="3067" w:type="dxa"/>
          </w:tcPr>
          <w:p w14:paraId="2077CB0B" w14:textId="3A386B7F" w:rsidR="00FD07E6" w:rsidRDefault="0003046E" w:rsidP="0064041C">
            <w:pPr>
              <w:pStyle w:val="BodyText"/>
              <w:rPr>
                <w:color w:val="002060"/>
                <w:lang w:val="en-US"/>
              </w:rPr>
            </w:pPr>
            <w:r>
              <w:rPr>
                <w:color w:val="002060"/>
                <w:lang w:val="en-US"/>
              </w:rPr>
              <w:t>530</w:t>
            </w:r>
            <w:r w:rsidR="005515B1" w:rsidRPr="0064041C">
              <w:rPr>
                <w:color w:val="002060"/>
                <w:lang w:val="en-US"/>
              </w:rPr>
              <w:t xml:space="preserve"> </w:t>
            </w:r>
            <w:r w:rsidR="0064041C" w:rsidRPr="0064041C">
              <w:rPr>
                <w:color w:val="002060"/>
                <w:lang w:val="en-US"/>
              </w:rPr>
              <w:t>hectares</w:t>
            </w:r>
          </w:p>
          <w:p w14:paraId="58B5696A" w14:textId="35F3C293" w:rsidR="0064041C" w:rsidRPr="00627E30" w:rsidRDefault="0064041C" w:rsidP="0064041C">
            <w:pPr>
              <w:pStyle w:val="BodyText"/>
              <w:rPr>
                <w:vertAlign w:val="superscript"/>
              </w:rPr>
            </w:pPr>
            <w:r>
              <w:rPr>
                <w:color w:val="002060"/>
                <w:lang w:val="en-US"/>
              </w:rPr>
              <w:t xml:space="preserve">Of </w:t>
            </w:r>
            <w:r w:rsidR="00FE66A9">
              <w:rPr>
                <w:color w:val="002060"/>
                <w:lang w:val="en-US"/>
              </w:rPr>
              <w:t xml:space="preserve">blue-green infrastructure has already been created or enhanced through IWM initiatives in the </w:t>
            </w:r>
            <w:proofErr w:type="spellStart"/>
            <w:r w:rsidR="00FE66A9">
              <w:rPr>
                <w:color w:val="002060"/>
                <w:lang w:val="en-US"/>
              </w:rPr>
              <w:t>catchment</w:t>
            </w:r>
            <w:r w:rsidR="000058CD">
              <w:rPr>
                <w:color w:val="002060"/>
                <w:vertAlign w:val="superscript"/>
                <w:lang w:val="en-US"/>
              </w:rPr>
              <w:t>m</w:t>
            </w:r>
            <w:proofErr w:type="spellEnd"/>
          </w:p>
        </w:tc>
      </w:tr>
      <w:tr w:rsidR="00FD07E6" w14:paraId="199A41C2" w14:textId="77777777" w:rsidTr="005B0DA8">
        <w:trPr>
          <w:trHeight w:val="557"/>
        </w:trPr>
        <w:tc>
          <w:tcPr>
            <w:tcW w:w="5949" w:type="dxa"/>
          </w:tcPr>
          <w:p w14:paraId="2497C2CF" w14:textId="26F9D629" w:rsidR="00FD07E6" w:rsidRDefault="0064041C" w:rsidP="00F70456">
            <w:pPr>
              <w:pStyle w:val="BodyText"/>
              <w:rPr>
                <w:rFonts w:ascii="Calibri" w:hAnsi="Calibri" w:cs="Arial"/>
                <w:b/>
                <w:bCs/>
                <w:iCs/>
                <w:color w:val="0989B1"/>
                <w:kern w:val="20"/>
                <w:sz w:val="24"/>
                <w:szCs w:val="28"/>
              </w:rPr>
            </w:pPr>
            <w:r>
              <w:rPr>
                <w:rFonts w:ascii="Calibri" w:hAnsi="Calibri" w:cs="Arial"/>
                <w:b/>
                <w:bCs/>
                <w:iCs/>
                <w:color w:val="0989B1"/>
                <w:kern w:val="20"/>
                <w:sz w:val="24"/>
                <w:szCs w:val="28"/>
              </w:rPr>
              <w:t>Community understanding of the water cycle</w:t>
            </w:r>
          </w:p>
          <w:p w14:paraId="6D1938E4" w14:textId="03306FC1" w:rsidR="005B0DA8" w:rsidRPr="00882C50" w:rsidRDefault="00FE66A9" w:rsidP="00F70456">
            <w:pPr>
              <w:pStyle w:val="BodyText"/>
              <w:spacing w:before="0" w:after="0" w:line="240" w:lineRule="auto"/>
            </w:pPr>
            <w:r w:rsidRPr="0095769D">
              <w:t xml:space="preserve">Community understanding of the water cycle has progressively changed over recent years, with a greater acknowledgement of the role that water can play in enhancing community health and </w:t>
            </w:r>
            <w:r>
              <w:t>well-being</w:t>
            </w:r>
            <w:r w:rsidRPr="0095769D">
              <w:t xml:space="preserve">, local amenity and overall urban liveability. The </w:t>
            </w:r>
            <w:r>
              <w:t>M</w:t>
            </w:r>
            <w:r w:rsidRPr="0095769D">
              <w:t xml:space="preserve">illennium </w:t>
            </w:r>
            <w:r>
              <w:t>D</w:t>
            </w:r>
            <w:r w:rsidRPr="0095769D">
              <w:t xml:space="preserve">rought highlighted the importance of water for communities, with water restrictions directly impacting neighbourhood amenity and bringing water use </w:t>
            </w:r>
            <w:r>
              <w:t xml:space="preserve">and efficiency </w:t>
            </w:r>
            <w:r w:rsidRPr="0095769D">
              <w:t>front of mind</w:t>
            </w:r>
            <w:r>
              <w:t>. It has been shown that Australians have a good knowledge of some water issues, however, Victorians tended to have some of the lowest levels of water knowledge.</w:t>
            </w:r>
            <w:r>
              <w:rPr>
                <w:vertAlign w:val="superscript"/>
              </w:rPr>
              <w:t>1</w:t>
            </w:r>
            <w:r w:rsidR="0092302F">
              <w:rPr>
                <w:vertAlign w:val="superscript"/>
              </w:rPr>
              <w:t>8</w:t>
            </w:r>
            <w:r>
              <w:t xml:space="preserve"> </w:t>
            </w:r>
            <w:r w:rsidRPr="0095769D">
              <w:t xml:space="preserve">A number of </w:t>
            </w:r>
            <w:r>
              <w:t>organisations</w:t>
            </w:r>
            <w:r w:rsidRPr="0095769D">
              <w:t xml:space="preserve"> play an important role in supporting and facilitating increased community understanding and connections to the water cycle, including councils, water </w:t>
            </w:r>
            <w:r>
              <w:t>corporations</w:t>
            </w:r>
            <w:r w:rsidRPr="0095769D">
              <w:t xml:space="preserve">, local </w:t>
            </w:r>
            <w:r>
              <w:t>L</w:t>
            </w:r>
            <w:r w:rsidRPr="0095769D">
              <w:t>andcare groups and schools.</w:t>
            </w:r>
          </w:p>
        </w:tc>
        <w:tc>
          <w:tcPr>
            <w:tcW w:w="3067" w:type="dxa"/>
            <w:tcBorders>
              <w:left w:val="nil"/>
            </w:tcBorders>
          </w:tcPr>
          <w:p w14:paraId="08BA61AC" w14:textId="77777777" w:rsidR="000C2099" w:rsidRDefault="000C2099" w:rsidP="00F70456">
            <w:pPr>
              <w:pStyle w:val="BodyText"/>
            </w:pPr>
            <w:r>
              <w:t xml:space="preserve">74% </w:t>
            </w:r>
          </w:p>
          <w:p w14:paraId="09EE64B6" w14:textId="58CA4E6B" w:rsidR="00FD07E6" w:rsidRPr="000C2099" w:rsidRDefault="000C2099" w:rsidP="00F70456">
            <w:pPr>
              <w:pStyle w:val="BodyText"/>
              <w:rPr>
                <w:color w:val="002060"/>
                <w:vertAlign w:val="superscript"/>
              </w:rPr>
            </w:pPr>
            <w:r>
              <w:t>Of Australians were found to have a clear or general sense of how the water cycle works</w:t>
            </w:r>
            <w:r>
              <w:rPr>
                <w:vertAlign w:val="superscript"/>
              </w:rPr>
              <w:t>1</w:t>
            </w:r>
            <w:r w:rsidR="0092302F">
              <w:rPr>
                <w:vertAlign w:val="superscript"/>
              </w:rPr>
              <w:t>8</w:t>
            </w:r>
          </w:p>
        </w:tc>
      </w:tr>
    </w:tbl>
    <w:p w14:paraId="1D2498B5" w14:textId="257E8E93" w:rsidR="005B0DA8" w:rsidRPr="00ED7A1E" w:rsidRDefault="00273C6C" w:rsidP="00FD1D41">
      <w:pPr>
        <w:keepNext/>
        <w:keepLines/>
        <w:tabs>
          <w:tab w:val="num" w:pos="0"/>
        </w:tabs>
        <w:spacing w:after="0" w:line="276" w:lineRule="auto"/>
        <w:outlineLvl w:val="0"/>
        <w:rPr>
          <w:rFonts w:ascii="Calibri" w:eastAsia="Times New Roman" w:hAnsi="Calibri" w:cs="Arial"/>
          <w:b/>
          <w:bCs/>
          <w:color w:val="029676"/>
          <w:sz w:val="36"/>
          <w:szCs w:val="28"/>
          <w:lang w:eastAsia="en-AU"/>
        </w:rPr>
      </w:pPr>
      <w:r>
        <w:rPr>
          <w:rFonts w:ascii="Calibri" w:eastAsia="Times New Roman" w:hAnsi="Calibri" w:cs="Arial"/>
          <w:b/>
          <w:bCs/>
          <w:color w:val="029676"/>
          <w:sz w:val="36"/>
          <w:szCs w:val="28"/>
          <w:lang w:eastAsia="en-AU"/>
        </w:rPr>
        <w:lastRenderedPageBreak/>
        <w:t>M</w:t>
      </w:r>
      <w:r w:rsidR="00CC0077">
        <w:rPr>
          <w:rFonts w:ascii="Calibri" w:eastAsia="Times New Roman" w:hAnsi="Calibri" w:cs="Arial"/>
          <w:b/>
          <w:bCs/>
          <w:color w:val="029676"/>
          <w:sz w:val="36"/>
          <w:szCs w:val="28"/>
          <w:lang w:eastAsia="en-AU"/>
        </w:rPr>
        <w:t>easuring the change we want to make</w:t>
      </w:r>
    </w:p>
    <w:tbl>
      <w:tblPr>
        <w:tblStyle w:val="TableGrid1"/>
        <w:tblW w:w="9498" w:type="dxa"/>
        <w:tblLook w:val="04A0" w:firstRow="1" w:lastRow="0" w:firstColumn="1" w:lastColumn="0" w:noHBand="0" w:noVBand="1"/>
      </w:tblPr>
      <w:tblGrid>
        <w:gridCol w:w="3249"/>
        <w:gridCol w:w="1287"/>
        <w:gridCol w:w="1276"/>
        <w:gridCol w:w="3686"/>
      </w:tblGrid>
      <w:tr w:rsidR="00FD1D41" w:rsidRPr="00E05A88" w14:paraId="4DC1F687" w14:textId="77777777" w:rsidTr="4B112C98">
        <w:trPr>
          <w:cnfStyle w:val="100000000000" w:firstRow="1" w:lastRow="0" w:firstColumn="0" w:lastColumn="0" w:oddVBand="0" w:evenVBand="0" w:oddHBand="0" w:evenHBand="0" w:firstRowFirstColumn="0" w:firstRowLastColumn="0" w:lastRowFirstColumn="0" w:lastRowLastColumn="0"/>
          <w:trHeight w:val="406"/>
          <w:tblHeader/>
        </w:trPr>
        <w:tc>
          <w:tcPr>
            <w:cnfStyle w:val="000000000100" w:firstRow="0" w:lastRow="0" w:firstColumn="0" w:lastColumn="0" w:oddVBand="0" w:evenVBand="0" w:oddHBand="0" w:evenHBand="0" w:firstRowFirstColumn="1" w:firstRowLastColumn="0" w:lastRowFirstColumn="0" w:lastRowLastColumn="0"/>
            <w:tcW w:w="3249" w:type="dxa"/>
            <w:vMerge w:val="restart"/>
          </w:tcPr>
          <w:p w14:paraId="33509FE3" w14:textId="77777777" w:rsidR="00FD1D41" w:rsidRPr="00E05A88" w:rsidRDefault="00FD1D41" w:rsidP="00FD1D41">
            <w:pPr>
              <w:rPr>
                <w:rFonts w:cs="Arial"/>
                <w:b/>
                <w:bCs/>
              </w:rPr>
            </w:pPr>
            <w:r>
              <w:rPr>
                <w:rFonts w:cs="Arial"/>
                <w:b/>
                <w:bCs/>
              </w:rPr>
              <w:t>Our measures</w:t>
            </w:r>
          </w:p>
        </w:tc>
        <w:tc>
          <w:tcPr>
            <w:tcW w:w="1287" w:type="dxa"/>
            <w:vMerge w:val="restart"/>
            <w:vAlign w:val="center"/>
          </w:tcPr>
          <w:p w14:paraId="551E413A" w14:textId="1275EDB3" w:rsidR="00FD1D41" w:rsidRDefault="00FD1D41" w:rsidP="00FD1D41">
            <w:pPr>
              <w:cnfStyle w:val="100000000000" w:firstRow="1" w:lastRow="0" w:firstColumn="0" w:lastColumn="0" w:oddVBand="0" w:evenVBand="0" w:oddHBand="0" w:evenHBand="0" w:firstRowFirstColumn="0" w:firstRowLastColumn="0" w:lastRowFirstColumn="0" w:lastRowLastColumn="0"/>
              <w:rPr>
                <w:rFonts w:cs="Arial"/>
                <w:b/>
                <w:bCs/>
              </w:rPr>
            </w:pPr>
            <w:r>
              <w:rPr>
                <w:rFonts w:cs="Arial"/>
                <w:b/>
                <w:bCs/>
              </w:rPr>
              <w:t>Scale</w:t>
            </w:r>
          </w:p>
        </w:tc>
        <w:tc>
          <w:tcPr>
            <w:tcW w:w="1276" w:type="dxa"/>
            <w:vMerge w:val="restart"/>
            <w:vAlign w:val="center"/>
          </w:tcPr>
          <w:p w14:paraId="37129132" w14:textId="79AEFCCA" w:rsidR="00FD1D41" w:rsidRDefault="00FD1D41" w:rsidP="00FD1D41">
            <w:pPr>
              <w:cnfStyle w:val="100000000000" w:firstRow="1" w:lastRow="0" w:firstColumn="0" w:lastColumn="0" w:oddVBand="0" w:evenVBand="0" w:oddHBand="0" w:evenHBand="0" w:firstRowFirstColumn="0" w:firstRowLastColumn="0" w:lastRowFirstColumn="0" w:lastRowLastColumn="0"/>
              <w:rPr>
                <w:rFonts w:cs="Arial"/>
                <w:b/>
                <w:bCs/>
              </w:rPr>
            </w:pPr>
            <w:r>
              <w:rPr>
                <w:rFonts w:cs="Arial"/>
                <w:b/>
                <w:bCs/>
              </w:rPr>
              <w:t>Our current performance (2019)</w:t>
            </w:r>
          </w:p>
        </w:tc>
        <w:tc>
          <w:tcPr>
            <w:tcW w:w="3686" w:type="dxa"/>
            <w:vMerge w:val="restart"/>
            <w:vAlign w:val="center"/>
          </w:tcPr>
          <w:p w14:paraId="169ADAA0" w14:textId="12B30F37" w:rsidR="00FD1D41" w:rsidRPr="00E05A88" w:rsidRDefault="00FD1D41" w:rsidP="00FD1D41">
            <w:pPr>
              <w:cnfStyle w:val="100000000000" w:firstRow="1" w:lastRow="0" w:firstColumn="0" w:lastColumn="0" w:oddVBand="0" w:evenVBand="0" w:oddHBand="0" w:evenHBand="0" w:firstRowFirstColumn="0" w:firstRowLastColumn="0" w:lastRowFirstColumn="0" w:lastRowLastColumn="0"/>
              <w:rPr>
                <w:rFonts w:cs="Arial"/>
                <w:b/>
                <w:bCs/>
              </w:rPr>
            </w:pPr>
            <w:r>
              <w:rPr>
                <w:rFonts w:cs="Arial"/>
                <w:b/>
                <w:bCs/>
              </w:rPr>
              <w:t>Why is this measure important?</w:t>
            </w:r>
          </w:p>
        </w:tc>
      </w:tr>
      <w:tr w:rsidR="00FD1D41" w:rsidRPr="00E05A88" w14:paraId="3E94BD82" w14:textId="77777777" w:rsidTr="4B112C98">
        <w:trPr>
          <w:cnfStyle w:val="100000000000" w:firstRow="1" w:lastRow="0" w:firstColumn="0" w:lastColumn="0" w:oddVBand="0" w:evenVBand="0" w:oddHBand="0" w:evenHBand="0" w:firstRowFirstColumn="0" w:firstRowLastColumn="0" w:lastRowFirstColumn="0" w:lastRowLastColumn="0"/>
          <w:trHeight w:val="406"/>
          <w:tblHeader/>
        </w:trPr>
        <w:tc>
          <w:tcPr>
            <w:cnfStyle w:val="000000000100" w:firstRow="0" w:lastRow="0" w:firstColumn="0" w:lastColumn="0" w:oddVBand="0" w:evenVBand="0" w:oddHBand="0" w:evenHBand="0" w:firstRowFirstColumn="1" w:firstRowLastColumn="0" w:lastRowFirstColumn="0" w:lastRowLastColumn="0"/>
            <w:tcW w:w="3249" w:type="dxa"/>
            <w:vMerge/>
          </w:tcPr>
          <w:p w14:paraId="251B810C" w14:textId="77777777" w:rsidR="00FD1D41" w:rsidRPr="00E05A88" w:rsidRDefault="00FD1D41" w:rsidP="00F70456">
            <w:pPr>
              <w:rPr>
                <w:rFonts w:cs="Arial"/>
              </w:rPr>
            </w:pPr>
          </w:p>
        </w:tc>
        <w:tc>
          <w:tcPr>
            <w:tcW w:w="1287" w:type="dxa"/>
            <w:vMerge/>
          </w:tcPr>
          <w:p w14:paraId="2B326155" w14:textId="414F4454" w:rsidR="00FD1D41" w:rsidRPr="00E05A88" w:rsidRDefault="00FD1D41" w:rsidP="00F70456">
            <w:pPr>
              <w:jc w:val="center"/>
              <w:cnfStyle w:val="100000000000" w:firstRow="1" w:lastRow="0" w:firstColumn="0" w:lastColumn="0" w:oddVBand="0" w:evenVBand="0" w:oddHBand="0" w:evenHBand="0" w:firstRowFirstColumn="0" w:firstRowLastColumn="0" w:lastRowFirstColumn="0" w:lastRowLastColumn="0"/>
              <w:rPr>
                <w:rFonts w:cs="Arial"/>
              </w:rPr>
            </w:pPr>
          </w:p>
        </w:tc>
        <w:tc>
          <w:tcPr>
            <w:tcW w:w="1276" w:type="dxa"/>
            <w:vMerge/>
          </w:tcPr>
          <w:p w14:paraId="46CCC7A8" w14:textId="6D21F138" w:rsidR="00FD1D41" w:rsidRPr="00E05A88" w:rsidRDefault="00FD1D41" w:rsidP="00FD1D41">
            <w:pPr>
              <w:cnfStyle w:val="100000000000" w:firstRow="1" w:lastRow="0" w:firstColumn="0" w:lastColumn="0" w:oddVBand="0" w:evenVBand="0" w:oddHBand="0" w:evenHBand="0" w:firstRowFirstColumn="0" w:firstRowLastColumn="0" w:lastRowFirstColumn="0" w:lastRowLastColumn="0"/>
              <w:rPr>
                <w:rFonts w:cs="Arial"/>
              </w:rPr>
            </w:pPr>
          </w:p>
        </w:tc>
        <w:tc>
          <w:tcPr>
            <w:tcW w:w="3686" w:type="dxa"/>
            <w:vMerge/>
          </w:tcPr>
          <w:p w14:paraId="4B3EAD8C" w14:textId="77777777" w:rsidR="00FD1D41" w:rsidRPr="00E05A88" w:rsidRDefault="00FD1D41" w:rsidP="00F70456">
            <w:pPr>
              <w:cnfStyle w:val="100000000000" w:firstRow="1" w:lastRow="0" w:firstColumn="0" w:lastColumn="0" w:oddVBand="0" w:evenVBand="0" w:oddHBand="0" w:evenHBand="0" w:firstRowFirstColumn="0" w:firstRowLastColumn="0" w:lastRowFirstColumn="0" w:lastRowLastColumn="0"/>
              <w:rPr>
                <w:rFonts w:cs="Arial"/>
              </w:rPr>
            </w:pPr>
          </w:p>
        </w:tc>
      </w:tr>
      <w:tr w:rsidR="00FD1D41" w:rsidRPr="00E05A88" w14:paraId="1CB504A6" w14:textId="77777777" w:rsidTr="4B112C98">
        <w:trPr>
          <w:trHeight w:val="406"/>
        </w:trPr>
        <w:tc>
          <w:tcPr>
            <w:tcW w:w="3249" w:type="dxa"/>
            <w:vMerge w:val="restart"/>
          </w:tcPr>
          <w:p w14:paraId="6B370269" w14:textId="68F15B98" w:rsidR="00FD1D41" w:rsidRPr="00E05A88" w:rsidRDefault="00FD1D41" w:rsidP="00F70456">
            <w:pPr>
              <w:rPr>
                <w:rFonts w:ascii="Calibri" w:hAnsi="Calibri" w:cs="Arial"/>
              </w:rPr>
            </w:pPr>
            <w:r w:rsidRPr="005B0DA8">
              <w:rPr>
                <w:rFonts w:ascii="Calibri" w:hAnsi="Calibri" w:cs="Arial"/>
              </w:rPr>
              <w:t>6.1a Traditional Owners’ capacity to partner in IWM programs, policy, planning and projects</w:t>
            </w:r>
            <w:r>
              <w:rPr>
                <w:rFonts w:ascii="Calibri" w:hAnsi="Calibri" w:cs="Arial"/>
              </w:rPr>
              <w:t xml:space="preserve"> (Rating out of 5)</w:t>
            </w:r>
          </w:p>
        </w:tc>
        <w:tc>
          <w:tcPr>
            <w:tcW w:w="1287" w:type="dxa"/>
          </w:tcPr>
          <w:p w14:paraId="38645C59" w14:textId="13EA59BC" w:rsidR="00FD1D41" w:rsidRPr="00744FD1" w:rsidRDefault="00FD1D41" w:rsidP="00744FD1">
            <w:pPr>
              <w:rPr>
                <w:rFonts w:ascii="Calibri" w:hAnsi="Calibri" w:cs="Arial"/>
              </w:rPr>
            </w:pPr>
            <w:r>
              <w:rPr>
                <w:rFonts w:ascii="Calibri" w:hAnsi="Calibri" w:cs="Arial"/>
              </w:rPr>
              <w:t>Catchment</w:t>
            </w:r>
          </w:p>
        </w:tc>
        <w:tc>
          <w:tcPr>
            <w:tcW w:w="1276" w:type="dxa"/>
          </w:tcPr>
          <w:p w14:paraId="7D3792E0" w14:textId="20813201" w:rsidR="00FD1D41" w:rsidRPr="00744FD1" w:rsidRDefault="00FD1D41" w:rsidP="00FD1D41">
            <w:pPr>
              <w:rPr>
                <w:rFonts w:ascii="Calibri" w:hAnsi="Calibri" w:cs="Arial"/>
              </w:rPr>
            </w:pPr>
            <w:r w:rsidRPr="00744FD1">
              <w:rPr>
                <w:rFonts w:ascii="Calibri" w:hAnsi="Calibri" w:cs="Arial"/>
              </w:rPr>
              <w:t xml:space="preserve">Insufficient </w:t>
            </w:r>
            <w:proofErr w:type="spellStart"/>
            <w:r w:rsidRPr="00744FD1">
              <w:rPr>
                <w:rFonts w:ascii="Calibri" w:hAnsi="Calibri" w:cs="Arial"/>
              </w:rPr>
              <w:t>data</w:t>
            </w:r>
            <w:r>
              <w:rPr>
                <w:rFonts w:ascii="Calibri" w:hAnsi="Calibri" w:cs="Arial"/>
                <w:vertAlign w:val="superscript"/>
              </w:rPr>
              <w:t>n</w:t>
            </w:r>
            <w:proofErr w:type="spellEnd"/>
          </w:p>
        </w:tc>
        <w:tc>
          <w:tcPr>
            <w:tcW w:w="3686" w:type="dxa"/>
            <w:vMerge w:val="restart"/>
          </w:tcPr>
          <w:p w14:paraId="69988F0E" w14:textId="3C3049DE" w:rsidR="00FD1D41" w:rsidRPr="00135514" w:rsidRDefault="00FD1D41" w:rsidP="00F70456">
            <w:pPr>
              <w:rPr>
                <w:rFonts w:ascii="Calibri" w:hAnsi="Calibri" w:cs="Arial"/>
                <w:color w:val="auto"/>
              </w:rPr>
            </w:pPr>
            <w:r w:rsidRPr="005B0DA8">
              <w:rPr>
                <w:rFonts w:ascii="Calibri" w:hAnsi="Calibri" w:cs="Arial"/>
                <w:color w:val="auto"/>
              </w:rPr>
              <w:t xml:space="preserve">Representatives of the Registered Aboriginal Parties in the metropolitan Catchments report unsustainable levels of demand for their interest and insight, which is impacting their capacity to genuinely partner in IWM. </w:t>
            </w:r>
            <w:r>
              <w:rPr>
                <w:rFonts w:ascii="Calibri" w:hAnsi="Calibri" w:cs="Arial"/>
                <w:color w:val="auto"/>
              </w:rPr>
              <w:t xml:space="preserve">This measure aims to understand </w:t>
            </w:r>
            <w:r w:rsidRPr="005B0DA8">
              <w:rPr>
                <w:rFonts w:ascii="Calibri" w:hAnsi="Calibri" w:cs="Arial"/>
                <w:color w:val="auto"/>
              </w:rPr>
              <w:t>the amount or volume of work</w:t>
            </w:r>
            <w:r>
              <w:rPr>
                <w:rFonts w:ascii="Calibri" w:hAnsi="Calibri" w:cs="Arial"/>
                <w:color w:val="auto"/>
              </w:rPr>
              <w:t xml:space="preserve"> placed on Traditional Owners,</w:t>
            </w:r>
            <w:r w:rsidRPr="005B0DA8">
              <w:rPr>
                <w:rFonts w:ascii="Calibri" w:hAnsi="Calibri" w:cs="Arial"/>
                <w:color w:val="auto"/>
              </w:rPr>
              <w:t xml:space="preserve"> and the</w:t>
            </w:r>
            <w:r>
              <w:rPr>
                <w:rFonts w:ascii="Calibri" w:hAnsi="Calibri" w:cs="Arial"/>
                <w:color w:val="auto"/>
              </w:rPr>
              <w:t>ir</w:t>
            </w:r>
            <w:r w:rsidRPr="005B0DA8">
              <w:rPr>
                <w:rFonts w:ascii="Calibri" w:hAnsi="Calibri" w:cs="Arial"/>
                <w:color w:val="auto"/>
              </w:rPr>
              <w:t xml:space="preserve"> ability or power to deliver outputs. </w:t>
            </w:r>
          </w:p>
        </w:tc>
      </w:tr>
      <w:tr w:rsidR="00FD1D41" w:rsidRPr="00E05A88" w14:paraId="32D9D60A" w14:textId="77777777" w:rsidTr="4B112C98">
        <w:trPr>
          <w:trHeight w:val="406"/>
        </w:trPr>
        <w:tc>
          <w:tcPr>
            <w:tcW w:w="3249" w:type="dxa"/>
            <w:vMerge/>
          </w:tcPr>
          <w:p w14:paraId="2BD5AF6A" w14:textId="77777777" w:rsidR="00FD1D41" w:rsidRPr="005B0DA8" w:rsidRDefault="00FD1D41" w:rsidP="00B826C5">
            <w:pPr>
              <w:rPr>
                <w:rFonts w:ascii="Calibri" w:hAnsi="Calibri" w:cs="Arial"/>
              </w:rPr>
            </w:pPr>
          </w:p>
        </w:tc>
        <w:tc>
          <w:tcPr>
            <w:tcW w:w="1287" w:type="dxa"/>
          </w:tcPr>
          <w:p w14:paraId="3FB73067" w14:textId="26C05613" w:rsidR="00FD1D41" w:rsidRPr="00B826C5" w:rsidDel="00746D23" w:rsidRDefault="00FD1D41" w:rsidP="00744FD1">
            <w:pPr>
              <w:rPr>
                <w:rFonts w:ascii="Calibri" w:hAnsi="Calibri" w:cs="Arial"/>
              </w:rPr>
            </w:pPr>
            <w:r>
              <w:rPr>
                <w:rFonts w:ascii="Calibri" w:hAnsi="Calibri" w:cs="Arial"/>
              </w:rPr>
              <w:t>Region</w:t>
            </w:r>
          </w:p>
        </w:tc>
        <w:tc>
          <w:tcPr>
            <w:tcW w:w="1276" w:type="dxa"/>
          </w:tcPr>
          <w:p w14:paraId="71C8B06A" w14:textId="6C0E322B" w:rsidR="00FD1D41" w:rsidRPr="00B826C5" w:rsidDel="00746D23" w:rsidRDefault="00FD1D41" w:rsidP="00FD1D41">
            <w:pPr>
              <w:rPr>
                <w:rFonts w:ascii="Calibri" w:hAnsi="Calibri" w:cs="Arial"/>
              </w:rPr>
            </w:pPr>
            <w:r w:rsidRPr="007259C6">
              <w:rPr>
                <w:rFonts w:ascii="Calibri" w:hAnsi="Calibri" w:cs="Arial"/>
              </w:rPr>
              <w:t xml:space="preserve">Insufficient </w:t>
            </w:r>
            <w:proofErr w:type="spellStart"/>
            <w:r w:rsidRPr="007259C6">
              <w:rPr>
                <w:rFonts w:ascii="Calibri" w:hAnsi="Calibri" w:cs="Arial"/>
              </w:rPr>
              <w:t>data</w:t>
            </w:r>
            <w:r>
              <w:rPr>
                <w:rFonts w:ascii="Calibri" w:hAnsi="Calibri" w:cs="Arial"/>
                <w:vertAlign w:val="superscript"/>
              </w:rPr>
              <w:t>n</w:t>
            </w:r>
            <w:proofErr w:type="spellEnd"/>
          </w:p>
        </w:tc>
        <w:tc>
          <w:tcPr>
            <w:tcW w:w="3686" w:type="dxa"/>
            <w:vMerge/>
          </w:tcPr>
          <w:p w14:paraId="240D71F7" w14:textId="77777777" w:rsidR="00FD1D41" w:rsidRPr="005B0DA8" w:rsidRDefault="00FD1D41" w:rsidP="00B826C5">
            <w:pPr>
              <w:rPr>
                <w:rFonts w:ascii="Calibri" w:hAnsi="Calibri" w:cs="Arial"/>
              </w:rPr>
            </w:pPr>
          </w:p>
        </w:tc>
      </w:tr>
      <w:tr w:rsidR="00FD1D41" w:rsidRPr="00E05A88" w14:paraId="2A561F52" w14:textId="77777777" w:rsidTr="4B112C98">
        <w:trPr>
          <w:trHeight w:val="406"/>
        </w:trPr>
        <w:tc>
          <w:tcPr>
            <w:tcW w:w="3249" w:type="dxa"/>
            <w:vMerge w:val="restart"/>
          </w:tcPr>
          <w:p w14:paraId="678011BE" w14:textId="77A78D36" w:rsidR="00FD1D41" w:rsidRPr="00E05A88" w:rsidRDefault="00FD1D41" w:rsidP="0016734A">
            <w:pPr>
              <w:rPr>
                <w:rFonts w:ascii="Calibri" w:hAnsi="Calibri" w:cs="Arial"/>
              </w:rPr>
            </w:pPr>
            <w:r w:rsidRPr="005B0DA8">
              <w:rPr>
                <w:rFonts w:ascii="Calibri" w:hAnsi="Calibri" w:cs="Arial"/>
              </w:rPr>
              <w:t>6.1b Other IWM partner organisations’ capability to partner with Traditional Owners in IWM programs, policy, planning and projects</w:t>
            </w:r>
            <w:r>
              <w:rPr>
                <w:rFonts w:ascii="Calibri" w:hAnsi="Calibri" w:cs="Arial"/>
              </w:rPr>
              <w:t xml:space="preserve"> (Rating out of 5)</w:t>
            </w:r>
            <w:r w:rsidRPr="00744FD1">
              <w:rPr>
                <w:rFonts w:ascii="Calibri" w:hAnsi="Calibri" w:cs="Arial"/>
                <w:vertAlign w:val="superscript"/>
              </w:rPr>
              <w:t>o</w:t>
            </w:r>
          </w:p>
        </w:tc>
        <w:tc>
          <w:tcPr>
            <w:tcW w:w="1287" w:type="dxa"/>
          </w:tcPr>
          <w:p w14:paraId="3735A421" w14:textId="238E9D7F" w:rsidR="00FD1D41" w:rsidRPr="00744FD1" w:rsidRDefault="00FD1D41" w:rsidP="00744FD1">
            <w:pPr>
              <w:rPr>
                <w:rFonts w:ascii="Calibri" w:hAnsi="Calibri" w:cs="Arial"/>
              </w:rPr>
            </w:pPr>
            <w:r>
              <w:rPr>
                <w:rFonts w:ascii="Calibri" w:hAnsi="Calibri" w:cs="Arial"/>
              </w:rPr>
              <w:t>Catchment</w:t>
            </w:r>
          </w:p>
        </w:tc>
        <w:tc>
          <w:tcPr>
            <w:tcW w:w="1276" w:type="dxa"/>
          </w:tcPr>
          <w:p w14:paraId="1FE6545E" w14:textId="0B5ACB9F" w:rsidR="00FD1D41" w:rsidRPr="00744FD1" w:rsidRDefault="00FD1D41" w:rsidP="00FD1D41">
            <w:pPr>
              <w:rPr>
                <w:rFonts w:ascii="Calibri" w:hAnsi="Calibri" w:cs="Arial"/>
              </w:rPr>
            </w:pPr>
            <w:r>
              <w:rPr>
                <w:rFonts w:ascii="Calibri" w:hAnsi="Calibri" w:cs="Arial"/>
              </w:rPr>
              <w:t>2.6</w:t>
            </w:r>
          </w:p>
        </w:tc>
        <w:tc>
          <w:tcPr>
            <w:tcW w:w="3686" w:type="dxa"/>
            <w:vMerge w:val="restart"/>
          </w:tcPr>
          <w:p w14:paraId="63AACBB7" w14:textId="1F0B8319" w:rsidR="00FD1D41" w:rsidRPr="00730614" w:rsidRDefault="00FD1D41" w:rsidP="0016734A">
            <w:pPr>
              <w:rPr>
                <w:rFonts w:ascii="Calibri" w:hAnsi="Calibri" w:cs="Arial"/>
                <w:color w:val="FF0000"/>
              </w:rPr>
            </w:pPr>
            <w:r w:rsidRPr="005B0DA8">
              <w:rPr>
                <w:rFonts w:ascii="Calibri" w:hAnsi="Calibri" w:cs="Arial"/>
                <w:color w:val="auto"/>
              </w:rPr>
              <w:t xml:space="preserve">Organisations involved in IWM have obligations to include Traditional Owners and consider Aboriginal values in their organisational activities. This measure </w:t>
            </w:r>
            <w:r>
              <w:rPr>
                <w:rFonts w:ascii="Calibri" w:hAnsi="Calibri" w:cs="Arial"/>
                <w:color w:val="auto"/>
              </w:rPr>
              <w:t>helps us track our progress in improving partnerships with Traditional Owners.</w:t>
            </w:r>
          </w:p>
        </w:tc>
      </w:tr>
      <w:tr w:rsidR="00FD1D41" w:rsidRPr="00E05A88" w14:paraId="05C779FA" w14:textId="77777777" w:rsidTr="4B112C98">
        <w:trPr>
          <w:trHeight w:val="406"/>
        </w:trPr>
        <w:tc>
          <w:tcPr>
            <w:tcW w:w="3249" w:type="dxa"/>
            <w:vMerge/>
          </w:tcPr>
          <w:p w14:paraId="7CC4F963" w14:textId="77777777" w:rsidR="00FD1D41" w:rsidRPr="005B0DA8" w:rsidRDefault="00FD1D41" w:rsidP="0016734A">
            <w:pPr>
              <w:rPr>
                <w:rFonts w:ascii="Calibri" w:hAnsi="Calibri" w:cs="Arial"/>
              </w:rPr>
            </w:pPr>
          </w:p>
        </w:tc>
        <w:tc>
          <w:tcPr>
            <w:tcW w:w="1287" w:type="dxa"/>
          </w:tcPr>
          <w:p w14:paraId="2BA04BD8" w14:textId="46E038C8" w:rsidR="00FD1D41" w:rsidRPr="0016734A" w:rsidDel="00746D23" w:rsidRDefault="00FD1D41" w:rsidP="00744FD1">
            <w:pPr>
              <w:rPr>
                <w:rFonts w:ascii="Calibri" w:hAnsi="Calibri" w:cs="Arial"/>
              </w:rPr>
            </w:pPr>
            <w:r>
              <w:rPr>
                <w:rFonts w:ascii="Calibri" w:hAnsi="Calibri" w:cs="Arial"/>
              </w:rPr>
              <w:t>Region</w:t>
            </w:r>
          </w:p>
        </w:tc>
        <w:tc>
          <w:tcPr>
            <w:tcW w:w="1276" w:type="dxa"/>
          </w:tcPr>
          <w:p w14:paraId="3F8A6121" w14:textId="2B748EBA" w:rsidR="00FD1D41" w:rsidRPr="0016734A" w:rsidDel="00B826C5" w:rsidRDefault="00FD1D41" w:rsidP="00FD1D41">
            <w:pPr>
              <w:rPr>
                <w:rFonts w:ascii="Calibri" w:hAnsi="Calibri" w:cs="Arial"/>
              </w:rPr>
            </w:pPr>
            <w:r w:rsidRPr="007259C6">
              <w:rPr>
                <w:rFonts w:ascii="Calibri" w:hAnsi="Calibri" w:cs="Arial"/>
              </w:rPr>
              <w:t>2.5</w:t>
            </w:r>
          </w:p>
        </w:tc>
        <w:tc>
          <w:tcPr>
            <w:tcW w:w="3686" w:type="dxa"/>
            <w:vMerge/>
          </w:tcPr>
          <w:p w14:paraId="7AF78C1F" w14:textId="77777777" w:rsidR="00FD1D41" w:rsidRPr="005B0DA8" w:rsidRDefault="00FD1D41" w:rsidP="0016734A">
            <w:pPr>
              <w:rPr>
                <w:rFonts w:ascii="Calibri" w:hAnsi="Calibri" w:cs="Arial"/>
              </w:rPr>
            </w:pPr>
          </w:p>
        </w:tc>
      </w:tr>
      <w:tr w:rsidR="00FD1D41" w:rsidRPr="00E05A88" w14:paraId="67E24F72" w14:textId="77777777" w:rsidTr="4B112C98">
        <w:trPr>
          <w:trHeight w:val="406"/>
        </w:trPr>
        <w:tc>
          <w:tcPr>
            <w:tcW w:w="3249" w:type="dxa"/>
            <w:vMerge w:val="restart"/>
          </w:tcPr>
          <w:p w14:paraId="44FC5F96" w14:textId="684303EF" w:rsidR="00FD1D41" w:rsidRPr="00E05A88" w:rsidRDefault="00FD1D41" w:rsidP="0016734A">
            <w:pPr>
              <w:rPr>
                <w:rFonts w:ascii="Calibri" w:hAnsi="Calibri" w:cs="Arial"/>
              </w:rPr>
            </w:pPr>
            <w:r w:rsidRPr="005B0DA8">
              <w:rPr>
                <w:rFonts w:ascii="Calibri" w:hAnsi="Calibri" w:cs="Arial"/>
              </w:rPr>
              <w:t xml:space="preserve">6.2 Blue-green infrastructure created or enhanced by IWM as a proportion of land </w:t>
            </w:r>
            <w:proofErr w:type="spellStart"/>
            <w:r w:rsidRPr="005B0DA8">
              <w:rPr>
                <w:rFonts w:ascii="Calibri" w:hAnsi="Calibri" w:cs="Arial"/>
              </w:rPr>
              <w:t>area</w:t>
            </w:r>
            <w:r>
              <w:rPr>
                <w:rFonts w:ascii="Calibri" w:hAnsi="Calibri" w:cs="Arial"/>
                <w:vertAlign w:val="superscript"/>
              </w:rPr>
              <w:t>m</w:t>
            </w:r>
            <w:proofErr w:type="spellEnd"/>
          </w:p>
        </w:tc>
        <w:tc>
          <w:tcPr>
            <w:tcW w:w="1287" w:type="dxa"/>
          </w:tcPr>
          <w:p w14:paraId="20EBCC52" w14:textId="17B11FD0" w:rsidR="00FD1D41" w:rsidRDefault="00FD1D41" w:rsidP="00744FD1">
            <w:pPr>
              <w:rPr>
                <w:rFonts w:ascii="Calibri" w:hAnsi="Calibri" w:cs="Arial"/>
              </w:rPr>
            </w:pPr>
            <w:r>
              <w:rPr>
                <w:rFonts w:ascii="Calibri" w:hAnsi="Calibri" w:cs="Arial"/>
              </w:rPr>
              <w:t>Catchment</w:t>
            </w:r>
          </w:p>
        </w:tc>
        <w:tc>
          <w:tcPr>
            <w:tcW w:w="1276" w:type="dxa"/>
          </w:tcPr>
          <w:p w14:paraId="110A1C91" w14:textId="499BEEB2" w:rsidR="00FD1D41" w:rsidRPr="00E05A88" w:rsidRDefault="00FD1D41" w:rsidP="00FD1D41">
            <w:pPr>
              <w:rPr>
                <w:rFonts w:ascii="Calibri" w:hAnsi="Calibri" w:cs="Arial"/>
              </w:rPr>
            </w:pPr>
            <w:r>
              <w:rPr>
                <w:rFonts w:ascii="Calibri" w:hAnsi="Calibri" w:cs="Arial"/>
              </w:rPr>
              <w:t>0.20 %</w:t>
            </w:r>
          </w:p>
        </w:tc>
        <w:tc>
          <w:tcPr>
            <w:tcW w:w="3686" w:type="dxa"/>
            <w:vMerge w:val="restart"/>
          </w:tcPr>
          <w:p w14:paraId="2346A2DA" w14:textId="6D15290F" w:rsidR="00FD1D41" w:rsidRPr="00730614" w:rsidRDefault="00FD1D41" w:rsidP="0016734A">
            <w:pPr>
              <w:rPr>
                <w:rFonts w:ascii="Calibri" w:hAnsi="Calibri" w:cs="Arial"/>
                <w:color w:val="FF0000"/>
              </w:rPr>
            </w:pPr>
            <w:r w:rsidRPr="005B0DA8">
              <w:rPr>
                <w:rFonts w:ascii="Calibri" w:hAnsi="Calibri" w:cs="Arial"/>
                <w:color w:val="auto"/>
              </w:rPr>
              <w:t>This measure recognises that where green-blue infrastructure is either added or significantly enhanced, it is likely to improve local amenity and sense of place, as well as the health and well-being of the community. By measuring this impact, we can articulate how IWM supports amenity.</w:t>
            </w:r>
          </w:p>
        </w:tc>
      </w:tr>
      <w:tr w:rsidR="00FD1D41" w:rsidRPr="00E05A88" w14:paraId="55353E24" w14:textId="77777777" w:rsidTr="4B112C98">
        <w:trPr>
          <w:trHeight w:val="406"/>
        </w:trPr>
        <w:tc>
          <w:tcPr>
            <w:tcW w:w="3249" w:type="dxa"/>
            <w:vMerge/>
          </w:tcPr>
          <w:p w14:paraId="6F3C7CF8" w14:textId="77777777" w:rsidR="00FD1D41" w:rsidRPr="005B0DA8" w:rsidRDefault="00FD1D41" w:rsidP="0016734A">
            <w:pPr>
              <w:rPr>
                <w:rFonts w:ascii="Calibri" w:hAnsi="Calibri" w:cs="Arial"/>
              </w:rPr>
            </w:pPr>
          </w:p>
        </w:tc>
        <w:tc>
          <w:tcPr>
            <w:tcW w:w="1287" w:type="dxa"/>
          </w:tcPr>
          <w:p w14:paraId="7E9330E6" w14:textId="5B1DDD47" w:rsidR="00FD1D41" w:rsidRDefault="00FD1D41" w:rsidP="00744FD1">
            <w:pPr>
              <w:rPr>
                <w:rFonts w:ascii="Calibri" w:hAnsi="Calibri" w:cs="Arial"/>
              </w:rPr>
            </w:pPr>
            <w:r>
              <w:rPr>
                <w:rFonts w:ascii="Calibri" w:hAnsi="Calibri" w:cs="Arial"/>
              </w:rPr>
              <w:t>Region</w:t>
            </w:r>
          </w:p>
        </w:tc>
        <w:tc>
          <w:tcPr>
            <w:tcW w:w="1276" w:type="dxa"/>
          </w:tcPr>
          <w:p w14:paraId="6FC7DCAA" w14:textId="5257BCC5" w:rsidR="00FD1D41" w:rsidRDefault="00FD1D41" w:rsidP="00FD1D41">
            <w:pPr>
              <w:rPr>
                <w:rFonts w:ascii="Calibri" w:hAnsi="Calibri" w:cs="Arial"/>
              </w:rPr>
            </w:pPr>
            <w:r>
              <w:rPr>
                <w:rFonts w:ascii="Calibri" w:hAnsi="Calibri" w:cs="Arial"/>
              </w:rPr>
              <w:t>0.59 %</w:t>
            </w:r>
          </w:p>
        </w:tc>
        <w:tc>
          <w:tcPr>
            <w:tcW w:w="3686" w:type="dxa"/>
            <w:vMerge/>
          </w:tcPr>
          <w:p w14:paraId="22EF6653" w14:textId="77777777" w:rsidR="00FD1D41" w:rsidRPr="005B0DA8" w:rsidRDefault="00FD1D41" w:rsidP="0016734A">
            <w:pPr>
              <w:rPr>
                <w:rFonts w:ascii="Calibri" w:hAnsi="Calibri" w:cs="Arial"/>
              </w:rPr>
            </w:pPr>
          </w:p>
        </w:tc>
      </w:tr>
      <w:tr w:rsidR="00FD1D41" w:rsidRPr="00E05A88" w14:paraId="433D709F" w14:textId="77777777" w:rsidTr="4B112C98">
        <w:trPr>
          <w:trHeight w:val="406"/>
        </w:trPr>
        <w:tc>
          <w:tcPr>
            <w:tcW w:w="3249" w:type="dxa"/>
            <w:vMerge w:val="restart"/>
          </w:tcPr>
          <w:p w14:paraId="3C9E2A13" w14:textId="4D81A7C4" w:rsidR="00FD1D41" w:rsidRPr="005B0DA8" w:rsidRDefault="00FD1D41" w:rsidP="0016734A">
            <w:pPr>
              <w:rPr>
                <w:rFonts w:ascii="Calibri" w:hAnsi="Calibri" w:cs="Arial"/>
              </w:rPr>
            </w:pPr>
            <w:r w:rsidRPr="005B0DA8">
              <w:rPr>
                <w:rFonts w:ascii="Calibri" w:hAnsi="Calibri" w:cs="Arial"/>
              </w:rPr>
              <w:t>6.3 Community literacy regarding the water cycle</w:t>
            </w:r>
            <w:r>
              <w:rPr>
                <w:rFonts w:ascii="Calibri" w:hAnsi="Calibri" w:cs="Arial"/>
              </w:rPr>
              <w:t xml:space="preserve"> (Rating out of 5)</w:t>
            </w:r>
            <w:r>
              <w:rPr>
                <w:rFonts w:ascii="Calibri" w:hAnsi="Calibri" w:cs="Arial"/>
                <w:vertAlign w:val="superscript"/>
              </w:rPr>
              <w:t>p</w:t>
            </w:r>
          </w:p>
        </w:tc>
        <w:tc>
          <w:tcPr>
            <w:tcW w:w="1287" w:type="dxa"/>
          </w:tcPr>
          <w:p w14:paraId="1AC0F322" w14:textId="04802F9F" w:rsidR="00FD1D41" w:rsidRDefault="00FD1D41" w:rsidP="00744FD1">
            <w:pPr>
              <w:rPr>
                <w:rFonts w:ascii="Calibri" w:hAnsi="Calibri" w:cs="Arial"/>
              </w:rPr>
            </w:pPr>
            <w:r>
              <w:rPr>
                <w:rFonts w:ascii="Calibri" w:hAnsi="Calibri" w:cs="Arial"/>
              </w:rPr>
              <w:t>Catchment</w:t>
            </w:r>
          </w:p>
        </w:tc>
        <w:tc>
          <w:tcPr>
            <w:tcW w:w="1276" w:type="dxa"/>
          </w:tcPr>
          <w:p w14:paraId="445F8F03" w14:textId="40972867" w:rsidR="00FD1D41" w:rsidRDefault="00FD1D41" w:rsidP="00FD1D41">
            <w:pPr>
              <w:rPr>
                <w:rFonts w:ascii="Calibri" w:hAnsi="Calibri" w:cs="Arial"/>
              </w:rPr>
            </w:pPr>
            <w:r>
              <w:rPr>
                <w:rFonts w:ascii="Calibri" w:hAnsi="Calibri" w:cs="Arial"/>
              </w:rPr>
              <w:t>2.6</w:t>
            </w:r>
          </w:p>
          <w:p w14:paraId="773C216F" w14:textId="0CCA62ED" w:rsidR="00FD1D41" w:rsidRDefault="00FD1D41" w:rsidP="00FD1D41">
            <w:pPr>
              <w:rPr>
                <w:rFonts w:ascii="Calibri" w:hAnsi="Calibri" w:cs="Arial"/>
              </w:rPr>
            </w:pPr>
          </w:p>
        </w:tc>
        <w:tc>
          <w:tcPr>
            <w:tcW w:w="3686" w:type="dxa"/>
            <w:vMerge w:val="restart"/>
          </w:tcPr>
          <w:p w14:paraId="10EF3127" w14:textId="685CA5F0" w:rsidR="00FD1D41" w:rsidRPr="00CA5137" w:rsidRDefault="5A896DF4" w:rsidP="0016734A">
            <w:pPr>
              <w:rPr>
                <w:rFonts w:ascii="Calibri" w:hAnsi="Calibri" w:cs="Arial"/>
              </w:rPr>
            </w:pPr>
            <w:r>
              <w:t xml:space="preserve">Community connection and understanding of the water cycle are important contributors to water sensitive placemaking. This </w:t>
            </w:r>
            <w:r w:rsidR="2838ECB9">
              <w:t xml:space="preserve">measure </w:t>
            </w:r>
            <w:r>
              <w:t>will drive community confidence and participation in IWM solutions.</w:t>
            </w:r>
          </w:p>
        </w:tc>
      </w:tr>
      <w:tr w:rsidR="00FD1D41" w:rsidRPr="00E05A88" w14:paraId="38D1E8CA" w14:textId="77777777" w:rsidTr="4B112C98">
        <w:trPr>
          <w:trHeight w:val="406"/>
        </w:trPr>
        <w:tc>
          <w:tcPr>
            <w:tcW w:w="3249" w:type="dxa"/>
            <w:vMerge/>
          </w:tcPr>
          <w:p w14:paraId="12BE72F8" w14:textId="77777777" w:rsidR="00FD1D41" w:rsidRPr="005B0DA8" w:rsidRDefault="00FD1D41" w:rsidP="0016734A">
            <w:pPr>
              <w:rPr>
                <w:rFonts w:ascii="Calibri" w:hAnsi="Calibri" w:cs="Arial"/>
              </w:rPr>
            </w:pPr>
          </w:p>
        </w:tc>
        <w:tc>
          <w:tcPr>
            <w:tcW w:w="1287" w:type="dxa"/>
          </w:tcPr>
          <w:p w14:paraId="2F4D53C9" w14:textId="721A409C" w:rsidR="00FD1D41" w:rsidRDefault="00FD1D41" w:rsidP="00744FD1">
            <w:pPr>
              <w:rPr>
                <w:rFonts w:ascii="Calibri" w:hAnsi="Calibri" w:cs="Arial"/>
              </w:rPr>
            </w:pPr>
            <w:r>
              <w:rPr>
                <w:rFonts w:ascii="Calibri" w:hAnsi="Calibri" w:cs="Arial"/>
              </w:rPr>
              <w:t>Region</w:t>
            </w:r>
          </w:p>
        </w:tc>
        <w:tc>
          <w:tcPr>
            <w:tcW w:w="1276" w:type="dxa"/>
          </w:tcPr>
          <w:p w14:paraId="78FD569C" w14:textId="77777777" w:rsidR="00FD1D41" w:rsidRDefault="00FD1D41" w:rsidP="00FD1D41">
            <w:pPr>
              <w:rPr>
                <w:rFonts w:ascii="Calibri" w:hAnsi="Calibri" w:cs="Arial"/>
              </w:rPr>
            </w:pPr>
            <w:r>
              <w:rPr>
                <w:rFonts w:ascii="Calibri" w:hAnsi="Calibri" w:cs="Arial"/>
              </w:rPr>
              <w:t>2.6</w:t>
            </w:r>
          </w:p>
          <w:p w14:paraId="449408A1" w14:textId="77777777" w:rsidR="00FD1D41" w:rsidRDefault="00FD1D41" w:rsidP="00FD1D41">
            <w:pPr>
              <w:rPr>
                <w:rFonts w:ascii="Calibri" w:hAnsi="Calibri" w:cs="Arial"/>
              </w:rPr>
            </w:pPr>
          </w:p>
        </w:tc>
        <w:tc>
          <w:tcPr>
            <w:tcW w:w="3686" w:type="dxa"/>
            <w:vMerge/>
          </w:tcPr>
          <w:p w14:paraId="79E09C1C" w14:textId="77777777" w:rsidR="00FD1D41" w:rsidRPr="00DA08B8" w:rsidRDefault="00FD1D41" w:rsidP="0016734A">
            <w:pPr>
              <w:rPr>
                <w:rFonts w:ascii="Calibri" w:hAnsi="Calibri" w:cs="Calibri"/>
              </w:rPr>
            </w:pPr>
          </w:p>
        </w:tc>
      </w:tr>
      <w:tr w:rsidR="00FD1D41" w:rsidRPr="00E05A88" w14:paraId="4606DF9F" w14:textId="77777777" w:rsidTr="4B112C98">
        <w:trPr>
          <w:trHeight w:val="406"/>
        </w:trPr>
        <w:tc>
          <w:tcPr>
            <w:tcW w:w="3249" w:type="dxa"/>
            <w:vMerge w:val="restart"/>
          </w:tcPr>
          <w:p w14:paraId="77C53446" w14:textId="6B90390B" w:rsidR="00FD1D41" w:rsidRPr="005B0DA8" w:rsidRDefault="00FD1D41" w:rsidP="0016734A">
            <w:pPr>
              <w:rPr>
                <w:rFonts w:ascii="Calibri" w:hAnsi="Calibri" w:cs="Arial"/>
              </w:rPr>
            </w:pPr>
            <w:r w:rsidRPr="005B0DA8">
              <w:rPr>
                <w:rFonts w:ascii="Calibri" w:hAnsi="Calibri" w:cs="Arial"/>
              </w:rPr>
              <w:t>6.4 Whether water is a key element in city planning and design process</w:t>
            </w:r>
            <w:r>
              <w:rPr>
                <w:rFonts w:ascii="Calibri" w:hAnsi="Calibri" w:cs="Arial"/>
              </w:rPr>
              <w:t xml:space="preserve"> (Rating out of 5)</w:t>
            </w:r>
            <w:r>
              <w:rPr>
                <w:rFonts w:ascii="Calibri" w:hAnsi="Calibri" w:cs="Arial"/>
                <w:vertAlign w:val="superscript"/>
              </w:rPr>
              <w:t>p</w:t>
            </w:r>
          </w:p>
        </w:tc>
        <w:tc>
          <w:tcPr>
            <w:tcW w:w="1287" w:type="dxa"/>
          </w:tcPr>
          <w:p w14:paraId="63734814" w14:textId="62F51524" w:rsidR="00FD1D41" w:rsidRDefault="00FD1D41" w:rsidP="00744FD1">
            <w:pPr>
              <w:rPr>
                <w:rFonts w:ascii="Calibri" w:hAnsi="Calibri" w:cs="Arial"/>
              </w:rPr>
            </w:pPr>
            <w:r>
              <w:rPr>
                <w:rFonts w:ascii="Calibri" w:hAnsi="Calibri" w:cs="Arial"/>
              </w:rPr>
              <w:t>Catchment</w:t>
            </w:r>
          </w:p>
        </w:tc>
        <w:tc>
          <w:tcPr>
            <w:tcW w:w="1276" w:type="dxa"/>
          </w:tcPr>
          <w:p w14:paraId="206C5BD4" w14:textId="6E6805DE" w:rsidR="00FD1D41" w:rsidRDefault="00FD1D41" w:rsidP="00FD1D41">
            <w:pPr>
              <w:rPr>
                <w:rFonts w:ascii="Calibri" w:hAnsi="Calibri" w:cs="Arial"/>
              </w:rPr>
            </w:pPr>
            <w:r>
              <w:rPr>
                <w:rFonts w:ascii="Calibri" w:hAnsi="Calibri" w:cs="Arial"/>
              </w:rPr>
              <w:t>2.5</w:t>
            </w:r>
          </w:p>
          <w:p w14:paraId="58A121C6" w14:textId="69EE473A" w:rsidR="00FD1D41" w:rsidRDefault="00FD1D41" w:rsidP="00FD1D41">
            <w:pPr>
              <w:rPr>
                <w:rFonts w:ascii="Calibri" w:hAnsi="Calibri" w:cs="Arial"/>
              </w:rPr>
            </w:pPr>
          </w:p>
        </w:tc>
        <w:tc>
          <w:tcPr>
            <w:tcW w:w="3686" w:type="dxa"/>
            <w:vMerge w:val="restart"/>
          </w:tcPr>
          <w:p w14:paraId="2568F189" w14:textId="653A8624" w:rsidR="00FD1D41" w:rsidRPr="00CA5137" w:rsidRDefault="5A896DF4" w:rsidP="0016734A">
            <w:pPr>
              <w:rPr>
                <w:rFonts w:ascii="Calibri" w:hAnsi="Calibri" w:cs="Arial"/>
              </w:rPr>
            </w:pPr>
            <w:r w:rsidRPr="4B112C98">
              <w:rPr>
                <w:rFonts w:ascii="Calibri" w:hAnsi="Calibri" w:cs="Calibri"/>
              </w:rPr>
              <w:t xml:space="preserve">This measure considers the degree to which water system planning is integrated into urban planning and design. This </w:t>
            </w:r>
            <w:r w:rsidR="0ABF44CE" w:rsidRPr="4B112C98">
              <w:rPr>
                <w:rFonts w:ascii="Calibri" w:hAnsi="Calibri" w:cs="Calibri"/>
              </w:rPr>
              <w:t xml:space="preserve">measure </w:t>
            </w:r>
            <w:r w:rsidRPr="4B112C98">
              <w:rPr>
                <w:rFonts w:ascii="Calibri" w:hAnsi="Calibri" w:cs="Calibri"/>
              </w:rPr>
              <w:t>will drive an integrated approach to planning at all scales, which plans for and enables the delivery of IWM.</w:t>
            </w:r>
          </w:p>
        </w:tc>
      </w:tr>
      <w:tr w:rsidR="00FD1D41" w:rsidRPr="00E05A88" w14:paraId="1D8C2AAC" w14:textId="77777777" w:rsidTr="4B112C98">
        <w:trPr>
          <w:trHeight w:val="406"/>
        </w:trPr>
        <w:tc>
          <w:tcPr>
            <w:tcW w:w="3249" w:type="dxa"/>
            <w:vMerge/>
          </w:tcPr>
          <w:p w14:paraId="02D5A3E2" w14:textId="77777777" w:rsidR="00FD1D41" w:rsidRPr="005B0DA8" w:rsidRDefault="00FD1D41" w:rsidP="0016734A">
            <w:pPr>
              <w:rPr>
                <w:rFonts w:ascii="Calibri" w:hAnsi="Calibri" w:cs="Arial"/>
              </w:rPr>
            </w:pPr>
          </w:p>
        </w:tc>
        <w:tc>
          <w:tcPr>
            <w:tcW w:w="1287" w:type="dxa"/>
            <w:tcBorders>
              <w:bottom w:val="single" w:sz="4" w:space="0" w:color="auto"/>
            </w:tcBorders>
          </w:tcPr>
          <w:p w14:paraId="58FCD8FC" w14:textId="715311C6" w:rsidR="00FD1D41" w:rsidRDefault="00FD1D41" w:rsidP="00744FD1">
            <w:pPr>
              <w:rPr>
                <w:rFonts w:ascii="Calibri" w:hAnsi="Calibri" w:cs="Arial"/>
              </w:rPr>
            </w:pPr>
            <w:r>
              <w:rPr>
                <w:rFonts w:ascii="Calibri" w:hAnsi="Calibri" w:cs="Arial"/>
              </w:rPr>
              <w:t>Region</w:t>
            </w:r>
          </w:p>
        </w:tc>
        <w:tc>
          <w:tcPr>
            <w:tcW w:w="1276" w:type="dxa"/>
            <w:tcBorders>
              <w:bottom w:val="single" w:sz="4" w:space="0" w:color="auto"/>
            </w:tcBorders>
          </w:tcPr>
          <w:p w14:paraId="65E9309A" w14:textId="77777777" w:rsidR="00FD1D41" w:rsidRDefault="00FD1D41" w:rsidP="00FD1D41">
            <w:pPr>
              <w:rPr>
                <w:rFonts w:ascii="Calibri" w:hAnsi="Calibri" w:cs="Arial"/>
              </w:rPr>
            </w:pPr>
            <w:r>
              <w:rPr>
                <w:rFonts w:ascii="Calibri" w:hAnsi="Calibri" w:cs="Arial"/>
              </w:rPr>
              <w:t>2.7</w:t>
            </w:r>
          </w:p>
          <w:p w14:paraId="771D2B1D" w14:textId="77777777" w:rsidR="00FD1D41" w:rsidRDefault="00FD1D41" w:rsidP="00FD1D41">
            <w:pPr>
              <w:rPr>
                <w:rFonts w:ascii="Calibri" w:hAnsi="Calibri" w:cs="Arial"/>
              </w:rPr>
            </w:pPr>
          </w:p>
        </w:tc>
        <w:tc>
          <w:tcPr>
            <w:tcW w:w="3686" w:type="dxa"/>
            <w:vMerge/>
          </w:tcPr>
          <w:p w14:paraId="21F3B5A4" w14:textId="77777777" w:rsidR="00FD1D41" w:rsidRPr="00DA08B8" w:rsidRDefault="00FD1D41" w:rsidP="0016734A">
            <w:pPr>
              <w:rPr>
                <w:rFonts w:ascii="Calibri" w:hAnsi="Calibri" w:cs="Calibri"/>
              </w:rPr>
            </w:pPr>
          </w:p>
        </w:tc>
      </w:tr>
    </w:tbl>
    <w:p w14:paraId="3D92353D" w14:textId="3673EEAF" w:rsidR="00265102" w:rsidRDefault="00265102" w:rsidP="00FD1D41">
      <w:pPr>
        <w:rPr>
          <w:lang w:eastAsia="en-AU"/>
        </w:rPr>
      </w:pPr>
    </w:p>
    <w:tbl>
      <w:tblPr>
        <w:tblStyle w:val="TableGrid1"/>
        <w:tblW w:w="9498" w:type="dxa"/>
        <w:tblLook w:val="0420" w:firstRow="1" w:lastRow="0" w:firstColumn="0" w:lastColumn="0" w:noHBand="0" w:noVBand="1"/>
      </w:tblPr>
      <w:tblGrid>
        <w:gridCol w:w="9498"/>
      </w:tblGrid>
      <w:tr w:rsidR="00DD6BC4" w:rsidRPr="00D42C8C" w14:paraId="3012B11C" w14:textId="77777777" w:rsidTr="0060254E">
        <w:trPr>
          <w:cnfStyle w:val="100000000000" w:firstRow="1" w:lastRow="0" w:firstColumn="0" w:lastColumn="0" w:oddVBand="0" w:evenVBand="0" w:oddHBand="0" w:evenHBand="0" w:firstRowFirstColumn="0" w:firstRowLastColumn="0" w:lastRowFirstColumn="0" w:lastRowLastColumn="0"/>
          <w:trHeight w:val="428"/>
        </w:trPr>
        <w:tc>
          <w:tcPr>
            <w:tcW w:w="9498" w:type="dxa"/>
            <w:hideMark/>
          </w:tcPr>
          <w:p w14:paraId="598A7761" w14:textId="77777777" w:rsidR="00DD6BC4" w:rsidRPr="00D42C8C" w:rsidRDefault="00DD6BC4" w:rsidP="0060254E">
            <w:pPr>
              <w:spacing w:after="0" w:line="240" w:lineRule="auto"/>
              <w:rPr>
                <w:rFonts w:asciiTheme="minorHAnsi" w:hAnsiTheme="minorHAnsi" w:cstheme="minorHAnsi"/>
                <w:szCs w:val="18"/>
              </w:rPr>
            </w:pPr>
            <w:r w:rsidRPr="00D42C8C">
              <w:rPr>
                <w:rFonts w:asciiTheme="minorHAnsi" w:hAnsiTheme="minorHAnsi" w:cstheme="minorHAnsi"/>
                <w:b/>
                <w:bCs/>
                <w:color w:val="auto"/>
                <w:kern w:val="24"/>
                <w:szCs w:val="18"/>
              </w:rPr>
              <w:t>Our targets for the future, as of September 2022</w:t>
            </w:r>
          </w:p>
        </w:tc>
      </w:tr>
      <w:tr w:rsidR="00DD6BC4" w:rsidRPr="003B62C3" w14:paraId="11F07ECF" w14:textId="77777777" w:rsidTr="0060254E">
        <w:trPr>
          <w:trHeight w:val="409"/>
        </w:trPr>
        <w:tc>
          <w:tcPr>
            <w:tcW w:w="9498" w:type="dxa"/>
            <w:hideMark/>
          </w:tcPr>
          <w:p w14:paraId="58215616" w14:textId="10AC966A" w:rsidR="00DD6BC4" w:rsidRPr="003B62C3" w:rsidRDefault="00DD6BC4" w:rsidP="0060254E">
            <w:pPr>
              <w:spacing w:after="0" w:line="240" w:lineRule="auto"/>
              <w:rPr>
                <w:rFonts w:cstheme="minorHAnsi"/>
                <w:szCs w:val="18"/>
              </w:rPr>
            </w:pPr>
            <w:r w:rsidRPr="00907331">
              <w:rPr>
                <w:rFonts w:cstheme="minorHAnsi"/>
                <w:color w:val="auto"/>
                <w:kern w:val="24"/>
                <w:szCs w:val="18"/>
              </w:rPr>
              <w:t>Rating of 4 out of 5 b</w:t>
            </w:r>
            <w:r w:rsidRPr="00907331">
              <w:rPr>
                <w:rFonts w:cstheme="minorHAnsi"/>
                <w:color w:val="000000" w:themeColor="text1"/>
                <w:kern w:val="24"/>
                <w:szCs w:val="18"/>
              </w:rPr>
              <w:t xml:space="preserve">y </w:t>
            </w:r>
            <w:r w:rsidRPr="00907331">
              <w:rPr>
                <w:rFonts w:cstheme="minorHAnsi"/>
                <w:b/>
                <w:bCs/>
                <w:color w:val="000000" w:themeColor="text1"/>
                <w:kern w:val="24"/>
                <w:szCs w:val="18"/>
              </w:rPr>
              <w:t>2030</w:t>
            </w:r>
            <w:r w:rsidRPr="00907331">
              <w:rPr>
                <w:rFonts w:cstheme="minorHAnsi"/>
                <w:color w:val="44546A" w:themeColor="text2"/>
                <w:kern w:val="24"/>
                <w:szCs w:val="18"/>
              </w:rPr>
              <w:t xml:space="preserve">, </w:t>
            </w:r>
            <w:r w:rsidRPr="00907331">
              <w:rPr>
                <w:rFonts w:cstheme="minorHAnsi"/>
                <w:color w:val="auto"/>
                <w:kern w:val="24"/>
                <w:szCs w:val="18"/>
              </w:rPr>
              <w:t xml:space="preserve">and 5 out of 5 </w:t>
            </w:r>
            <w:r w:rsidRPr="00907331">
              <w:rPr>
                <w:rFonts w:cstheme="minorHAnsi"/>
                <w:color w:val="000000" w:themeColor="text1"/>
                <w:kern w:val="24"/>
                <w:szCs w:val="18"/>
              </w:rPr>
              <w:t xml:space="preserve">by </w:t>
            </w:r>
            <w:r w:rsidRPr="00907331">
              <w:rPr>
                <w:rFonts w:cstheme="minorHAnsi"/>
                <w:b/>
                <w:bCs/>
                <w:color w:val="000000" w:themeColor="text1"/>
                <w:kern w:val="24"/>
                <w:szCs w:val="18"/>
              </w:rPr>
              <w:t>2050</w:t>
            </w:r>
            <w:r w:rsidRPr="00907331">
              <w:rPr>
                <w:rFonts w:cstheme="minorHAnsi"/>
                <w:color w:val="000000" w:themeColor="text1"/>
                <w:kern w:val="24"/>
                <w:szCs w:val="18"/>
              </w:rPr>
              <w:t xml:space="preserve"> for community literacy regarding the water cycle for the </w:t>
            </w:r>
            <w:r>
              <w:rPr>
                <w:rFonts w:cstheme="minorHAnsi"/>
                <w:b/>
                <w:bCs/>
                <w:color w:val="000000" w:themeColor="text1"/>
                <w:kern w:val="24"/>
                <w:szCs w:val="18"/>
              </w:rPr>
              <w:t>catchment</w:t>
            </w:r>
          </w:p>
        </w:tc>
      </w:tr>
      <w:tr w:rsidR="00DD6BC4" w:rsidRPr="003B62C3" w14:paraId="1D3718C1" w14:textId="77777777" w:rsidTr="0060254E">
        <w:trPr>
          <w:trHeight w:val="543"/>
        </w:trPr>
        <w:tc>
          <w:tcPr>
            <w:tcW w:w="9498" w:type="dxa"/>
            <w:hideMark/>
          </w:tcPr>
          <w:p w14:paraId="523D857E" w14:textId="77777777" w:rsidR="00DD6BC4" w:rsidRPr="003B62C3" w:rsidRDefault="00DD6BC4" w:rsidP="0060254E">
            <w:pPr>
              <w:spacing w:after="0" w:line="240" w:lineRule="auto"/>
              <w:rPr>
                <w:rFonts w:cstheme="minorHAnsi"/>
                <w:szCs w:val="18"/>
              </w:rPr>
            </w:pPr>
            <w:r w:rsidRPr="00907331">
              <w:rPr>
                <w:rFonts w:cstheme="minorHAnsi"/>
                <w:color w:val="auto"/>
                <w:kern w:val="24"/>
                <w:szCs w:val="18"/>
              </w:rPr>
              <w:t>Rating of 4.5 out of 5 b</w:t>
            </w:r>
            <w:r w:rsidRPr="00907331">
              <w:rPr>
                <w:rFonts w:cstheme="minorHAnsi"/>
                <w:color w:val="000000" w:themeColor="text1"/>
                <w:kern w:val="24"/>
                <w:szCs w:val="18"/>
              </w:rPr>
              <w:t xml:space="preserve">y </w:t>
            </w:r>
            <w:r w:rsidRPr="00907331">
              <w:rPr>
                <w:rFonts w:cstheme="minorHAnsi"/>
                <w:b/>
                <w:bCs/>
                <w:color w:val="000000" w:themeColor="text1"/>
                <w:kern w:val="24"/>
                <w:szCs w:val="18"/>
              </w:rPr>
              <w:t>2030</w:t>
            </w:r>
            <w:r w:rsidRPr="00907331">
              <w:rPr>
                <w:rFonts w:cstheme="minorHAnsi"/>
                <w:color w:val="44546A" w:themeColor="text2"/>
                <w:kern w:val="24"/>
                <w:szCs w:val="18"/>
              </w:rPr>
              <w:t xml:space="preserve">, </w:t>
            </w:r>
            <w:r w:rsidRPr="00907331">
              <w:rPr>
                <w:rFonts w:cstheme="minorHAnsi"/>
                <w:color w:val="auto"/>
                <w:kern w:val="24"/>
                <w:szCs w:val="18"/>
              </w:rPr>
              <w:t xml:space="preserve">and 5 out of 5 </w:t>
            </w:r>
            <w:r w:rsidRPr="00907331">
              <w:rPr>
                <w:rFonts w:cstheme="minorHAnsi"/>
                <w:color w:val="000000" w:themeColor="text1"/>
                <w:kern w:val="24"/>
                <w:szCs w:val="18"/>
              </w:rPr>
              <w:t xml:space="preserve">by </w:t>
            </w:r>
            <w:r w:rsidRPr="00907331">
              <w:rPr>
                <w:rFonts w:cstheme="minorHAnsi"/>
                <w:b/>
                <w:bCs/>
                <w:color w:val="000000" w:themeColor="text1"/>
                <w:kern w:val="24"/>
                <w:szCs w:val="18"/>
              </w:rPr>
              <w:t>2050</w:t>
            </w:r>
            <w:r w:rsidRPr="00907331">
              <w:rPr>
                <w:rFonts w:cstheme="minorHAnsi"/>
                <w:color w:val="000000" w:themeColor="text1"/>
                <w:kern w:val="24"/>
                <w:szCs w:val="18"/>
              </w:rPr>
              <w:t xml:space="preserve"> for community literacy regarding the water cycle for the </w:t>
            </w:r>
            <w:r w:rsidRPr="00907331">
              <w:rPr>
                <w:rFonts w:cstheme="minorHAnsi"/>
                <w:b/>
                <w:bCs/>
                <w:color w:val="000000" w:themeColor="text1"/>
                <w:kern w:val="24"/>
                <w:szCs w:val="18"/>
              </w:rPr>
              <w:t>Greater Melbourne Region</w:t>
            </w:r>
            <w:r w:rsidRPr="00907331">
              <w:rPr>
                <w:rFonts w:cstheme="minorHAnsi"/>
                <w:color w:val="000000" w:themeColor="text1"/>
                <w:kern w:val="24"/>
                <w:szCs w:val="18"/>
              </w:rPr>
              <w:t xml:space="preserve"> </w:t>
            </w:r>
          </w:p>
        </w:tc>
      </w:tr>
      <w:tr w:rsidR="00DD6BC4" w:rsidRPr="003B62C3" w14:paraId="2D0F5F6F" w14:textId="77777777" w:rsidTr="0060254E">
        <w:trPr>
          <w:trHeight w:val="570"/>
        </w:trPr>
        <w:tc>
          <w:tcPr>
            <w:tcW w:w="9498" w:type="dxa"/>
            <w:hideMark/>
          </w:tcPr>
          <w:p w14:paraId="65BD5FC1" w14:textId="1FE6D13A" w:rsidR="00DD6BC4" w:rsidRPr="003B62C3" w:rsidRDefault="00DD6BC4" w:rsidP="0060254E">
            <w:pPr>
              <w:spacing w:after="0" w:line="240" w:lineRule="auto"/>
              <w:rPr>
                <w:rFonts w:cstheme="minorHAnsi"/>
                <w:szCs w:val="18"/>
              </w:rPr>
            </w:pPr>
            <w:r w:rsidRPr="004F2380">
              <w:rPr>
                <w:rFonts w:cstheme="minorHAnsi"/>
                <w:color w:val="auto"/>
                <w:kern w:val="24"/>
                <w:szCs w:val="18"/>
              </w:rPr>
              <w:t xml:space="preserve">Rating of 4 out of 5 by </w:t>
            </w:r>
            <w:r w:rsidRPr="004F2380">
              <w:rPr>
                <w:rFonts w:cstheme="minorHAnsi"/>
                <w:b/>
                <w:bCs/>
                <w:color w:val="auto"/>
                <w:kern w:val="24"/>
                <w:szCs w:val="18"/>
              </w:rPr>
              <w:t>2030</w:t>
            </w:r>
            <w:r w:rsidRPr="004F2380">
              <w:rPr>
                <w:rFonts w:cstheme="minorHAnsi"/>
                <w:color w:val="auto"/>
                <w:kern w:val="24"/>
                <w:szCs w:val="18"/>
              </w:rPr>
              <w:t xml:space="preserve">, and 5 out of 5 by </w:t>
            </w:r>
            <w:r w:rsidRPr="004F2380">
              <w:rPr>
                <w:rFonts w:cstheme="minorHAnsi"/>
                <w:b/>
                <w:bCs/>
                <w:color w:val="auto"/>
                <w:kern w:val="24"/>
                <w:szCs w:val="18"/>
              </w:rPr>
              <w:t>2050</w:t>
            </w:r>
            <w:r w:rsidRPr="004F2380">
              <w:rPr>
                <w:rFonts w:cstheme="minorHAnsi"/>
                <w:color w:val="auto"/>
                <w:kern w:val="24"/>
                <w:szCs w:val="18"/>
              </w:rPr>
              <w:t xml:space="preserve"> for water as a key element in city planning and design processes for the </w:t>
            </w:r>
            <w:r w:rsidRPr="004F2380">
              <w:rPr>
                <w:rFonts w:cstheme="minorHAnsi"/>
                <w:b/>
                <w:bCs/>
                <w:color w:val="auto"/>
                <w:kern w:val="24"/>
                <w:szCs w:val="18"/>
              </w:rPr>
              <w:t>catchment</w:t>
            </w:r>
          </w:p>
        </w:tc>
      </w:tr>
      <w:tr w:rsidR="00DD6BC4" w:rsidRPr="003B62C3" w14:paraId="6C410FA6" w14:textId="77777777" w:rsidTr="0060254E">
        <w:trPr>
          <w:trHeight w:val="542"/>
        </w:trPr>
        <w:tc>
          <w:tcPr>
            <w:tcW w:w="9498" w:type="dxa"/>
            <w:hideMark/>
          </w:tcPr>
          <w:p w14:paraId="41CCE384" w14:textId="77777777" w:rsidR="00DD6BC4" w:rsidRPr="003B62C3" w:rsidRDefault="00DD6BC4" w:rsidP="0060254E">
            <w:pPr>
              <w:spacing w:after="0" w:line="240" w:lineRule="auto"/>
              <w:rPr>
                <w:rFonts w:cstheme="minorHAnsi"/>
                <w:szCs w:val="18"/>
              </w:rPr>
            </w:pPr>
            <w:r w:rsidRPr="00907331">
              <w:rPr>
                <w:rFonts w:cstheme="minorHAnsi"/>
                <w:color w:val="auto"/>
                <w:kern w:val="24"/>
                <w:szCs w:val="18"/>
              </w:rPr>
              <w:t>Rating of 4.5 out of 5 by</w:t>
            </w:r>
            <w:r w:rsidRPr="00907331">
              <w:rPr>
                <w:rFonts w:cstheme="minorHAnsi"/>
                <w:color w:val="000000" w:themeColor="text1"/>
                <w:kern w:val="24"/>
                <w:szCs w:val="18"/>
              </w:rPr>
              <w:t xml:space="preserve"> </w:t>
            </w:r>
            <w:r w:rsidRPr="00907331">
              <w:rPr>
                <w:rFonts w:cstheme="minorHAnsi"/>
                <w:b/>
                <w:bCs/>
                <w:color w:val="000000" w:themeColor="text1"/>
                <w:kern w:val="24"/>
                <w:szCs w:val="18"/>
              </w:rPr>
              <w:t>2030</w:t>
            </w:r>
            <w:r w:rsidRPr="00907331">
              <w:rPr>
                <w:rFonts w:cstheme="minorHAnsi"/>
                <w:color w:val="44546A" w:themeColor="text2"/>
                <w:kern w:val="24"/>
                <w:szCs w:val="18"/>
              </w:rPr>
              <w:t>,</w:t>
            </w:r>
            <w:r w:rsidRPr="00907331">
              <w:rPr>
                <w:rFonts w:cstheme="minorHAnsi"/>
                <w:color w:val="auto"/>
                <w:kern w:val="24"/>
                <w:szCs w:val="18"/>
              </w:rPr>
              <w:t xml:space="preserve"> and 5 out of 5 by</w:t>
            </w:r>
            <w:r w:rsidRPr="00907331">
              <w:rPr>
                <w:rFonts w:cstheme="minorHAnsi"/>
                <w:color w:val="000000" w:themeColor="text1"/>
                <w:kern w:val="24"/>
                <w:szCs w:val="18"/>
              </w:rPr>
              <w:t xml:space="preserve"> </w:t>
            </w:r>
            <w:r w:rsidRPr="00907331">
              <w:rPr>
                <w:rFonts w:cstheme="minorHAnsi"/>
                <w:b/>
                <w:bCs/>
                <w:color w:val="000000" w:themeColor="text1"/>
                <w:kern w:val="24"/>
                <w:szCs w:val="18"/>
              </w:rPr>
              <w:t>2050</w:t>
            </w:r>
            <w:r w:rsidRPr="00907331">
              <w:rPr>
                <w:rFonts w:cstheme="minorHAnsi"/>
                <w:color w:val="000000" w:themeColor="text1"/>
                <w:kern w:val="24"/>
                <w:szCs w:val="18"/>
              </w:rPr>
              <w:t xml:space="preserve"> for water as a key element in city planning and design processes for the </w:t>
            </w:r>
            <w:r w:rsidRPr="00907331">
              <w:rPr>
                <w:rFonts w:cstheme="minorHAnsi"/>
                <w:b/>
                <w:bCs/>
                <w:color w:val="000000" w:themeColor="text1"/>
                <w:kern w:val="24"/>
                <w:szCs w:val="18"/>
              </w:rPr>
              <w:t>Greater Melbourne Region</w:t>
            </w:r>
            <w:r w:rsidRPr="00907331">
              <w:rPr>
                <w:rFonts w:cstheme="minorHAnsi"/>
                <w:color w:val="000000" w:themeColor="text1"/>
                <w:kern w:val="24"/>
                <w:szCs w:val="18"/>
              </w:rPr>
              <w:t xml:space="preserve"> </w:t>
            </w:r>
          </w:p>
        </w:tc>
      </w:tr>
    </w:tbl>
    <w:p w14:paraId="4FFA89EF" w14:textId="77777777" w:rsidR="00DD6BC4" w:rsidRDefault="00DD6BC4">
      <w:pPr>
        <w:rPr>
          <w:rFonts w:ascii="Calibri" w:eastAsia="Times New Roman" w:hAnsi="Calibri" w:cs="Arial"/>
          <w:b/>
          <w:bCs/>
          <w:color w:val="029676"/>
          <w:sz w:val="36"/>
          <w:szCs w:val="28"/>
          <w:lang w:eastAsia="en-AU"/>
        </w:rPr>
      </w:pPr>
    </w:p>
    <w:p w14:paraId="47CA9FD2" w14:textId="70D4FC46" w:rsidR="00EA1C26" w:rsidRDefault="00EA1C26">
      <w:pPr>
        <w:rPr>
          <w:rStyle w:val="Strong"/>
          <w:lang w:eastAsia="en-AU"/>
        </w:rPr>
      </w:pPr>
      <w:r>
        <w:rPr>
          <w:rStyle w:val="Strong"/>
          <w:lang w:eastAsia="en-AU"/>
        </w:rPr>
        <w:br w:type="page"/>
      </w:r>
    </w:p>
    <w:p w14:paraId="18987616" w14:textId="743BE420" w:rsidR="00265102" w:rsidRPr="00EA1C26" w:rsidRDefault="00265102">
      <w:pPr>
        <w:rPr>
          <w:b/>
          <w:bCs/>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1938"/>
      </w:tblGrid>
      <w:tr w:rsidR="00265102" w14:paraId="574F784B" w14:textId="77777777" w:rsidTr="00F70456">
        <w:tc>
          <w:tcPr>
            <w:tcW w:w="7088" w:type="dxa"/>
            <w:shd w:val="clear" w:color="auto" w:fill="auto"/>
          </w:tcPr>
          <w:p w14:paraId="688E91D3" w14:textId="77777777" w:rsidR="00265102" w:rsidRPr="00CF151F" w:rsidRDefault="00265102" w:rsidP="00F70456">
            <w:pPr>
              <w:pStyle w:val="Heading1"/>
              <w:outlineLvl w:val="0"/>
              <w:rPr>
                <w:sz w:val="48"/>
                <w:szCs w:val="48"/>
              </w:rPr>
            </w:pPr>
            <w:bookmarkStart w:id="9" w:name="_Toc71903582"/>
            <w:r>
              <w:rPr>
                <w:rFonts w:ascii="Arial" w:hAnsi="Arial" w:cs="Arial"/>
                <w:color w:val="44C1A3"/>
                <w:szCs w:val="36"/>
              </w:rPr>
              <w:t xml:space="preserve">Strategic Outcome 7 </w:t>
            </w:r>
            <w:r w:rsidRPr="00DE1DCA">
              <w:rPr>
                <w:rFonts w:ascii="Arial" w:hAnsi="Arial" w:cs="Arial"/>
                <w:b w:val="0"/>
                <w:bCs w:val="0"/>
                <w:color w:val="44C1A3"/>
                <w:szCs w:val="36"/>
              </w:rPr>
              <w:t>– Jobs, economic benefits and innovation</w:t>
            </w:r>
            <w:bookmarkEnd w:id="9"/>
          </w:p>
          <w:p w14:paraId="407D30CE" w14:textId="77777777" w:rsidR="00265102" w:rsidRDefault="00265102" w:rsidP="00F70456">
            <w:pPr>
              <w:pStyle w:val="BodyText"/>
              <w:rPr>
                <w:rFonts w:ascii="Arial" w:hAnsi="Arial" w:cs="Arial"/>
                <w:color w:val="44C1A3"/>
                <w:sz w:val="36"/>
                <w:szCs w:val="36"/>
              </w:rPr>
            </w:pPr>
          </w:p>
        </w:tc>
        <w:tc>
          <w:tcPr>
            <w:tcW w:w="1938" w:type="dxa"/>
            <w:shd w:val="clear" w:color="auto" w:fill="auto"/>
          </w:tcPr>
          <w:p w14:paraId="1DC630EB" w14:textId="77777777" w:rsidR="00265102" w:rsidRDefault="00265102" w:rsidP="00F70456">
            <w:pPr>
              <w:pStyle w:val="BodyText"/>
              <w:rPr>
                <w:rFonts w:ascii="Arial" w:hAnsi="Arial" w:cs="Arial"/>
                <w:color w:val="44C1A3"/>
                <w:sz w:val="36"/>
                <w:szCs w:val="36"/>
              </w:rPr>
            </w:pPr>
            <w:r>
              <w:rPr>
                <w:noProof/>
              </w:rPr>
              <w:drawing>
                <wp:inline distT="0" distB="0" distL="0" distR="0" wp14:anchorId="1EC6B5AE" wp14:editId="5386716C">
                  <wp:extent cx="900684" cy="900684"/>
                  <wp:effectExtent l="0" t="0" r="0" b="0"/>
                  <wp:docPr id="258" name="Picture 25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pic:nvPicPr>
                        <pic:blipFill>
                          <a:blip r:embed="rId21">
                            <a:extLst>
                              <a:ext uri="{28A0092B-C50C-407E-A947-70E740481C1C}">
                                <a14:useLocalDpi xmlns:a14="http://schemas.microsoft.com/office/drawing/2010/main" val="0"/>
                              </a:ext>
                            </a:extLst>
                          </a:blip>
                          <a:stretch>
                            <a:fillRect/>
                          </a:stretch>
                        </pic:blipFill>
                        <pic:spPr>
                          <a:xfrm>
                            <a:off x="0" y="0"/>
                            <a:ext cx="900684" cy="900684"/>
                          </a:xfrm>
                          <a:prstGeom prst="rect">
                            <a:avLst/>
                          </a:prstGeom>
                        </pic:spPr>
                      </pic:pic>
                    </a:graphicData>
                  </a:graphic>
                </wp:inline>
              </w:drawing>
            </w:r>
          </w:p>
        </w:tc>
      </w:tr>
    </w:tbl>
    <w:p w14:paraId="75EA3EB0" w14:textId="63F7E65B" w:rsidR="00FD07E6" w:rsidRDefault="00FD07E6">
      <w:pPr>
        <w:rPr>
          <w:rFonts w:ascii="Calibri" w:eastAsia="Times New Roman" w:hAnsi="Calibri" w:cs="Arial"/>
          <w:b/>
          <w:bCs/>
          <w:color w:val="029676"/>
          <w:sz w:val="36"/>
          <w:szCs w:val="28"/>
          <w:lang w:eastAsia="en-AU"/>
        </w:rPr>
      </w:pPr>
    </w:p>
    <w:p w14:paraId="384D1709" w14:textId="690C0F22" w:rsidR="00265102" w:rsidRPr="00265102" w:rsidRDefault="00265102">
      <w:pPr>
        <w:rPr>
          <w:rStyle w:val="Strong"/>
        </w:rPr>
      </w:pPr>
      <w:r w:rsidRPr="00265102">
        <w:rPr>
          <w:rStyle w:val="Strong"/>
          <w:lang w:eastAsia="en-AU"/>
        </w:rPr>
        <w:t>This outcome explores how IWM can enhance business and local economies by supporting food production, tourism and commercial activities. It is difficult to directly attribute increases in business revenue to IWM, but measures have been selected for this outcome which recognise the essential role of water to support agriculture, production and major industries.</w:t>
      </w:r>
    </w:p>
    <w:p w14:paraId="353EFABE" w14:textId="77777777" w:rsidR="00265102" w:rsidRDefault="00265102" w:rsidP="00265102">
      <w:pPr>
        <w:keepNext/>
        <w:keepLines/>
        <w:tabs>
          <w:tab w:val="num" w:pos="0"/>
        </w:tabs>
        <w:spacing w:after="0" w:line="240" w:lineRule="auto"/>
        <w:outlineLvl w:val="0"/>
        <w:rPr>
          <w:rFonts w:ascii="Calibri" w:eastAsia="Meiryo" w:hAnsi="Calibri" w:cs="Arial"/>
          <w:b/>
          <w:bCs/>
          <w:color w:val="029676"/>
          <w:sz w:val="36"/>
          <w:szCs w:val="28"/>
          <w:lang w:eastAsia="en-AU"/>
        </w:rPr>
      </w:pPr>
      <w:r w:rsidRPr="00ED7A1E">
        <w:rPr>
          <w:rFonts w:ascii="Calibri" w:eastAsia="Meiryo" w:hAnsi="Calibri" w:cs="Arial"/>
          <w:b/>
          <w:bCs/>
          <w:color w:val="029676"/>
          <w:sz w:val="36"/>
          <w:szCs w:val="28"/>
          <w:lang w:eastAsia="en-AU"/>
        </w:rPr>
        <w:t>The case for change</w:t>
      </w:r>
    </w:p>
    <w:p w14:paraId="4C260CCF" w14:textId="77777777" w:rsidR="00265102" w:rsidRPr="00BA0810" w:rsidRDefault="00265102" w:rsidP="00265102">
      <w:pPr>
        <w:rPr>
          <w:rStyle w:val="Strong"/>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067"/>
      </w:tblGrid>
      <w:tr w:rsidR="00265102" w14:paraId="16BF44AE" w14:textId="77777777" w:rsidTr="00140A15">
        <w:trPr>
          <w:trHeight w:val="2978"/>
        </w:trPr>
        <w:tc>
          <w:tcPr>
            <w:tcW w:w="5949" w:type="dxa"/>
          </w:tcPr>
          <w:p w14:paraId="6AC64D78" w14:textId="4EB7DF2B" w:rsidR="00265102" w:rsidRDefault="00265102" w:rsidP="00F70456">
            <w:pPr>
              <w:pStyle w:val="BodyText"/>
              <w:rPr>
                <w:rFonts w:ascii="Calibri" w:hAnsi="Calibri" w:cs="Arial"/>
                <w:b/>
                <w:bCs/>
                <w:iCs/>
                <w:color w:val="0989B1"/>
                <w:kern w:val="20"/>
                <w:sz w:val="24"/>
                <w:szCs w:val="28"/>
              </w:rPr>
            </w:pPr>
            <w:r>
              <w:rPr>
                <w:rFonts w:ascii="Calibri" w:hAnsi="Calibri" w:cs="Arial"/>
                <w:b/>
                <w:bCs/>
                <w:iCs/>
                <w:color w:val="0989B1"/>
                <w:kern w:val="20"/>
                <w:sz w:val="24"/>
                <w:szCs w:val="28"/>
              </w:rPr>
              <w:t>Economic support and stimulation</w:t>
            </w:r>
          </w:p>
          <w:p w14:paraId="6A1E1C59" w14:textId="6107A6FE" w:rsidR="00265102" w:rsidRDefault="00265102" w:rsidP="00265102">
            <w:pPr>
              <w:pStyle w:val="BodyText"/>
              <w:spacing w:before="0" w:after="0" w:line="240" w:lineRule="auto"/>
            </w:pPr>
            <w:r w:rsidRPr="00DE1DCA">
              <w:t xml:space="preserve">Water is vital for our economy. Many productive businesses and industries, including manufacturing, agriculture, food processing, energy, and mining, rely on safe, secure </w:t>
            </w:r>
            <w:r>
              <w:t xml:space="preserve">and </w:t>
            </w:r>
            <w:r w:rsidRPr="00DE1DCA">
              <w:t>affordable water supplies</w:t>
            </w:r>
            <w:r>
              <w:t>.</w:t>
            </w:r>
            <w:r w:rsidRPr="00DE1DCA">
              <w:t xml:space="preserve"> </w:t>
            </w:r>
            <w:r>
              <w:t>IWM</w:t>
            </w:r>
            <w:r w:rsidRPr="00DE1DCA">
              <w:t xml:space="preserve"> can support and stimulate local economies by providing resources to businesses and industry which leverage a circular economy and add resilience in times of drought. “One man’s waste is another man’s treasure” is a sentiment that can be true for complementary water resources. For example, wastewater is </w:t>
            </w:r>
            <w:r>
              <w:t xml:space="preserve">an </w:t>
            </w:r>
            <w:r w:rsidRPr="00DE1DCA">
              <w:t>excellent</w:t>
            </w:r>
            <w:r>
              <w:t xml:space="preserve"> resource</w:t>
            </w:r>
            <w:r w:rsidRPr="00DE1DCA">
              <w:t xml:space="preserve"> for many types of agriculture, where both a reliable source of water and rich nutrients are needed to increase yield. Equally, alternative sources of water can be suitable for certain industrial and commercial water users, and for those who use large amounts of water a</w:t>
            </w:r>
            <w:r>
              <w:t>s they depend on a</w:t>
            </w:r>
            <w:r w:rsidRPr="00DE1DCA">
              <w:t xml:space="preserve"> sustainable water supply </w:t>
            </w:r>
            <w:r>
              <w:t>in determining</w:t>
            </w:r>
            <w:r w:rsidRPr="00DE1DCA">
              <w:t xml:space="preserve"> their </w:t>
            </w:r>
            <w:r>
              <w:t xml:space="preserve">business </w:t>
            </w:r>
            <w:r w:rsidRPr="00DE1DCA">
              <w:t>viability and selection of location.</w:t>
            </w:r>
          </w:p>
          <w:p w14:paraId="5496E07D" w14:textId="723EB120" w:rsidR="00265102" w:rsidRPr="0064041C" w:rsidRDefault="00265102" w:rsidP="00F70456">
            <w:pPr>
              <w:pStyle w:val="BodyText"/>
              <w:spacing w:before="0" w:after="0" w:line="240" w:lineRule="auto"/>
            </w:pPr>
          </w:p>
        </w:tc>
        <w:tc>
          <w:tcPr>
            <w:tcW w:w="3067" w:type="dxa"/>
          </w:tcPr>
          <w:p w14:paraId="3B2F0AD4" w14:textId="77777777" w:rsidR="00265102" w:rsidRDefault="00265102" w:rsidP="00F70456">
            <w:pPr>
              <w:pStyle w:val="BodyText"/>
              <w:rPr>
                <w:color w:val="002060"/>
              </w:rPr>
            </w:pPr>
          </w:p>
        </w:tc>
      </w:tr>
      <w:tr w:rsidR="00265102" w14:paraId="041B9583" w14:textId="77777777" w:rsidTr="00140A15">
        <w:trPr>
          <w:trHeight w:val="1692"/>
        </w:trPr>
        <w:tc>
          <w:tcPr>
            <w:tcW w:w="5949" w:type="dxa"/>
          </w:tcPr>
          <w:p w14:paraId="42BA7CA3" w14:textId="2D3232F8" w:rsidR="00265102" w:rsidRDefault="00265102" w:rsidP="00F70456">
            <w:pPr>
              <w:pStyle w:val="BodyText"/>
              <w:rPr>
                <w:rFonts w:ascii="Calibri" w:hAnsi="Calibri" w:cs="Arial"/>
                <w:b/>
                <w:bCs/>
                <w:iCs/>
                <w:color w:val="0989B1"/>
                <w:kern w:val="20"/>
                <w:sz w:val="24"/>
                <w:szCs w:val="28"/>
              </w:rPr>
            </w:pPr>
            <w:r>
              <w:rPr>
                <w:rFonts w:ascii="Calibri" w:hAnsi="Calibri" w:cs="Arial"/>
                <w:b/>
                <w:bCs/>
                <w:iCs/>
                <w:color w:val="0989B1"/>
                <w:kern w:val="20"/>
                <w:sz w:val="24"/>
                <w:szCs w:val="28"/>
              </w:rPr>
              <w:t>Supporting our local food bowl</w:t>
            </w:r>
          </w:p>
          <w:p w14:paraId="6F06BB8F" w14:textId="6D5E2135" w:rsidR="00F01080" w:rsidRDefault="00265102" w:rsidP="00F01080">
            <w:pPr>
              <w:pStyle w:val="BodyText"/>
              <w:spacing w:before="0" w:after="0" w:line="240" w:lineRule="auto"/>
            </w:pPr>
            <w:r w:rsidRPr="008041BD">
              <w:t>Agriculture</w:t>
            </w:r>
            <w:r>
              <w:t xml:space="preserve"> and horticulture</w:t>
            </w:r>
            <w:r w:rsidRPr="008041BD">
              <w:t xml:space="preserve"> in the </w:t>
            </w:r>
            <w:r>
              <w:t xml:space="preserve">Greater Metropolitan </w:t>
            </w:r>
            <w:r w:rsidRPr="008041BD">
              <w:t xml:space="preserve">Melbourne </w:t>
            </w:r>
            <w:r>
              <w:t>R</w:t>
            </w:r>
            <w:r w:rsidRPr="008041BD">
              <w:t xml:space="preserve">egion </w:t>
            </w:r>
            <w:r>
              <w:t>are</w:t>
            </w:r>
            <w:r w:rsidRPr="008041BD">
              <w:t xml:space="preserve"> crucial to the economic success and the future resilience of the region. </w:t>
            </w:r>
            <w:r w:rsidR="00F01080">
              <w:t xml:space="preserve">Melbourne’s food bowl includes </w:t>
            </w:r>
            <w:r w:rsidR="00F01080" w:rsidRPr="008041BD">
              <w:t>multiple relatively small areas of food production scattered around the city fringe</w:t>
            </w:r>
            <w:r w:rsidR="00F01080">
              <w:t xml:space="preserve">, which are highly productive and are an important industry for the region. </w:t>
            </w:r>
            <w:r w:rsidR="007A29B8">
              <w:t>Conventionally</w:t>
            </w:r>
            <w:r w:rsidR="00F01080">
              <w:t>, agricultural areas have relied on water from groundwater and river water resources, however these are in decline due to the impacts of climate change and increasing pressure on resources. Supporting and enhancing agricultural production with alternative water supplies will be important for the resilience of our region.</w:t>
            </w:r>
          </w:p>
          <w:p w14:paraId="4F2CDC2C" w14:textId="77777777" w:rsidR="0092302F" w:rsidRDefault="0092302F" w:rsidP="00F01080">
            <w:pPr>
              <w:pStyle w:val="BodyText"/>
              <w:spacing w:before="0" w:after="0" w:line="240" w:lineRule="auto"/>
            </w:pPr>
          </w:p>
          <w:p w14:paraId="13499239" w14:textId="6EC742E4" w:rsidR="00265102" w:rsidRPr="00B65ADB" w:rsidRDefault="00B65ADB" w:rsidP="009033DE">
            <w:pPr>
              <w:pStyle w:val="BodyText"/>
              <w:rPr>
                <w:rFonts w:asciiTheme="majorHAnsi" w:hAnsiTheme="majorHAnsi" w:cstheme="majorHAnsi"/>
              </w:rPr>
            </w:pPr>
            <w:r w:rsidRPr="00B65ADB">
              <w:t>Agriculture and viticulture are significant drivers of economic prosperity for the Yarra Catchment. The Yarra Valley’s locally and internationally recognised fine food and wineries attract more than 4.5 million tourists each year</w:t>
            </w:r>
            <w:r w:rsidRPr="000D7CF6">
              <w:rPr>
                <w:rFonts w:asciiTheme="majorHAnsi" w:hAnsiTheme="majorHAnsi" w:cstheme="majorHAnsi"/>
              </w:rPr>
              <w:t>.</w:t>
            </w:r>
            <w:r w:rsidR="0092302F">
              <w:rPr>
                <w:vertAlign w:val="superscript"/>
              </w:rPr>
              <w:t>20</w:t>
            </w:r>
          </w:p>
        </w:tc>
        <w:tc>
          <w:tcPr>
            <w:tcW w:w="3067" w:type="dxa"/>
          </w:tcPr>
          <w:p w14:paraId="51F2DF47" w14:textId="77777777" w:rsidR="00CE73FA" w:rsidRPr="00CE73FA" w:rsidRDefault="00F01080" w:rsidP="00F70456">
            <w:pPr>
              <w:pStyle w:val="BodyText"/>
            </w:pPr>
            <w:r w:rsidRPr="00CE73FA">
              <w:t xml:space="preserve">41% </w:t>
            </w:r>
          </w:p>
          <w:p w14:paraId="131ED6F5" w14:textId="32C21A10" w:rsidR="00265102" w:rsidRPr="00CE73FA" w:rsidRDefault="00F01080" w:rsidP="00F70456">
            <w:pPr>
              <w:pStyle w:val="BodyText"/>
            </w:pPr>
            <w:r w:rsidRPr="00CE73FA">
              <w:t xml:space="preserve">of the food needs of greater Melbourne’s population </w:t>
            </w:r>
            <w:r w:rsidR="00CE73FA">
              <w:t>can currently be</w:t>
            </w:r>
            <w:r w:rsidRPr="00CE73FA">
              <w:t xml:space="preserve"> met by Melbourne’s food bowl.</w:t>
            </w:r>
            <w:r w:rsidR="00CE73FA" w:rsidRPr="00CE73FA">
              <w:rPr>
                <w:vertAlign w:val="superscript"/>
              </w:rPr>
              <w:t>1</w:t>
            </w:r>
            <w:r w:rsidR="0092302F">
              <w:rPr>
                <w:vertAlign w:val="superscript"/>
              </w:rPr>
              <w:t>9</w:t>
            </w:r>
          </w:p>
          <w:p w14:paraId="132B650E" w14:textId="77777777" w:rsidR="00F01080" w:rsidRDefault="00F01080" w:rsidP="00F70456">
            <w:pPr>
              <w:pStyle w:val="BodyText"/>
            </w:pPr>
          </w:p>
          <w:p w14:paraId="7870BB15" w14:textId="7DF1505A" w:rsidR="00E75ECB" w:rsidRDefault="009033DE" w:rsidP="00F70456">
            <w:pPr>
              <w:pStyle w:val="BodyText"/>
            </w:pPr>
            <w:r>
              <w:t>2,8</w:t>
            </w:r>
            <w:r w:rsidR="00B65ADB">
              <w:t>82</w:t>
            </w:r>
          </w:p>
          <w:p w14:paraId="7C4527FA" w14:textId="5367DC37" w:rsidR="00E75ECB" w:rsidRPr="00CE73FA" w:rsidRDefault="00E75ECB" w:rsidP="00F70456">
            <w:pPr>
              <w:pStyle w:val="BodyText"/>
            </w:pPr>
            <w:r>
              <w:t xml:space="preserve">Jobs in the agriculture, forestry and fishing sector in the </w:t>
            </w:r>
            <w:r w:rsidR="00B65ADB">
              <w:t>Ea</w:t>
            </w:r>
            <w:r>
              <w:t>st Study Area of the Melbourne Region</w:t>
            </w:r>
            <w:r w:rsidR="0092302F">
              <w:rPr>
                <w:vertAlign w:val="superscript"/>
              </w:rPr>
              <w:t>20</w:t>
            </w:r>
          </w:p>
        </w:tc>
      </w:tr>
      <w:tr w:rsidR="00265102" w14:paraId="30BF610A" w14:textId="77777777" w:rsidTr="00140A15">
        <w:trPr>
          <w:trHeight w:val="557"/>
        </w:trPr>
        <w:tc>
          <w:tcPr>
            <w:tcW w:w="5949" w:type="dxa"/>
          </w:tcPr>
          <w:p w14:paraId="31438773" w14:textId="48D1D360" w:rsidR="00265102" w:rsidRDefault="00E75ECB" w:rsidP="00F70456">
            <w:pPr>
              <w:pStyle w:val="BodyText"/>
              <w:rPr>
                <w:rFonts w:ascii="Calibri" w:hAnsi="Calibri" w:cs="Arial"/>
                <w:b/>
                <w:bCs/>
                <w:iCs/>
                <w:color w:val="0989B1"/>
                <w:kern w:val="20"/>
                <w:sz w:val="24"/>
                <w:szCs w:val="28"/>
              </w:rPr>
            </w:pPr>
            <w:r>
              <w:rPr>
                <w:rFonts w:ascii="Calibri" w:hAnsi="Calibri" w:cs="Arial"/>
                <w:b/>
                <w:bCs/>
                <w:iCs/>
                <w:color w:val="0989B1"/>
                <w:kern w:val="20"/>
                <w:sz w:val="24"/>
                <w:szCs w:val="28"/>
              </w:rPr>
              <w:lastRenderedPageBreak/>
              <w:t xml:space="preserve">Supporting our industries and businesses </w:t>
            </w:r>
          </w:p>
          <w:p w14:paraId="6F84630E" w14:textId="2015D1F1" w:rsidR="00B65ADB" w:rsidRPr="00B65ADB" w:rsidRDefault="00E75ECB" w:rsidP="00E75ECB">
            <w:pPr>
              <w:pStyle w:val="BodyText"/>
            </w:pPr>
            <w:r w:rsidRPr="00DE1DCA">
              <w:t xml:space="preserve">As the </w:t>
            </w:r>
            <w:r>
              <w:t>region</w:t>
            </w:r>
            <w:r w:rsidRPr="00DE1DCA">
              <w:t xml:space="preserve"> grows and changes, commercial and industrial uses of water will also change. </w:t>
            </w:r>
            <w:r>
              <w:t>Water corporation</w:t>
            </w:r>
            <w:r w:rsidRPr="00DE1DCA">
              <w:t>s expect that on a per hectare basis, non-residential water use will increase over time, however the proportion of land in urban areas dedicated to non-residential use is generally declining. The growth areas on the fringe of Melbourne will include commercial and industrial areas</w:t>
            </w:r>
            <w:r>
              <w:t>,</w:t>
            </w:r>
            <w:r w:rsidRPr="00DE1DCA">
              <w:t xml:space="preserve"> creating opportunities for shared water resources.</w:t>
            </w:r>
          </w:p>
          <w:p w14:paraId="41A34D7B" w14:textId="0B131964" w:rsidR="00E75ECB" w:rsidRPr="007C5CC9" w:rsidRDefault="00B65ADB" w:rsidP="00E75ECB">
            <w:pPr>
              <w:pStyle w:val="BodyText"/>
            </w:pPr>
            <w:r w:rsidRPr="00B65ADB">
              <w:t xml:space="preserve">The Yarra Catchment includes a major growth corridor in northeast Melbourne comprising several areas designated for significant population and economic growth. Three National Employment and Innovation Clusters (NEICs) are </w:t>
            </w:r>
            <w:r>
              <w:t xml:space="preserve">also </w:t>
            </w:r>
            <w:r w:rsidRPr="00B65ADB">
              <w:t>located within the Yarra Forum Area. The Parkville NEIC currently employs more than 40,000 people through a range of education, research, health, professional and technical industries. The La Trobe Employment Cluster is anticipated to grow from 35,000 people and 25,700 jobs currently to 100,000 people and 80,000 jobs in the future. Jobs and economic growth will also continue at the Monash NEIC, which has Melbourne’s largest concentration of jobs outside the central business district (CBD). The Monash NEIC currently supports 75,000 jobs and contributes $9.4 billion to the Victorian economy. The level and pace of growth in these areas will place greater pressure on the Yarra Catchment’s water systems and the security of supply to homes and businesses.</w:t>
            </w:r>
            <w:r w:rsidR="0016734A" w:rsidRPr="00744FD1">
              <w:rPr>
                <w:vertAlign w:val="superscript"/>
              </w:rPr>
              <w:t>2</w:t>
            </w:r>
            <w:r w:rsidR="0092302F">
              <w:rPr>
                <w:vertAlign w:val="superscript"/>
              </w:rPr>
              <w:t>1</w:t>
            </w:r>
          </w:p>
          <w:p w14:paraId="2D75C3DB" w14:textId="77777777" w:rsidR="00265102" w:rsidRPr="00882C50" w:rsidRDefault="00265102" w:rsidP="00CE73FA">
            <w:pPr>
              <w:pStyle w:val="BodyText"/>
              <w:spacing w:before="0" w:after="0" w:line="240" w:lineRule="auto"/>
            </w:pPr>
          </w:p>
        </w:tc>
        <w:tc>
          <w:tcPr>
            <w:tcW w:w="3067" w:type="dxa"/>
          </w:tcPr>
          <w:p w14:paraId="46915AE5" w14:textId="79F3E165" w:rsidR="001530B2" w:rsidRPr="001530B2" w:rsidRDefault="009033DE" w:rsidP="00F70456">
            <w:pPr>
              <w:pStyle w:val="BodyText"/>
            </w:pPr>
            <w:r>
              <w:t>14</w:t>
            </w:r>
            <w:r w:rsidR="00B65ADB">
              <w:t>0,700</w:t>
            </w:r>
          </w:p>
          <w:p w14:paraId="614BB72F" w14:textId="43591A49" w:rsidR="001530B2" w:rsidRPr="009033DE" w:rsidRDefault="001530B2" w:rsidP="00F70456">
            <w:pPr>
              <w:pStyle w:val="BodyText"/>
            </w:pPr>
            <w:r w:rsidRPr="001530B2">
              <w:t xml:space="preserve">Current jobs </w:t>
            </w:r>
            <w:r w:rsidR="00B65ADB">
              <w:t>supported in the three</w:t>
            </w:r>
            <w:r w:rsidRPr="007C5CC9">
              <w:t xml:space="preserve"> National Employment and Innovation Cluster</w:t>
            </w:r>
            <w:r w:rsidR="00B65ADB">
              <w:t>s in the Catchment</w:t>
            </w:r>
            <w:r w:rsidR="0016734A">
              <w:rPr>
                <w:vertAlign w:val="superscript"/>
              </w:rPr>
              <w:t>2</w:t>
            </w:r>
            <w:r w:rsidR="0092302F">
              <w:rPr>
                <w:vertAlign w:val="superscript"/>
              </w:rPr>
              <w:t>1</w:t>
            </w:r>
          </w:p>
        </w:tc>
      </w:tr>
    </w:tbl>
    <w:p w14:paraId="69C083A1" w14:textId="67BE02C2" w:rsidR="00671C64" w:rsidRPr="00ED7A1E" w:rsidRDefault="00CC0077" w:rsidP="004D1FCA">
      <w:pPr>
        <w:keepNext/>
        <w:keepLines/>
        <w:tabs>
          <w:tab w:val="num" w:pos="0"/>
        </w:tabs>
        <w:spacing w:after="0" w:line="276" w:lineRule="auto"/>
        <w:outlineLvl w:val="0"/>
        <w:rPr>
          <w:rFonts w:ascii="Calibri" w:eastAsia="Times New Roman" w:hAnsi="Calibri" w:cs="Arial"/>
          <w:b/>
          <w:bCs/>
          <w:color w:val="029676"/>
          <w:sz w:val="36"/>
          <w:szCs w:val="28"/>
          <w:lang w:eastAsia="en-AU"/>
        </w:rPr>
      </w:pPr>
      <w:r>
        <w:rPr>
          <w:rFonts w:ascii="Calibri" w:eastAsia="Times New Roman" w:hAnsi="Calibri" w:cs="Arial"/>
          <w:b/>
          <w:bCs/>
          <w:color w:val="029676"/>
          <w:sz w:val="36"/>
          <w:szCs w:val="28"/>
          <w:lang w:eastAsia="en-AU"/>
        </w:rPr>
        <w:t>Measuring the change we want to make</w:t>
      </w:r>
    </w:p>
    <w:tbl>
      <w:tblPr>
        <w:tblStyle w:val="TableGrid1"/>
        <w:tblW w:w="9356" w:type="dxa"/>
        <w:tblLook w:val="04A0" w:firstRow="1" w:lastRow="0" w:firstColumn="1" w:lastColumn="0" w:noHBand="0" w:noVBand="1"/>
      </w:tblPr>
      <w:tblGrid>
        <w:gridCol w:w="1985"/>
        <w:gridCol w:w="1028"/>
        <w:gridCol w:w="1807"/>
        <w:gridCol w:w="4536"/>
      </w:tblGrid>
      <w:tr w:rsidR="001E17BC" w:rsidRPr="00E05A88" w14:paraId="30FACBCE" w14:textId="77777777" w:rsidTr="001E17BC">
        <w:trPr>
          <w:cnfStyle w:val="100000000000" w:firstRow="1" w:lastRow="0" w:firstColumn="0" w:lastColumn="0" w:oddVBand="0" w:evenVBand="0" w:oddHBand="0" w:evenHBand="0" w:firstRowFirstColumn="0" w:firstRowLastColumn="0" w:lastRowFirstColumn="0" w:lastRowLastColumn="0"/>
          <w:trHeight w:val="427"/>
          <w:tblHeader/>
        </w:trPr>
        <w:tc>
          <w:tcPr>
            <w:cnfStyle w:val="000000000100" w:firstRow="0" w:lastRow="0" w:firstColumn="0" w:lastColumn="0" w:oddVBand="0" w:evenVBand="0" w:oddHBand="0" w:evenHBand="0" w:firstRowFirstColumn="1" w:firstRowLastColumn="0" w:lastRowFirstColumn="0" w:lastRowLastColumn="0"/>
            <w:tcW w:w="1985" w:type="dxa"/>
            <w:vMerge w:val="restart"/>
          </w:tcPr>
          <w:p w14:paraId="5E7307CB" w14:textId="77777777" w:rsidR="001E17BC" w:rsidRPr="00E05A88" w:rsidRDefault="001E17BC" w:rsidP="001E17BC">
            <w:pPr>
              <w:rPr>
                <w:rFonts w:cs="Arial"/>
                <w:b/>
                <w:bCs/>
              </w:rPr>
            </w:pPr>
            <w:r>
              <w:rPr>
                <w:rFonts w:cs="Arial"/>
                <w:b/>
                <w:bCs/>
              </w:rPr>
              <w:t>Our measures</w:t>
            </w:r>
          </w:p>
        </w:tc>
        <w:tc>
          <w:tcPr>
            <w:tcW w:w="0" w:type="auto"/>
            <w:vMerge w:val="restart"/>
            <w:vAlign w:val="center"/>
          </w:tcPr>
          <w:p w14:paraId="28E02B48" w14:textId="70830F5D" w:rsidR="001E17BC" w:rsidRDefault="001E17BC" w:rsidP="001E17BC">
            <w:pPr>
              <w:cnfStyle w:val="100000000000" w:firstRow="1" w:lastRow="0" w:firstColumn="0" w:lastColumn="0" w:oddVBand="0" w:evenVBand="0" w:oddHBand="0" w:evenHBand="0" w:firstRowFirstColumn="0" w:firstRowLastColumn="0" w:lastRowFirstColumn="0" w:lastRowLastColumn="0"/>
              <w:rPr>
                <w:rFonts w:cs="Arial"/>
                <w:b/>
                <w:bCs/>
              </w:rPr>
            </w:pPr>
            <w:r w:rsidRPr="00744FD1">
              <w:rPr>
                <w:rFonts w:cs="Arial"/>
                <w:b/>
                <w:bCs/>
              </w:rPr>
              <w:t>Scale</w:t>
            </w:r>
          </w:p>
        </w:tc>
        <w:tc>
          <w:tcPr>
            <w:tcW w:w="1807" w:type="dxa"/>
            <w:vMerge w:val="restart"/>
            <w:vAlign w:val="center"/>
          </w:tcPr>
          <w:p w14:paraId="7DFEDB72" w14:textId="0A5ED8A0" w:rsidR="001E17BC" w:rsidRDefault="001E17BC" w:rsidP="001E17BC">
            <w:pPr>
              <w:cnfStyle w:val="100000000000" w:firstRow="1" w:lastRow="0" w:firstColumn="0" w:lastColumn="0" w:oddVBand="0" w:evenVBand="0" w:oddHBand="0" w:evenHBand="0" w:firstRowFirstColumn="0" w:firstRowLastColumn="0" w:lastRowFirstColumn="0" w:lastRowLastColumn="0"/>
              <w:rPr>
                <w:rFonts w:cs="Arial"/>
                <w:b/>
                <w:bCs/>
              </w:rPr>
            </w:pPr>
            <w:r>
              <w:rPr>
                <w:rFonts w:cs="Arial"/>
                <w:b/>
                <w:bCs/>
              </w:rPr>
              <w:t>Our current performance (2019)</w:t>
            </w:r>
          </w:p>
        </w:tc>
        <w:tc>
          <w:tcPr>
            <w:tcW w:w="4536" w:type="dxa"/>
            <w:vMerge w:val="restart"/>
            <w:vAlign w:val="center"/>
          </w:tcPr>
          <w:p w14:paraId="66B10ADE" w14:textId="2F0CBA1C" w:rsidR="001E17BC" w:rsidRPr="00E05A88" w:rsidRDefault="001E17BC" w:rsidP="001E17BC">
            <w:pPr>
              <w:cnfStyle w:val="100000000000" w:firstRow="1" w:lastRow="0" w:firstColumn="0" w:lastColumn="0" w:oddVBand="0" w:evenVBand="0" w:oddHBand="0" w:evenHBand="0" w:firstRowFirstColumn="0" w:firstRowLastColumn="0" w:lastRowFirstColumn="0" w:lastRowLastColumn="0"/>
              <w:rPr>
                <w:rFonts w:cs="Arial"/>
                <w:b/>
                <w:bCs/>
              </w:rPr>
            </w:pPr>
            <w:r w:rsidRPr="001051EB">
              <w:rPr>
                <w:rFonts w:cs="Arial"/>
                <w:b/>
                <w:bCs/>
              </w:rPr>
              <w:t>Why is this measure important?</w:t>
            </w:r>
          </w:p>
        </w:tc>
      </w:tr>
      <w:tr w:rsidR="001E17BC" w:rsidRPr="00E05A88" w14:paraId="49AA69EB" w14:textId="77777777" w:rsidTr="00822D9D">
        <w:trPr>
          <w:cnfStyle w:val="100000000000" w:firstRow="1" w:lastRow="0" w:firstColumn="0" w:lastColumn="0" w:oddVBand="0" w:evenVBand="0" w:oddHBand="0" w:evenHBand="0" w:firstRowFirstColumn="0" w:firstRowLastColumn="0" w:lastRowFirstColumn="0" w:lastRowLastColumn="0"/>
          <w:trHeight w:val="340"/>
          <w:tblHeader/>
        </w:trPr>
        <w:tc>
          <w:tcPr>
            <w:cnfStyle w:val="000000000100" w:firstRow="0" w:lastRow="0" w:firstColumn="0" w:lastColumn="0" w:oddVBand="0" w:evenVBand="0" w:oddHBand="0" w:evenHBand="0" w:firstRowFirstColumn="1" w:firstRowLastColumn="0" w:lastRowFirstColumn="0" w:lastRowLastColumn="0"/>
            <w:tcW w:w="1985" w:type="dxa"/>
            <w:vMerge/>
          </w:tcPr>
          <w:p w14:paraId="2069598E" w14:textId="77777777" w:rsidR="001E17BC" w:rsidRPr="00E05A88" w:rsidRDefault="001E17BC" w:rsidP="001E17BC">
            <w:pPr>
              <w:rPr>
                <w:rFonts w:cs="Arial"/>
              </w:rPr>
            </w:pPr>
          </w:p>
        </w:tc>
        <w:tc>
          <w:tcPr>
            <w:tcW w:w="0" w:type="auto"/>
            <w:vMerge/>
          </w:tcPr>
          <w:p w14:paraId="049D6D83" w14:textId="2AD08E19" w:rsidR="001E17BC" w:rsidRPr="00E05A88" w:rsidRDefault="001E17BC" w:rsidP="001E17BC">
            <w:pPr>
              <w:jc w:val="center"/>
              <w:cnfStyle w:val="100000000000" w:firstRow="1" w:lastRow="0" w:firstColumn="0" w:lastColumn="0" w:oddVBand="0" w:evenVBand="0" w:oddHBand="0" w:evenHBand="0" w:firstRowFirstColumn="0" w:firstRowLastColumn="0" w:lastRowFirstColumn="0" w:lastRowLastColumn="0"/>
              <w:rPr>
                <w:rFonts w:cs="Arial"/>
              </w:rPr>
            </w:pPr>
          </w:p>
        </w:tc>
        <w:tc>
          <w:tcPr>
            <w:tcW w:w="1807" w:type="dxa"/>
            <w:vMerge/>
          </w:tcPr>
          <w:p w14:paraId="267EF4A9" w14:textId="662AC229" w:rsidR="001E17BC" w:rsidRPr="00E05A88" w:rsidRDefault="001E17BC" w:rsidP="001E17BC">
            <w:pPr>
              <w:jc w:val="center"/>
              <w:cnfStyle w:val="100000000000" w:firstRow="1" w:lastRow="0" w:firstColumn="0" w:lastColumn="0" w:oddVBand="0" w:evenVBand="0" w:oddHBand="0" w:evenHBand="0" w:firstRowFirstColumn="0" w:firstRowLastColumn="0" w:lastRowFirstColumn="0" w:lastRowLastColumn="0"/>
              <w:rPr>
                <w:rFonts w:cs="Arial"/>
              </w:rPr>
            </w:pPr>
          </w:p>
        </w:tc>
        <w:tc>
          <w:tcPr>
            <w:tcW w:w="4536" w:type="dxa"/>
            <w:vMerge/>
          </w:tcPr>
          <w:p w14:paraId="66E3BBD9" w14:textId="77777777" w:rsidR="001E17BC" w:rsidRPr="00E05A88" w:rsidRDefault="001E17BC" w:rsidP="001E17BC">
            <w:pPr>
              <w:cnfStyle w:val="100000000000" w:firstRow="1" w:lastRow="0" w:firstColumn="0" w:lastColumn="0" w:oddVBand="0" w:evenVBand="0" w:oddHBand="0" w:evenHBand="0" w:firstRowFirstColumn="0" w:firstRowLastColumn="0" w:lastRowFirstColumn="0" w:lastRowLastColumn="0"/>
              <w:rPr>
                <w:rFonts w:cs="Arial"/>
              </w:rPr>
            </w:pPr>
          </w:p>
        </w:tc>
      </w:tr>
      <w:tr w:rsidR="001E17BC" w:rsidRPr="00E05A88" w14:paraId="5EF64886" w14:textId="77777777" w:rsidTr="001E17BC">
        <w:trPr>
          <w:trHeight w:val="427"/>
        </w:trPr>
        <w:tc>
          <w:tcPr>
            <w:tcW w:w="1985" w:type="dxa"/>
            <w:vMerge w:val="restart"/>
          </w:tcPr>
          <w:p w14:paraId="29AE4067" w14:textId="1C974287" w:rsidR="001E17BC" w:rsidRPr="00E05A88" w:rsidRDefault="001E17BC" w:rsidP="001E17BC">
            <w:pPr>
              <w:rPr>
                <w:rFonts w:ascii="Calibri" w:hAnsi="Calibri" w:cs="Arial"/>
              </w:rPr>
            </w:pPr>
            <w:r w:rsidRPr="00671C64">
              <w:rPr>
                <w:rFonts w:ascii="Calibri" w:hAnsi="Calibri" w:cs="Arial"/>
              </w:rPr>
              <w:t>7.1a Alternative water supplied to agricultural production</w:t>
            </w:r>
          </w:p>
        </w:tc>
        <w:tc>
          <w:tcPr>
            <w:tcW w:w="0" w:type="auto"/>
          </w:tcPr>
          <w:p w14:paraId="1CE975B4" w14:textId="1E9DDEBD" w:rsidR="001E17BC" w:rsidRPr="001551F1" w:rsidRDefault="001E17BC" w:rsidP="001E17BC">
            <w:pPr>
              <w:rPr>
                <w:rFonts w:ascii="Calibri" w:hAnsi="Calibri" w:cs="Arial"/>
              </w:rPr>
            </w:pPr>
            <w:r>
              <w:rPr>
                <w:rFonts w:ascii="Calibri" w:hAnsi="Calibri" w:cs="Arial"/>
              </w:rPr>
              <w:t>Catchment</w:t>
            </w:r>
          </w:p>
        </w:tc>
        <w:tc>
          <w:tcPr>
            <w:tcW w:w="1807" w:type="dxa"/>
          </w:tcPr>
          <w:p w14:paraId="43553C67" w14:textId="24946A02" w:rsidR="001E17BC" w:rsidRPr="001551F1" w:rsidRDefault="001E17BC" w:rsidP="001E17BC">
            <w:pPr>
              <w:rPr>
                <w:rFonts w:ascii="Calibri" w:hAnsi="Calibri" w:cs="Arial"/>
              </w:rPr>
            </w:pPr>
            <w:r>
              <w:rPr>
                <w:rFonts w:ascii="Calibri" w:hAnsi="Calibri" w:cs="Arial"/>
              </w:rPr>
              <w:t>0.04</w:t>
            </w:r>
            <w:r w:rsidRPr="001551F1">
              <w:rPr>
                <w:rFonts w:ascii="Calibri" w:hAnsi="Calibri" w:cs="Arial"/>
              </w:rPr>
              <w:t xml:space="preserve"> G</w:t>
            </w:r>
            <w:r>
              <w:rPr>
                <w:rFonts w:ascii="Calibri" w:hAnsi="Calibri" w:cs="Arial"/>
              </w:rPr>
              <w:t xml:space="preserve">igalitres </w:t>
            </w:r>
            <w:r w:rsidRPr="001551F1">
              <w:rPr>
                <w:rFonts w:ascii="Calibri" w:hAnsi="Calibri" w:cs="Arial"/>
              </w:rPr>
              <w:t>/year</w:t>
            </w:r>
          </w:p>
        </w:tc>
        <w:tc>
          <w:tcPr>
            <w:tcW w:w="4536" w:type="dxa"/>
            <w:vMerge w:val="restart"/>
          </w:tcPr>
          <w:p w14:paraId="687B5845" w14:textId="11880B19" w:rsidR="001E17BC" w:rsidRPr="00135514" w:rsidRDefault="001E17BC" w:rsidP="001E17BC">
            <w:pPr>
              <w:rPr>
                <w:rFonts w:ascii="Calibri" w:hAnsi="Calibri" w:cs="Arial"/>
                <w:color w:val="auto"/>
              </w:rPr>
            </w:pPr>
            <w:r>
              <w:rPr>
                <w:rFonts w:ascii="Calibri" w:hAnsi="Calibri" w:cs="Arial"/>
                <w:color w:val="auto"/>
              </w:rPr>
              <w:t>Conventionally</w:t>
            </w:r>
            <w:r w:rsidRPr="00671C64">
              <w:rPr>
                <w:rFonts w:ascii="Calibri" w:hAnsi="Calibri" w:cs="Arial"/>
                <w:color w:val="auto"/>
              </w:rPr>
              <w:t>, agriculture has been depend</w:t>
            </w:r>
            <w:r>
              <w:rPr>
                <w:rFonts w:ascii="Calibri" w:hAnsi="Calibri" w:cs="Arial"/>
                <w:color w:val="auto"/>
              </w:rPr>
              <w:t>e</w:t>
            </w:r>
            <w:r w:rsidRPr="00671C64">
              <w:rPr>
                <w:rFonts w:ascii="Calibri" w:hAnsi="Calibri" w:cs="Arial"/>
                <w:color w:val="auto"/>
              </w:rPr>
              <w:t xml:space="preserve">nt on river water and groundwater, the availability of which is declining with climate change and other pressures. </w:t>
            </w:r>
            <w:r>
              <w:rPr>
                <w:rFonts w:ascii="Calibri" w:hAnsi="Calibri" w:cs="Arial"/>
                <w:color w:val="auto"/>
              </w:rPr>
              <w:t>T</w:t>
            </w:r>
            <w:r w:rsidRPr="0041209B">
              <w:rPr>
                <w:rFonts w:ascii="Calibri" w:hAnsi="Calibri" w:cs="Arial"/>
              </w:rPr>
              <w:t>he targets (see below)</w:t>
            </w:r>
            <w:r w:rsidRPr="00E05A88">
              <w:rPr>
                <w:rFonts w:ascii="Calibri" w:hAnsi="Calibri" w:cs="Arial"/>
              </w:rPr>
              <w:t xml:space="preserve"> will support Melbourne’s population with local food supply (continuing the existing proportion of 41%), by enhancing the Melbourne region’s food bowl through the supply of alternative water resources.</w:t>
            </w:r>
          </w:p>
        </w:tc>
      </w:tr>
      <w:tr w:rsidR="001E17BC" w:rsidRPr="00E05A88" w14:paraId="3FF5DDBE" w14:textId="77777777" w:rsidTr="001E17BC">
        <w:trPr>
          <w:trHeight w:val="427"/>
        </w:trPr>
        <w:tc>
          <w:tcPr>
            <w:tcW w:w="1985" w:type="dxa"/>
            <w:vMerge/>
          </w:tcPr>
          <w:p w14:paraId="55E9FDF1" w14:textId="77777777" w:rsidR="001E17BC" w:rsidRPr="00671C64" w:rsidRDefault="001E17BC" w:rsidP="001E17BC">
            <w:pPr>
              <w:rPr>
                <w:rFonts w:ascii="Calibri" w:hAnsi="Calibri" w:cs="Arial"/>
              </w:rPr>
            </w:pPr>
          </w:p>
        </w:tc>
        <w:tc>
          <w:tcPr>
            <w:tcW w:w="0" w:type="auto"/>
          </w:tcPr>
          <w:p w14:paraId="0CBFFAB1" w14:textId="4AEB6D9E" w:rsidR="001E17BC" w:rsidRPr="001551F1" w:rsidRDefault="001E17BC" w:rsidP="001E17BC">
            <w:pPr>
              <w:rPr>
                <w:rFonts w:ascii="Calibri" w:hAnsi="Calibri" w:cs="Arial"/>
              </w:rPr>
            </w:pPr>
            <w:r>
              <w:rPr>
                <w:rFonts w:ascii="Calibri" w:hAnsi="Calibri" w:cs="Arial"/>
              </w:rPr>
              <w:t>Region</w:t>
            </w:r>
          </w:p>
        </w:tc>
        <w:tc>
          <w:tcPr>
            <w:tcW w:w="1807" w:type="dxa"/>
          </w:tcPr>
          <w:p w14:paraId="3C01209B" w14:textId="0C6916F3" w:rsidR="001E17BC" w:rsidRPr="001551F1" w:rsidRDefault="001E17BC" w:rsidP="001E17BC">
            <w:pPr>
              <w:rPr>
                <w:rFonts w:ascii="Calibri" w:hAnsi="Calibri" w:cs="Arial"/>
              </w:rPr>
            </w:pPr>
            <w:r w:rsidRPr="001551F1">
              <w:rPr>
                <w:rFonts w:ascii="Calibri" w:hAnsi="Calibri" w:cs="Arial"/>
              </w:rPr>
              <w:t>34 G</w:t>
            </w:r>
            <w:r>
              <w:rPr>
                <w:rFonts w:ascii="Calibri" w:hAnsi="Calibri" w:cs="Arial"/>
              </w:rPr>
              <w:t xml:space="preserve">igalitres </w:t>
            </w:r>
            <w:r w:rsidRPr="001551F1">
              <w:rPr>
                <w:rFonts w:ascii="Calibri" w:hAnsi="Calibri" w:cs="Arial"/>
              </w:rPr>
              <w:t>/year</w:t>
            </w:r>
          </w:p>
        </w:tc>
        <w:tc>
          <w:tcPr>
            <w:tcW w:w="4536" w:type="dxa"/>
            <w:vMerge/>
          </w:tcPr>
          <w:p w14:paraId="714A06DA" w14:textId="77777777" w:rsidR="001E17BC" w:rsidRPr="00671C64" w:rsidRDefault="001E17BC" w:rsidP="001E17BC">
            <w:pPr>
              <w:rPr>
                <w:rFonts w:ascii="Calibri" w:hAnsi="Calibri" w:cs="Arial"/>
              </w:rPr>
            </w:pPr>
          </w:p>
        </w:tc>
      </w:tr>
      <w:tr w:rsidR="001E17BC" w:rsidRPr="00E05A88" w14:paraId="79368E21" w14:textId="77777777" w:rsidTr="001E17BC">
        <w:trPr>
          <w:trHeight w:val="427"/>
        </w:trPr>
        <w:tc>
          <w:tcPr>
            <w:tcW w:w="1985" w:type="dxa"/>
            <w:vMerge w:val="restart"/>
          </w:tcPr>
          <w:p w14:paraId="29492761" w14:textId="7BB0C996" w:rsidR="001E17BC" w:rsidRPr="00E05A88" w:rsidRDefault="001E17BC" w:rsidP="001E17BC">
            <w:pPr>
              <w:rPr>
                <w:rFonts w:ascii="Calibri" w:hAnsi="Calibri" w:cs="Arial"/>
              </w:rPr>
            </w:pPr>
            <w:r w:rsidRPr="00671C64">
              <w:rPr>
                <w:rFonts w:ascii="Calibri" w:hAnsi="Calibri" w:cs="Arial"/>
              </w:rPr>
              <w:t>7.1b Alternative water supplied to businesses and industry (&gt;10ML/year)</w:t>
            </w:r>
          </w:p>
        </w:tc>
        <w:tc>
          <w:tcPr>
            <w:tcW w:w="0" w:type="auto"/>
          </w:tcPr>
          <w:p w14:paraId="767880E3" w14:textId="0C2021D9" w:rsidR="001E17BC" w:rsidRPr="001551F1" w:rsidRDefault="001E17BC" w:rsidP="001E17BC">
            <w:pPr>
              <w:rPr>
                <w:rFonts w:ascii="Calibri" w:hAnsi="Calibri" w:cs="Arial"/>
              </w:rPr>
            </w:pPr>
            <w:r>
              <w:rPr>
                <w:rFonts w:ascii="Calibri" w:hAnsi="Calibri" w:cs="Arial"/>
              </w:rPr>
              <w:t>Catchment</w:t>
            </w:r>
          </w:p>
        </w:tc>
        <w:tc>
          <w:tcPr>
            <w:tcW w:w="1807" w:type="dxa"/>
          </w:tcPr>
          <w:p w14:paraId="07F57DB4" w14:textId="3D9116D2" w:rsidR="001E17BC" w:rsidRPr="001551F1" w:rsidRDefault="001E17BC" w:rsidP="001E17BC">
            <w:pPr>
              <w:rPr>
                <w:rFonts w:ascii="Calibri" w:hAnsi="Calibri" w:cs="Arial"/>
              </w:rPr>
            </w:pPr>
            <w:r>
              <w:rPr>
                <w:rFonts w:ascii="Calibri" w:hAnsi="Calibri" w:cs="Arial"/>
              </w:rPr>
              <w:t>67</w:t>
            </w:r>
            <w:r w:rsidRPr="001551F1">
              <w:rPr>
                <w:rFonts w:ascii="Calibri" w:hAnsi="Calibri" w:cs="Arial"/>
              </w:rPr>
              <w:t xml:space="preserve"> M</w:t>
            </w:r>
            <w:r>
              <w:rPr>
                <w:rFonts w:ascii="Calibri" w:hAnsi="Calibri" w:cs="Arial"/>
              </w:rPr>
              <w:t xml:space="preserve">egalitres </w:t>
            </w:r>
            <w:r w:rsidRPr="001551F1">
              <w:rPr>
                <w:rFonts w:ascii="Calibri" w:hAnsi="Calibri" w:cs="Arial"/>
              </w:rPr>
              <w:t>/year</w:t>
            </w:r>
            <w:r w:rsidRPr="001551F1" w:rsidDel="00DD1687">
              <w:rPr>
                <w:rFonts w:ascii="Calibri" w:hAnsi="Calibri" w:cs="Arial"/>
              </w:rPr>
              <w:t xml:space="preserve"> </w:t>
            </w:r>
          </w:p>
        </w:tc>
        <w:tc>
          <w:tcPr>
            <w:tcW w:w="4536" w:type="dxa"/>
            <w:vMerge w:val="restart"/>
          </w:tcPr>
          <w:p w14:paraId="54631C03" w14:textId="491156F8" w:rsidR="001E17BC" w:rsidRPr="00671C64" w:rsidRDefault="001E17BC" w:rsidP="001E17BC">
            <w:pPr>
              <w:rPr>
                <w:rFonts w:ascii="Calibri" w:hAnsi="Calibri" w:cs="Arial"/>
                <w:color w:val="auto"/>
              </w:rPr>
            </w:pPr>
            <w:r w:rsidRPr="00671C64">
              <w:rPr>
                <w:rFonts w:ascii="Calibri" w:hAnsi="Calibri" w:cs="Arial"/>
                <w:color w:val="auto"/>
              </w:rPr>
              <w:t>The measure reflects the provision of alternative water sources to major water users, where water is likely to be a key resource impacting the viability of their production process or business.</w:t>
            </w:r>
          </w:p>
        </w:tc>
      </w:tr>
      <w:tr w:rsidR="00E965C8" w:rsidRPr="00E05A88" w14:paraId="1BC4F924" w14:textId="77777777" w:rsidTr="001E17BC">
        <w:trPr>
          <w:trHeight w:val="427"/>
        </w:trPr>
        <w:tc>
          <w:tcPr>
            <w:tcW w:w="1985" w:type="dxa"/>
            <w:vMerge/>
          </w:tcPr>
          <w:p w14:paraId="6C752391" w14:textId="77777777" w:rsidR="00E965C8" w:rsidRPr="00671C64" w:rsidRDefault="00E965C8" w:rsidP="00F70456">
            <w:pPr>
              <w:rPr>
                <w:rFonts w:ascii="Calibri" w:hAnsi="Calibri" w:cs="Arial"/>
              </w:rPr>
            </w:pPr>
          </w:p>
        </w:tc>
        <w:tc>
          <w:tcPr>
            <w:tcW w:w="0" w:type="auto"/>
          </w:tcPr>
          <w:p w14:paraId="64E27566" w14:textId="25F32D2D" w:rsidR="00E965C8" w:rsidRPr="001551F1" w:rsidRDefault="00E965C8" w:rsidP="00744FD1">
            <w:pPr>
              <w:rPr>
                <w:rFonts w:ascii="Calibri" w:hAnsi="Calibri" w:cs="Arial"/>
              </w:rPr>
            </w:pPr>
            <w:r>
              <w:rPr>
                <w:rFonts w:ascii="Calibri" w:hAnsi="Calibri" w:cs="Arial"/>
              </w:rPr>
              <w:t>Region</w:t>
            </w:r>
          </w:p>
        </w:tc>
        <w:tc>
          <w:tcPr>
            <w:tcW w:w="1807" w:type="dxa"/>
          </w:tcPr>
          <w:p w14:paraId="5EBEB07B" w14:textId="7EBF2563" w:rsidR="00E965C8" w:rsidRPr="001551F1" w:rsidRDefault="00E965C8" w:rsidP="001E17BC">
            <w:pPr>
              <w:rPr>
                <w:rFonts w:ascii="Calibri" w:hAnsi="Calibri" w:cs="Arial"/>
              </w:rPr>
            </w:pPr>
            <w:r w:rsidRPr="001551F1">
              <w:rPr>
                <w:rFonts w:ascii="Calibri" w:hAnsi="Calibri" w:cs="Arial"/>
              </w:rPr>
              <w:t>3393 M</w:t>
            </w:r>
            <w:r>
              <w:rPr>
                <w:rFonts w:ascii="Calibri" w:hAnsi="Calibri" w:cs="Arial"/>
              </w:rPr>
              <w:t xml:space="preserve">egalitres </w:t>
            </w:r>
            <w:r w:rsidRPr="001551F1">
              <w:rPr>
                <w:rFonts w:ascii="Calibri" w:hAnsi="Calibri" w:cs="Arial"/>
              </w:rPr>
              <w:t>/year</w:t>
            </w:r>
          </w:p>
        </w:tc>
        <w:tc>
          <w:tcPr>
            <w:tcW w:w="4536" w:type="dxa"/>
            <w:vMerge/>
          </w:tcPr>
          <w:p w14:paraId="1793CA4F" w14:textId="77777777" w:rsidR="00E965C8" w:rsidRPr="00671C64" w:rsidRDefault="00E965C8" w:rsidP="00F70456">
            <w:pPr>
              <w:rPr>
                <w:rFonts w:ascii="Calibri" w:hAnsi="Calibri" w:cs="Arial"/>
              </w:rPr>
            </w:pPr>
          </w:p>
        </w:tc>
      </w:tr>
    </w:tbl>
    <w:p w14:paraId="4357007E" w14:textId="77777777" w:rsidR="00671C64" w:rsidRDefault="00671C64" w:rsidP="001E17BC">
      <w:pPr>
        <w:rPr>
          <w:lang w:eastAsia="en-AU"/>
        </w:rPr>
      </w:pPr>
    </w:p>
    <w:tbl>
      <w:tblPr>
        <w:tblStyle w:val="TableGrid1"/>
        <w:tblW w:w="9356" w:type="dxa"/>
        <w:tblLook w:val="0420" w:firstRow="1" w:lastRow="0" w:firstColumn="0" w:lastColumn="0" w:noHBand="0" w:noVBand="1"/>
      </w:tblPr>
      <w:tblGrid>
        <w:gridCol w:w="9356"/>
      </w:tblGrid>
      <w:tr w:rsidR="00B51185" w:rsidRPr="00D42C8C" w14:paraId="2FBB8921" w14:textId="77777777" w:rsidTr="001E17BC">
        <w:trPr>
          <w:cnfStyle w:val="100000000000" w:firstRow="1" w:lastRow="0" w:firstColumn="0" w:lastColumn="0" w:oddVBand="0" w:evenVBand="0" w:oddHBand="0" w:evenHBand="0" w:firstRowFirstColumn="0" w:firstRowLastColumn="0" w:lastRowFirstColumn="0" w:lastRowLastColumn="0"/>
          <w:trHeight w:val="428"/>
        </w:trPr>
        <w:tc>
          <w:tcPr>
            <w:tcW w:w="9356" w:type="dxa"/>
            <w:hideMark/>
          </w:tcPr>
          <w:p w14:paraId="4715F096" w14:textId="77777777" w:rsidR="00B51185" w:rsidRPr="00D42C8C" w:rsidRDefault="00B51185" w:rsidP="0060254E">
            <w:pPr>
              <w:spacing w:after="0" w:line="240" w:lineRule="auto"/>
              <w:rPr>
                <w:rFonts w:asciiTheme="minorHAnsi" w:hAnsiTheme="minorHAnsi" w:cstheme="minorHAnsi"/>
                <w:szCs w:val="18"/>
              </w:rPr>
            </w:pPr>
            <w:r w:rsidRPr="00D42C8C">
              <w:rPr>
                <w:rFonts w:asciiTheme="minorHAnsi" w:hAnsiTheme="minorHAnsi" w:cstheme="minorHAnsi"/>
                <w:b/>
                <w:bCs/>
                <w:color w:val="auto"/>
                <w:kern w:val="24"/>
                <w:szCs w:val="18"/>
              </w:rPr>
              <w:t>Our targets for the future, as of September 2022</w:t>
            </w:r>
          </w:p>
        </w:tc>
      </w:tr>
      <w:tr w:rsidR="00B51185" w:rsidRPr="005C10D9" w14:paraId="36C7AD9E" w14:textId="77777777" w:rsidTr="001E17BC">
        <w:tblPrEx>
          <w:tblLook w:val="04A0" w:firstRow="1" w:lastRow="0" w:firstColumn="1" w:lastColumn="0" w:noHBand="0" w:noVBand="1"/>
        </w:tblPrEx>
        <w:trPr>
          <w:trHeight w:val="385"/>
        </w:trPr>
        <w:tc>
          <w:tcPr>
            <w:tcW w:w="9356" w:type="dxa"/>
            <w:hideMark/>
          </w:tcPr>
          <w:p w14:paraId="48887A46" w14:textId="77777777" w:rsidR="00B51185" w:rsidRPr="005C10D9" w:rsidRDefault="00B51185" w:rsidP="0060254E">
            <w:pPr>
              <w:spacing w:after="0" w:line="240" w:lineRule="auto"/>
              <w:rPr>
                <w:rFonts w:ascii="Calibri" w:hAnsi="Calibri" w:cs="Calibri"/>
              </w:rPr>
            </w:pPr>
            <w:r>
              <w:rPr>
                <w:rFonts w:ascii="Calibri" w:hAnsi="Calibri" w:cs="Calibri"/>
              </w:rPr>
              <w:t>2</w:t>
            </w:r>
            <w:r w:rsidRPr="005C10D9">
              <w:rPr>
                <w:rFonts w:ascii="Calibri" w:hAnsi="Calibri" w:cs="Calibri"/>
              </w:rPr>
              <w:t xml:space="preserve"> Gigalitres/year of alternative water is supplied to agricultural production in the </w:t>
            </w:r>
            <w:r w:rsidRPr="005C10D9">
              <w:rPr>
                <w:rFonts w:ascii="Calibri" w:hAnsi="Calibri" w:cs="Calibri"/>
                <w:b/>
                <w:bCs/>
              </w:rPr>
              <w:t>catchment</w:t>
            </w:r>
            <w:r w:rsidRPr="005C10D9">
              <w:rPr>
                <w:rFonts w:ascii="Calibri" w:hAnsi="Calibri" w:cs="Calibri"/>
              </w:rPr>
              <w:t xml:space="preserve"> by </w:t>
            </w:r>
            <w:r w:rsidRPr="005C10D9">
              <w:rPr>
                <w:rFonts w:ascii="Calibri" w:hAnsi="Calibri" w:cs="Calibri"/>
                <w:b/>
                <w:bCs/>
              </w:rPr>
              <w:t>2030</w:t>
            </w:r>
            <w:r w:rsidRPr="005C10D9">
              <w:rPr>
                <w:rFonts w:ascii="Calibri" w:hAnsi="Calibri" w:cs="Calibri"/>
              </w:rPr>
              <w:t xml:space="preserve"> </w:t>
            </w:r>
          </w:p>
        </w:tc>
      </w:tr>
      <w:tr w:rsidR="00B51185" w:rsidRPr="005C10D9" w14:paraId="5FFF62B5" w14:textId="77777777" w:rsidTr="001E17BC">
        <w:tblPrEx>
          <w:tblLook w:val="04A0" w:firstRow="1" w:lastRow="0" w:firstColumn="1" w:lastColumn="0" w:noHBand="0" w:noVBand="1"/>
        </w:tblPrEx>
        <w:trPr>
          <w:trHeight w:val="418"/>
        </w:trPr>
        <w:tc>
          <w:tcPr>
            <w:tcW w:w="9356" w:type="dxa"/>
            <w:hideMark/>
          </w:tcPr>
          <w:p w14:paraId="255C463D" w14:textId="77777777" w:rsidR="00B51185" w:rsidRPr="005C10D9" w:rsidRDefault="00B51185" w:rsidP="0060254E">
            <w:pPr>
              <w:spacing w:after="0" w:line="240" w:lineRule="auto"/>
              <w:rPr>
                <w:rFonts w:ascii="Calibri" w:hAnsi="Calibri" w:cs="Calibri"/>
              </w:rPr>
            </w:pPr>
            <w:r>
              <w:rPr>
                <w:rFonts w:ascii="Calibri" w:hAnsi="Calibri" w:cs="Calibri"/>
              </w:rPr>
              <w:t>7</w:t>
            </w:r>
            <w:r w:rsidRPr="005C10D9">
              <w:rPr>
                <w:rFonts w:ascii="Calibri" w:hAnsi="Calibri" w:cs="Calibri"/>
              </w:rPr>
              <w:t xml:space="preserve"> Gigalitres/year of alternative water is supplied to agricultural production in the </w:t>
            </w:r>
            <w:r w:rsidRPr="005C10D9">
              <w:rPr>
                <w:rFonts w:ascii="Calibri" w:hAnsi="Calibri" w:cs="Calibri"/>
                <w:b/>
                <w:bCs/>
              </w:rPr>
              <w:t>catchment</w:t>
            </w:r>
            <w:r w:rsidRPr="005C10D9">
              <w:rPr>
                <w:rFonts w:ascii="Calibri" w:hAnsi="Calibri" w:cs="Calibri"/>
              </w:rPr>
              <w:t xml:space="preserve"> by </w:t>
            </w:r>
            <w:r w:rsidRPr="005C10D9">
              <w:rPr>
                <w:rFonts w:ascii="Calibri" w:hAnsi="Calibri" w:cs="Calibri"/>
                <w:b/>
                <w:bCs/>
              </w:rPr>
              <w:t>2050</w:t>
            </w:r>
            <w:r w:rsidRPr="005C10D9">
              <w:rPr>
                <w:rFonts w:ascii="Calibri" w:hAnsi="Calibri" w:cs="Calibri"/>
              </w:rPr>
              <w:t xml:space="preserve"> </w:t>
            </w:r>
          </w:p>
        </w:tc>
      </w:tr>
      <w:tr w:rsidR="00B51185" w:rsidRPr="005C10D9" w14:paraId="72010E6E" w14:textId="77777777" w:rsidTr="001E17BC">
        <w:tblPrEx>
          <w:tblLook w:val="04A0" w:firstRow="1" w:lastRow="0" w:firstColumn="1" w:lastColumn="0" w:noHBand="0" w:noVBand="1"/>
        </w:tblPrEx>
        <w:trPr>
          <w:trHeight w:val="396"/>
        </w:trPr>
        <w:tc>
          <w:tcPr>
            <w:tcW w:w="9356" w:type="dxa"/>
            <w:hideMark/>
          </w:tcPr>
          <w:p w14:paraId="637A9DB5" w14:textId="77777777" w:rsidR="00B51185" w:rsidRPr="005C10D9" w:rsidRDefault="00B51185" w:rsidP="0060254E">
            <w:pPr>
              <w:spacing w:after="0" w:line="240" w:lineRule="auto"/>
              <w:rPr>
                <w:rFonts w:ascii="Calibri" w:hAnsi="Calibri" w:cs="Calibri"/>
              </w:rPr>
            </w:pPr>
            <w:r w:rsidRPr="005C10D9">
              <w:rPr>
                <w:rFonts w:ascii="Calibri" w:hAnsi="Calibri" w:cs="Calibri"/>
              </w:rPr>
              <w:t xml:space="preserve">63 Gigalitres/year of alternative water is supplied to agricultural production in the </w:t>
            </w:r>
            <w:r w:rsidRPr="005C10D9">
              <w:rPr>
                <w:rFonts w:ascii="Calibri" w:hAnsi="Calibri" w:cs="Calibri"/>
                <w:b/>
                <w:bCs/>
              </w:rPr>
              <w:t>Greater Melbourne Region</w:t>
            </w:r>
            <w:r w:rsidRPr="005C10D9">
              <w:rPr>
                <w:rFonts w:ascii="Calibri" w:hAnsi="Calibri" w:cs="Calibri"/>
              </w:rPr>
              <w:t xml:space="preserve"> by </w:t>
            </w:r>
            <w:r w:rsidRPr="005C10D9">
              <w:rPr>
                <w:rFonts w:ascii="Calibri" w:hAnsi="Calibri" w:cs="Calibri"/>
                <w:b/>
                <w:bCs/>
              </w:rPr>
              <w:t>2030</w:t>
            </w:r>
            <w:r w:rsidRPr="005C10D9">
              <w:rPr>
                <w:rFonts w:ascii="Calibri" w:hAnsi="Calibri" w:cs="Calibri"/>
              </w:rPr>
              <w:t xml:space="preserve"> </w:t>
            </w:r>
          </w:p>
        </w:tc>
      </w:tr>
      <w:tr w:rsidR="00B51185" w:rsidRPr="005C10D9" w14:paraId="0E6728F2" w14:textId="77777777" w:rsidTr="001E17BC">
        <w:tblPrEx>
          <w:tblLook w:val="04A0" w:firstRow="1" w:lastRow="0" w:firstColumn="1" w:lastColumn="0" w:noHBand="0" w:noVBand="1"/>
        </w:tblPrEx>
        <w:trPr>
          <w:trHeight w:val="409"/>
        </w:trPr>
        <w:tc>
          <w:tcPr>
            <w:tcW w:w="9356" w:type="dxa"/>
            <w:hideMark/>
          </w:tcPr>
          <w:p w14:paraId="2D937E75" w14:textId="77777777" w:rsidR="00B51185" w:rsidRPr="005C10D9" w:rsidRDefault="00B51185" w:rsidP="0060254E">
            <w:pPr>
              <w:spacing w:after="0" w:line="240" w:lineRule="auto"/>
              <w:rPr>
                <w:rFonts w:ascii="Calibri" w:hAnsi="Calibri" w:cs="Calibri"/>
              </w:rPr>
            </w:pPr>
            <w:r w:rsidRPr="005C10D9">
              <w:rPr>
                <w:rFonts w:ascii="Calibri" w:hAnsi="Calibri" w:cs="Calibri"/>
              </w:rPr>
              <w:t xml:space="preserve">112 Gigalitres/year of alternative water is supplied to agricultural production in the </w:t>
            </w:r>
            <w:r w:rsidRPr="005C10D9">
              <w:rPr>
                <w:rFonts w:ascii="Calibri" w:hAnsi="Calibri" w:cs="Calibri"/>
                <w:b/>
                <w:bCs/>
              </w:rPr>
              <w:t>Greater Melbourne Region</w:t>
            </w:r>
            <w:r w:rsidRPr="005C10D9">
              <w:rPr>
                <w:rFonts w:ascii="Calibri" w:hAnsi="Calibri" w:cs="Calibri"/>
              </w:rPr>
              <w:t xml:space="preserve"> by </w:t>
            </w:r>
            <w:r w:rsidRPr="005C10D9">
              <w:rPr>
                <w:rFonts w:ascii="Calibri" w:hAnsi="Calibri" w:cs="Calibri"/>
                <w:b/>
                <w:bCs/>
              </w:rPr>
              <w:t>2050</w:t>
            </w:r>
            <w:r w:rsidRPr="005C10D9">
              <w:rPr>
                <w:rFonts w:ascii="Calibri" w:hAnsi="Calibri" w:cs="Calibri"/>
              </w:rPr>
              <w:t xml:space="preserve"> </w:t>
            </w:r>
          </w:p>
        </w:tc>
      </w:tr>
    </w:tbl>
    <w:p w14:paraId="2B8C794B" w14:textId="77777777" w:rsidR="00B51185" w:rsidRDefault="00B51185" w:rsidP="00671C64">
      <w:pPr>
        <w:rPr>
          <w:rFonts w:ascii="Calibri" w:eastAsia="Times New Roman" w:hAnsi="Calibri" w:cs="Arial"/>
          <w:b/>
          <w:bCs/>
          <w:color w:val="029676"/>
          <w:sz w:val="36"/>
          <w:szCs w:val="28"/>
          <w:lang w:eastAsia="en-AU"/>
        </w:rPr>
      </w:pPr>
    </w:p>
    <w:p w14:paraId="5F064C85" w14:textId="77777777" w:rsidR="00EA1C26" w:rsidRDefault="00EA1C26">
      <w:pPr>
        <w:rPr>
          <w:rStyle w:val="Strong"/>
          <w:lang w:eastAsia="en-AU"/>
        </w:rPr>
      </w:pPr>
      <w:r>
        <w:rPr>
          <w:rStyle w:val="Strong"/>
          <w:lang w:eastAsia="en-AU"/>
        </w:rPr>
        <w:br w:type="page"/>
      </w:r>
    </w:p>
    <w:p w14:paraId="7BBAB4CA" w14:textId="0FB26A74" w:rsidR="00671C64" w:rsidRDefault="00671C64" w:rsidP="00671C64">
      <w:pPr>
        <w:rPr>
          <w:rFonts w:ascii="Calibri" w:eastAsia="Times New Roman" w:hAnsi="Calibri" w:cs="Arial"/>
          <w:b/>
          <w:bCs/>
          <w:color w:val="029676"/>
          <w:sz w:val="36"/>
          <w:szCs w:val="28"/>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1938"/>
      </w:tblGrid>
      <w:tr w:rsidR="005B7D3F" w14:paraId="45C01C1A" w14:textId="77777777" w:rsidTr="00F70456">
        <w:tc>
          <w:tcPr>
            <w:tcW w:w="7088" w:type="dxa"/>
          </w:tcPr>
          <w:p w14:paraId="790983FC" w14:textId="77777777" w:rsidR="005B7D3F" w:rsidRPr="00CF151F" w:rsidRDefault="005B7D3F" w:rsidP="00F70456">
            <w:pPr>
              <w:pStyle w:val="Heading1"/>
              <w:outlineLvl w:val="0"/>
              <w:rPr>
                <w:sz w:val="48"/>
                <w:szCs w:val="48"/>
              </w:rPr>
            </w:pPr>
            <w:bookmarkStart w:id="10" w:name="_Toc71903496"/>
            <w:r>
              <w:rPr>
                <w:rFonts w:ascii="Arial" w:hAnsi="Arial" w:cs="Arial"/>
                <w:color w:val="44C1A3"/>
                <w:szCs w:val="36"/>
              </w:rPr>
              <w:t>Enablers</w:t>
            </w:r>
            <w:bookmarkEnd w:id="10"/>
            <w:r>
              <w:rPr>
                <w:rFonts w:ascii="Arial" w:hAnsi="Arial" w:cs="Arial"/>
                <w:color w:val="44C1A3"/>
                <w:szCs w:val="36"/>
              </w:rPr>
              <w:t xml:space="preserve"> </w:t>
            </w:r>
          </w:p>
          <w:p w14:paraId="7D195E7E" w14:textId="77777777" w:rsidR="005B7D3F" w:rsidRDefault="005B7D3F" w:rsidP="00F70456">
            <w:pPr>
              <w:pStyle w:val="BodyText"/>
              <w:rPr>
                <w:rFonts w:ascii="Arial" w:hAnsi="Arial" w:cs="Arial"/>
                <w:color w:val="44C1A3"/>
                <w:sz w:val="36"/>
                <w:szCs w:val="36"/>
              </w:rPr>
            </w:pPr>
          </w:p>
        </w:tc>
        <w:tc>
          <w:tcPr>
            <w:tcW w:w="1938" w:type="dxa"/>
          </w:tcPr>
          <w:p w14:paraId="514B0308" w14:textId="77777777" w:rsidR="005B7D3F" w:rsidRDefault="005B7D3F" w:rsidP="00F70456">
            <w:pPr>
              <w:pStyle w:val="BodyText"/>
              <w:rPr>
                <w:rFonts w:ascii="Arial" w:hAnsi="Arial" w:cs="Arial"/>
                <w:color w:val="44C1A3"/>
                <w:sz w:val="36"/>
                <w:szCs w:val="36"/>
              </w:rPr>
            </w:pPr>
            <w:r>
              <w:rPr>
                <w:noProof/>
                <w:color w:val="44C1A3"/>
                <w:sz w:val="36"/>
                <w:szCs w:val="36"/>
              </w:rPr>
              <w:drawing>
                <wp:inline distT="114300" distB="114300" distL="114300" distR="114300" wp14:anchorId="7602F53F" wp14:editId="6A876FFD">
                  <wp:extent cx="985838" cy="967237"/>
                  <wp:effectExtent l="0" t="0" r="0" b="0"/>
                  <wp:docPr id="19"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22"/>
                          <a:srcRect l="36690" t="25287" r="25179" b="14942"/>
                          <a:stretch>
                            <a:fillRect/>
                          </a:stretch>
                        </pic:blipFill>
                        <pic:spPr>
                          <a:xfrm>
                            <a:off x="0" y="0"/>
                            <a:ext cx="985838" cy="967237"/>
                          </a:xfrm>
                          <a:prstGeom prst="rect">
                            <a:avLst/>
                          </a:prstGeom>
                          <a:ln/>
                        </pic:spPr>
                      </pic:pic>
                    </a:graphicData>
                  </a:graphic>
                </wp:inline>
              </w:drawing>
            </w:r>
          </w:p>
        </w:tc>
      </w:tr>
    </w:tbl>
    <w:p w14:paraId="35761C31" w14:textId="0F245F11" w:rsidR="001530B2" w:rsidRDefault="001530B2">
      <w:pPr>
        <w:rPr>
          <w:rFonts w:ascii="Calibri" w:eastAsia="Times New Roman" w:hAnsi="Calibri" w:cs="Arial"/>
          <w:b/>
          <w:bCs/>
          <w:color w:val="029676"/>
          <w:sz w:val="36"/>
          <w:szCs w:val="28"/>
          <w:lang w:eastAsia="en-AU"/>
        </w:rPr>
      </w:pPr>
    </w:p>
    <w:p w14:paraId="27E123A9" w14:textId="20495498" w:rsidR="001530B2" w:rsidRDefault="005B7D3F">
      <w:pPr>
        <w:rPr>
          <w:rStyle w:val="Strong"/>
          <w:lang w:eastAsia="en-AU"/>
        </w:rPr>
      </w:pPr>
      <w:r w:rsidRPr="005B7D3F">
        <w:rPr>
          <w:rStyle w:val="Strong"/>
          <w:lang w:eastAsia="en-AU"/>
        </w:rPr>
        <w:t>Strategic enablers represent a series of useful indicators and measures that are overarching to the success of the seven key strategic outcomes. Without these fundamental factors in place, the mainstreaming of IWM will remain challenging.  This is in recognition of the fact that across Greater Metropolitan Melbourne there are multiple organisations that hold responsibility for managing the urban water cycle, with a collaborative and integrated approach essential for effective planning and delivery of IWM initiatives.</w:t>
      </w:r>
    </w:p>
    <w:p w14:paraId="4B09F863" w14:textId="77777777" w:rsidR="005B7D3F" w:rsidRDefault="005B7D3F" w:rsidP="005B7D3F">
      <w:pPr>
        <w:keepNext/>
        <w:keepLines/>
        <w:tabs>
          <w:tab w:val="num" w:pos="0"/>
        </w:tabs>
        <w:spacing w:after="0" w:line="240" w:lineRule="auto"/>
        <w:outlineLvl w:val="0"/>
        <w:rPr>
          <w:rFonts w:ascii="Calibri" w:eastAsia="Meiryo" w:hAnsi="Calibri" w:cs="Arial"/>
          <w:b/>
          <w:bCs/>
          <w:color w:val="029676"/>
          <w:sz w:val="36"/>
          <w:szCs w:val="28"/>
          <w:lang w:eastAsia="en-AU"/>
        </w:rPr>
      </w:pPr>
      <w:r w:rsidRPr="00ED7A1E">
        <w:rPr>
          <w:rFonts w:ascii="Calibri" w:eastAsia="Meiryo" w:hAnsi="Calibri" w:cs="Arial"/>
          <w:b/>
          <w:bCs/>
          <w:color w:val="029676"/>
          <w:sz w:val="36"/>
          <w:szCs w:val="28"/>
          <w:lang w:eastAsia="en-AU"/>
        </w:rPr>
        <w:t>The case for change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4"/>
        <w:gridCol w:w="222"/>
      </w:tblGrid>
      <w:tr w:rsidR="005B7D3F" w14:paraId="4456D998" w14:textId="77777777" w:rsidTr="0009706C">
        <w:trPr>
          <w:trHeight w:val="2725"/>
        </w:trPr>
        <w:tc>
          <w:tcPr>
            <w:tcW w:w="8805" w:type="dxa"/>
            <w:vMerge w:val="restart"/>
          </w:tcPr>
          <w:p w14:paraId="588ABF1C" w14:textId="1BD525BD" w:rsidR="005B7D3F" w:rsidRDefault="005B7D3F" w:rsidP="00F70456">
            <w:pPr>
              <w:pStyle w:val="BodyText"/>
              <w:rPr>
                <w:color w:val="002060"/>
              </w:rPr>
            </w:pPr>
            <w:r>
              <w:rPr>
                <w:rFonts w:ascii="Calibri" w:hAnsi="Calibri" w:cs="Arial"/>
                <w:b/>
                <w:bCs/>
                <w:iCs/>
                <w:color w:val="0989B1"/>
                <w:kern w:val="20"/>
                <w:sz w:val="24"/>
                <w:szCs w:val="28"/>
              </w:rPr>
              <w:t>Transitioning to integrated water management</w:t>
            </w:r>
          </w:p>
          <w:p w14:paraId="011DC48B" w14:textId="005D7EE5" w:rsidR="005B7D3F" w:rsidRDefault="00CC5197" w:rsidP="00F70456">
            <w:pPr>
              <w:pStyle w:val="BodyText"/>
            </w:pPr>
            <w:r>
              <w:t>Conventionally</w:t>
            </w:r>
            <w:r w:rsidR="005B7D3F" w:rsidRPr="00505DA3">
              <w:t>, the water cycle has been managed</w:t>
            </w:r>
            <w:r w:rsidR="005B7D3F">
              <w:t xml:space="preserve"> in separate parts</w:t>
            </w:r>
            <w:r w:rsidR="006E79AF">
              <w:t>, with</w:t>
            </w:r>
            <w:r w:rsidR="005B7D3F" w:rsidRPr="00505DA3">
              <w:t xml:space="preserve"> </w:t>
            </w:r>
            <w:r w:rsidR="005B7D3F">
              <w:t xml:space="preserve">water </w:t>
            </w:r>
            <w:r w:rsidR="005B7D3F" w:rsidRPr="00505DA3">
              <w:t xml:space="preserve">supply, </w:t>
            </w:r>
            <w:r w:rsidR="005B7D3F">
              <w:t>wastewater management</w:t>
            </w:r>
            <w:r w:rsidR="005B7D3F" w:rsidRPr="00505DA3">
              <w:t xml:space="preserve">, and </w:t>
            </w:r>
            <w:r w:rsidR="005B7D3F">
              <w:t xml:space="preserve">stormwater </w:t>
            </w:r>
            <w:r w:rsidR="005B7D3F" w:rsidRPr="00505DA3">
              <w:t>drainage infrastructure</w:t>
            </w:r>
            <w:r w:rsidR="006E79AF">
              <w:t xml:space="preserve"> typically being managed by different organisations, and in a centralised manner.</w:t>
            </w:r>
            <w:r w:rsidR="005B7D3F" w:rsidRPr="00505DA3">
              <w:t xml:space="preserve"> However, population growth </w:t>
            </w:r>
            <w:r w:rsidR="006E79AF">
              <w:t>and a changing climate</w:t>
            </w:r>
            <w:r w:rsidR="005B7D3F" w:rsidRPr="00505DA3">
              <w:t xml:space="preserve"> has led to stressed ecosystems and increasing unpredictability around water supply, requiring </w:t>
            </w:r>
            <w:r w:rsidR="008F6D67" w:rsidRPr="00505DA3">
              <w:t>a</w:t>
            </w:r>
            <w:r w:rsidR="005B7D3F" w:rsidRPr="00505DA3">
              <w:t xml:space="preserve"> </w:t>
            </w:r>
            <w:r w:rsidR="006E79AF">
              <w:t>more integrated approach to</w:t>
            </w:r>
            <w:r w:rsidR="005B7D3F" w:rsidRPr="00505DA3">
              <w:t xml:space="preserve"> water management.</w:t>
            </w:r>
            <w:r w:rsidR="00F42853">
              <w:t xml:space="preserve"> </w:t>
            </w:r>
            <w:r w:rsidR="00726BEB" w:rsidRPr="00726BEB">
              <w:t xml:space="preserve">The evidence-based targets specified in this Plan provide an important basis for ongoing </w:t>
            </w:r>
            <w:r w:rsidR="00726BEB" w:rsidRPr="00744FD1">
              <w:rPr>
                <w:i/>
                <w:iCs/>
              </w:rPr>
              <w:t>commitment</w:t>
            </w:r>
            <w:r w:rsidR="00726BEB" w:rsidRPr="00726BEB">
              <w:t xml:space="preserve">, </w:t>
            </w:r>
            <w:r w:rsidR="00726BEB" w:rsidRPr="00744FD1">
              <w:rPr>
                <w:i/>
                <w:iCs/>
              </w:rPr>
              <w:t>capacity</w:t>
            </w:r>
            <w:r w:rsidR="00726BEB" w:rsidRPr="00726BEB">
              <w:t xml:space="preserve"> and </w:t>
            </w:r>
            <w:r w:rsidR="00726BEB" w:rsidRPr="00744FD1">
              <w:rPr>
                <w:i/>
                <w:iCs/>
              </w:rPr>
              <w:t>collaboration</w:t>
            </w:r>
            <w:r w:rsidR="00726BEB" w:rsidRPr="00726BEB">
              <w:t xml:space="preserve"> to implement IWM. These three factors are considered critical to transitioning towards more widespread integrated water management practices</w:t>
            </w:r>
            <w:r w:rsidR="005B7D3F">
              <w:t>.</w:t>
            </w:r>
            <w:r w:rsidR="00DD53B7" w:rsidRPr="00DD53B7">
              <w:rPr>
                <w:vertAlign w:val="superscript"/>
              </w:rPr>
              <w:t>2</w:t>
            </w:r>
            <w:r w:rsidR="0092302F">
              <w:rPr>
                <w:vertAlign w:val="superscript"/>
              </w:rPr>
              <w:t>2</w:t>
            </w:r>
            <w:r w:rsidR="006E79AF" w:rsidRPr="00DD53B7">
              <w:rPr>
                <w:vertAlign w:val="superscript"/>
              </w:rPr>
              <w:t xml:space="preserve"> </w:t>
            </w:r>
          </w:p>
          <w:p w14:paraId="4D153B3E" w14:textId="296EBB32" w:rsidR="006E79AF" w:rsidRDefault="006E79AF" w:rsidP="00F70456">
            <w:pPr>
              <w:pStyle w:val="BodyText"/>
              <w:rPr>
                <w:rFonts w:ascii="Calibri" w:hAnsi="Calibri" w:cs="Arial"/>
                <w:b/>
                <w:bCs/>
                <w:iCs/>
                <w:color w:val="0989B1"/>
                <w:kern w:val="20"/>
                <w:sz w:val="24"/>
                <w:szCs w:val="28"/>
              </w:rPr>
            </w:pPr>
            <w:r w:rsidRPr="006E79AF">
              <w:rPr>
                <w:rFonts w:ascii="Calibri" w:hAnsi="Calibri" w:cs="Arial"/>
                <w:b/>
                <w:bCs/>
                <w:iCs/>
                <w:color w:val="0989B1"/>
                <w:kern w:val="20"/>
                <w:sz w:val="24"/>
                <w:szCs w:val="28"/>
              </w:rPr>
              <w:t>A</w:t>
            </w:r>
            <w:r w:rsidR="0009706C">
              <w:rPr>
                <w:rFonts w:ascii="Calibri" w:hAnsi="Calibri" w:cs="Arial"/>
                <w:b/>
                <w:bCs/>
                <w:iCs/>
                <w:color w:val="0989B1"/>
                <w:kern w:val="20"/>
                <w:sz w:val="24"/>
                <w:szCs w:val="28"/>
              </w:rPr>
              <w:t xml:space="preserve"> continued</w:t>
            </w:r>
            <w:r w:rsidRPr="006E79AF">
              <w:rPr>
                <w:rFonts w:ascii="Calibri" w:hAnsi="Calibri" w:cs="Arial"/>
                <w:b/>
                <w:bCs/>
                <w:iCs/>
                <w:color w:val="0989B1"/>
                <w:kern w:val="20"/>
                <w:sz w:val="24"/>
                <w:szCs w:val="28"/>
              </w:rPr>
              <w:t xml:space="preserve"> cross-organisational approach</w:t>
            </w:r>
          </w:p>
          <w:p w14:paraId="573882B5" w14:textId="04040677" w:rsidR="0009706C" w:rsidRDefault="0009706C" w:rsidP="0009706C">
            <w:pPr>
              <w:pStyle w:val="BodyText"/>
            </w:pPr>
            <w:r w:rsidRPr="0009706C">
              <w:t xml:space="preserve">The Forum brings together </w:t>
            </w:r>
            <w:r w:rsidR="00EC141F">
              <w:t>2</w:t>
            </w:r>
            <w:r w:rsidR="00C257B0">
              <w:t>9</w:t>
            </w:r>
            <w:r w:rsidRPr="0009706C">
              <w:t xml:space="preserve"> organisations with an interest in water cycle management across the </w:t>
            </w:r>
            <w:r w:rsidR="000E01D7">
              <w:t>Yarra</w:t>
            </w:r>
            <w:r w:rsidRPr="0009706C">
              <w:t xml:space="preserve"> </w:t>
            </w:r>
            <w:r w:rsidR="00874D16">
              <w:t>C</w:t>
            </w:r>
            <w:r w:rsidRPr="0009706C">
              <w:t xml:space="preserve">atchment. To ensure IWM is successful and enduring across the </w:t>
            </w:r>
            <w:r w:rsidR="00DD1687">
              <w:t>C</w:t>
            </w:r>
            <w:r w:rsidR="00B82D27">
              <w:t>atchment</w:t>
            </w:r>
            <w:r w:rsidRPr="0009706C">
              <w:t xml:space="preserve">, the </w:t>
            </w:r>
            <w:r w:rsidR="000E01D7">
              <w:t>Yarra</w:t>
            </w:r>
            <w:r w:rsidRPr="0009706C">
              <w:t xml:space="preserve"> IWM Forum partners commit </w:t>
            </w:r>
            <w:r>
              <w:t>to promote a collaborative and shared values culture within their own organisations and through their work with local communities and water cycle delivery partners. This ongoing commitment, collaboration and investment in capacity to deliver IWM is crucial to drive this Plan forward.</w:t>
            </w:r>
          </w:p>
          <w:p w14:paraId="29DDF69C" w14:textId="77777777" w:rsidR="0009706C" w:rsidRPr="0009706C" w:rsidRDefault="0009706C" w:rsidP="0009706C">
            <w:pPr>
              <w:pStyle w:val="BodyText"/>
              <w:rPr>
                <w:rFonts w:ascii="Calibri" w:hAnsi="Calibri" w:cs="Arial"/>
                <w:b/>
                <w:bCs/>
                <w:iCs/>
                <w:color w:val="0989B1"/>
                <w:kern w:val="20"/>
                <w:sz w:val="24"/>
                <w:szCs w:val="28"/>
              </w:rPr>
            </w:pPr>
            <w:r w:rsidRPr="0009706C">
              <w:rPr>
                <w:rFonts w:ascii="Calibri" w:hAnsi="Calibri" w:cs="Arial"/>
                <w:b/>
                <w:bCs/>
                <w:iCs/>
                <w:color w:val="0989B1"/>
                <w:kern w:val="20"/>
                <w:sz w:val="24"/>
                <w:szCs w:val="28"/>
              </w:rPr>
              <w:t>Acting early to embed change</w:t>
            </w:r>
          </w:p>
          <w:p w14:paraId="434A88A0" w14:textId="3ECEAF0E" w:rsidR="0009706C" w:rsidRPr="0009706C" w:rsidRDefault="0009706C" w:rsidP="0009706C">
            <w:pPr>
              <w:pStyle w:val="BodyText"/>
            </w:pPr>
            <w:r>
              <w:t xml:space="preserve">This Plan sets out ambitious targets for </w:t>
            </w:r>
            <w:r w:rsidR="00C57669">
              <w:t>IWM</w:t>
            </w:r>
            <w:r>
              <w:t xml:space="preserve"> in the </w:t>
            </w:r>
            <w:r w:rsidR="000E01D7">
              <w:t>Yarra</w:t>
            </w:r>
            <w:r w:rsidR="002B2B09">
              <w:t xml:space="preserve"> Catchment and the broader </w:t>
            </w:r>
            <w:r>
              <w:t>Greater Metropolitan Melbourne Region. To enable this step-change in approach, it is crucial that the right conditions are put in place early to enable this transition</w:t>
            </w:r>
            <w:r w:rsidR="00536EE1">
              <w:t>.</w:t>
            </w:r>
          </w:p>
          <w:p w14:paraId="363BA962" w14:textId="77777777" w:rsidR="0009706C" w:rsidRDefault="0009706C" w:rsidP="0009706C">
            <w:pPr>
              <w:pStyle w:val="BodyText"/>
            </w:pPr>
          </w:p>
          <w:p w14:paraId="6FE3B912" w14:textId="77777777" w:rsidR="005B7D3F" w:rsidRDefault="005B7D3F" w:rsidP="0009706C">
            <w:pPr>
              <w:pStyle w:val="BodyText"/>
              <w:rPr>
                <w:color w:val="002060"/>
              </w:rPr>
            </w:pPr>
          </w:p>
        </w:tc>
        <w:tc>
          <w:tcPr>
            <w:tcW w:w="221" w:type="dxa"/>
          </w:tcPr>
          <w:p w14:paraId="0E3FE592" w14:textId="77777777" w:rsidR="005B7D3F" w:rsidRDefault="005B7D3F" w:rsidP="00F70456">
            <w:pPr>
              <w:pStyle w:val="BodyText"/>
              <w:rPr>
                <w:color w:val="002060"/>
              </w:rPr>
            </w:pPr>
          </w:p>
        </w:tc>
      </w:tr>
      <w:tr w:rsidR="005B7D3F" w14:paraId="6983CB22" w14:textId="77777777" w:rsidTr="0009706C">
        <w:trPr>
          <w:trHeight w:val="2725"/>
        </w:trPr>
        <w:tc>
          <w:tcPr>
            <w:tcW w:w="8805" w:type="dxa"/>
            <w:vMerge/>
          </w:tcPr>
          <w:p w14:paraId="52E687F7" w14:textId="77777777" w:rsidR="005B7D3F" w:rsidRDefault="005B7D3F" w:rsidP="00F70456">
            <w:pPr>
              <w:pStyle w:val="BodyText"/>
              <w:rPr>
                <w:rFonts w:ascii="Calibri" w:hAnsi="Calibri" w:cs="Arial"/>
                <w:b/>
                <w:bCs/>
                <w:iCs/>
                <w:color w:val="0989B1"/>
                <w:kern w:val="20"/>
                <w:sz w:val="24"/>
                <w:szCs w:val="28"/>
              </w:rPr>
            </w:pPr>
          </w:p>
        </w:tc>
        <w:tc>
          <w:tcPr>
            <w:tcW w:w="221" w:type="dxa"/>
          </w:tcPr>
          <w:p w14:paraId="1785225B" w14:textId="31DC191D" w:rsidR="005B7D3F" w:rsidRDefault="005B7D3F" w:rsidP="00F70456">
            <w:pPr>
              <w:pStyle w:val="BodyText"/>
              <w:rPr>
                <w:color w:val="002060"/>
              </w:rPr>
            </w:pPr>
          </w:p>
        </w:tc>
      </w:tr>
    </w:tbl>
    <w:p w14:paraId="3F7BB156" w14:textId="77777777" w:rsidR="00273C6C" w:rsidRDefault="00273C6C" w:rsidP="00045E03">
      <w:pPr>
        <w:rPr>
          <w:lang w:eastAsia="en-AU"/>
        </w:rPr>
      </w:pPr>
    </w:p>
    <w:p w14:paraId="7B123E07" w14:textId="77777777" w:rsidR="00273C6C" w:rsidRDefault="00273C6C">
      <w:pPr>
        <w:rPr>
          <w:rFonts w:ascii="Calibri" w:eastAsia="Times New Roman" w:hAnsi="Calibri" w:cs="Arial"/>
          <w:b/>
          <w:bCs/>
          <w:color w:val="029676"/>
          <w:sz w:val="36"/>
          <w:szCs w:val="28"/>
          <w:lang w:eastAsia="en-AU"/>
        </w:rPr>
      </w:pPr>
      <w:r>
        <w:rPr>
          <w:rFonts w:ascii="Calibri" w:eastAsia="Times New Roman" w:hAnsi="Calibri" w:cs="Arial"/>
          <w:b/>
          <w:bCs/>
          <w:color w:val="029676"/>
          <w:sz w:val="36"/>
          <w:szCs w:val="28"/>
          <w:lang w:eastAsia="en-AU"/>
        </w:rPr>
        <w:br w:type="page"/>
      </w:r>
    </w:p>
    <w:p w14:paraId="65F58ACE" w14:textId="074EF4CE" w:rsidR="0009706C" w:rsidRPr="00ED7A1E" w:rsidRDefault="00CC0077" w:rsidP="000B292F">
      <w:pPr>
        <w:keepNext/>
        <w:keepLines/>
        <w:tabs>
          <w:tab w:val="num" w:pos="0"/>
        </w:tabs>
        <w:spacing w:after="0" w:line="276" w:lineRule="auto"/>
        <w:outlineLvl w:val="0"/>
        <w:rPr>
          <w:rFonts w:ascii="Calibri" w:eastAsia="Times New Roman" w:hAnsi="Calibri" w:cs="Arial"/>
          <w:b/>
          <w:bCs/>
          <w:color w:val="029676"/>
          <w:sz w:val="36"/>
          <w:szCs w:val="28"/>
          <w:lang w:eastAsia="en-AU"/>
        </w:rPr>
      </w:pPr>
      <w:r>
        <w:rPr>
          <w:rFonts w:ascii="Calibri" w:eastAsia="Times New Roman" w:hAnsi="Calibri" w:cs="Arial"/>
          <w:b/>
          <w:bCs/>
          <w:color w:val="029676"/>
          <w:sz w:val="36"/>
          <w:szCs w:val="28"/>
          <w:lang w:eastAsia="en-AU"/>
        </w:rPr>
        <w:lastRenderedPageBreak/>
        <w:t>Measuring the change we want to make</w:t>
      </w:r>
    </w:p>
    <w:tbl>
      <w:tblPr>
        <w:tblStyle w:val="TableGrid1"/>
        <w:tblW w:w="8902" w:type="dxa"/>
        <w:tblLook w:val="04A0" w:firstRow="1" w:lastRow="0" w:firstColumn="1" w:lastColumn="0" w:noHBand="0" w:noVBand="1"/>
      </w:tblPr>
      <w:tblGrid>
        <w:gridCol w:w="2835"/>
        <w:gridCol w:w="1357"/>
        <w:gridCol w:w="1755"/>
        <w:gridCol w:w="2955"/>
      </w:tblGrid>
      <w:tr w:rsidR="000B292F" w:rsidRPr="00E05A88" w14:paraId="384FDE91" w14:textId="77777777" w:rsidTr="000B292F">
        <w:trPr>
          <w:cnfStyle w:val="100000000000" w:firstRow="1" w:lastRow="0" w:firstColumn="0" w:lastColumn="0" w:oddVBand="0" w:evenVBand="0" w:oddHBand="0" w:evenHBand="0" w:firstRowFirstColumn="0" w:firstRowLastColumn="0" w:lastRowFirstColumn="0" w:lastRowLastColumn="0"/>
          <w:trHeight w:val="398"/>
          <w:tblHeader/>
        </w:trPr>
        <w:tc>
          <w:tcPr>
            <w:cnfStyle w:val="000000000100" w:firstRow="0" w:lastRow="0" w:firstColumn="0" w:lastColumn="0" w:oddVBand="0" w:evenVBand="0" w:oddHBand="0" w:evenHBand="0" w:firstRowFirstColumn="1" w:firstRowLastColumn="0" w:lastRowFirstColumn="0" w:lastRowLastColumn="0"/>
            <w:tcW w:w="2835" w:type="dxa"/>
            <w:vMerge w:val="restart"/>
          </w:tcPr>
          <w:p w14:paraId="798BE5B8" w14:textId="77777777" w:rsidR="000B292F" w:rsidRPr="00E05A88" w:rsidRDefault="000B292F" w:rsidP="000B292F">
            <w:pPr>
              <w:rPr>
                <w:rFonts w:cs="Arial"/>
                <w:b/>
                <w:bCs/>
              </w:rPr>
            </w:pPr>
            <w:r>
              <w:rPr>
                <w:rFonts w:cs="Arial"/>
                <w:b/>
                <w:bCs/>
              </w:rPr>
              <w:t>Our measures</w:t>
            </w:r>
          </w:p>
        </w:tc>
        <w:tc>
          <w:tcPr>
            <w:tcW w:w="1357" w:type="dxa"/>
            <w:vMerge w:val="restart"/>
            <w:vAlign w:val="center"/>
          </w:tcPr>
          <w:p w14:paraId="06F8B60A" w14:textId="77777777" w:rsidR="000B292F" w:rsidRDefault="000B292F" w:rsidP="000B292F">
            <w:pPr>
              <w:cnfStyle w:val="100000000000" w:firstRow="1" w:lastRow="0" w:firstColumn="0" w:lastColumn="0" w:oddVBand="0" w:evenVBand="0" w:oddHBand="0" w:evenHBand="0" w:firstRowFirstColumn="0" w:firstRowLastColumn="0" w:lastRowFirstColumn="0" w:lastRowLastColumn="0"/>
              <w:rPr>
                <w:rFonts w:cs="Arial"/>
                <w:b/>
                <w:bCs/>
              </w:rPr>
            </w:pPr>
            <w:r>
              <w:rPr>
                <w:rFonts w:cs="Arial"/>
                <w:b/>
                <w:bCs/>
              </w:rPr>
              <w:t>Scale</w:t>
            </w:r>
          </w:p>
        </w:tc>
        <w:tc>
          <w:tcPr>
            <w:tcW w:w="1755" w:type="dxa"/>
            <w:vMerge w:val="restart"/>
            <w:vAlign w:val="center"/>
          </w:tcPr>
          <w:p w14:paraId="0E6C4A38" w14:textId="77777777" w:rsidR="000B292F" w:rsidRDefault="000B292F" w:rsidP="000B292F">
            <w:pPr>
              <w:cnfStyle w:val="100000000000" w:firstRow="1" w:lastRow="0" w:firstColumn="0" w:lastColumn="0" w:oddVBand="0" w:evenVBand="0" w:oddHBand="0" w:evenHBand="0" w:firstRowFirstColumn="0" w:firstRowLastColumn="0" w:lastRowFirstColumn="0" w:lastRowLastColumn="0"/>
              <w:rPr>
                <w:rFonts w:cs="Arial"/>
                <w:b/>
                <w:bCs/>
              </w:rPr>
            </w:pPr>
            <w:r>
              <w:rPr>
                <w:rFonts w:cs="Arial"/>
                <w:b/>
                <w:bCs/>
              </w:rPr>
              <w:t>Our current performance (2019)</w:t>
            </w:r>
          </w:p>
        </w:tc>
        <w:tc>
          <w:tcPr>
            <w:tcW w:w="2955" w:type="dxa"/>
            <w:vMerge w:val="restart"/>
            <w:vAlign w:val="center"/>
          </w:tcPr>
          <w:p w14:paraId="0F57D9EC" w14:textId="5A4DBC73" w:rsidR="000B292F" w:rsidRPr="00E05A88" w:rsidRDefault="000B292F" w:rsidP="000B292F">
            <w:pPr>
              <w:cnfStyle w:val="100000000000" w:firstRow="1" w:lastRow="0" w:firstColumn="0" w:lastColumn="0" w:oddVBand="0" w:evenVBand="0" w:oddHBand="0" w:evenHBand="0" w:firstRowFirstColumn="0" w:firstRowLastColumn="0" w:lastRowFirstColumn="0" w:lastRowLastColumn="0"/>
              <w:rPr>
                <w:rFonts w:cs="Arial"/>
                <w:b/>
                <w:bCs/>
              </w:rPr>
            </w:pPr>
            <w:r>
              <w:rPr>
                <w:rFonts w:cs="Arial"/>
                <w:b/>
                <w:bCs/>
              </w:rPr>
              <w:t>Why is this measure important?</w:t>
            </w:r>
          </w:p>
        </w:tc>
      </w:tr>
      <w:tr w:rsidR="000B292F" w:rsidRPr="00E05A88" w14:paraId="7FEAAB0B" w14:textId="77777777" w:rsidTr="000B292F">
        <w:trPr>
          <w:cnfStyle w:val="100000000000" w:firstRow="1" w:lastRow="0" w:firstColumn="0" w:lastColumn="0" w:oddVBand="0" w:evenVBand="0" w:oddHBand="0" w:evenHBand="0" w:firstRowFirstColumn="0" w:firstRowLastColumn="0" w:lastRowFirstColumn="0" w:lastRowLastColumn="0"/>
          <w:trHeight w:val="398"/>
          <w:tblHeader/>
        </w:trPr>
        <w:tc>
          <w:tcPr>
            <w:cnfStyle w:val="000000000100" w:firstRow="0" w:lastRow="0" w:firstColumn="0" w:lastColumn="0" w:oddVBand="0" w:evenVBand="0" w:oddHBand="0" w:evenHBand="0" w:firstRowFirstColumn="1" w:firstRowLastColumn="0" w:lastRowFirstColumn="0" w:lastRowLastColumn="0"/>
            <w:tcW w:w="2835" w:type="dxa"/>
            <w:vMerge/>
          </w:tcPr>
          <w:p w14:paraId="6B1A447A" w14:textId="77777777" w:rsidR="000B292F" w:rsidRPr="00E05A88" w:rsidRDefault="000B292F" w:rsidP="0060254E">
            <w:pPr>
              <w:rPr>
                <w:rFonts w:cs="Arial"/>
              </w:rPr>
            </w:pPr>
          </w:p>
        </w:tc>
        <w:tc>
          <w:tcPr>
            <w:tcW w:w="1357" w:type="dxa"/>
            <w:vMerge/>
          </w:tcPr>
          <w:p w14:paraId="69C1FA6C" w14:textId="77777777" w:rsidR="000B292F" w:rsidRPr="00E05A88" w:rsidRDefault="000B292F" w:rsidP="0060254E">
            <w:pPr>
              <w:jc w:val="center"/>
              <w:cnfStyle w:val="100000000000" w:firstRow="1" w:lastRow="0" w:firstColumn="0" w:lastColumn="0" w:oddVBand="0" w:evenVBand="0" w:oddHBand="0" w:evenHBand="0" w:firstRowFirstColumn="0" w:firstRowLastColumn="0" w:lastRowFirstColumn="0" w:lastRowLastColumn="0"/>
              <w:rPr>
                <w:rFonts w:cs="Arial"/>
              </w:rPr>
            </w:pPr>
          </w:p>
        </w:tc>
        <w:tc>
          <w:tcPr>
            <w:tcW w:w="1755" w:type="dxa"/>
            <w:vMerge/>
          </w:tcPr>
          <w:p w14:paraId="51B0F60C" w14:textId="77777777" w:rsidR="000B292F" w:rsidRPr="00E05A88" w:rsidRDefault="000B292F" w:rsidP="0060254E">
            <w:pPr>
              <w:jc w:val="center"/>
              <w:cnfStyle w:val="100000000000" w:firstRow="1" w:lastRow="0" w:firstColumn="0" w:lastColumn="0" w:oddVBand="0" w:evenVBand="0" w:oddHBand="0" w:evenHBand="0" w:firstRowFirstColumn="0" w:firstRowLastColumn="0" w:lastRowFirstColumn="0" w:lastRowLastColumn="0"/>
              <w:rPr>
                <w:rFonts w:cs="Arial"/>
              </w:rPr>
            </w:pPr>
          </w:p>
        </w:tc>
        <w:tc>
          <w:tcPr>
            <w:tcW w:w="2955" w:type="dxa"/>
            <w:vMerge/>
          </w:tcPr>
          <w:p w14:paraId="31C223F8" w14:textId="77777777" w:rsidR="000B292F" w:rsidRPr="00E05A88" w:rsidRDefault="000B292F" w:rsidP="0060254E">
            <w:pPr>
              <w:cnfStyle w:val="100000000000" w:firstRow="1" w:lastRow="0" w:firstColumn="0" w:lastColumn="0" w:oddVBand="0" w:evenVBand="0" w:oddHBand="0" w:evenHBand="0" w:firstRowFirstColumn="0" w:firstRowLastColumn="0" w:lastRowFirstColumn="0" w:lastRowLastColumn="0"/>
              <w:rPr>
                <w:rFonts w:cs="Arial"/>
              </w:rPr>
            </w:pPr>
          </w:p>
        </w:tc>
      </w:tr>
      <w:tr w:rsidR="000B292F" w:rsidRPr="00E05A88" w14:paraId="6E329633" w14:textId="77777777" w:rsidTr="000B292F">
        <w:trPr>
          <w:trHeight w:val="398"/>
        </w:trPr>
        <w:tc>
          <w:tcPr>
            <w:tcW w:w="2835" w:type="dxa"/>
            <w:vMerge w:val="restart"/>
          </w:tcPr>
          <w:p w14:paraId="68B0CFE9" w14:textId="77777777" w:rsidR="000B292F" w:rsidRPr="00E05A88" w:rsidRDefault="000B292F" w:rsidP="004D6745">
            <w:pPr>
              <w:rPr>
                <w:rFonts w:ascii="Calibri" w:hAnsi="Calibri" w:cs="Arial"/>
              </w:rPr>
            </w:pPr>
            <w:r w:rsidRPr="0009706C">
              <w:rPr>
                <w:rFonts w:ascii="Calibri" w:hAnsi="Calibri" w:cs="Arial"/>
              </w:rPr>
              <w:t>E1 Vision, leadership and long-term commitment through vision statement and objectives articulated in corporate documents</w:t>
            </w:r>
            <w:r>
              <w:rPr>
                <w:rFonts w:ascii="Calibri" w:hAnsi="Calibri" w:cs="Arial"/>
              </w:rPr>
              <w:t xml:space="preserve"> (Rating out of 5)</w:t>
            </w:r>
            <w:r>
              <w:rPr>
                <w:rFonts w:ascii="Calibri" w:hAnsi="Calibri" w:cs="Arial"/>
                <w:vertAlign w:val="superscript"/>
              </w:rPr>
              <w:t>p</w:t>
            </w:r>
          </w:p>
        </w:tc>
        <w:tc>
          <w:tcPr>
            <w:tcW w:w="1357" w:type="dxa"/>
          </w:tcPr>
          <w:p w14:paraId="622514DB" w14:textId="77777777" w:rsidR="000B292F" w:rsidRPr="001551F1" w:rsidRDefault="000B292F" w:rsidP="004D6745">
            <w:pPr>
              <w:rPr>
                <w:rFonts w:ascii="Calibri" w:hAnsi="Calibri" w:cs="Arial"/>
              </w:rPr>
            </w:pPr>
            <w:r>
              <w:rPr>
                <w:rFonts w:ascii="Calibri" w:hAnsi="Calibri" w:cs="Arial"/>
              </w:rPr>
              <w:t>Catchment</w:t>
            </w:r>
          </w:p>
        </w:tc>
        <w:tc>
          <w:tcPr>
            <w:tcW w:w="1755" w:type="dxa"/>
            <w:vAlign w:val="center"/>
          </w:tcPr>
          <w:p w14:paraId="439DEF06" w14:textId="47E16DD7" w:rsidR="000B292F" w:rsidRPr="001551F1" w:rsidRDefault="000B292F" w:rsidP="000B292F">
            <w:pPr>
              <w:rPr>
                <w:rFonts w:ascii="Calibri" w:hAnsi="Calibri" w:cs="Arial"/>
              </w:rPr>
            </w:pPr>
            <w:r>
              <w:rPr>
                <w:rFonts w:ascii="Calibri" w:hAnsi="Calibri" w:cs="Arial"/>
              </w:rPr>
              <w:t>2.8</w:t>
            </w:r>
          </w:p>
        </w:tc>
        <w:tc>
          <w:tcPr>
            <w:tcW w:w="2955" w:type="dxa"/>
            <w:vMerge w:val="restart"/>
          </w:tcPr>
          <w:p w14:paraId="13DF0795" w14:textId="77777777" w:rsidR="000B292F" w:rsidRPr="00135514" w:rsidRDefault="000B292F" w:rsidP="004D6745">
            <w:pPr>
              <w:rPr>
                <w:rFonts w:ascii="Calibri" w:hAnsi="Calibri" w:cs="Arial"/>
                <w:color w:val="auto"/>
              </w:rPr>
            </w:pPr>
            <w:r w:rsidRPr="0009706C">
              <w:rPr>
                <w:rFonts w:ascii="Calibri" w:hAnsi="Calibri" w:cs="Arial"/>
                <w:color w:val="auto"/>
              </w:rPr>
              <w:t xml:space="preserve">This measure tracks the degree to which organisational leadership is supportive of the adopted vision and water management agenda, and able to strategically commit to and initiate IWM initiatives. </w:t>
            </w:r>
          </w:p>
        </w:tc>
      </w:tr>
      <w:tr w:rsidR="000B292F" w:rsidRPr="00E05A88" w14:paraId="4390FB3E" w14:textId="77777777" w:rsidTr="000B292F">
        <w:trPr>
          <w:trHeight w:val="398"/>
        </w:trPr>
        <w:tc>
          <w:tcPr>
            <w:tcW w:w="2835" w:type="dxa"/>
            <w:vMerge/>
          </w:tcPr>
          <w:p w14:paraId="25B90FC6" w14:textId="77777777" w:rsidR="000B292F" w:rsidRPr="0009706C" w:rsidRDefault="000B292F" w:rsidP="0060254E">
            <w:pPr>
              <w:rPr>
                <w:rFonts w:ascii="Calibri" w:hAnsi="Calibri" w:cs="Arial"/>
              </w:rPr>
            </w:pPr>
          </w:p>
        </w:tc>
        <w:tc>
          <w:tcPr>
            <w:tcW w:w="1357" w:type="dxa"/>
          </w:tcPr>
          <w:p w14:paraId="479EF279" w14:textId="77777777" w:rsidR="000B292F" w:rsidRDefault="000B292F" w:rsidP="0060254E">
            <w:pPr>
              <w:rPr>
                <w:rFonts w:ascii="Calibri" w:hAnsi="Calibri" w:cs="Arial"/>
              </w:rPr>
            </w:pPr>
            <w:r>
              <w:rPr>
                <w:rFonts w:ascii="Calibri" w:hAnsi="Calibri" w:cs="Arial"/>
              </w:rPr>
              <w:t>Region</w:t>
            </w:r>
          </w:p>
        </w:tc>
        <w:tc>
          <w:tcPr>
            <w:tcW w:w="1755" w:type="dxa"/>
            <w:vAlign w:val="center"/>
          </w:tcPr>
          <w:p w14:paraId="37C8FA1A" w14:textId="77777777" w:rsidR="000B292F" w:rsidRDefault="000B292F" w:rsidP="000B292F">
            <w:pPr>
              <w:rPr>
                <w:rFonts w:ascii="Calibri" w:hAnsi="Calibri" w:cs="Arial"/>
              </w:rPr>
            </w:pPr>
            <w:r>
              <w:rPr>
                <w:rFonts w:ascii="Calibri" w:hAnsi="Calibri" w:cs="Arial"/>
              </w:rPr>
              <w:t>3.1</w:t>
            </w:r>
          </w:p>
        </w:tc>
        <w:tc>
          <w:tcPr>
            <w:tcW w:w="2955" w:type="dxa"/>
            <w:vMerge/>
          </w:tcPr>
          <w:p w14:paraId="558DFF89" w14:textId="77777777" w:rsidR="000B292F" w:rsidRPr="0009706C" w:rsidRDefault="000B292F" w:rsidP="0060254E">
            <w:pPr>
              <w:rPr>
                <w:rFonts w:ascii="Calibri" w:hAnsi="Calibri" w:cs="Arial"/>
              </w:rPr>
            </w:pPr>
          </w:p>
        </w:tc>
      </w:tr>
      <w:tr w:rsidR="000B292F" w:rsidRPr="00E05A88" w14:paraId="25271699" w14:textId="77777777" w:rsidTr="000B292F">
        <w:trPr>
          <w:trHeight w:val="398"/>
        </w:trPr>
        <w:tc>
          <w:tcPr>
            <w:tcW w:w="2835" w:type="dxa"/>
            <w:vMerge w:val="restart"/>
          </w:tcPr>
          <w:p w14:paraId="2C035683" w14:textId="77777777" w:rsidR="000B292F" w:rsidRPr="00E05A88" w:rsidRDefault="000B292F" w:rsidP="004D6745">
            <w:pPr>
              <w:rPr>
                <w:rFonts w:ascii="Calibri" w:hAnsi="Calibri" w:cs="Arial"/>
              </w:rPr>
            </w:pPr>
            <w:r w:rsidRPr="0009706C">
              <w:rPr>
                <w:rFonts w:ascii="Calibri" w:hAnsi="Calibri" w:cs="Arial"/>
              </w:rPr>
              <w:t>E2 Knowledge, skills and organisational capacity</w:t>
            </w:r>
            <w:r>
              <w:rPr>
                <w:rFonts w:ascii="Calibri" w:hAnsi="Calibri" w:cs="Arial"/>
              </w:rPr>
              <w:t xml:space="preserve"> (Rating out of 5)</w:t>
            </w:r>
            <w:r>
              <w:rPr>
                <w:rFonts w:ascii="Calibri" w:hAnsi="Calibri" w:cs="Arial"/>
                <w:vertAlign w:val="superscript"/>
              </w:rPr>
              <w:t>p</w:t>
            </w:r>
          </w:p>
        </w:tc>
        <w:tc>
          <w:tcPr>
            <w:tcW w:w="1357" w:type="dxa"/>
          </w:tcPr>
          <w:p w14:paraId="171AA307" w14:textId="77777777" w:rsidR="000B292F" w:rsidRPr="001551F1" w:rsidRDefault="000B292F" w:rsidP="004D6745">
            <w:pPr>
              <w:rPr>
                <w:rFonts w:ascii="Calibri" w:hAnsi="Calibri" w:cs="Arial"/>
              </w:rPr>
            </w:pPr>
            <w:r>
              <w:rPr>
                <w:rFonts w:ascii="Calibri" w:hAnsi="Calibri" w:cs="Arial"/>
              </w:rPr>
              <w:t>Catchment</w:t>
            </w:r>
          </w:p>
        </w:tc>
        <w:tc>
          <w:tcPr>
            <w:tcW w:w="1755" w:type="dxa"/>
            <w:vAlign w:val="center"/>
          </w:tcPr>
          <w:p w14:paraId="73ED094C" w14:textId="6F3F85F5" w:rsidR="000B292F" w:rsidRPr="001551F1" w:rsidRDefault="000B292F" w:rsidP="000B292F">
            <w:pPr>
              <w:rPr>
                <w:rFonts w:ascii="Calibri" w:hAnsi="Calibri" w:cs="Arial"/>
              </w:rPr>
            </w:pPr>
            <w:r>
              <w:rPr>
                <w:rFonts w:ascii="Calibri" w:hAnsi="Calibri" w:cs="Arial"/>
              </w:rPr>
              <w:t>2.8</w:t>
            </w:r>
          </w:p>
        </w:tc>
        <w:tc>
          <w:tcPr>
            <w:tcW w:w="2955" w:type="dxa"/>
            <w:vMerge w:val="restart"/>
          </w:tcPr>
          <w:p w14:paraId="34AB27EA" w14:textId="77777777" w:rsidR="000B292F" w:rsidRPr="00135514" w:rsidRDefault="000B292F" w:rsidP="004D6745">
            <w:pPr>
              <w:rPr>
                <w:rFonts w:ascii="Calibri" w:hAnsi="Calibri" w:cs="Arial"/>
              </w:rPr>
            </w:pPr>
            <w:r w:rsidRPr="0009706C">
              <w:rPr>
                <w:rFonts w:ascii="Calibri" w:hAnsi="Calibri" w:cs="Arial"/>
              </w:rPr>
              <w:t xml:space="preserve">This measure rates the knowledge and skills of key water related organisations in the Catchment, together with organisational capacity to successfully deliver IWM. </w:t>
            </w:r>
          </w:p>
        </w:tc>
      </w:tr>
      <w:tr w:rsidR="000B292F" w:rsidRPr="00E05A88" w14:paraId="11FFB071" w14:textId="77777777" w:rsidTr="000B292F">
        <w:trPr>
          <w:trHeight w:val="398"/>
        </w:trPr>
        <w:tc>
          <w:tcPr>
            <w:tcW w:w="2835" w:type="dxa"/>
            <w:vMerge/>
          </w:tcPr>
          <w:p w14:paraId="679AB635" w14:textId="77777777" w:rsidR="000B292F" w:rsidRPr="0009706C" w:rsidRDefault="000B292F" w:rsidP="0060254E">
            <w:pPr>
              <w:rPr>
                <w:rFonts w:ascii="Calibri" w:hAnsi="Calibri" w:cs="Arial"/>
              </w:rPr>
            </w:pPr>
          </w:p>
        </w:tc>
        <w:tc>
          <w:tcPr>
            <w:tcW w:w="1357" w:type="dxa"/>
          </w:tcPr>
          <w:p w14:paraId="354D0C29" w14:textId="77777777" w:rsidR="000B292F" w:rsidRDefault="000B292F" w:rsidP="0060254E">
            <w:pPr>
              <w:rPr>
                <w:rFonts w:ascii="Calibri" w:hAnsi="Calibri" w:cs="Arial"/>
              </w:rPr>
            </w:pPr>
            <w:r>
              <w:rPr>
                <w:rFonts w:ascii="Calibri" w:hAnsi="Calibri" w:cs="Arial"/>
              </w:rPr>
              <w:t>Region</w:t>
            </w:r>
          </w:p>
        </w:tc>
        <w:tc>
          <w:tcPr>
            <w:tcW w:w="1755" w:type="dxa"/>
            <w:vAlign w:val="center"/>
          </w:tcPr>
          <w:p w14:paraId="67D852DD" w14:textId="77777777" w:rsidR="000B292F" w:rsidRDefault="000B292F" w:rsidP="000B292F">
            <w:pPr>
              <w:rPr>
                <w:rFonts w:ascii="Calibri" w:hAnsi="Calibri" w:cs="Arial"/>
              </w:rPr>
            </w:pPr>
            <w:r>
              <w:rPr>
                <w:rFonts w:ascii="Calibri" w:hAnsi="Calibri" w:cs="Arial"/>
              </w:rPr>
              <w:t>2.9</w:t>
            </w:r>
          </w:p>
        </w:tc>
        <w:tc>
          <w:tcPr>
            <w:tcW w:w="2955" w:type="dxa"/>
            <w:vMerge/>
          </w:tcPr>
          <w:p w14:paraId="22F0FBFC" w14:textId="77777777" w:rsidR="000B292F" w:rsidRPr="0009706C" w:rsidRDefault="000B292F" w:rsidP="0060254E">
            <w:pPr>
              <w:rPr>
                <w:rFonts w:ascii="Calibri" w:hAnsi="Calibri" w:cs="Arial"/>
              </w:rPr>
            </w:pPr>
          </w:p>
        </w:tc>
      </w:tr>
      <w:tr w:rsidR="000B292F" w:rsidRPr="00E05A88" w14:paraId="72A78A35" w14:textId="77777777" w:rsidTr="000B292F">
        <w:trPr>
          <w:trHeight w:val="398"/>
        </w:trPr>
        <w:tc>
          <w:tcPr>
            <w:tcW w:w="2835" w:type="dxa"/>
            <w:vMerge w:val="restart"/>
          </w:tcPr>
          <w:p w14:paraId="192093E1" w14:textId="77777777" w:rsidR="000B292F" w:rsidRPr="00E05A88" w:rsidRDefault="000B292F" w:rsidP="004D6745">
            <w:pPr>
              <w:rPr>
                <w:rFonts w:ascii="Calibri" w:hAnsi="Calibri" w:cs="Arial"/>
              </w:rPr>
            </w:pPr>
            <w:r w:rsidRPr="0009706C">
              <w:rPr>
                <w:rFonts w:ascii="Calibri" w:hAnsi="Calibri" w:cs="Arial"/>
              </w:rPr>
              <w:t>E3 Cross-sector institutional arrangements and processes</w:t>
            </w:r>
            <w:r>
              <w:rPr>
                <w:rFonts w:ascii="Calibri" w:hAnsi="Calibri" w:cs="Arial"/>
              </w:rPr>
              <w:t xml:space="preserve"> (Rating out of 5)</w:t>
            </w:r>
            <w:r>
              <w:rPr>
                <w:rFonts w:ascii="Calibri" w:hAnsi="Calibri" w:cs="Arial"/>
                <w:vertAlign w:val="superscript"/>
              </w:rPr>
              <w:t>p</w:t>
            </w:r>
          </w:p>
        </w:tc>
        <w:tc>
          <w:tcPr>
            <w:tcW w:w="1357" w:type="dxa"/>
          </w:tcPr>
          <w:p w14:paraId="11D5D464" w14:textId="77777777" w:rsidR="000B292F" w:rsidRPr="001551F1" w:rsidRDefault="000B292F" w:rsidP="004D6745">
            <w:pPr>
              <w:rPr>
                <w:rFonts w:ascii="Calibri" w:hAnsi="Calibri" w:cs="Arial"/>
              </w:rPr>
            </w:pPr>
            <w:r>
              <w:rPr>
                <w:rFonts w:ascii="Calibri" w:hAnsi="Calibri" w:cs="Arial"/>
              </w:rPr>
              <w:t>Catchment</w:t>
            </w:r>
          </w:p>
        </w:tc>
        <w:tc>
          <w:tcPr>
            <w:tcW w:w="1755" w:type="dxa"/>
            <w:vAlign w:val="center"/>
          </w:tcPr>
          <w:p w14:paraId="5341B5E7" w14:textId="7FBD6099" w:rsidR="000B292F" w:rsidRPr="001551F1" w:rsidRDefault="000B292F" w:rsidP="000B292F">
            <w:pPr>
              <w:rPr>
                <w:rFonts w:ascii="Calibri" w:hAnsi="Calibri" w:cs="Arial"/>
              </w:rPr>
            </w:pPr>
            <w:r>
              <w:rPr>
                <w:rFonts w:ascii="Calibri" w:hAnsi="Calibri" w:cs="Arial"/>
              </w:rPr>
              <w:t>2.8</w:t>
            </w:r>
          </w:p>
        </w:tc>
        <w:tc>
          <w:tcPr>
            <w:tcW w:w="2955" w:type="dxa"/>
            <w:vMerge w:val="restart"/>
          </w:tcPr>
          <w:p w14:paraId="0211744E" w14:textId="77777777" w:rsidR="000B292F" w:rsidRPr="00135514" w:rsidRDefault="000B292F" w:rsidP="004D6745">
            <w:pPr>
              <w:rPr>
                <w:rFonts w:ascii="Calibri" w:hAnsi="Calibri" w:cs="Arial"/>
              </w:rPr>
            </w:pPr>
            <w:r w:rsidRPr="0009706C">
              <w:rPr>
                <w:rFonts w:ascii="Calibri" w:hAnsi="Calibri" w:cs="Arial"/>
              </w:rPr>
              <w:t xml:space="preserve">This measure assesses whether the institutional arrangements and processes required to achieve IWM are in place and embedded across the sector. </w:t>
            </w:r>
          </w:p>
        </w:tc>
      </w:tr>
      <w:tr w:rsidR="000B292F" w:rsidRPr="00E05A88" w14:paraId="29959E31" w14:textId="77777777" w:rsidTr="000B292F">
        <w:trPr>
          <w:trHeight w:val="398"/>
        </w:trPr>
        <w:tc>
          <w:tcPr>
            <w:tcW w:w="2835" w:type="dxa"/>
            <w:vMerge/>
          </w:tcPr>
          <w:p w14:paraId="206E041A" w14:textId="77777777" w:rsidR="000B292F" w:rsidRPr="0009706C" w:rsidRDefault="000B292F" w:rsidP="0060254E">
            <w:pPr>
              <w:rPr>
                <w:rFonts w:ascii="Calibri" w:hAnsi="Calibri" w:cs="Arial"/>
              </w:rPr>
            </w:pPr>
          </w:p>
        </w:tc>
        <w:tc>
          <w:tcPr>
            <w:tcW w:w="1357" w:type="dxa"/>
          </w:tcPr>
          <w:p w14:paraId="37A012C4" w14:textId="77777777" w:rsidR="000B292F" w:rsidRDefault="000B292F" w:rsidP="0060254E">
            <w:pPr>
              <w:rPr>
                <w:rFonts w:ascii="Calibri" w:hAnsi="Calibri" w:cs="Arial"/>
              </w:rPr>
            </w:pPr>
            <w:r>
              <w:rPr>
                <w:rFonts w:ascii="Calibri" w:hAnsi="Calibri" w:cs="Arial"/>
              </w:rPr>
              <w:t>Region</w:t>
            </w:r>
          </w:p>
        </w:tc>
        <w:tc>
          <w:tcPr>
            <w:tcW w:w="1755" w:type="dxa"/>
            <w:vAlign w:val="center"/>
          </w:tcPr>
          <w:p w14:paraId="12FCC152" w14:textId="1B6C37AE" w:rsidR="000B292F" w:rsidRDefault="000B292F" w:rsidP="000B292F">
            <w:pPr>
              <w:rPr>
                <w:rFonts w:ascii="Calibri" w:hAnsi="Calibri" w:cs="Arial"/>
              </w:rPr>
            </w:pPr>
            <w:r>
              <w:rPr>
                <w:rFonts w:ascii="Calibri" w:hAnsi="Calibri" w:cs="Arial"/>
              </w:rPr>
              <w:t>2.9</w:t>
            </w:r>
          </w:p>
        </w:tc>
        <w:tc>
          <w:tcPr>
            <w:tcW w:w="2955" w:type="dxa"/>
            <w:vMerge/>
          </w:tcPr>
          <w:p w14:paraId="27B36E27" w14:textId="77777777" w:rsidR="000B292F" w:rsidRPr="0009706C" w:rsidRDefault="000B292F" w:rsidP="0060254E">
            <w:pPr>
              <w:rPr>
                <w:rFonts w:ascii="Calibri" w:hAnsi="Calibri" w:cs="Arial"/>
              </w:rPr>
            </w:pPr>
          </w:p>
        </w:tc>
      </w:tr>
    </w:tbl>
    <w:p w14:paraId="383F1E2A" w14:textId="68750E04" w:rsidR="005B7D3F" w:rsidRDefault="005B7D3F">
      <w:pPr>
        <w:rPr>
          <w:rStyle w:val="Strong"/>
          <w:lang w:eastAsia="en-AU"/>
        </w:rPr>
      </w:pPr>
    </w:p>
    <w:tbl>
      <w:tblPr>
        <w:tblStyle w:val="TableGrid1"/>
        <w:tblW w:w="8931" w:type="dxa"/>
        <w:tblLook w:val="0420" w:firstRow="1" w:lastRow="0" w:firstColumn="0" w:lastColumn="0" w:noHBand="0" w:noVBand="1"/>
      </w:tblPr>
      <w:tblGrid>
        <w:gridCol w:w="8931"/>
      </w:tblGrid>
      <w:tr w:rsidR="009B1856" w:rsidRPr="00D42C8C" w14:paraId="619ECDC4" w14:textId="77777777" w:rsidTr="0060254E">
        <w:trPr>
          <w:cnfStyle w:val="100000000000" w:firstRow="1" w:lastRow="0" w:firstColumn="0" w:lastColumn="0" w:oddVBand="0" w:evenVBand="0" w:oddHBand="0" w:evenHBand="0" w:firstRowFirstColumn="0" w:firstRowLastColumn="0" w:lastRowFirstColumn="0" w:lastRowLastColumn="0"/>
          <w:trHeight w:val="428"/>
        </w:trPr>
        <w:tc>
          <w:tcPr>
            <w:tcW w:w="8931" w:type="dxa"/>
            <w:hideMark/>
          </w:tcPr>
          <w:p w14:paraId="1BB09DB4" w14:textId="77777777" w:rsidR="009B1856" w:rsidRPr="00D42C8C" w:rsidRDefault="009B1856" w:rsidP="0060254E">
            <w:pPr>
              <w:spacing w:after="0" w:line="240" w:lineRule="auto"/>
              <w:rPr>
                <w:rFonts w:asciiTheme="minorHAnsi" w:hAnsiTheme="minorHAnsi" w:cstheme="minorHAnsi"/>
                <w:szCs w:val="18"/>
              </w:rPr>
            </w:pPr>
            <w:r w:rsidRPr="00D42C8C">
              <w:rPr>
                <w:rFonts w:asciiTheme="minorHAnsi" w:hAnsiTheme="minorHAnsi" w:cstheme="minorHAnsi"/>
                <w:b/>
                <w:bCs/>
                <w:color w:val="auto"/>
                <w:kern w:val="24"/>
                <w:szCs w:val="18"/>
              </w:rPr>
              <w:t>Our targets for the future, as of September 2022</w:t>
            </w:r>
          </w:p>
        </w:tc>
      </w:tr>
      <w:tr w:rsidR="009B1856" w:rsidRPr="00D42C8C" w14:paraId="1816314E" w14:textId="77777777" w:rsidTr="0060254E">
        <w:trPr>
          <w:trHeight w:val="497"/>
        </w:trPr>
        <w:tc>
          <w:tcPr>
            <w:tcW w:w="8931" w:type="dxa"/>
            <w:hideMark/>
          </w:tcPr>
          <w:p w14:paraId="2448CE11" w14:textId="721F6F7C" w:rsidR="009B1856" w:rsidRPr="00D42C8C" w:rsidRDefault="009B1856" w:rsidP="0060254E">
            <w:pPr>
              <w:spacing w:after="0" w:line="240" w:lineRule="auto"/>
              <w:rPr>
                <w:rFonts w:cstheme="minorHAnsi"/>
                <w:color w:val="auto"/>
                <w:szCs w:val="18"/>
              </w:rPr>
            </w:pPr>
            <w:r w:rsidRPr="009B1856">
              <w:rPr>
                <w:rFonts w:cstheme="minorHAnsi"/>
                <w:color w:val="auto"/>
                <w:kern w:val="24"/>
                <w:szCs w:val="18"/>
              </w:rPr>
              <w:t xml:space="preserve">Rating of 4 out of 5 by </w:t>
            </w:r>
            <w:r w:rsidRPr="009B1856">
              <w:rPr>
                <w:rFonts w:cstheme="minorHAnsi"/>
                <w:b/>
                <w:bCs/>
                <w:color w:val="auto"/>
                <w:kern w:val="24"/>
                <w:szCs w:val="18"/>
              </w:rPr>
              <w:t>2030</w:t>
            </w:r>
            <w:r w:rsidRPr="009B1856">
              <w:rPr>
                <w:rFonts w:cstheme="minorHAnsi"/>
                <w:color w:val="auto"/>
                <w:kern w:val="24"/>
                <w:szCs w:val="18"/>
              </w:rPr>
              <w:t xml:space="preserve">, and 5 out of 5 by </w:t>
            </w:r>
            <w:r w:rsidRPr="009B1856">
              <w:rPr>
                <w:rFonts w:cstheme="minorHAnsi"/>
                <w:b/>
                <w:bCs/>
                <w:color w:val="auto"/>
                <w:kern w:val="24"/>
                <w:szCs w:val="18"/>
              </w:rPr>
              <w:t>2050</w:t>
            </w:r>
            <w:r w:rsidRPr="009B1856">
              <w:rPr>
                <w:rFonts w:cstheme="minorHAnsi"/>
                <w:color w:val="auto"/>
                <w:kern w:val="24"/>
                <w:szCs w:val="18"/>
              </w:rPr>
              <w:t xml:space="preserve"> for</w:t>
            </w:r>
            <w:r w:rsidRPr="00A702F2">
              <w:rPr>
                <w:rFonts w:cstheme="minorHAnsi"/>
                <w:color w:val="auto"/>
                <w:kern w:val="24"/>
                <w:szCs w:val="18"/>
              </w:rPr>
              <w:t xml:space="preserve"> vision, leadership and long-term commitment through vision statement and objectives articulated in corporate documents</w:t>
            </w:r>
            <w:r w:rsidRPr="00A702F2">
              <w:rPr>
                <w:rFonts w:cstheme="minorHAnsi"/>
                <w:b/>
                <w:bCs/>
                <w:color w:val="auto"/>
                <w:kern w:val="24"/>
                <w:szCs w:val="18"/>
              </w:rPr>
              <w:t xml:space="preserve"> </w:t>
            </w:r>
            <w:r w:rsidRPr="00A702F2">
              <w:rPr>
                <w:rFonts w:cstheme="minorHAnsi"/>
                <w:color w:val="auto"/>
                <w:kern w:val="24"/>
                <w:szCs w:val="18"/>
              </w:rPr>
              <w:t xml:space="preserve">for the </w:t>
            </w:r>
            <w:r w:rsidRPr="00A702F2">
              <w:rPr>
                <w:rFonts w:cstheme="minorHAnsi"/>
                <w:b/>
                <w:bCs/>
                <w:color w:val="auto"/>
                <w:kern w:val="24"/>
                <w:szCs w:val="18"/>
              </w:rPr>
              <w:t>catchment</w:t>
            </w:r>
            <w:r w:rsidRPr="00A702F2">
              <w:rPr>
                <w:rFonts w:cstheme="minorHAnsi"/>
                <w:color w:val="auto"/>
                <w:kern w:val="24"/>
                <w:szCs w:val="18"/>
              </w:rPr>
              <w:t xml:space="preserve"> </w:t>
            </w:r>
          </w:p>
        </w:tc>
      </w:tr>
      <w:tr w:rsidR="009B1856" w:rsidRPr="00D42C8C" w14:paraId="6B3F79A6" w14:textId="77777777" w:rsidTr="0060254E">
        <w:trPr>
          <w:trHeight w:val="497"/>
        </w:trPr>
        <w:tc>
          <w:tcPr>
            <w:tcW w:w="8931" w:type="dxa"/>
          </w:tcPr>
          <w:p w14:paraId="266E299F" w14:textId="77777777" w:rsidR="009B1856" w:rsidRPr="00A702F2" w:rsidRDefault="009B1856" w:rsidP="0060254E">
            <w:pPr>
              <w:spacing w:after="0" w:line="240" w:lineRule="auto"/>
              <w:rPr>
                <w:rFonts w:cstheme="minorHAnsi"/>
                <w:kern w:val="24"/>
                <w:szCs w:val="18"/>
              </w:rPr>
            </w:pPr>
            <w:r w:rsidRPr="00907331">
              <w:rPr>
                <w:rFonts w:cstheme="minorHAnsi"/>
                <w:color w:val="auto"/>
                <w:kern w:val="24"/>
                <w:szCs w:val="18"/>
              </w:rPr>
              <w:t>Rating of 4.5 out of 5 b</w:t>
            </w:r>
            <w:r w:rsidRPr="00907331">
              <w:rPr>
                <w:rFonts w:cstheme="minorHAnsi"/>
                <w:color w:val="000000" w:themeColor="text1"/>
                <w:kern w:val="24"/>
                <w:szCs w:val="18"/>
              </w:rPr>
              <w:t xml:space="preserve">y </w:t>
            </w:r>
            <w:r w:rsidRPr="00907331">
              <w:rPr>
                <w:rFonts w:cstheme="minorHAnsi"/>
                <w:b/>
                <w:bCs/>
                <w:color w:val="000000" w:themeColor="text1"/>
                <w:kern w:val="24"/>
                <w:szCs w:val="18"/>
              </w:rPr>
              <w:t>2030</w:t>
            </w:r>
            <w:r w:rsidRPr="00907331">
              <w:rPr>
                <w:rFonts w:cstheme="minorHAnsi"/>
                <w:color w:val="44546A" w:themeColor="text2"/>
                <w:kern w:val="24"/>
                <w:szCs w:val="18"/>
              </w:rPr>
              <w:t xml:space="preserve">, </w:t>
            </w:r>
            <w:r w:rsidRPr="00907331">
              <w:rPr>
                <w:rFonts w:cstheme="minorHAnsi"/>
                <w:color w:val="auto"/>
                <w:kern w:val="24"/>
                <w:szCs w:val="18"/>
              </w:rPr>
              <w:t xml:space="preserve">and 5 out of 5 </w:t>
            </w:r>
            <w:r w:rsidRPr="00907331">
              <w:rPr>
                <w:rFonts w:cstheme="minorHAnsi"/>
                <w:color w:val="000000" w:themeColor="text1"/>
                <w:kern w:val="24"/>
                <w:szCs w:val="18"/>
              </w:rPr>
              <w:t xml:space="preserve">by </w:t>
            </w:r>
            <w:r w:rsidRPr="00907331">
              <w:rPr>
                <w:rFonts w:cstheme="minorHAnsi"/>
                <w:b/>
                <w:bCs/>
                <w:color w:val="000000" w:themeColor="text1"/>
                <w:kern w:val="24"/>
                <w:szCs w:val="18"/>
              </w:rPr>
              <w:t>2050</w:t>
            </w:r>
            <w:r w:rsidRPr="00907331">
              <w:rPr>
                <w:rFonts w:cstheme="minorHAnsi"/>
                <w:color w:val="000000" w:themeColor="text1"/>
                <w:kern w:val="24"/>
                <w:szCs w:val="18"/>
              </w:rPr>
              <w:t xml:space="preserve"> </w:t>
            </w:r>
            <w:r w:rsidRPr="00D9620E">
              <w:rPr>
                <w:rFonts w:cstheme="minorHAnsi"/>
                <w:color w:val="000000" w:themeColor="text1"/>
                <w:kern w:val="24"/>
                <w:szCs w:val="18"/>
              </w:rPr>
              <w:t>for vision, leadership and long-term commitment through vision statement and objectives articulated in corporate documents</w:t>
            </w:r>
            <w:r w:rsidRPr="00907331">
              <w:rPr>
                <w:rFonts w:cstheme="minorHAnsi"/>
                <w:color w:val="000000" w:themeColor="text1"/>
                <w:kern w:val="24"/>
                <w:szCs w:val="18"/>
              </w:rPr>
              <w:t xml:space="preserve"> for the </w:t>
            </w:r>
            <w:r w:rsidRPr="00907331">
              <w:rPr>
                <w:rFonts w:cstheme="minorHAnsi"/>
                <w:b/>
                <w:bCs/>
                <w:color w:val="000000" w:themeColor="text1"/>
                <w:kern w:val="24"/>
                <w:szCs w:val="18"/>
              </w:rPr>
              <w:t>Greater Melbourne Region</w:t>
            </w:r>
          </w:p>
        </w:tc>
      </w:tr>
      <w:tr w:rsidR="009B1856" w:rsidRPr="00D42C8C" w14:paraId="6B489C45" w14:textId="77777777" w:rsidTr="0060254E">
        <w:trPr>
          <w:trHeight w:val="404"/>
        </w:trPr>
        <w:tc>
          <w:tcPr>
            <w:tcW w:w="8931" w:type="dxa"/>
            <w:hideMark/>
          </w:tcPr>
          <w:p w14:paraId="7D2ABAAE" w14:textId="052ADB25" w:rsidR="009B1856" w:rsidRPr="00D42C8C" w:rsidRDefault="0042711F" w:rsidP="0060254E">
            <w:pPr>
              <w:spacing w:after="0" w:line="240" w:lineRule="auto"/>
              <w:rPr>
                <w:rFonts w:cstheme="minorHAnsi"/>
                <w:color w:val="auto"/>
                <w:szCs w:val="18"/>
              </w:rPr>
            </w:pPr>
            <w:r w:rsidRPr="009B1856">
              <w:rPr>
                <w:rFonts w:cstheme="minorHAnsi"/>
                <w:color w:val="auto"/>
                <w:kern w:val="24"/>
                <w:szCs w:val="18"/>
              </w:rPr>
              <w:t xml:space="preserve">Rating of 4 out of 5 by </w:t>
            </w:r>
            <w:r w:rsidRPr="009B1856">
              <w:rPr>
                <w:rFonts w:cstheme="minorHAnsi"/>
                <w:b/>
                <w:bCs/>
                <w:color w:val="auto"/>
                <w:kern w:val="24"/>
                <w:szCs w:val="18"/>
              </w:rPr>
              <w:t>2030</w:t>
            </w:r>
            <w:r w:rsidRPr="009B1856">
              <w:rPr>
                <w:rFonts w:cstheme="minorHAnsi"/>
                <w:color w:val="auto"/>
                <w:kern w:val="24"/>
                <w:szCs w:val="18"/>
              </w:rPr>
              <w:t xml:space="preserve">, and 5 out of 5 by </w:t>
            </w:r>
            <w:r w:rsidRPr="009B1856">
              <w:rPr>
                <w:rFonts w:cstheme="minorHAnsi"/>
                <w:b/>
                <w:bCs/>
                <w:color w:val="auto"/>
                <w:kern w:val="24"/>
                <w:szCs w:val="18"/>
              </w:rPr>
              <w:t>2050</w:t>
            </w:r>
            <w:r w:rsidRPr="009B1856">
              <w:rPr>
                <w:rFonts w:cstheme="minorHAnsi"/>
                <w:color w:val="auto"/>
                <w:kern w:val="24"/>
                <w:szCs w:val="18"/>
              </w:rPr>
              <w:t xml:space="preserve"> for</w:t>
            </w:r>
            <w:r w:rsidRPr="00A702F2">
              <w:rPr>
                <w:rFonts w:cstheme="minorHAnsi"/>
                <w:color w:val="auto"/>
                <w:kern w:val="24"/>
                <w:szCs w:val="18"/>
              </w:rPr>
              <w:t xml:space="preserve"> </w:t>
            </w:r>
            <w:r w:rsidR="009B1856" w:rsidRPr="00A702F2">
              <w:rPr>
                <w:rFonts w:cstheme="minorHAnsi"/>
                <w:color w:val="auto"/>
                <w:kern w:val="24"/>
                <w:szCs w:val="18"/>
              </w:rPr>
              <w:t xml:space="preserve">knowledge, skills and organisational capacity for the </w:t>
            </w:r>
            <w:r w:rsidR="009B1856" w:rsidRPr="00A702F2">
              <w:rPr>
                <w:rFonts w:cstheme="minorHAnsi"/>
                <w:b/>
                <w:bCs/>
                <w:color w:val="auto"/>
                <w:kern w:val="24"/>
                <w:szCs w:val="18"/>
              </w:rPr>
              <w:t>catchment</w:t>
            </w:r>
            <w:r w:rsidR="009B1856" w:rsidRPr="00A702F2">
              <w:rPr>
                <w:rFonts w:cstheme="minorHAnsi"/>
                <w:color w:val="auto"/>
                <w:kern w:val="24"/>
                <w:szCs w:val="18"/>
              </w:rPr>
              <w:t xml:space="preserve"> </w:t>
            </w:r>
            <w:r w:rsidR="009B1856" w:rsidRPr="00A702F2">
              <w:rPr>
                <w:rFonts w:cstheme="minorHAnsi"/>
                <w:b/>
                <w:bCs/>
                <w:color w:val="auto"/>
                <w:kern w:val="24"/>
                <w:szCs w:val="18"/>
              </w:rPr>
              <w:t xml:space="preserve"> </w:t>
            </w:r>
          </w:p>
        </w:tc>
      </w:tr>
      <w:tr w:rsidR="009B1856" w:rsidRPr="00D42C8C" w14:paraId="22881863" w14:textId="77777777" w:rsidTr="0060254E">
        <w:trPr>
          <w:trHeight w:val="404"/>
        </w:trPr>
        <w:tc>
          <w:tcPr>
            <w:tcW w:w="8931" w:type="dxa"/>
          </w:tcPr>
          <w:p w14:paraId="5B9FF508" w14:textId="77777777" w:rsidR="009B1856" w:rsidRPr="00A702F2" w:rsidRDefault="009B1856" w:rsidP="0060254E">
            <w:pPr>
              <w:spacing w:after="0" w:line="240" w:lineRule="auto"/>
              <w:rPr>
                <w:rFonts w:cstheme="minorHAnsi"/>
                <w:kern w:val="24"/>
                <w:szCs w:val="18"/>
              </w:rPr>
            </w:pPr>
            <w:r>
              <w:rPr>
                <w:rFonts w:cstheme="minorHAnsi"/>
                <w:color w:val="auto"/>
                <w:kern w:val="24"/>
                <w:szCs w:val="18"/>
              </w:rPr>
              <w:t>R</w:t>
            </w:r>
            <w:r w:rsidRPr="00907331">
              <w:rPr>
                <w:rFonts w:cstheme="minorHAnsi"/>
                <w:color w:val="auto"/>
                <w:kern w:val="24"/>
                <w:szCs w:val="18"/>
              </w:rPr>
              <w:t>ating of 4.5 out of 5 b</w:t>
            </w:r>
            <w:r w:rsidRPr="00907331">
              <w:rPr>
                <w:rFonts w:cstheme="minorHAnsi"/>
                <w:color w:val="000000" w:themeColor="text1"/>
                <w:kern w:val="24"/>
                <w:szCs w:val="18"/>
              </w:rPr>
              <w:t xml:space="preserve">y </w:t>
            </w:r>
            <w:r w:rsidRPr="00907331">
              <w:rPr>
                <w:rFonts w:cstheme="minorHAnsi"/>
                <w:b/>
                <w:bCs/>
                <w:color w:val="000000" w:themeColor="text1"/>
                <w:kern w:val="24"/>
                <w:szCs w:val="18"/>
              </w:rPr>
              <w:t>2030</w:t>
            </w:r>
            <w:r w:rsidRPr="00907331">
              <w:rPr>
                <w:rFonts w:cstheme="minorHAnsi"/>
                <w:color w:val="44546A" w:themeColor="text2"/>
                <w:kern w:val="24"/>
                <w:szCs w:val="18"/>
              </w:rPr>
              <w:t xml:space="preserve">, </w:t>
            </w:r>
            <w:r w:rsidRPr="00907331">
              <w:rPr>
                <w:rFonts w:cstheme="minorHAnsi"/>
                <w:color w:val="auto"/>
                <w:kern w:val="24"/>
                <w:szCs w:val="18"/>
              </w:rPr>
              <w:t xml:space="preserve">and 5 out of 5 </w:t>
            </w:r>
            <w:r w:rsidRPr="00907331">
              <w:rPr>
                <w:rFonts w:cstheme="minorHAnsi"/>
                <w:color w:val="000000" w:themeColor="text1"/>
                <w:kern w:val="24"/>
                <w:szCs w:val="18"/>
              </w:rPr>
              <w:t xml:space="preserve">by </w:t>
            </w:r>
            <w:r w:rsidRPr="00907331">
              <w:rPr>
                <w:rFonts w:cstheme="minorHAnsi"/>
                <w:b/>
                <w:bCs/>
                <w:color w:val="000000" w:themeColor="text1"/>
                <w:kern w:val="24"/>
                <w:szCs w:val="18"/>
              </w:rPr>
              <w:t>2050</w:t>
            </w:r>
            <w:r w:rsidRPr="00907331">
              <w:rPr>
                <w:rFonts w:cstheme="minorHAnsi"/>
                <w:color w:val="000000" w:themeColor="text1"/>
                <w:kern w:val="24"/>
                <w:szCs w:val="18"/>
              </w:rPr>
              <w:t xml:space="preserve"> </w:t>
            </w:r>
            <w:r w:rsidRPr="004A3193">
              <w:rPr>
                <w:rFonts w:cstheme="minorHAnsi"/>
                <w:color w:val="000000" w:themeColor="text1"/>
                <w:kern w:val="24"/>
                <w:szCs w:val="18"/>
              </w:rPr>
              <w:t>for knowledge, skills and organisational capacity</w:t>
            </w:r>
            <w:r>
              <w:t xml:space="preserve"> </w:t>
            </w:r>
            <w:r w:rsidRPr="004A3193">
              <w:rPr>
                <w:rFonts w:cstheme="minorHAnsi"/>
                <w:color w:val="000000" w:themeColor="text1"/>
                <w:kern w:val="24"/>
                <w:szCs w:val="18"/>
              </w:rPr>
              <w:t xml:space="preserve">for the </w:t>
            </w:r>
            <w:r w:rsidRPr="004A3193">
              <w:rPr>
                <w:rFonts w:cstheme="minorHAnsi"/>
                <w:b/>
                <w:bCs/>
                <w:color w:val="000000" w:themeColor="text1"/>
                <w:kern w:val="24"/>
                <w:szCs w:val="18"/>
              </w:rPr>
              <w:t>Greater Melbourne Region</w:t>
            </w:r>
          </w:p>
        </w:tc>
      </w:tr>
      <w:tr w:rsidR="009B1856" w:rsidRPr="00D42C8C" w14:paraId="0C5D1751" w14:textId="77777777" w:rsidTr="0060254E">
        <w:trPr>
          <w:trHeight w:val="517"/>
        </w:trPr>
        <w:tc>
          <w:tcPr>
            <w:tcW w:w="8931" w:type="dxa"/>
            <w:hideMark/>
          </w:tcPr>
          <w:p w14:paraId="5A1C57B1" w14:textId="51B7BB9C" w:rsidR="009B1856" w:rsidRPr="00D42C8C" w:rsidRDefault="0042711F" w:rsidP="0060254E">
            <w:pPr>
              <w:spacing w:after="0" w:line="240" w:lineRule="auto"/>
              <w:rPr>
                <w:rFonts w:cstheme="minorHAnsi"/>
                <w:color w:val="auto"/>
                <w:szCs w:val="18"/>
              </w:rPr>
            </w:pPr>
            <w:r w:rsidRPr="009B1856">
              <w:rPr>
                <w:rFonts w:cstheme="minorHAnsi"/>
                <w:color w:val="auto"/>
                <w:kern w:val="24"/>
                <w:szCs w:val="18"/>
              </w:rPr>
              <w:t xml:space="preserve">Rating of 4 out of 5 by </w:t>
            </w:r>
            <w:r w:rsidRPr="009B1856">
              <w:rPr>
                <w:rFonts w:cstheme="minorHAnsi"/>
                <w:b/>
                <w:bCs/>
                <w:color w:val="auto"/>
                <w:kern w:val="24"/>
                <w:szCs w:val="18"/>
              </w:rPr>
              <w:t>2030</w:t>
            </w:r>
            <w:r w:rsidRPr="009B1856">
              <w:rPr>
                <w:rFonts w:cstheme="minorHAnsi"/>
                <w:color w:val="auto"/>
                <w:kern w:val="24"/>
                <w:szCs w:val="18"/>
              </w:rPr>
              <w:t xml:space="preserve">, and 5 out of 5 by </w:t>
            </w:r>
            <w:r w:rsidRPr="009B1856">
              <w:rPr>
                <w:rFonts w:cstheme="minorHAnsi"/>
                <w:b/>
                <w:bCs/>
                <w:color w:val="auto"/>
                <w:kern w:val="24"/>
                <w:szCs w:val="18"/>
              </w:rPr>
              <w:t>2050</w:t>
            </w:r>
            <w:r w:rsidRPr="009B1856">
              <w:rPr>
                <w:rFonts w:cstheme="minorHAnsi"/>
                <w:color w:val="auto"/>
                <w:kern w:val="24"/>
                <w:szCs w:val="18"/>
              </w:rPr>
              <w:t xml:space="preserve"> for</w:t>
            </w:r>
            <w:r w:rsidRPr="00A702F2">
              <w:rPr>
                <w:rFonts w:cstheme="minorHAnsi"/>
                <w:color w:val="auto"/>
                <w:kern w:val="24"/>
                <w:szCs w:val="18"/>
              </w:rPr>
              <w:t xml:space="preserve"> </w:t>
            </w:r>
            <w:r w:rsidR="009B1856" w:rsidRPr="00A702F2">
              <w:rPr>
                <w:rFonts w:cstheme="minorHAnsi"/>
                <w:color w:val="auto"/>
                <w:kern w:val="24"/>
                <w:szCs w:val="18"/>
              </w:rPr>
              <w:t xml:space="preserve">cross-sector institutional arrangements and processes for the </w:t>
            </w:r>
            <w:r w:rsidR="009B1856" w:rsidRPr="00A702F2">
              <w:rPr>
                <w:rFonts w:cstheme="minorHAnsi"/>
                <w:b/>
                <w:bCs/>
                <w:color w:val="auto"/>
                <w:kern w:val="24"/>
                <w:szCs w:val="18"/>
              </w:rPr>
              <w:t>catchment</w:t>
            </w:r>
            <w:r w:rsidR="009B1856" w:rsidRPr="00A702F2">
              <w:rPr>
                <w:rFonts w:cstheme="minorHAnsi"/>
                <w:color w:val="auto"/>
                <w:kern w:val="24"/>
                <w:szCs w:val="18"/>
              </w:rPr>
              <w:t xml:space="preserve"> </w:t>
            </w:r>
          </w:p>
        </w:tc>
      </w:tr>
      <w:tr w:rsidR="009B1856" w:rsidRPr="00D42C8C" w14:paraId="3B86D708" w14:textId="77777777" w:rsidTr="0060254E">
        <w:trPr>
          <w:trHeight w:val="517"/>
        </w:trPr>
        <w:tc>
          <w:tcPr>
            <w:tcW w:w="8931" w:type="dxa"/>
          </w:tcPr>
          <w:p w14:paraId="6A54351F" w14:textId="77777777" w:rsidR="009B1856" w:rsidRPr="00A702F2" w:rsidRDefault="009B1856" w:rsidP="0060254E">
            <w:pPr>
              <w:spacing w:after="0" w:line="240" w:lineRule="auto"/>
              <w:rPr>
                <w:rFonts w:cstheme="minorHAnsi"/>
                <w:kern w:val="24"/>
                <w:szCs w:val="18"/>
              </w:rPr>
            </w:pPr>
            <w:r>
              <w:rPr>
                <w:rFonts w:cstheme="minorHAnsi"/>
                <w:color w:val="auto"/>
                <w:kern w:val="24"/>
                <w:szCs w:val="18"/>
              </w:rPr>
              <w:t>R</w:t>
            </w:r>
            <w:r w:rsidRPr="00907331">
              <w:rPr>
                <w:rFonts w:cstheme="minorHAnsi"/>
                <w:color w:val="auto"/>
                <w:kern w:val="24"/>
                <w:szCs w:val="18"/>
              </w:rPr>
              <w:t>ating of 4.5 out of 5 b</w:t>
            </w:r>
            <w:r w:rsidRPr="00907331">
              <w:rPr>
                <w:rFonts w:cstheme="minorHAnsi"/>
                <w:color w:val="000000" w:themeColor="text1"/>
                <w:kern w:val="24"/>
                <w:szCs w:val="18"/>
              </w:rPr>
              <w:t xml:space="preserve">y </w:t>
            </w:r>
            <w:r w:rsidRPr="00907331">
              <w:rPr>
                <w:rFonts w:cstheme="minorHAnsi"/>
                <w:b/>
                <w:bCs/>
                <w:color w:val="000000" w:themeColor="text1"/>
                <w:kern w:val="24"/>
                <w:szCs w:val="18"/>
              </w:rPr>
              <w:t>2030</w:t>
            </w:r>
            <w:r w:rsidRPr="00907331">
              <w:rPr>
                <w:rFonts w:cstheme="minorHAnsi"/>
                <w:color w:val="44546A" w:themeColor="text2"/>
                <w:kern w:val="24"/>
                <w:szCs w:val="18"/>
              </w:rPr>
              <w:t xml:space="preserve">, </w:t>
            </w:r>
            <w:r w:rsidRPr="00907331">
              <w:rPr>
                <w:rFonts w:cstheme="minorHAnsi"/>
                <w:color w:val="auto"/>
                <w:kern w:val="24"/>
                <w:szCs w:val="18"/>
              </w:rPr>
              <w:t xml:space="preserve">and 5 out of 5 </w:t>
            </w:r>
            <w:r w:rsidRPr="00907331">
              <w:rPr>
                <w:rFonts w:cstheme="minorHAnsi"/>
                <w:color w:val="000000" w:themeColor="text1"/>
                <w:kern w:val="24"/>
                <w:szCs w:val="18"/>
              </w:rPr>
              <w:t xml:space="preserve">by </w:t>
            </w:r>
            <w:r w:rsidRPr="00907331">
              <w:rPr>
                <w:rFonts w:cstheme="minorHAnsi"/>
                <w:b/>
                <w:bCs/>
                <w:color w:val="000000" w:themeColor="text1"/>
                <w:kern w:val="24"/>
                <w:szCs w:val="18"/>
              </w:rPr>
              <w:t>2050</w:t>
            </w:r>
            <w:r w:rsidRPr="00907331">
              <w:rPr>
                <w:rFonts w:cstheme="minorHAnsi"/>
                <w:color w:val="000000" w:themeColor="text1"/>
                <w:kern w:val="24"/>
                <w:szCs w:val="18"/>
              </w:rPr>
              <w:t xml:space="preserve"> </w:t>
            </w:r>
            <w:r w:rsidRPr="004A3193">
              <w:rPr>
                <w:rFonts w:cstheme="minorHAnsi"/>
                <w:color w:val="000000" w:themeColor="text1"/>
                <w:kern w:val="24"/>
                <w:szCs w:val="18"/>
              </w:rPr>
              <w:t>for</w:t>
            </w:r>
            <w:r>
              <w:t xml:space="preserve"> </w:t>
            </w:r>
            <w:r w:rsidRPr="004A3193">
              <w:rPr>
                <w:rFonts w:cstheme="minorHAnsi"/>
                <w:color w:val="000000" w:themeColor="text1"/>
                <w:kern w:val="24"/>
                <w:szCs w:val="18"/>
              </w:rPr>
              <w:t xml:space="preserve">cross-sector institutional arrangements and processes for the </w:t>
            </w:r>
            <w:r w:rsidRPr="004A3193">
              <w:rPr>
                <w:rFonts w:cstheme="minorHAnsi"/>
                <w:b/>
                <w:bCs/>
                <w:color w:val="000000" w:themeColor="text1"/>
                <w:kern w:val="24"/>
                <w:szCs w:val="18"/>
              </w:rPr>
              <w:t>Greater Melbourne Region</w:t>
            </w:r>
          </w:p>
        </w:tc>
      </w:tr>
    </w:tbl>
    <w:p w14:paraId="0E798BE9" w14:textId="77777777" w:rsidR="00EA1C26" w:rsidRDefault="00EA1C26">
      <w:pPr>
        <w:rPr>
          <w:rStyle w:val="Strong"/>
          <w:lang w:eastAsia="en-AU"/>
        </w:rPr>
      </w:pPr>
      <w:r>
        <w:rPr>
          <w:rStyle w:val="Strong"/>
          <w:lang w:eastAsia="en-AU"/>
        </w:rPr>
        <w:br w:type="page"/>
      </w:r>
    </w:p>
    <w:p w14:paraId="33561E31" w14:textId="63CE022D" w:rsidR="002E01F7" w:rsidRPr="00FD7FFB" w:rsidRDefault="00FD7FFB" w:rsidP="00FD7FFB">
      <w:pPr>
        <w:keepNext/>
        <w:keepLines/>
        <w:tabs>
          <w:tab w:val="num" w:pos="0"/>
        </w:tabs>
        <w:spacing w:after="0" w:line="240" w:lineRule="auto"/>
        <w:outlineLvl w:val="0"/>
        <w:rPr>
          <w:rFonts w:ascii="Calibri" w:eastAsia="Times New Roman" w:hAnsi="Calibri" w:cs="Arial"/>
          <w:b/>
          <w:bCs/>
          <w:color w:val="029676"/>
          <w:sz w:val="36"/>
          <w:szCs w:val="28"/>
          <w:lang w:eastAsia="en-AU"/>
        </w:rPr>
      </w:pPr>
      <w:r w:rsidRPr="00FD7FFB">
        <w:rPr>
          <w:rFonts w:ascii="Calibri" w:eastAsia="Times New Roman" w:hAnsi="Calibri" w:cs="Arial"/>
          <w:b/>
          <w:bCs/>
          <w:color w:val="029676"/>
          <w:sz w:val="36"/>
          <w:szCs w:val="28"/>
          <w:lang w:eastAsia="en-AU"/>
        </w:rPr>
        <w:lastRenderedPageBreak/>
        <w:t>References</w:t>
      </w:r>
    </w:p>
    <w:p w14:paraId="0EC93411" w14:textId="0B9C5392" w:rsidR="00DD53B7" w:rsidRPr="00DD53B7" w:rsidRDefault="00DD53B7" w:rsidP="00DD53B7">
      <w:pPr>
        <w:pStyle w:val="ListParagraph"/>
        <w:numPr>
          <w:ilvl w:val="0"/>
          <w:numId w:val="1"/>
        </w:numPr>
        <w:rPr>
          <w:rFonts w:cstheme="minorHAnsi"/>
          <w:color w:val="000000"/>
          <w:sz w:val="16"/>
          <w:szCs w:val="16"/>
        </w:rPr>
      </w:pPr>
      <w:bookmarkStart w:id="11" w:name="_Hlk73717012"/>
      <w:r>
        <w:rPr>
          <w:rFonts w:cstheme="minorHAnsi"/>
          <w:color w:val="000000"/>
          <w:sz w:val="16"/>
          <w:szCs w:val="16"/>
        </w:rPr>
        <w:t>State Government of Victoria</w:t>
      </w:r>
      <w:r w:rsidRPr="00B4438A">
        <w:rPr>
          <w:rFonts w:cstheme="minorHAnsi"/>
          <w:color w:val="000000"/>
          <w:sz w:val="16"/>
          <w:szCs w:val="16"/>
        </w:rPr>
        <w:t xml:space="preserve"> </w:t>
      </w:r>
      <w:r w:rsidRPr="00F0309D">
        <w:rPr>
          <w:rFonts w:cstheme="minorHAnsi"/>
          <w:sz w:val="16"/>
          <w:szCs w:val="16"/>
        </w:rPr>
        <w:t>(2017)</w:t>
      </w:r>
      <w:r>
        <w:rPr>
          <w:rFonts w:cstheme="minorHAnsi"/>
          <w:sz w:val="16"/>
          <w:szCs w:val="16"/>
        </w:rPr>
        <w:t>.</w:t>
      </w:r>
      <w:r w:rsidRPr="00F0309D">
        <w:rPr>
          <w:rFonts w:cstheme="minorHAnsi"/>
          <w:sz w:val="16"/>
          <w:szCs w:val="16"/>
        </w:rPr>
        <w:t xml:space="preserve"> Integrated Water Management Framework for Victoria.</w:t>
      </w:r>
    </w:p>
    <w:p w14:paraId="37AE087D" w14:textId="2632431B" w:rsidR="00B4438A" w:rsidRDefault="00B4438A" w:rsidP="002E01F7">
      <w:pPr>
        <w:pStyle w:val="ListParagraph"/>
        <w:numPr>
          <w:ilvl w:val="0"/>
          <w:numId w:val="1"/>
        </w:numPr>
        <w:rPr>
          <w:rFonts w:cstheme="minorHAnsi"/>
          <w:color w:val="000000"/>
          <w:sz w:val="16"/>
          <w:szCs w:val="16"/>
        </w:rPr>
      </w:pPr>
      <w:r>
        <w:rPr>
          <w:rFonts w:cstheme="minorHAnsi"/>
          <w:color w:val="000000"/>
          <w:sz w:val="16"/>
          <w:szCs w:val="16"/>
        </w:rPr>
        <w:t>State Government of Victoria</w:t>
      </w:r>
      <w:r w:rsidRPr="00B4438A">
        <w:rPr>
          <w:rFonts w:cstheme="minorHAnsi"/>
          <w:color w:val="000000"/>
          <w:sz w:val="16"/>
          <w:szCs w:val="16"/>
        </w:rPr>
        <w:t xml:space="preserve"> (2019). Victoria in Future 2019 (VIF2019).</w:t>
      </w:r>
    </w:p>
    <w:p w14:paraId="71452844" w14:textId="4958BA3B" w:rsidR="0092302F" w:rsidRPr="00B4438A" w:rsidRDefault="0092302F" w:rsidP="002E01F7">
      <w:pPr>
        <w:pStyle w:val="ListParagraph"/>
        <w:numPr>
          <w:ilvl w:val="0"/>
          <w:numId w:val="1"/>
        </w:numPr>
        <w:rPr>
          <w:rFonts w:cstheme="minorHAnsi"/>
          <w:color w:val="000000"/>
          <w:sz w:val="16"/>
          <w:szCs w:val="16"/>
        </w:rPr>
      </w:pPr>
      <w:r>
        <w:rPr>
          <w:rFonts w:cstheme="minorHAnsi"/>
          <w:color w:val="000000"/>
          <w:sz w:val="16"/>
          <w:szCs w:val="16"/>
        </w:rPr>
        <w:t>State Government of Victoria (2021). Central and Gippsland Region Sustainable Water Strategy</w:t>
      </w:r>
      <w:r w:rsidR="006A6CE4">
        <w:rPr>
          <w:rFonts w:cstheme="minorHAnsi"/>
          <w:color w:val="000000"/>
          <w:sz w:val="16"/>
          <w:szCs w:val="16"/>
        </w:rPr>
        <w:t xml:space="preserve"> – Discussion </w:t>
      </w:r>
      <w:r>
        <w:rPr>
          <w:rFonts w:cstheme="minorHAnsi"/>
          <w:color w:val="000000"/>
          <w:sz w:val="16"/>
          <w:szCs w:val="16"/>
        </w:rPr>
        <w:t>Draft.</w:t>
      </w:r>
    </w:p>
    <w:p w14:paraId="20D8F9AB" w14:textId="0EA656CF" w:rsidR="00B4438A" w:rsidRDefault="00B4438A" w:rsidP="00B4438A">
      <w:pPr>
        <w:pStyle w:val="ListParagraph"/>
        <w:numPr>
          <w:ilvl w:val="0"/>
          <w:numId w:val="1"/>
        </w:numPr>
        <w:rPr>
          <w:rFonts w:cstheme="minorHAnsi"/>
          <w:color w:val="000000"/>
          <w:sz w:val="16"/>
          <w:szCs w:val="16"/>
        </w:rPr>
      </w:pPr>
      <w:r>
        <w:rPr>
          <w:rFonts w:cstheme="minorHAnsi"/>
          <w:color w:val="000000"/>
          <w:sz w:val="16"/>
          <w:szCs w:val="16"/>
        </w:rPr>
        <w:t>State Government of Victoria</w:t>
      </w:r>
      <w:r w:rsidRPr="00B4438A">
        <w:rPr>
          <w:rFonts w:cstheme="minorHAnsi"/>
          <w:color w:val="000000"/>
          <w:sz w:val="16"/>
          <w:szCs w:val="16"/>
        </w:rPr>
        <w:t xml:space="preserve"> (2020). Guidelines for Assessing the Impact of Climate Change on Water Supplies.</w:t>
      </w:r>
    </w:p>
    <w:p w14:paraId="6228C75E" w14:textId="20C88875" w:rsidR="00C851F4" w:rsidRPr="00744FD1" w:rsidRDefault="002E01F7" w:rsidP="00C851F4">
      <w:pPr>
        <w:pStyle w:val="ListParagraph"/>
        <w:numPr>
          <w:ilvl w:val="0"/>
          <w:numId w:val="1"/>
        </w:numPr>
        <w:rPr>
          <w:rFonts w:cstheme="minorHAnsi"/>
          <w:color w:val="000000"/>
          <w:sz w:val="16"/>
          <w:szCs w:val="16"/>
        </w:rPr>
      </w:pPr>
      <w:r w:rsidRPr="002E01F7">
        <w:rPr>
          <w:rFonts w:cstheme="minorHAnsi"/>
          <w:color w:val="000000"/>
          <w:sz w:val="16"/>
          <w:szCs w:val="16"/>
        </w:rPr>
        <w:t>Melbourne Water (2017)</w:t>
      </w:r>
      <w:r w:rsidR="00D37FB5">
        <w:rPr>
          <w:rFonts w:cstheme="minorHAnsi"/>
          <w:color w:val="000000"/>
          <w:sz w:val="16"/>
          <w:szCs w:val="16"/>
        </w:rPr>
        <w:t>.</w:t>
      </w:r>
      <w:r w:rsidRPr="002E01F7">
        <w:rPr>
          <w:rFonts w:cstheme="minorHAnsi"/>
          <w:color w:val="000000"/>
          <w:sz w:val="16"/>
          <w:szCs w:val="16"/>
        </w:rPr>
        <w:t xml:space="preserve"> Melbourne Water Systems Strategy.</w:t>
      </w:r>
    </w:p>
    <w:p w14:paraId="19DDBAFA" w14:textId="4827C70C" w:rsidR="00EF61E7" w:rsidRPr="00744FD1" w:rsidRDefault="004040CE">
      <w:pPr>
        <w:pStyle w:val="ListParagraph"/>
        <w:numPr>
          <w:ilvl w:val="0"/>
          <w:numId w:val="1"/>
        </w:numPr>
        <w:rPr>
          <w:rFonts w:cstheme="minorHAnsi"/>
          <w:color w:val="000000"/>
          <w:sz w:val="16"/>
          <w:szCs w:val="16"/>
        </w:rPr>
      </w:pPr>
      <w:r w:rsidRPr="00744FD1">
        <w:rPr>
          <w:rFonts w:cstheme="minorHAnsi"/>
          <w:color w:val="000000"/>
          <w:sz w:val="16"/>
          <w:szCs w:val="16"/>
        </w:rPr>
        <w:t xml:space="preserve">State Government of Victoria </w:t>
      </w:r>
      <w:r w:rsidR="002E01F7" w:rsidRPr="00744FD1">
        <w:rPr>
          <w:rFonts w:cstheme="minorHAnsi"/>
          <w:color w:val="000000"/>
          <w:sz w:val="16"/>
          <w:szCs w:val="16"/>
        </w:rPr>
        <w:t>(2020)</w:t>
      </w:r>
      <w:r w:rsidR="00D37FB5">
        <w:rPr>
          <w:rFonts w:cstheme="minorHAnsi"/>
          <w:color w:val="000000"/>
          <w:sz w:val="16"/>
          <w:szCs w:val="16"/>
        </w:rPr>
        <w:t>.</w:t>
      </w:r>
      <w:r w:rsidR="002E01F7" w:rsidRPr="00744FD1">
        <w:rPr>
          <w:rFonts w:cstheme="minorHAnsi"/>
          <w:color w:val="000000"/>
          <w:sz w:val="16"/>
          <w:szCs w:val="16"/>
        </w:rPr>
        <w:t xml:space="preserve"> Long-term water resource assessment – Southern Victoria.</w:t>
      </w:r>
      <w:r w:rsidR="00EF61E7">
        <w:rPr>
          <w:rFonts w:cstheme="minorHAnsi"/>
          <w:color w:val="000000"/>
          <w:sz w:val="16"/>
          <w:szCs w:val="16"/>
        </w:rPr>
        <w:t xml:space="preserve"> </w:t>
      </w:r>
    </w:p>
    <w:p w14:paraId="3BA5F291" w14:textId="390BE955" w:rsidR="00FD7FFB" w:rsidRPr="00744FD1" w:rsidRDefault="00FD7FFB">
      <w:pPr>
        <w:pStyle w:val="ListParagraph"/>
        <w:numPr>
          <w:ilvl w:val="0"/>
          <w:numId w:val="1"/>
        </w:numPr>
        <w:rPr>
          <w:rFonts w:cstheme="minorHAnsi"/>
          <w:color w:val="000000"/>
          <w:sz w:val="16"/>
          <w:szCs w:val="16"/>
        </w:rPr>
      </w:pPr>
      <w:r>
        <w:rPr>
          <w:rFonts w:cstheme="minorHAnsi"/>
          <w:color w:val="000000"/>
          <w:sz w:val="16"/>
          <w:szCs w:val="16"/>
        </w:rPr>
        <w:t>Melbourne Water (2020)</w:t>
      </w:r>
      <w:r w:rsidR="00D37FB5">
        <w:rPr>
          <w:rFonts w:cstheme="minorHAnsi"/>
          <w:color w:val="000000"/>
          <w:sz w:val="16"/>
          <w:szCs w:val="16"/>
        </w:rPr>
        <w:t>.</w:t>
      </w:r>
      <w:r>
        <w:rPr>
          <w:rFonts w:cstheme="minorHAnsi"/>
          <w:color w:val="000000"/>
          <w:sz w:val="16"/>
          <w:szCs w:val="16"/>
        </w:rPr>
        <w:t xml:space="preserve"> </w:t>
      </w:r>
      <w:r w:rsidRPr="00744FD1">
        <w:rPr>
          <w:rFonts w:cstheme="minorHAnsi"/>
          <w:color w:val="000000"/>
          <w:sz w:val="16"/>
          <w:szCs w:val="16"/>
        </w:rPr>
        <w:t>Melbourne Sewerage Strategy.</w:t>
      </w:r>
    </w:p>
    <w:p w14:paraId="1625B34B" w14:textId="190330C8" w:rsidR="00DD53B7" w:rsidRPr="00744FD1" w:rsidRDefault="00DD53B7" w:rsidP="002E01F7">
      <w:pPr>
        <w:pStyle w:val="ListParagraph"/>
        <w:numPr>
          <w:ilvl w:val="0"/>
          <w:numId w:val="1"/>
        </w:numPr>
        <w:rPr>
          <w:rFonts w:cstheme="minorHAnsi"/>
          <w:color w:val="000000"/>
          <w:sz w:val="16"/>
          <w:szCs w:val="16"/>
        </w:rPr>
      </w:pPr>
      <w:r>
        <w:rPr>
          <w:rFonts w:cstheme="minorHAnsi"/>
          <w:color w:val="000000"/>
          <w:sz w:val="16"/>
          <w:szCs w:val="16"/>
        </w:rPr>
        <w:t>Melbourne Water (2021)</w:t>
      </w:r>
      <w:r w:rsidR="00D37FB5">
        <w:rPr>
          <w:rFonts w:cstheme="minorHAnsi"/>
          <w:color w:val="000000"/>
          <w:sz w:val="16"/>
          <w:szCs w:val="16"/>
        </w:rPr>
        <w:t>.</w:t>
      </w:r>
      <w:r>
        <w:rPr>
          <w:rFonts w:cstheme="minorHAnsi"/>
          <w:color w:val="000000"/>
          <w:sz w:val="16"/>
          <w:szCs w:val="16"/>
        </w:rPr>
        <w:t xml:space="preserve"> Draft Flood Management Strategy Port Phillip and Westernport 2021-2031.</w:t>
      </w:r>
    </w:p>
    <w:p w14:paraId="431BE81A" w14:textId="2A732666" w:rsidR="00F5568B" w:rsidRPr="00744FD1" w:rsidRDefault="00F5568B" w:rsidP="002E01F7">
      <w:pPr>
        <w:pStyle w:val="ListParagraph"/>
        <w:numPr>
          <w:ilvl w:val="0"/>
          <w:numId w:val="1"/>
        </w:numPr>
        <w:rPr>
          <w:rFonts w:cstheme="minorHAnsi"/>
          <w:color w:val="000000"/>
          <w:sz w:val="16"/>
          <w:szCs w:val="16"/>
        </w:rPr>
      </w:pPr>
      <w:r>
        <w:rPr>
          <w:rFonts w:cstheme="minorHAnsi"/>
          <w:color w:val="000000"/>
          <w:sz w:val="16"/>
          <w:szCs w:val="16"/>
        </w:rPr>
        <w:t>Melbourne Water (2018)</w:t>
      </w:r>
      <w:r w:rsidR="00D37FB5">
        <w:rPr>
          <w:rFonts w:cstheme="minorHAnsi"/>
          <w:color w:val="000000"/>
          <w:sz w:val="16"/>
          <w:szCs w:val="16"/>
        </w:rPr>
        <w:t>.</w:t>
      </w:r>
      <w:r>
        <w:rPr>
          <w:rFonts w:cstheme="minorHAnsi"/>
          <w:color w:val="000000"/>
          <w:sz w:val="16"/>
          <w:szCs w:val="16"/>
        </w:rPr>
        <w:t xml:space="preserve"> Healthy Waterways Strategy.</w:t>
      </w:r>
    </w:p>
    <w:p w14:paraId="5D4356C9" w14:textId="1E94E44F" w:rsidR="00BA0810" w:rsidRPr="004040CE" w:rsidRDefault="00BA0810" w:rsidP="002E01F7">
      <w:pPr>
        <w:pStyle w:val="ListParagraph"/>
        <w:numPr>
          <w:ilvl w:val="0"/>
          <w:numId w:val="1"/>
        </w:numPr>
      </w:pPr>
      <w:r>
        <w:rPr>
          <w:rFonts w:cstheme="minorHAnsi"/>
          <w:color w:val="000000"/>
          <w:sz w:val="16"/>
          <w:szCs w:val="16"/>
        </w:rPr>
        <w:t>Environment Protection Agency (2020)</w:t>
      </w:r>
      <w:r w:rsidR="00D37FB5">
        <w:rPr>
          <w:rFonts w:cstheme="minorHAnsi"/>
          <w:color w:val="000000"/>
          <w:sz w:val="16"/>
          <w:szCs w:val="16"/>
        </w:rPr>
        <w:t>.</w:t>
      </w:r>
      <w:r w:rsidR="006A780A" w:rsidRPr="006A780A">
        <w:t xml:space="preserve"> </w:t>
      </w:r>
      <w:r w:rsidR="006A780A" w:rsidRPr="006A780A">
        <w:rPr>
          <w:rFonts w:cstheme="minorHAnsi"/>
          <w:color w:val="000000"/>
          <w:sz w:val="16"/>
          <w:szCs w:val="16"/>
        </w:rPr>
        <w:t>Background information: Draft urban stormwater management guidance</w:t>
      </w:r>
      <w:r>
        <w:rPr>
          <w:rFonts w:cstheme="minorHAnsi"/>
          <w:color w:val="000000"/>
          <w:sz w:val="16"/>
          <w:szCs w:val="16"/>
        </w:rPr>
        <w:t>.</w:t>
      </w:r>
    </w:p>
    <w:p w14:paraId="5FE286B3" w14:textId="2444440C" w:rsidR="004040CE" w:rsidRPr="00627E30" w:rsidRDefault="004040CE" w:rsidP="002E01F7">
      <w:pPr>
        <w:pStyle w:val="ListParagraph"/>
        <w:numPr>
          <w:ilvl w:val="0"/>
          <w:numId w:val="1"/>
        </w:numPr>
        <w:rPr>
          <w:rFonts w:cstheme="minorHAnsi"/>
          <w:color w:val="000000"/>
          <w:sz w:val="16"/>
          <w:szCs w:val="16"/>
        </w:rPr>
      </w:pPr>
      <w:r>
        <w:rPr>
          <w:rFonts w:cstheme="minorHAnsi"/>
          <w:color w:val="000000"/>
          <w:sz w:val="16"/>
          <w:szCs w:val="16"/>
        </w:rPr>
        <w:t>State Government of Victoria (2016)</w:t>
      </w:r>
      <w:r w:rsidR="00D37FB5">
        <w:rPr>
          <w:rFonts w:cstheme="minorHAnsi"/>
          <w:color w:val="000000"/>
          <w:sz w:val="16"/>
          <w:szCs w:val="16"/>
        </w:rPr>
        <w:t>.</w:t>
      </w:r>
      <w:r>
        <w:rPr>
          <w:rFonts w:cstheme="minorHAnsi"/>
          <w:color w:val="000000"/>
          <w:sz w:val="16"/>
          <w:szCs w:val="16"/>
        </w:rPr>
        <w:t xml:space="preserve"> Plan Melbourne 2017-2050</w:t>
      </w:r>
      <w:r w:rsidR="00D37FB5">
        <w:rPr>
          <w:rFonts w:cstheme="minorHAnsi"/>
          <w:color w:val="000000"/>
          <w:sz w:val="16"/>
          <w:szCs w:val="16"/>
        </w:rPr>
        <w:t>.</w:t>
      </w:r>
    </w:p>
    <w:p w14:paraId="19961CCD" w14:textId="31CA5963" w:rsidR="004040CE" w:rsidRDefault="004040CE" w:rsidP="002E01F7">
      <w:pPr>
        <w:pStyle w:val="ListParagraph"/>
        <w:numPr>
          <w:ilvl w:val="0"/>
          <w:numId w:val="1"/>
        </w:numPr>
        <w:rPr>
          <w:rFonts w:cstheme="minorHAnsi"/>
          <w:color w:val="000000"/>
          <w:sz w:val="16"/>
          <w:szCs w:val="16"/>
        </w:rPr>
      </w:pPr>
      <w:r w:rsidRPr="004040CE">
        <w:rPr>
          <w:rFonts w:cstheme="minorHAnsi"/>
          <w:color w:val="000000"/>
          <w:sz w:val="16"/>
          <w:szCs w:val="16"/>
        </w:rPr>
        <w:t>Nature Conservancy and Resilient Melbourne (2019). Living Melbourne: our metropolitan urban forest.</w:t>
      </w:r>
    </w:p>
    <w:p w14:paraId="3AD3F345" w14:textId="77776E73" w:rsidR="008B3064" w:rsidRDefault="008B3064" w:rsidP="002E01F7">
      <w:pPr>
        <w:pStyle w:val="ListParagraph"/>
        <w:numPr>
          <w:ilvl w:val="0"/>
          <w:numId w:val="1"/>
        </w:numPr>
        <w:rPr>
          <w:rFonts w:cstheme="minorHAnsi"/>
          <w:color w:val="000000"/>
          <w:sz w:val="16"/>
          <w:szCs w:val="16"/>
        </w:rPr>
      </w:pPr>
      <w:r w:rsidRPr="008B3064">
        <w:rPr>
          <w:rFonts w:cstheme="minorHAnsi"/>
          <w:color w:val="000000"/>
          <w:sz w:val="16"/>
          <w:szCs w:val="16"/>
        </w:rPr>
        <w:t>Clean Air and Urban Landscapes Hub (2017). Risks to Australia’s urban forest from climate change and urban heat.</w:t>
      </w:r>
    </w:p>
    <w:p w14:paraId="704AAF19" w14:textId="74DDE237" w:rsidR="00627E30" w:rsidRPr="00627E30" w:rsidRDefault="00627E30" w:rsidP="00627E30">
      <w:pPr>
        <w:pStyle w:val="ListParagraph"/>
        <w:numPr>
          <w:ilvl w:val="0"/>
          <w:numId w:val="1"/>
        </w:numPr>
        <w:rPr>
          <w:rFonts w:cstheme="minorHAnsi"/>
          <w:color w:val="000000"/>
          <w:sz w:val="16"/>
          <w:szCs w:val="16"/>
        </w:rPr>
      </w:pPr>
      <w:proofErr w:type="spellStart"/>
      <w:r w:rsidRPr="00627E30">
        <w:rPr>
          <w:rFonts w:cstheme="minorHAnsi"/>
          <w:color w:val="000000"/>
          <w:sz w:val="16"/>
          <w:szCs w:val="16"/>
        </w:rPr>
        <w:t>Hitchmough</w:t>
      </w:r>
      <w:proofErr w:type="spellEnd"/>
      <w:r w:rsidR="00EF61E7">
        <w:rPr>
          <w:rFonts w:cstheme="minorHAnsi"/>
          <w:color w:val="000000"/>
          <w:sz w:val="16"/>
          <w:szCs w:val="16"/>
        </w:rPr>
        <w:t>,</w:t>
      </w:r>
      <w:r w:rsidRPr="00627E30">
        <w:rPr>
          <w:rFonts w:cstheme="minorHAnsi"/>
          <w:color w:val="000000"/>
          <w:sz w:val="16"/>
          <w:szCs w:val="16"/>
        </w:rPr>
        <w:t xml:space="preserve"> J (1994). ‘Roof gardens and other landscapes involving finite volumes of artificial soils’, </w:t>
      </w:r>
      <w:proofErr w:type="spellStart"/>
      <w:r w:rsidRPr="00627E30">
        <w:rPr>
          <w:rFonts w:cstheme="minorHAnsi"/>
          <w:color w:val="000000"/>
          <w:sz w:val="16"/>
          <w:szCs w:val="16"/>
        </w:rPr>
        <w:t>Hitchmough</w:t>
      </w:r>
      <w:proofErr w:type="spellEnd"/>
      <w:r w:rsidRPr="00627E30">
        <w:rPr>
          <w:rFonts w:cstheme="minorHAnsi"/>
          <w:color w:val="000000"/>
          <w:sz w:val="16"/>
          <w:szCs w:val="16"/>
        </w:rPr>
        <w:t xml:space="preserve"> J (ed) Urban landscape management. Sydney, </w:t>
      </w:r>
      <w:proofErr w:type="spellStart"/>
      <w:r w:rsidRPr="00627E30">
        <w:rPr>
          <w:rFonts w:cstheme="minorHAnsi"/>
          <w:color w:val="000000"/>
          <w:sz w:val="16"/>
          <w:szCs w:val="16"/>
        </w:rPr>
        <w:t>Inkata</w:t>
      </w:r>
      <w:proofErr w:type="spellEnd"/>
      <w:r w:rsidRPr="00627E30">
        <w:rPr>
          <w:rFonts w:cstheme="minorHAnsi"/>
          <w:color w:val="000000"/>
          <w:sz w:val="16"/>
          <w:szCs w:val="16"/>
        </w:rPr>
        <w:t xml:space="preserve"> Press.</w:t>
      </w:r>
    </w:p>
    <w:p w14:paraId="0DD3E5AF" w14:textId="69F33601" w:rsidR="004213AF" w:rsidRPr="00744FD1" w:rsidRDefault="004213AF">
      <w:pPr>
        <w:pStyle w:val="ListParagraph"/>
        <w:numPr>
          <w:ilvl w:val="0"/>
          <w:numId w:val="1"/>
        </w:numPr>
        <w:rPr>
          <w:rFonts w:cstheme="minorHAnsi"/>
          <w:color w:val="000000"/>
          <w:sz w:val="16"/>
          <w:szCs w:val="16"/>
        </w:rPr>
      </w:pPr>
      <w:proofErr w:type="spellStart"/>
      <w:r w:rsidRPr="00744FD1">
        <w:rPr>
          <w:rFonts w:cstheme="minorHAnsi"/>
          <w:color w:val="000000"/>
          <w:sz w:val="16"/>
          <w:szCs w:val="16"/>
        </w:rPr>
        <w:t>Urich</w:t>
      </w:r>
      <w:proofErr w:type="spellEnd"/>
      <w:r w:rsidRPr="00744FD1">
        <w:rPr>
          <w:rFonts w:cstheme="minorHAnsi"/>
          <w:color w:val="000000"/>
          <w:sz w:val="16"/>
          <w:szCs w:val="16"/>
        </w:rPr>
        <w:t xml:space="preserve">, </w:t>
      </w:r>
      <w:proofErr w:type="spellStart"/>
      <w:r w:rsidRPr="00744FD1">
        <w:rPr>
          <w:rFonts w:cstheme="minorHAnsi"/>
          <w:color w:val="000000"/>
          <w:sz w:val="16"/>
          <w:szCs w:val="16"/>
        </w:rPr>
        <w:t>C.,Hardy</w:t>
      </w:r>
      <w:proofErr w:type="spellEnd"/>
      <w:r w:rsidRPr="00744FD1">
        <w:rPr>
          <w:rFonts w:cstheme="minorHAnsi"/>
          <w:color w:val="000000"/>
          <w:sz w:val="16"/>
          <w:szCs w:val="16"/>
        </w:rPr>
        <w:t>, M.(2020)</w:t>
      </w:r>
      <w:r w:rsidR="00D37FB5">
        <w:rPr>
          <w:rFonts w:cstheme="minorHAnsi"/>
          <w:color w:val="000000"/>
          <w:sz w:val="16"/>
          <w:szCs w:val="16"/>
        </w:rPr>
        <w:t>.</w:t>
      </w:r>
      <w:r w:rsidRPr="00744FD1">
        <w:rPr>
          <w:rFonts w:cstheme="minorHAnsi"/>
          <w:color w:val="000000"/>
          <w:sz w:val="16"/>
          <w:szCs w:val="16"/>
        </w:rPr>
        <w:t xml:space="preserve"> Cooling and Greening Melbourne –Future scenarios.</w:t>
      </w:r>
      <w:r>
        <w:rPr>
          <w:rFonts w:cstheme="minorHAnsi"/>
          <w:color w:val="000000"/>
          <w:sz w:val="16"/>
          <w:szCs w:val="16"/>
        </w:rPr>
        <w:t xml:space="preserve"> </w:t>
      </w:r>
      <w:r w:rsidRPr="00744FD1">
        <w:rPr>
          <w:rFonts w:cstheme="minorHAnsi"/>
          <w:color w:val="000000"/>
          <w:sz w:val="16"/>
          <w:szCs w:val="16"/>
        </w:rPr>
        <w:t>Cooperative Research Centre for Water Sensitive Cities</w:t>
      </w:r>
      <w:r>
        <w:rPr>
          <w:rFonts w:cstheme="minorHAnsi"/>
          <w:color w:val="000000"/>
          <w:sz w:val="16"/>
          <w:szCs w:val="16"/>
        </w:rPr>
        <w:t>.</w:t>
      </w:r>
    </w:p>
    <w:p w14:paraId="5014F586" w14:textId="5AF115F0" w:rsidR="0064041C" w:rsidRDefault="0064041C" w:rsidP="002E01F7">
      <w:pPr>
        <w:pStyle w:val="ListParagraph"/>
        <w:numPr>
          <w:ilvl w:val="0"/>
          <w:numId w:val="1"/>
        </w:numPr>
        <w:rPr>
          <w:rFonts w:cstheme="minorHAnsi"/>
          <w:color w:val="000000"/>
          <w:sz w:val="16"/>
          <w:szCs w:val="16"/>
        </w:rPr>
      </w:pPr>
      <w:r w:rsidRPr="0064041C">
        <w:rPr>
          <w:rFonts w:cstheme="minorHAnsi"/>
          <w:color w:val="000000"/>
          <w:sz w:val="16"/>
          <w:szCs w:val="16"/>
        </w:rPr>
        <w:t>State Government of Victoria (2018). Water for Victoria, Chapter 6.</w:t>
      </w:r>
    </w:p>
    <w:p w14:paraId="6DE38FB2" w14:textId="6BB13CB9" w:rsidR="0064041C" w:rsidRPr="00FE66A9" w:rsidRDefault="0064041C" w:rsidP="002E01F7">
      <w:pPr>
        <w:pStyle w:val="ListParagraph"/>
        <w:numPr>
          <w:ilvl w:val="0"/>
          <w:numId w:val="1"/>
        </w:numPr>
        <w:rPr>
          <w:rFonts w:cstheme="minorHAnsi"/>
          <w:color w:val="000000"/>
          <w:sz w:val="16"/>
          <w:szCs w:val="16"/>
        </w:rPr>
      </w:pPr>
      <w:r w:rsidRPr="00265102">
        <w:rPr>
          <w:rFonts w:cstheme="minorHAnsi"/>
          <w:color w:val="000000"/>
          <w:sz w:val="16"/>
          <w:szCs w:val="16"/>
        </w:rPr>
        <w:t xml:space="preserve">Kendal, D., Lee, K., </w:t>
      </w:r>
      <w:proofErr w:type="spellStart"/>
      <w:r w:rsidRPr="00265102">
        <w:rPr>
          <w:rFonts w:cstheme="minorHAnsi"/>
          <w:color w:val="000000"/>
          <w:sz w:val="16"/>
          <w:szCs w:val="16"/>
        </w:rPr>
        <w:t>Ramalho</w:t>
      </w:r>
      <w:proofErr w:type="spellEnd"/>
      <w:r w:rsidRPr="00265102">
        <w:rPr>
          <w:rFonts w:cstheme="minorHAnsi"/>
          <w:color w:val="000000"/>
          <w:sz w:val="16"/>
          <w:szCs w:val="16"/>
        </w:rPr>
        <w:t xml:space="preserve">, C., Bowen, K. and Bush, J., </w:t>
      </w:r>
      <w:r w:rsidR="00D37FB5">
        <w:rPr>
          <w:rFonts w:cstheme="minorHAnsi"/>
          <w:color w:val="000000"/>
          <w:sz w:val="16"/>
          <w:szCs w:val="16"/>
        </w:rPr>
        <w:t>(</w:t>
      </w:r>
      <w:r w:rsidRPr="00265102">
        <w:rPr>
          <w:rFonts w:cstheme="minorHAnsi"/>
          <w:color w:val="000000"/>
          <w:sz w:val="16"/>
          <w:szCs w:val="16"/>
        </w:rPr>
        <w:t>2016</w:t>
      </w:r>
      <w:r w:rsidR="00D37FB5">
        <w:rPr>
          <w:rFonts w:cstheme="minorHAnsi"/>
          <w:color w:val="000000"/>
          <w:sz w:val="16"/>
          <w:szCs w:val="16"/>
        </w:rPr>
        <w:t>)</w:t>
      </w:r>
      <w:r w:rsidRPr="00265102">
        <w:rPr>
          <w:rFonts w:cstheme="minorHAnsi"/>
          <w:color w:val="000000"/>
          <w:sz w:val="16"/>
          <w:szCs w:val="16"/>
        </w:rPr>
        <w:t>. Benefits of urban green space in the Australian context.</w:t>
      </w:r>
    </w:p>
    <w:p w14:paraId="755FC6C0" w14:textId="4260358F" w:rsidR="00FE66A9" w:rsidRPr="00265102" w:rsidRDefault="00FE66A9" w:rsidP="00265102">
      <w:pPr>
        <w:pStyle w:val="ListParagraph"/>
        <w:numPr>
          <w:ilvl w:val="0"/>
          <w:numId w:val="1"/>
        </w:numPr>
        <w:rPr>
          <w:rFonts w:cstheme="minorHAnsi"/>
          <w:color w:val="000000"/>
          <w:sz w:val="16"/>
          <w:szCs w:val="16"/>
        </w:rPr>
      </w:pPr>
      <w:r w:rsidRPr="00265102">
        <w:rPr>
          <w:rFonts w:cstheme="minorHAnsi"/>
          <w:color w:val="000000"/>
          <w:sz w:val="16"/>
          <w:szCs w:val="16"/>
        </w:rPr>
        <w:t xml:space="preserve">Fielding, K., </w:t>
      </w:r>
      <w:proofErr w:type="spellStart"/>
      <w:r w:rsidRPr="00265102">
        <w:rPr>
          <w:rFonts w:cstheme="minorHAnsi"/>
          <w:color w:val="000000"/>
          <w:sz w:val="16"/>
          <w:szCs w:val="16"/>
        </w:rPr>
        <w:t>Karnadewi</w:t>
      </w:r>
      <w:proofErr w:type="spellEnd"/>
      <w:r w:rsidRPr="00265102">
        <w:rPr>
          <w:rFonts w:cstheme="minorHAnsi"/>
          <w:color w:val="000000"/>
          <w:sz w:val="16"/>
          <w:szCs w:val="16"/>
        </w:rPr>
        <w:t>, F., Newton, F., &amp; Mitchell, E. (2015). A National Survey of Australians’ Water Literacy and Water-related Attitudes. Melbourne, Australia: Cooperative Research Centre for Water Sensitive Cities.</w:t>
      </w:r>
    </w:p>
    <w:p w14:paraId="06CB8BA8" w14:textId="097384AA" w:rsidR="00265102" w:rsidRPr="00265102" w:rsidRDefault="00265102" w:rsidP="00265102">
      <w:pPr>
        <w:pStyle w:val="ListParagraph"/>
        <w:numPr>
          <w:ilvl w:val="0"/>
          <w:numId w:val="1"/>
        </w:numPr>
        <w:rPr>
          <w:rFonts w:cstheme="minorHAnsi"/>
          <w:color w:val="000000"/>
          <w:sz w:val="16"/>
          <w:szCs w:val="16"/>
        </w:rPr>
      </w:pPr>
      <w:r w:rsidRPr="00265102">
        <w:rPr>
          <w:rFonts w:cstheme="minorHAnsi"/>
          <w:color w:val="000000"/>
          <w:sz w:val="16"/>
          <w:szCs w:val="16"/>
        </w:rPr>
        <w:t>Sheridan, J., Larsen, K. and Carey, R. (2015)</w:t>
      </w:r>
      <w:r w:rsidR="00D37FB5">
        <w:rPr>
          <w:rFonts w:cstheme="minorHAnsi"/>
          <w:color w:val="000000"/>
          <w:sz w:val="16"/>
          <w:szCs w:val="16"/>
        </w:rPr>
        <w:t>.</w:t>
      </w:r>
      <w:r w:rsidRPr="00265102">
        <w:rPr>
          <w:rFonts w:cstheme="minorHAnsi"/>
          <w:color w:val="000000"/>
          <w:sz w:val="16"/>
          <w:szCs w:val="16"/>
        </w:rPr>
        <w:t xml:space="preserve"> Melbourne’s food bowl: Now and at seven million. Victorian Eco-Innovation Lab, The University of Melbourne.</w:t>
      </w:r>
    </w:p>
    <w:p w14:paraId="305E55C7" w14:textId="2FB52030" w:rsidR="00265102" w:rsidRDefault="00265102" w:rsidP="00265102">
      <w:pPr>
        <w:pStyle w:val="ListParagraph"/>
        <w:numPr>
          <w:ilvl w:val="0"/>
          <w:numId w:val="1"/>
        </w:numPr>
        <w:rPr>
          <w:rFonts w:cstheme="minorHAnsi"/>
          <w:color w:val="000000"/>
          <w:sz w:val="16"/>
          <w:szCs w:val="16"/>
        </w:rPr>
      </w:pPr>
      <w:r w:rsidRPr="00265102">
        <w:rPr>
          <w:rFonts w:cstheme="minorHAnsi"/>
          <w:color w:val="000000"/>
          <w:sz w:val="16"/>
          <w:szCs w:val="16"/>
        </w:rPr>
        <w:t>State Government of Victoria</w:t>
      </w:r>
      <w:r>
        <w:rPr>
          <w:rFonts w:cstheme="minorHAnsi"/>
          <w:color w:val="000000"/>
          <w:sz w:val="16"/>
          <w:szCs w:val="16"/>
        </w:rPr>
        <w:t xml:space="preserve"> </w:t>
      </w:r>
      <w:r w:rsidRPr="00265102">
        <w:rPr>
          <w:rFonts w:cstheme="minorHAnsi"/>
          <w:color w:val="000000"/>
          <w:sz w:val="16"/>
          <w:szCs w:val="16"/>
        </w:rPr>
        <w:t>(2020)</w:t>
      </w:r>
      <w:r w:rsidR="00D37FB5">
        <w:rPr>
          <w:rFonts w:cstheme="minorHAnsi"/>
          <w:color w:val="000000"/>
          <w:sz w:val="16"/>
          <w:szCs w:val="16"/>
        </w:rPr>
        <w:t>.</w:t>
      </w:r>
      <w:r w:rsidRPr="00265102">
        <w:rPr>
          <w:rFonts w:cstheme="minorHAnsi"/>
          <w:color w:val="000000"/>
          <w:sz w:val="16"/>
          <w:szCs w:val="16"/>
        </w:rPr>
        <w:t xml:space="preserve"> Planning for Melbourne’s Green Wedges and Agricultural Land, Consultation Paper May 2020.</w:t>
      </w:r>
    </w:p>
    <w:p w14:paraId="3BF2526F" w14:textId="52A08E47" w:rsidR="0016734A" w:rsidRDefault="000E01D7" w:rsidP="00265102">
      <w:pPr>
        <w:pStyle w:val="ListParagraph"/>
        <w:numPr>
          <w:ilvl w:val="0"/>
          <w:numId w:val="1"/>
        </w:numPr>
        <w:rPr>
          <w:rFonts w:cstheme="minorHAnsi"/>
          <w:color w:val="000000"/>
          <w:sz w:val="16"/>
          <w:szCs w:val="16"/>
        </w:rPr>
      </w:pPr>
      <w:r>
        <w:rPr>
          <w:rFonts w:cstheme="minorHAnsi"/>
          <w:color w:val="000000"/>
          <w:sz w:val="16"/>
          <w:szCs w:val="16"/>
        </w:rPr>
        <w:t>Yarra</w:t>
      </w:r>
      <w:r w:rsidR="0016734A">
        <w:rPr>
          <w:rFonts w:cstheme="minorHAnsi"/>
          <w:color w:val="000000"/>
          <w:sz w:val="16"/>
          <w:szCs w:val="16"/>
        </w:rPr>
        <w:t xml:space="preserve"> IWM Forum (2018)</w:t>
      </w:r>
      <w:r w:rsidR="00D37FB5">
        <w:rPr>
          <w:rFonts w:cstheme="minorHAnsi"/>
          <w:color w:val="000000"/>
          <w:sz w:val="16"/>
          <w:szCs w:val="16"/>
        </w:rPr>
        <w:t>.</w:t>
      </w:r>
      <w:r w:rsidR="0016734A">
        <w:rPr>
          <w:rFonts w:cstheme="minorHAnsi"/>
          <w:color w:val="000000"/>
          <w:sz w:val="16"/>
          <w:szCs w:val="16"/>
        </w:rPr>
        <w:t xml:space="preserve"> </w:t>
      </w:r>
      <w:r>
        <w:rPr>
          <w:rFonts w:cstheme="minorHAnsi"/>
          <w:color w:val="000000"/>
          <w:sz w:val="16"/>
          <w:szCs w:val="16"/>
        </w:rPr>
        <w:t>Yarra</w:t>
      </w:r>
      <w:r w:rsidR="0016734A">
        <w:rPr>
          <w:rFonts w:cstheme="minorHAnsi"/>
          <w:color w:val="000000"/>
          <w:sz w:val="16"/>
          <w:szCs w:val="16"/>
        </w:rPr>
        <w:t xml:space="preserve"> Strategic Directions Statement. </w:t>
      </w:r>
    </w:p>
    <w:p w14:paraId="59ECA291" w14:textId="66258943" w:rsidR="005B7D3F" w:rsidRPr="00265102" w:rsidRDefault="005B7D3F" w:rsidP="00265102">
      <w:pPr>
        <w:pStyle w:val="ListParagraph"/>
        <w:numPr>
          <w:ilvl w:val="0"/>
          <w:numId w:val="1"/>
        </w:numPr>
        <w:rPr>
          <w:rFonts w:cstheme="minorHAnsi"/>
          <w:color w:val="000000"/>
          <w:sz w:val="16"/>
          <w:szCs w:val="16"/>
        </w:rPr>
      </w:pPr>
      <w:r w:rsidRPr="00391013">
        <w:rPr>
          <w:rFonts w:cstheme="minorHAnsi"/>
          <w:sz w:val="16"/>
          <w:szCs w:val="16"/>
        </w:rPr>
        <w:t xml:space="preserve">Brown, R., Rogers, B., </w:t>
      </w:r>
      <w:proofErr w:type="spellStart"/>
      <w:r w:rsidRPr="00391013">
        <w:rPr>
          <w:rFonts w:cstheme="minorHAnsi"/>
          <w:sz w:val="16"/>
          <w:szCs w:val="16"/>
        </w:rPr>
        <w:t>Werbeloff</w:t>
      </w:r>
      <w:proofErr w:type="spellEnd"/>
      <w:r w:rsidRPr="00391013">
        <w:rPr>
          <w:rFonts w:cstheme="minorHAnsi"/>
          <w:sz w:val="16"/>
          <w:szCs w:val="16"/>
        </w:rPr>
        <w:t>, L. (2016). Moving toward Water Sensitive Cities: A guidance manual for strategists and policy makers. Melbourne, Australia: Cooperative Research Centre for Water Sensitive Cities.</w:t>
      </w:r>
    </w:p>
    <w:p w14:paraId="1A74C590" w14:textId="77777777" w:rsidR="00FE66A9" w:rsidRPr="00265102" w:rsidRDefault="00FE66A9" w:rsidP="00265102">
      <w:pPr>
        <w:ind w:left="360"/>
        <w:rPr>
          <w:rFonts w:cstheme="minorHAnsi"/>
          <w:color w:val="000000"/>
          <w:sz w:val="16"/>
          <w:szCs w:val="16"/>
        </w:rPr>
      </w:pPr>
    </w:p>
    <w:bookmarkEnd w:id="11"/>
    <w:p w14:paraId="5D3EDC80" w14:textId="77777777" w:rsidR="00273C6C" w:rsidRDefault="00273C6C">
      <w:pPr>
        <w:rPr>
          <w:rFonts w:ascii="Calibri" w:eastAsia="Times New Roman" w:hAnsi="Calibri" w:cs="Arial"/>
          <w:b/>
          <w:bCs/>
          <w:color w:val="029676"/>
          <w:sz w:val="36"/>
          <w:szCs w:val="28"/>
          <w:lang w:eastAsia="en-AU"/>
        </w:rPr>
      </w:pPr>
      <w:r>
        <w:rPr>
          <w:rFonts w:ascii="Calibri" w:eastAsia="Times New Roman" w:hAnsi="Calibri" w:cs="Arial"/>
          <w:b/>
          <w:bCs/>
          <w:color w:val="029676"/>
          <w:sz w:val="36"/>
          <w:szCs w:val="28"/>
          <w:lang w:eastAsia="en-AU"/>
        </w:rPr>
        <w:br w:type="page"/>
      </w:r>
    </w:p>
    <w:p w14:paraId="20E019F3" w14:textId="05E27F6B" w:rsidR="00C851F4" w:rsidRPr="00FD7FFB" w:rsidRDefault="00C851F4" w:rsidP="00C851F4">
      <w:pPr>
        <w:keepNext/>
        <w:keepLines/>
        <w:tabs>
          <w:tab w:val="num" w:pos="0"/>
        </w:tabs>
        <w:spacing w:after="0" w:line="240" w:lineRule="auto"/>
        <w:outlineLvl w:val="0"/>
        <w:rPr>
          <w:rFonts w:ascii="Calibri" w:eastAsia="Times New Roman" w:hAnsi="Calibri" w:cs="Arial"/>
          <w:b/>
          <w:bCs/>
          <w:color w:val="029676"/>
          <w:sz w:val="36"/>
          <w:szCs w:val="28"/>
          <w:lang w:eastAsia="en-AU"/>
        </w:rPr>
      </w:pPr>
      <w:r>
        <w:rPr>
          <w:rFonts w:ascii="Calibri" w:eastAsia="Times New Roman" w:hAnsi="Calibri" w:cs="Arial"/>
          <w:b/>
          <w:bCs/>
          <w:color w:val="029676"/>
          <w:sz w:val="36"/>
          <w:szCs w:val="28"/>
          <w:lang w:eastAsia="en-AU"/>
        </w:rPr>
        <w:lastRenderedPageBreak/>
        <w:t>Notes</w:t>
      </w:r>
    </w:p>
    <w:p w14:paraId="5B5CD883" w14:textId="62A6A7E5" w:rsidR="00EB45EE" w:rsidRDefault="00EB45EE" w:rsidP="00CA5137"/>
    <w:p w14:paraId="2E83D73B" w14:textId="6AC59F88" w:rsidR="00C851F4" w:rsidRDefault="00C851F4" w:rsidP="00C851F4">
      <w:pPr>
        <w:pStyle w:val="ListParagraph"/>
        <w:numPr>
          <w:ilvl w:val="0"/>
          <w:numId w:val="9"/>
        </w:numPr>
        <w:rPr>
          <w:sz w:val="16"/>
          <w:szCs w:val="16"/>
        </w:rPr>
      </w:pPr>
      <w:r w:rsidRPr="00744FD1">
        <w:rPr>
          <w:sz w:val="16"/>
          <w:szCs w:val="16"/>
        </w:rPr>
        <w:t xml:space="preserve">Based on comparison of 2018/2019 potable water use data with projected potable water use in 2050 under the Reference State examined by the Plan. Potable water use projections will be updated in </w:t>
      </w:r>
      <w:r w:rsidRPr="00744FD1">
        <w:rPr>
          <w:i/>
          <w:iCs/>
          <w:sz w:val="16"/>
          <w:szCs w:val="16"/>
        </w:rPr>
        <w:t>Water for Life: Greater Melbourne Urban Water Systems Strategy</w:t>
      </w:r>
      <w:r w:rsidR="00F65064">
        <w:rPr>
          <w:i/>
          <w:iCs/>
          <w:sz w:val="16"/>
          <w:szCs w:val="16"/>
        </w:rPr>
        <w:t xml:space="preserve"> 2022</w:t>
      </w:r>
      <w:r w:rsidRPr="00744FD1">
        <w:rPr>
          <w:sz w:val="16"/>
          <w:szCs w:val="16"/>
        </w:rPr>
        <w:t>.</w:t>
      </w:r>
    </w:p>
    <w:p w14:paraId="19AA4174" w14:textId="2046C9EB" w:rsidR="00F65064" w:rsidRDefault="00F65064" w:rsidP="00C851F4">
      <w:pPr>
        <w:pStyle w:val="ListParagraph"/>
        <w:numPr>
          <w:ilvl w:val="0"/>
          <w:numId w:val="9"/>
        </w:numPr>
        <w:rPr>
          <w:sz w:val="16"/>
          <w:szCs w:val="16"/>
        </w:rPr>
      </w:pPr>
      <w:r>
        <w:rPr>
          <w:sz w:val="16"/>
          <w:szCs w:val="16"/>
        </w:rPr>
        <w:t xml:space="preserve">Based on modelling in </w:t>
      </w:r>
      <w:r w:rsidRPr="00744FD1">
        <w:rPr>
          <w:rFonts w:cstheme="minorHAnsi"/>
          <w:i/>
          <w:iCs/>
          <w:color w:val="000000"/>
          <w:sz w:val="16"/>
          <w:szCs w:val="16"/>
        </w:rPr>
        <w:t>Melbourne Water (2017) Melbourne Water Systems Strategy</w:t>
      </w:r>
      <w:r w:rsidRPr="002E01F7">
        <w:rPr>
          <w:rFonts w:cstheme="minorHAnsi"/>
          <w:color w:val="000000"/>
          <w:sz w:val="16"/>
          <w:szCs w:val="16"/>
        </w:rPr>
        <w:t>.</w:t>
      </w:r>
      <w:r>
        <w:rPr>
          <w:rFonts w:cstheme="minorHAnsi"/>
          <w:color w:val="000000"/>
          <w:sz w:val="16"/>
          <w:szCs w:val="16"/>
        </w:rPr>
        <w:t xml:space="preserve"> Supply-demand shortfall projections will</w:t>
      </w:r>
      <w:r w:rsidRPr="007259C6">
        <w:rPr>
          <w:sz w:val="16"/>
          <w:szCs w:val="16"/>
        </w:rPr>
        <w:t xml:space="preserve"> be updated in </w:t>
      </w:r>
      <w:r w:rsidRPr="007259C6">
        <w:rPr>
          <w:i/>
          <w:iCs/>
          <w:sz w:val="16"/>
          <w:szCs w:val="16"/>
        </w:rPr>
        <w:t>Water for Life: Greater Melbourne Urban Water Systems Strategy</w:t>
      </w:r>
      <w:r>
        <w:rPr>
          <w:i/>
          <w:iCs/>
          <w:sz w:val="16"/>
          <w:szCs w:val="16"/>
        </w:rPr>
        <w:t xml:space="preserve"> 2022</w:t>
      </w:r>
      <w:r w:rsidRPr="007259C6">
        <w:rPr>
          <w:sz w:val="16"/>
          <w:szCs w:val="16"/>
        </w:rPr>
        <w:t>.</w:t>
      </w:r>
    </w:p>
    <w:p w14:paraId="56BD0187" w14:textId="211FCCA6" w:rsidR="00F65064" w:rsidRDefault="00F65064" w:rsidP="00C851F4">
      <w:pPr>
        <w:pStyle w:val="ListParagraph"/>
        <w:numPr>
          <w:ilvl w:val="0"/>
          <w:numId w:val="9"/>
        </w:numPr>
        <w:rPr>
          <w:sz w:val="16"/>
          <w:szCs w:val="16"/>
        </w:rPr>
      </w:pPr>
      <w:r>
        <w:rPr>
          <w:sz w:val="16"/>
          <w:szCs w:val="16"/>
        </w:rPr>
        <w:t xml:space="preserve">Based on </w:t>
      </w:r>
      <w:r w:rsidR="00755E19">
        <w:rPr>
          <w:sz w:val="16"/>
          <w:szCs w:val="16"/>
        </w:rPr>
        <w:t xml:space="preserve">adaptation of a </w:t>
      </w:r>
      <w:r>
        <w:rPr>
          <w:sz w:val="16"/>
          <w:szCs w:val="16"/>
        </w:rPr>
        <w:t xml:space="preserve">Source Catchments model of the Port Phillip and Western Port Catchment </w:t>
      </w:r>
      <w:r w:rsidR="00755E19">
        <w:rPr>
          <w:sz w:val="16"/>
          <w:szCs w:val="16"/>
        </w:rPr>
        <w:t xml:space="preserve">(DELWP/Melbourne Water 2020) </w:t>
      </w:r>
      <w:r>
        <w:rPr>
          <w:sz w:val="16"/>
          <w:szCs w:val="16"/>
        </w:rPr>
        <w:t xml:space="preserve">comparing </w:t>
      </w:r>
      <w:r w:rsidR="00755E19">
        <w:rPr>
          <w:sz w:val="16"/>
          <w:szCs w:val="16"/>
        </w:rPr>
        <w:t>runoff generated in the developed catchment model compared with natural grassland model to determine the ‘urban excess runoff’.</w:t>
      </w:r>
    </w:p>
    <w:p w14:paraId="5BFAC8E1" w14:textId="19173D61" w:rsidR="00755E19" w:rsidRDefault="00755E19" w:rsidP="00C851F4">
      <w:pPr>
        <w:pStyle w:val="ListParagraph"/>
        <w:numPr>
          <w:ilvl w:val="0"/>
          <w:numId w:val="9"/>
        </w:numPr>
        <w:rPr>
          <w:sz w:val="16"/>
          <w:szCs w:val="16"/>
        </w:rPr>
      </w:pPr>
      <w:r>
        <w:rPr>
          <w:sz w:val="16"/>
          <w:szCs w:val="16"/>
        </w:rPr>
        <w:t>Based on residential and commercial/industrial water use in the catchment factored by 0.8.</w:t>
      </w:r>
    </w:p>
    <w:p w14:paraId="14B4C669" w14:textId="4CB808DF" w:rsidR="005A5DE1" w:rsidRDefault="005A5DE1" w:rsidP="00C851F4">
      <w:pPr>
        <w:pStyle w:val="ListParagraph"/>
        <w:numPr>
          <w:ilvl w:val="0"/>
          <w:numId w:val="9"/>
        </w:numPr>
        <w:rPr>
          <w:sz w:val="16"/>
          <w:szCs w:val="16"/>
        </w:rPr>
      </w:pPr>
      <w:r>
        <w:rPr>
          <w:sz w:val="16"/>
          <w:szCs w:val="16"/>
        </w:rPr>
        <w:t xml:space="preserve">Based on the total potable water use (2018/2019) for the five catchment areas in the region divided by the </w:t>
      </w:r>
      <w:r w:rsidR="00CD0387">
        <w:rPr>
          <w:sz w:val="16"/>
          <w:szCs w:val="16"/>
        </w:rPr>
        <w:t xml:space="preserve">most recent </w:t>
      </w:r>
      <w:r>
        <w:rPr>
          <w:sz w:val="16"/>
          <w:szCs w:val="16"/>
        </w:rPr>
        <w:t xml:space="preserve">population </w:t>
      </w:r>
      <w:r w:rsidR="00CD0387">
        <w:rPr>
          <w:sz w:val="16"/>
          <w:szCs w:val="16"/>
        </w:rPr>
        <w:t xml:space="preserve">data </w:t>
      </w:r>
      <w:r>
        <w:rPr>
          <w:sz w:val="16"/>
          <w:szCs w:val="16"/>
        </w:rPr>
        <w:t xml:space="preserve">of that area (Census </w:t>
      </w:r>
      <w:r w:rsidR="00CD0387">
        <w:rPr>
          <w:sz w:val="16"/>
          <w:szCs w:val="16"/>
        </w:rPr>
        <w:t xml:space="preserve">data </w:t>
      </w:r>
      <w:r>
        <w:rPr>
          <w:sz w:val="16"/>
          <w:szCs w:val="16"/>
        </w:rPr>
        <w:t>August 2016). The Melbourne Water Outlook 2020 reported an average of 162 litres per person per day for 2018/2019</w:t>
      </w:r>
      <w:r w:rsidR="00CD0387">
        <w:rPr>
          <w:sz w:val="16"/>
          <w:szCs w:val="16"/>
        </w:rPr>
        <w:t>, which is calculated to a different boundary (</w:t>
      </w:r>
      <w:r>
        <w:rPr>
          <w:sz w:val="16"/>
          <w:szCs w:val="16"/>
        </w:rPr>
        <w:t xml:space="preserve">the service areas of </w:t>
      </w:r>
      <w:r w:rsidR="00CD0387">
        <w:rPr>
          <w:sz w:val="16"/>
          <w:szCs w:val="16"/>
        </w:rPr>
        <w:t>City West Water, Yarra Valley Water and South East Water) and using a population projection for those service areas.</w:t>
      </w:r>
    </w:p>
    <w:p w14:paraId="4B393D7C" w14:textId="2C0F6008" w:rsidR="00781B13" w:rsidRDefault="00781B13" w:rsidP="00C851F4">
      <w:pPr>
        <w:pStyle w:val="ListParagraph"/>
        <w:numPr>
          <w:ilvl w:val="0"/>
          <w:numId w:val="9"/>
        </w:numPr>
        <w:rPr>
          <w:sz w:val="16"/>
          <w:szCs w:val="16"/>
        </w:rPr>
      </w:pPr>
      <w:r>
        <w:rPr>
          <w:sz w:val="16"/>
          <w:szCs w:val="16"/>
        </w:rPr>
        <w:t>Based on reported total releases of treated wastewater to the environment in 2018/2019 and</w:t>
      </w:r>
      <w:r w:rsidRPr="007259C6">
        <w:rPr>
          <w:sz w:val="16"/>
          <w:szCs w:val="16"/>
        </w:rPr>
        <w:t xml:space="preserve"> projected </w:t>
      </w:r>
      <w:r>
        <w:rPr>
          <w:sz w:val="16"/>
          <w:szCs w:val="16"/>
        </w:rPr>
        <w:t>additional wastewater (minus projected recycled water use)</w:t>
      </w:r>
      <w:r w:rsidRPr="007259C6">
        <w:rPr>
          <w:sz w:val="16"/>
          <w:szCs w:val="16"/>
        </w:rPr>
        <w:t xml:space="preserve"> in 2050 under the Reference State examined by the Plan.</w:t>
      </w:r>
    </w:p>
    <w:p w14:paraId="227D19EB" w14:textId="4C34DED9" w:rsidR="00CD0387" w:rsidRDefault="00CD0387" w:rsidP="00C851F4">
      <w:pPr>
        <w:pStyle w:val="ListParagraph"/>
        <w:numPr>
          <w:ilvl w:val="0"/>
          <w:numId w:val="9"/>
        </w:numPr>
        <w:rPr>
          <w:sz w:val="16"/>
          <w:szCs w:val="16"/>
        </w:rPr>
      </w:pPr>
      <w:r>
        <w:rPr>
          <w:sz w:val="16"/>
          <w:szCs w:val="16"/>
        </w:rPr>
        <w:t>A weighted average based on wastewater inflow volumes to the wastewater treatment plants.</w:t>
      </w:r>
    </w:p>
    <w:p w14:paraId="35B06FA6" w14:textId="77777777" w:rsidR="00781B13" w:rsidRDefault="00781B13" w:rsidP="00781B13">
      <w:pPr>
        <w:pStyle w:val="ListParagraph"/>
        <w:numPr>
          <w:ilvl w:val="0"/>
          <w:numId w:val="9"/>
        </w:numPr>
        <w:rPr>
          <w:sz w:val="16"/>
          <w:szCs w:val="16"/>
        </w:rPr>
      </w:pPr>
      <w:r>
        <w:rPr>
          <w:sz w:val="16"/>
          <w:szCs w:val="16"/>
        </w:rPr>
        <w:t>This measure includes recycled water provided to customers, and does not include recycled water utilised by water authorities within the treatment process or to irrigate land owned by the water authority.</w:t>
      </w:r>
    </w:p>
    <w:p w14:paraId="235602A6" w14:textId="0A3FF156" w:rsidR="00781B13" w:rsidRDefault="00781B13" w:rsidP="00C851F4">
      <w:pPr>
        <w:pStyle w:val="ListParagraph"/>
        <w:numPr>
          <w:ilvl w:val="0"/>
          <w:numId w:val="9"/>
        </w:numPr>
        <w:rPr>
          <w:sz w:val="16"/>
          <w:szCs w:val="16"/>
        </w:rPr>
      </w:pPr>
      <w:r>
        <w:rPr>
          <w:sz w:val="16"/>
          <w:szCs w:val="16"/>
        </w:rPr>
        <w:t>Range to be further refined through feasibility testing and optioneering.</w:t>
      </w:r>
    </w:p>
    <w:p w14:paraId="521A2451" w14:textId="4FB65B35" w:rsidR="004263EA" w:rsidRDefault="00385BEA" w:rsidP="00C851F4">
      <w:pPr>
        <w:pStyle w:val="ListParagraph"/>
        <w:numPr>
          <w:ilvl w:val="0"/>
          <w:numId w:val="9"/>
        </w:numPr>
        <w:rPr>
          <w:sz w:val="16"/>
          <w:szCs w:val="16"/>
        </w:rPr>
      </w:pPr>
      <w:r>
        <w:rPr>
          <w:sz w:val="16"/>
          <w:szCs w:val="16"/>
        </w:rPr>
        <w:t xml:space="preserve">Represents pollutants released to the environment within each sub-catchment. </w:t>
      </w:r>
      <w:r w:rsidR="004263EA">
        <w:rPr>
          <w:sz w:val="16"/>
          <w:szCs w:val="16"/>
        </w:rPr>
        <w:t>Pollutants from runoff generated in the catchments was estimated using a Source Catchments model of the Port Phillip and Western Port Catchment (DELWP/Melbourne Water 2020), minus estimated removals from stormwater treatment, harvesting and management initiatives and assets</w:t>
      </w:r>
      <w:r>
        <w:rPr>
          <w:sz w:val="16"/>
          <w:szCs w:val="16"/>
        </w:rPr>
        <w:t xml:space="preserve"> within each sub-catchment</w:t>
      </w:r>
      <w:r w:rsidR="004263EA">
        <w:rPr>
          <w:sz w:val="16"/>
          <w:szCs w:val="16"/>
        </w:rPr>
        <w:t>. Pollutants from treated wastewater based on reported releases of treated wastewater to the environment in 2018/2019.</w:t>
      </w:r>
      <w:r>
        <w:rPr>
          <w:sz w:val="16"/>
          <w:szCs w:val="16"/>
        </w:rPr>
        <w:t xml:space="preserve"> </w:t>
      </w:r>
    </w:p>
    <w:p w14:paraId="21D5CD22" w14:textId="42202B8E" w:rsidR="000058CD" w:rsidRPr="00887BA1" w:rsidRDefault="006956C7" w:rsidP="00887BA1">
      <w:pPr>
        <w:pStyle w:val="ListParagraph"/>
        <w:numPr>
          <w:ilvl w:val="0"/>
          <w:numId w:val="9"/>
        </w:numPr>
        <w:rPr>
          <w:sz w:val="16"/>
          <w:szCs w:val="16"/>
        </w:rPr>
      </w:pPr>
      <w:r w:rsidRPr="00887BA1">
        <w:rPr>
          <w:sz w:val="16"/>
          <w:szCs w:val="16"/>
        </w:rPr>
        <w:t xml:space="preserve">As outlined in </w:t>
      </w:r>
      <w:r w:rsidRPr="00887BA1">
        <w:rPr>
          <w:i/>
          <w:iCs/>
          <w:sz w:val="16"/>
          <w:szCs w:val="16"/>
        </w:rPr>
        <w:t>Environment Protection Authority Victoria (2019) Development of environmental quality indicators and objectives for SEPP (Waters). Publication 1733</w:t>
      </w:r>
      <w:r w:rsidRPr="00887BA1">
        <w:rPr>
          <w:sz w:val="16"/>
          <w:szCs w:val="16"/>
        </w:rPr>
        <w:t>, the SEPP (Waters) targets for Port Phillip Bay include a nitrogen (TN) target that seeks to ensure that “</w:t>
      </w:r>
      <w:r w:rsidRPr="00887BA1">
        <w:rPr>
          <w:i/>
          <w:iCs/>
          <w:sz w:val="16"/>
          <w:szCs w:val="16"/>
        </w:rPr>
        <w:t>nitrogen loads entering the Bay should not exceed current levels to reduce the risk of frequent and intense algal blooms</w:t>
      </w:r>
      <w:r w:rsidRPr="00887BA1">
        <w:rPr>
          <w:sz w:val="16"/>
          <w:szCs w:val="16"/>
        </w:rPr>
        <w:t>” and a sediment (TSS) target “to improve water quality and reduce pollutants that are typically bound to sediment particles”. Western Port has a sediment (TSS) target “</w:t>
      </w:r>
      <w:r w:rsidRPr="00887BA1">
        <w:rPr>
          <w:i/>
          <w:iCs/>
          <w:sz w:val="16"/>
          <w:szCs w:val="16"/>
        </w:rPr>
        <w:t>intended to prevent an increase in catchment sediment inputs to allow in-bay sediments to be naturally removed by tides and currents</w:t>
      </w:r>
      <w:r w:rsidRPr="00887BA1">
        <w:rPr>
          <w:sz w:val="16"/>
          <w:szCs w:val="16"/>
        </w:rPr>
        <w:t xml:space="preserve">”. The relationship between pollutant removal within a catchment, and pollutant loads entering Port Phillip Bay and Western Port is complex </w:t>
      </w:r>
      <w:r w:rsidR="00771BC3" w:rsidRPr="00887BA1">
        <w:rPr>
          <w:sz w:val="16"/>
          <w:szCs w:val="16"/>
        </w:rPr>
        <w:t>but</w:t>
      </w:r>
      <w:r w:rsidRPr="00887BA1">
        <w:rPr>
          <w:sz w:val="16"/>
          <w:szCs w:val="16"/>
        </w:rPr>
        <w:t xml:space="preserve"> can be represented through </w:t>
      </w:r>
      <w:r w:rsidR="00771BC3" w:rsidRPr="00887BA1">
        <w:rPr>
          <w:sz w:val="16"/>
          <w:szCs w:val="16"/>
        </w:rPr>
        <w:t xml:space="preserve">catchment scale </w:t>
      </w:r>
      <w:r w:rsidRPr="00887BA1">
        <w:rPr>
          <w:sz w:val="16"/>
          <w:szCs w:val="16"/>
        </w:rPr>
        <w:t>modelling.</w:t>
      </w:r>
      <w:r w:rsidR="00771BC3" w:rsidRPr="00887BA1">
        <w:rPr>
          <w:sz w:val="16"/>
          <w:szCs w:val="16"/>
        </w:rPr>
        <w:t xml:space="preserve"> </w:t>
      </w:r>
      <w:r w:rsidR="00887BA1" w:rsidRPr="00887BA1">
        <w:rPr>
          <w:sz w:val="16"/>
          <w:szCs w:val="16"/>
        </w:rPr>
        <w:t>Further work is required to recommend the most effective pollutant reduction strategies and locations to meet the Environment Reference Standards. However, in broad terms the targets seek to ensure pollutant load objectives do not increase further beyond the baseline levels determined for Port Phillip Bay (2017) and Western Port (2018).</w:t>
      </w:r>
    </w:p>
    <w:p w14:paraId="23B82648" w14:textId="44514C03" w:rsidR="000058CD" w:rsidRPr="00744FD1" w:rsidRDefault="000058CD" w:rsidP="000058CD">
      <w:pPr>
        <w:pStyle w:val="ListParagraph"/>
        <w:numPr>
          <w:ilvl w:val="0"/>
          <w:numId w:val="9"/>
        </w:numPr>
        <w:rPr>
          <w:sz w:val="16"/>
          <w:szCs w:val="16"/>
        </w:rPr>
      </w:pPr>
      <w:r>
        <w:rPr>
          <w:sz w:val="16"/>
          <w:szCs w:val="16"/>
        </w:rPr>
        <w:t xml:space="preserve">The current total area of public open space is calculated using the data set from the </w:t>
      </w:r>
      <w:r w:rsidRPr="007259C6">
        <w:rPr>
          <w:i/>
          <w:iCs/>
          <w:sz w:val="16"/>
          <w:szCs w:val="16"/>
        </w:rPr>
        <w:t>Victorian Environmental Assessment Council (2011) Public open space categories in the entire metropolitan Melbourne area. The State of Victoria</w:t>
      </w:r>
      <w:r>
        <w:rPr>
          <w:i/>
          <w:iCs/>
          <w:sz w:val="16"/>
          <w:szCs w:val="16"/>
        </w:rPr>
        <w:t xml:space="preserve">. </w:t>
      </w:r>
      <w:r w:rsidRPr="007259C6">
        <w:rPr>
          <w:sz w:val="16"/>
          <w:szCs w:val="16"/>
        </w:rPr>
        <w:t>Active open space is equated to ‘organised recreation areas’ and passive open space includes ‘parkland and garden’ and ‘services and utilities areas’.</w:t>
      </w:r>
      <w:r w:rsidRPr="00E207D8">
        <w:t xml:space="preserve"> </w:t>
      </w:r>
    </w:p>
    <w:p w14:paraId="09124DD0" w14:textId="40E797F4" w:rsidR="00BE291D" w:rsidRDefault="00BE291D" w:rsidP="00C851F4">
      <w:pPr>
        <w:pStyle w:val="ListParagraph"/>
        <w:numPr>
          <w:ilvl w:val="0"/>
          <w:numId w:val="9"/>
        </w:numPr>
        <w:rPr>
          <w:sz w:val="16"/>
          <w:szCs w:val="16"/>
        </w:rPr>
      </w:pPr>
      <w:r>
        <w:rPr>
          <w:sz w:val="16"/>
          <w:szCs w:val="16"/>
        </w:rPr>
        <w:t>Including stormwater treatment assets that include vegetation or open water, naturalised waterways, open spaces that have been created or enhanced through water management.</w:t>
      </w:r>
    </w:p>
    <w:p w14:paraId="60252BC7" w14:textId="0D217A4B" w:rsidR="00B826C5" w:rsidRDefault="00B826C5" w:rsidP="00B826C5">
      <w:pPr>
        <w:pStyle w:val="ListParagraph"/>
        <w:numPr>
          <w:ilvl w:val="0"/>
          <w:numId w:val="9"/>
        </w:numPr>
        <w:rPr>
          <w:sz w:val="16"/>
          <w:szCs w:val="16"/>
        </w:rPr>
      </w:pPr>
      <w:bookmarkStart w:id="12" w:name="_Hlk75425322"/>
      <w:r w:rsidRPr="00744FD1">
        <w:rPr>
          <w:sz w:val="16"/>
          <w:szCs w:val="16"/>
        </w:rPr>
        <w:t>A baseline rating for measure 6.1a could not be determined by the time of publication due to insufficient data being available.</w:t>
      </w:r>
      <w:r>
        <w:rPr>
          <w:sz w:val="16"/>
          <w:szCs w:val="16"/>
        </w:rPr>
        <w:t xml:space="preserve"> </w:t>
      </w:r>
      <w:r w:rsidRPr="00744FD1">
        <w:rPr>
          <w:sz w:val="16"/>
          <w:szCs w:val="16"/>
        </w:rPr>
        <w:t xml:space="preserve">It is acknowledged that IWM Forum engagement and partnership with Traditional Owner Corporations has been </w:t>
      </w:r>
      <w:r w:rsidR="00DA3E5F">
        <w:rPr>
          <w:sz w:val="16"/>
          <w:szCs w:val="16"/>
        </w:rPr>
        <w:t>in</w:t>
      </w:r>
      <w:r w:rsidRPr="00744FD1">
        <w:rPr>
          <w:sz w:val="16"/>
          <w:szCs w:val="16"/>
        </w:rPr>
        <w:t>consistent throughout the development of the Catchment Scale IWM Plans, including the co-creation of a survey to acquire data for this indicator. It is therefore reasonable to accept that a rating (out of five) of Traditional Owners’ capacity to partner in IWM programs, policy, planning and projects is not “zero”, however it would not reflect best practice to infer an overall rating for this measure without an adequately representative sample. This outcome further substantiates what all IWM Forum partners, including Traditional Owner Corporations, have come to understand from experience: significant capacity constraints continue to prevent Traditional Owner partners from meaningfully contributing to IWM in a manner that is consistent with their Corporations’ priorities and the principles of self-determination. This result strengthens the position stated by other IWM Forum partner organisations (i.e. organisations not identifying as a Traditional Owner Corporation) that more must be done to empower Traditional Owner as partners in IWM.</w:t>
      </w:r>
    </w:p>
    <w:bookmarkEnd w:id="12"/>
    <w:p w14:paraId="2776D46C" w14:textId="77777777" w:rsidR="008D0DBF" w:rsidRDefault="000058CD" w:rsidP="008D0DBF">
      <w:pPr>
        <w:pStyle w:val="ListParagraph"/>
        <w:numPr>
          <w:ilvl w:val="0"/>
          <w:numId w:val="9"/>
        </w:numPr>
        <w:rPr>
          <w:sz w:val="16"/>
          <w:szCs w:val="16"/>
        </w:rPr>
      </w:pPr>
      <w:r>
        <w:rPr>
          <w:sz w:val="16"/>
          <w:szCs w:val="16"/>
        </w:rPr>
        <w:t>Ratings were compiled for each catchment area based on a survey of IWM Forum organisations.</w:t>
      </w:r>
    </w:p>
    <w:p w14:paraId="5CB5F930" w14:textId="7914A124" w:rsidR="006956C7" w:rsidRPr="008D0DBF" w:rsidRDefault="00E207D8" w:rsidP="008D0DBF">
      <w:pPr>
        <w:pStyle w:val="ListParagraph"/>
        <w:numPr>
          <w:ilvl w:val="0"/>
          <w:numId w:val="9"/>
        </w:numPr>
        <w:rPr>
          <w:sz w:val="16"/>
          <w:szCs w:val="16"/>
        </w:rPr>
      </w:pPr>
      <w:r w:rsidRPr="008D0DBF">
        <w:rPr>
          <w:sz w:val="16"/>
          <w:szCs w:val="16"/>
        </w:rPr>
        <w:t>Ratings were compiled for each municipality area based on Water Sensitive City Index records (where available) and a Council survey (2020). Respondents were encouraged to collectively agree a rating with other stakeholders involved in IWM in the municipality.</w:t>
      </w:r>
    </w:p>
    <w:p w14:paraId="2411914B" w14:textId="50FFB8EC" w:rsidR="00CA5137" w:rsidRDefault="00CA5137" w:rsidP="00CA5137"/>
    <w:p w14:paraId="34DB5E21" w14:textId="01E735CC" w:rsidR="00EA1C26" w:rsidRDefault="00EA1C26" w:rsidP="00744FD1">
      <w:pPr>
        <w:pStyle w:val="ListParagraph"/>
        <w:numPr>
          <w:ilvl w:val="0"/>
          <w:numId w:val="9"/>
        </w:numPr>
        <w:rPr>
          <w:rFonts w:ascii="Calibri" w:eastAsia="Times New Roman" w:hAnsi="Calibri" w:cs="Arial"/>
          <w:b/>
          <w:bCs/>
          <w:color w:val="029676"/>
          <w:sz w:val="36"/>
          <w:szCs w:val="28"/>
          <w:lang w:eastAsia="en-AU"/>
        </w:rPr>
      </w:pPr>
      <w:r>
        <w:rPr>
          <w:rFonts w:ascii="Calibri" w:eastAsia="Times New Roman" w:hAnsi="Calibri" w:cs="Arial"/>
          <w:b/>
          <w:bCs/>
          <w:color w:val="029676"/>
          <w:sz w:val="36"/>
          <w:szCs w:val="28"/>
          <w:lang w:eastAsia="en-AU"/>
        </w:rPr>
        <w:br w:type="page"/>
      </w:r>
    </w:p>
    <w:p w14:paraId="4DD81E70" w14:textId="7DBE6BF7" w:rsidR="00CA5137" w:rsidRPr="00FD7FFB" w:rsidRDefault="00182DB5" w:rsidP="00CA5137">
      <w:pPr>
        <w:keepNext/>
        <w:keepLines/>
        <w:tabs>
          <w:tab w:val="num" w:pos="0"/>
        </w:tabs>
        <w:spacing w:after="0" w:line="240" w:lineRule="auto"/>
        <w:outlineLvl w:val="0"/>
        <w:rPr>
          <w:rFonts w:ascii="Calibri" w:eastAsia="Times New Roman" w:hAnsi="Calibri" w:cs="Arial"/>
          <w:b/>
          <w:bCs/>
          <w:color w:val="029676"/>
          <w:sz w:val="36"/>
          <w:szCs w:val="28"/>
          <w:lang w:eastAsia="en-AU"/>
        </w:rPr>
      </w:pPr>
      <w:r>
        <w:rPr>
          <w:rFonts w:ascii="Calibri" w:eastAsia="Times New Roman" w:hAnsi="Calibri" w:cs="Arial"/>
          <w:b/>
          <w:bCs/>
          <w:color w:val="029676"/>
          <w:sz w:val="36"/>
          <w:szCs w:val="28"/>
          <w:lang w:eastAsia="en-AU"/>
        </w:rPr>
        <w:lastRenderedPageBreak/>
        <w:t>Glossary</w:t>
      </w:r>
    </w:p>
    <w:p w14:paraId="7D6604EE" w14:textId="771491D1" w:rsidR="00CA5137" w:rsidRDefault="00CA5137" w:rsidP="00CA5137"/>
    <w:p w14:paraId="19A3C3A8" w14:textId="77777777" w:rsidR="00182DB5" w:rsidRPr="006E0B88" w:rsidRDefault="00182DB5" w:rsidP="00182DB5">
      <w:pPr>
        <w:pStyle w:val="Subheader"/>
        <w:rPr>
          <w:color w:val="auto"/>
        </w:rPr>
      </w:pPr>
      <w:r w:rsidRPr="006E0B88">
        <w:rPr>
          <w:color w:val="auto"/>
          <w:sz w:val="20"/>
          <w:szCs w:val="20"/>
        </w:rPr>
        <w:t xml:space="preserve">Aboriginal Victorians </w:t>
      </w:r>
    </w:p>
    <w:p w14:paraId="3A95C1B3" w14:textId="77777777" w:rsidR="00182DB5" w:rsidRPr="006E0B88" w:rsidRDefault="00182DB5" w:rsidP="00182DB5">
      <w:pPr>
        <w:pStyle w:val="Body"/>
        <w:rPr>
          <w:color w:val="auto"/>
        </w:rPr>
      </w:pPr>
      <w:r w:rsidRPr="006E0B88">
        <w:rPr>
          <w:color w:val="auto"/>
        </w:rPr>
        <w:t>An Aboriginal Victorian is a person of Aboriginal descent who identifies as an Aboriginal and is accepted as such by the Victorian Aboriginal community in which he or she lives.</w:t>
      </w:r>
    </w:p>
    <w:p w14:paraId="1E34B650" w14:textId="77777777" w:rsidR="00182DB5" w:rsidRPr="006E0B88" w:rsidRDefault="00182DB5" w:rsidP="00182DB5">
      <w:pPr>
        <w:pStyle w:val="Subheader"/>
        <w:rPr>
          <w:color w:val="auto"/>
        </w:rPr>
      </w:pPr>
      <w:r w:rsidRPr="006E0B88">
        <w:rPr>
          <w:color w:val="auto"/>
          <w:sz w:val="20"/>
          <w:szCs w:val="20"/>
        </w:rPr>
        <w:t>Algal blooms</w:t>
      </w:r>
    </w:p>
    <w:p w14:paraId="6742DD12" w14:textId="77777777" w:rsidR="00182DB5" w:rsidRDefault="00182DB5" w:rsidP="00182DB5">
      <w:pPr>
        <w:pStyle w:val="Body"/>
        <w:spacing w:after="57"/>
        <w:rPr>
          <w:color w:val="auto"/>
        </w:rPr>
      </w:pPr>
      <w:r w:rsidRPr="006E0B88">
        <w:rPr>
          <w:color w:val="auto"/>
        </w:rPr>
        <w:t>A rapid increase in the population of algae that can occur in waterways, often caused by excess nutrients (particularly phosphorus and nitrogen).</w:t>
      </w:r>
    </w:p>
    <w:p w14:paraId="2E03C7E1" w14:textId="77777777" w:rsidR="00485722" w:rsidRDefault="00485722" w:rsidP="00485722">
      <w:pPr>
        <w:pStyle w:val="Body"/>
        <w:spacing w:before="240" w:after="57"/>
        <w:rPr>
          <w:b/>
          <w:bCs/>
          <w:color w:val="auto"/>
          <w:sz w:val="20"/>
          <w:szCs w:val="20"/>
        </w:rPr>
      </w:pPr>
      <w:r>
        <w:rPr>
          <w:b/>
          <w:bCs/>
          <w:color w:val="auto"/>
          <w:sz w:val="20"/>
          <w:szCs w:val="20"/>
        </w:rPr>
        <w:t>Alternative water sources</w:t>
      </w:r>
    </w:p>
    <w:p w14:paraId="0E32F5C4" w14:textId="19C505FC" w:rsidR="00485722" w:rsidRPr="006E0B88" w:rsidRDefault="00485722" w:rsidP="00182DB5">
      <w:pPr>
        <w:pStyle w:val="Body"/>
        <w:spacing w:after="57"/>
        <w:rPr>
          <w:color w:val="auto"/>
        </w:rPr>
      </w:pPr>
      <w:r>
        <w:rPr>
          <w:color w:val="auto"/>
        </w:rPr>
        <w:t>In this document, alternative water sources refer to recycled water, greywater, rainwater and urban stormwater.</w:t>
      </w:r>
    </w:p>
    <w:p w14:paraId="3F69DBA2" w14:textId="77777777" w:rsidR="00182DB5" w:rsidRPr="00EF29CB" w:rsidRDefault="00182DB5" w:rsidP="00182DB5">
      <w:pPr>
        <w:pStyle w:val="Subheader"/>
        <w:rPr>
          <w:color w:val="auto"/>
        </w:rPr>
      </w:pPr>
      <w:r w:rsidRPr="00EF29CB">
        <w:rPr>
          <w:color w:val="auto"/>
          <w:sz w:val="20"/>
          <w:szCs w:val="20"/>
        </w:rPr>
        <w:t>Assets</w:t>
      </w:r>
    </w:p>
    <w:p w14:paraId="5B1BA8F2" w14:textId="77777777" w:rsidR="00182DB5" w:rsidRPr="00EF29CB" w:rsidRDefault="00182DB5" w:rsidP="00182DB5">
      <w:pPr>
        <w:pStyle w:val="Body"/>
        <w:rPr>
          <w:color w:val="auto"/>
        </w:rPr>
      </w:pPr>
      <w:r w:rsidRPr="00EF29CB">
        <w:rPr>
          <w:color w:val="auto"/>
        </w:rPr>
        <w:t>Assets are resources that provide benefit. This includes, for example, infrastructure such as treatment plants, pipes and pumps, water assets such as dams, bores and wetlands, and community assets such as sporting facilities, public gardens and street trees. Natural assets are assets of the natural environment, for example waterways and vegetation, also known as natural capital.</w:t>
      </w:r>
    </w:p>
    <w:p w14:paraId="5A9232B1" w14:textId="77777777" w:rsidR="00182DB5" w:rsidRPr="00EF29CB" w:rsidRDefault="00182DB5" w:rsidP="00182DB5">
      <w:pPr>
        <w:pStyle w:val="Subheader"/>
        <w:rPr>
          <w:color w:val="auto"/>
          <w:sz w:val="20"/>
          <w:szCs w:val="20"/>
        </w:rPr>
      </w:pPr>
      <w:r w:rsidRPr="00EF29CB">
        <w:rPr>
          <w:color w:val="auto"/>
          <w:sz w:val="20"/>
          <w:szCs w:val="20"/>
        </w:rPr>
        <w:t>Biodiversity</w:t>
      </w:r>
    </w:p>
    <w:p w14:paraId="35AF8B44" w14:textId="172F03B4" w:rsidR="00182DB5" w:rsidRPr="00EF29CB" w:rsidRDefault="00182DB5" w:rsidP="00182DB5">
      <w:pPr>
        <w:pStyle w:val="Body"/>
        <w:rPr>
          <w:color w:val="auto"/>
        </w:rPr>
      </w:pPr>
      <w:r w:rsidRPr="00EF29CB">
        <w:rPr>
          <w:color w:val="auto"/>
        </w:rPr>
        <w:t>The numbers and variety of plants, animals and other living beings, including micro-organisms, across our land, rivers and oceans. It includes the diversity of their genetic information, the habitats and ecosystems in which they live and their connections with other life forms.</w:t>
      </w:r>
    </w:p>
    <w:p w14:paraId="01ADD734" w14:textId="34B6DF51" w:rsidR="00FE66A9" w:rsidRPr="00EF29CB" w:rsidRDefault="00FE66A9" w:rsidP="00FE66A9">
      <w:pPr>
        <w:pStyle w:val="Subheader"/>
        <w:rPr>
          <w:color w:val="auto"/>
          <w:sz w:val="20"/>
          <w:szCs w:val="20"/>
        </w:rPr>
      </w:pPr>
      <w:r w:rsidRPr="00EF29CB">
        <w:rPr>
          <w:color w:val="auto"/>
          <w:sz w:val="20"/>
          <w:szCs w:val="20"/>
        </w:rPr>
        <w:t>Blue-green infrastructure</w:t>
      </w:r>
    </w:p>
    <w:p w14:paraId="0C8F2E68" w14:textId="77777777" w:rsidR="00CA285F" w:rsidRPr="00CA285F" w:rsidRDefault="00CA285F" w:rsidP="00CA285F">
      <w:pPr>
        <w:pStyle w:val="Body"/>
        <w:rPr>
          <w:color w:val="auto"/>
        </w:rPr>
      </w:pPr>
      <w:r w:rsidRPr="00CA285F">
        <w:rPr>
          <w:color w:val="auto"/>
        </w:rPr>
        <w:t xml:space="preserve">Green infrastructure refers to key vegetation features such as street trees, parklands, grassed sports fields and vegetated walls. Blue infrastructure refers to waterways, wetlands, recreational lakes, stormwater retarding basins, or other water body features. Blue-green infrastructure brings these assets together through integrated approaches to deliver community benefits. </w:t>
      </w:r>
    </w:p>
    <w:p w14:paraId="2A7E76D0" w14:textId="77777777" w:rsidR="00182DB5" w:rsidRPr="00EF29CB" w:rsidRDefault="00182DB5" w:rsidP="00182DB5">
      <w:pPr>
        <w:pStyle w:val="Subheader"/>
        <w:rPr>
          <w:color w:val="auto"/>
        </w:rPr>
      </w:pPr>
      <w:r w:rsidRPr="00EF29CB">
        <w:rPr>
          <w:color w:val="auto"/>
          <w:sz w:val="20"/>
          <w:szCs w:val="20"/>
        </w:rPr>
        <w:t>Catchment</w:t>
      </w:r>
    </w:p>
    <w:p w14:paraId="50A0CB80" w14:textId="02C8E048" w:rsidR="00182DB5" w:rsidRPr="00EF29CB" w:rsidRDefault="00182DB5" w:rsidP="00182DB5">
      <w:pPr>
        <w:pStyle w:val="Body"/>
        <w:spacing w:after="57"/>
        <w:rPr>
          <w:color w:val="auto"/>
        </w:rPr>
      </w:pPr>
      <w:r w:rsidRPr="00EF29CB">
        <w:rPr>
          <w:color w:val="auto"/>
        </w:rPr>
        <w:t xml:space="preserve">An area where water falling as rain is collected by the landscape, eventually flowing to a body of water such as a creek, river, dam, lake or ocean; or into a groundwater system. </w:t>
      </w:r>
    </w:p>
    <w:p w14:paraId="28E2C035" w14:textId="77777777" w:rsidR="00182DB5" w:rsidRPr="00EF29CB" w:rsidRDefault="00182DB5" w:rsidP="00182DB5">
      <w:pPr>
        <w:pStyle w:val="Subheader"/>
        <w:rPr>
          <w:color w:val="auto"/>
        </w:rPr>
      </w:pPr>
      <w:r w:rsidRPr="00EF29CB">
        <w:rPr>
          <w:color w:val="auto"/>
          <w:sz w:val="20"/>
          <w:szCs w:val="20"/>
        </w:rPr>
        <w:t xml:space="preserve">Climate change </w:t>
      </w:r>
    </w:p>
    <w:p w14:paraId="1DF47C09" w14:textId="1300E7DF" w:rsidR="00182DB5" w:rsidRPr="00EF29CB" w:rsidRDefault="00182DB5" w:rsidP="00182DB5">
      <w:pPr>
        <w:pStyle w:val="Body"/>
        <w:spacing w:after="57"/>
        <w:rPr>
          <w:color w:val="auto"/>
        </w:rPr>
      </w:pPr>
      <w:r w:rsidRPr="00EF29CB">
        <w:rPr>
          <w:color w:val="auto"/>
        </w:rPr>
        <w:t xml:space="preserve">A </w:t>
      </w:r>
      <w:r w:rsidR="008F6D67" w:rsidRPr="00EF29CB">
        <w:rPr>
          <w:color w:val="auto"/>
        </w:rPr>
        <w:t>long-term</w:t>
      </w:r>
      <w:r w:rsidRPr="00EF29CB">
        <w:rPr>
          <w:color w:val="auto"/>
        </w:rPr>
        <w:t xml:space="preserve"> change of the earth’s temperature and weather patterns, generally attributed directly or indirectly to human activities such as fossil fuel combustion and vegetation clearing and burning.</w:t>
      </w:r>
    </w:p>
    <w:p w14:paraId="1F035286" w14:textId="77777777" w:rsidR="00182DB5" w:rsidRPr="00EF29CB" w:rsidRDefault="00182DB5" w:rsidP="00182DB5">
      <w:pPr>
        <w:pStyle w:val="Subheader"/>
        <w:rPr>
          <w:color w:val="auto"/>
        </w:rPr>
      </w:pPr>
      <w:r w:rsidRPr="00EF29CB">
        <w:rPr>
          <w:color w:val="auto"/>
          <w:sz w:val="20"/>
          <w:szCs w:val="20"/>
        </w:rPr>
        <w:t>Community</w:t>
      </w:r>
    </w:p>
    <w:p w14:paraId="5D81917B" w14:textId="6496A54D" w:rsidR="00182DB5" w:rsidRPr="00EF29CB" w:rsidRDefault="00182DB5" w:rsidP="00182DB5">
      <w:pPr>
        <w:pStyle w:val="Body"/>
        <w:spacing w:after="57"/>
        <w:rPr>
          <w:color w:val="auto"/>
        </w:rPr>
      </w:pPr>
      <w:r w:rsidRPr="00EF29CB">
        <w:rPr>
          <w:color w:val="auto"/>
        </w:rPr>
        <w:t xml:space="preserve">Includes individuals, public and private landholders, community groups and business owners. </w:t>
      </w:r>
    </w:p>
    <w:p w14:paraId="1D2D848F" w14:textId="77777777" w:rsidR="00182DB5" w:rsidRPr="00CA285F" w:rsidRDefault="00182DB5" w:rsidP="00182DB5">
      <w:pPr>
        <w:pStyle w:val="Subheader"/>
        <w:rPr>
          <w:color w:val="auto"/>
        </w:rPr>
      </w:pPr>
      <w:r w:rsidRPr="00CA285F">
        <w:rPr>
          <w:color w:val="auto"/>
          <w:sz w:val="20"/>
          <w:szCs w:val="20"/>
        </w:rPr>
        <w:t xml:space="preserve">Department of Environment, Land, Water and Planning (DELWP) </w:t>
      </w:r>
    </w:p>
    <w:p w14:paraId="76432708" w14:textId="77777777" w:rsidR="00182DB5" w:rsidRPr="00CA285F" w:rsidRDefault="00182DB5" w:rsidP="00182DB5">
      <w:pPr>
        <w:pStyle w:val="Body"/>
        <w:spacing w:after="57"/>
        <w:rPr>
          <w:color w:val="auto"/>
        </w:rPr>
      </w:pPr>
      <w:r w:rsidRPr="00CA285F">
        <w:rPr>
          <w:color w:val="auto"/>
        </w:rPr>
        <w:t xml:space="preserve">Supports Victoria’s natural and built environment to ensure economic growth and liveable, sustainable and inclusive communities. The department assists the minister, develops and implements state policies and programs, and oversees the administration of organisations including catchment management authorities. </w:t>
      </w:r>
    </w:p>
    <w:p w14:paraId="093D49E2" w14:textId="77777777" w:rsidR="00182DB5" w:rsidRPr="00CA285F" w:rsidRDefault="00182DB5" w:rsidP="00182DB5">
      <w:pPr>
        <w:pStyle w:val="Subheader"/>
        <w:rPr>
          <w:color w:val="auto"/>
        </w:rPr>
      </w:pPr>
      <w:r w:rsidRPr="00CA285F">
        <w:rPr>
          <w:color w:val="auto"/>
          <w:sz w:val="20"/>
          <w:szCs w:val="20"/>
        </w:rPr>
        <w:t xml:space="preserve">Ecosystem </w:t>
      </w:r>
    </w:p>
    <w:p w14:paraId="0F480CD7" w14:textId="55F36641" w:rsidR="00182DB5" w:rsidRPr="00CA285F" w:rsidRDefault="00182DB5" w:rsidP="00182DB5">
      <w:pPr>
        <w:pStyle w:val="Body"/>
        <w:spacing w:after="57"/>
        <w:rPr>
          <w:color w:val="auto"/>
        </w:rPr>
      </w:pPr>
      <w:r w:rsidRPr="00CA285F">
        <w:rPr>
          <w:color w:val="auto"/>
        </w:rPr>
        <w:lastRenderedPageBreak/>
        <w:t xml:space="preserve">A dynamic complex of plant, animal, fungal and microorganism communities and the </w:t>
      </w:r>
      <w:r w:rsidR="008F6D67" w:rsidRPr="00CA285F">
        <w:rPr>
          <w:color w:val="auto"/>
        </w:rPr>
        <w:t>associated non</w:t>
      </w:r>
      <w:r w:rsidRPr="00CA285F">
        <w:rPr>
          <w:color w:val="auto"/>
        </w:rPr>
        <w:t xml:space="preserve">-living environment </w:t>
      </w:r>
      <w:r w:rsidR="008F6D67" w:rsidRPr="00CA285F">
        <w:rPr>
          <w:color w:val="auto"/>
        </w:rPr>
        <w:t>interacting as</w:t>
      </w:r>
      <w:r w:rsidRPr="00CA285F">
        <w:rPr>
          <w:color w:val="auto"/>
        </w:rPr>
        <w:t xml:space="preserve"> an ecological unit.</w:t>
      </w:r>
    </w:p>
    <w:p w14:paraId="462C41D5" w14:textId="77777777" w:rsidR="00182DB5" w:rsidRPr="00CA285F" w:rsidRDefault="00182DB5" w:rsidP="00182DB5">
      <w:pPr>
        <w:pStyle w:val="Subheader"/>
        <w:rPr>
          <w:color w:val="auto"/>
        </w:rPr>
      </w:pPr>
      <w:r w:rsidRPr="00CA285F">
        <w:rPr>
          <w:color w:val="auto"/>
          <w:sz w:val="20"/>
          <w:szCs w:val="20"/>
        </w:rPr>
        <w:t>Environmental water</w:t>
      </w:r>
    </w:p>
    <w:p w14:paraId="2AE666B7" w14:textId="696744FD" w:rsidR="00182DB5" w:rsidRDefault="00182DB5" w:rsidP="00182DB5">
      <w:pPr>
        <w:pStyle w:val="Body"/>
        <w:spacing w:after="57"/>
        <w:rPr>
          <w:color w:val="auto"/>
        </w:rPr>
      </w:pPr>
      <w:r w:rsidRPr="00CA285F">
        <w:rPr>
          <w:color w:val="auto"/>
        </w:rPr>
        <w:t>Water to support environmental values and ecological processes.</w:t>
      </w:r>
    </w:p>
    <w:p w14:paraId="0B6BAFFE" w14:textId="460480B8" w:rsidR="008C0234" w:rsidRPr="00744FD1" w:rsidRDefault="008C0234" w:rsidP="00744FD1">
      <w:pPr>
        <w:pStyle w:val="Subheader"/>
        <w:rPr>
          <w:b w:val="0"/>
          <w:bCs w:val="0"/>
          <w:color w:val="auto"/>
          <w:sz w:val="20"/>
          <w:szCs w:val="20"/>
        </w:rPr>
      </w:pPr>
      <w:r w:rsidRPr="00744FD1">
        <w:rPr>
          <w:color w:val="auto"/>
          <w:sz w:val="20"/>
          <w:szCs w:val="20"/>
        </w:rPr>
        <w:t xml:space="preserve">Fit for purpose </w:t>
      </w:r>
    </w:p>
    <w:p w14:paraId="39CE9A24" w14:textId="3F7F4E16" w:rsidR="008C0234" w:rsidRPr="008C0234" w:rsidRDefault="008C0234" w:rsidP="008C0234">
      <w:pPr>
        <w:pStyle w:val="Body"/>
        <w:spacing w:after="57"/>
        <w:rPr>
          <w:color w:val="auto"/>
        </w:rPr>
      </w:pPr>
      <w:r w:rsidRPr="00744FD1">
        <w:rPr>
          <w:color w:val="auto"/>
        </w:rPr>
        <w:t>Water of a quality that is appropriate for its intended use.</w:t>
      </w:r>
    </w:p>
    <w:p w14:paraId="36CDB13C" w14:textId="77777777" w:rsidR="00182DB5" w:rsidRPr="00744FD1" w:rsidRDefault="00182DB5" w:rsidP="008C0234">
      <w:pPr>
        <w:pStyle w:val="Subheader"/>
        <w:rPr>
          <w:color w:val="auto"/>
          <w:sz w:val="20"/>
          <w:szCs w:val="20"/>
        </w:rPr>
      </w:pPr>
      <w:r w:rsidRPr="008C0234">
        <w:rPr>
          <w:color w:val="auto"/>
          <w:sz w:val="20"/>
          <w:szCs w:val="20"/>
        </w:rPr>
        <w:t>Floodplain</w:t>
      </w:r>
    </w:p>
    <w:p w14:paraId="0C1528FC" w14:textId="6D6240A0" w:rsidR="00182DB5" w:rsidRPr="00CA285F" w:rsidRDefault="00182DB5" w:rsidP="00182DB5">
      <w:pPr>
        <w:pStyle w:val="Body"/>
        <w:spacing w:after="57"/>
        <w:rPr>
          <w:color w:val="auto"/>
        </w:rPr>
      </w:pPr>
      <w:r w:rsidRPr="00CA285F">
        <w:rPr>
          <w:color w:val="auto"/>
        </w:rPr>
        <w:t xml:space="preserve">Low-lying land adjacent to a river or stream with unique ecosystems dependent on inundation from flood events. </w:t>
      </w:r>
    </w:p>
    <w:p w14:paraId="22D20B63" w14:textId="77777777" w:rsidR="00182DB5" w:rsidRPr="00CA285F" w:rsidRDefault="00182DB5" w:rsidP="00182DB5">
      <w:pPr>
        <w:pStyle w:val="Subheader"/>
        <w:rPr>
          <w:color w:val="auto"/>
        </w:rPr>
      </w:pPr>
      <w:r w:rsidRPr="00CA285F">
        <w:rPr>
          <w:color w:val="auto"/>
          <w:sz w:val="20"/>
          <w:szCs w:val="20"/>
        </w:rPr>
        <w:t xml:space="preserve">Flow </w:t>
      </w:r>
    </w:p>
    <w:p w14:paraId="6F0BA583" w14:textId="6E6D698F" w:rsidR="00182DB5" w:rsidRPr="00CA285F" w:rsidRDefault="00182DB5" w:rsidP="00182DB5">
      <w:pPr>
        <w:pStyle w:val="Body"/>
        <w:spacing w:after="57"/>
        <w:rPr>
          <w:color w:val="auto"/>
        </w:rPr>
      </w:pPr>
      <w:r w:rsidRPr="00CA285F">
        <w:rPr>
          <w:color w:val="auto"/>
        </w:rPr>
        <w:t>Movement of water – the rate of water discharged from a source, given in volume with respect to time.</w:t>
      </w:r>
    </w:p>
    <w:p w14:paraId="2CD9768C" w14:textId="50815935" w:rsidR="00182DB5" w:rsidRPr="00CA285F" w:rsidRDefault="00182DB5" w:rsidP="00182DB5">
      <w:pPr>
        <w:pStyle w:val="Subheader"/>
        <w:rPr>
          <w:color w:val="auto"/>
        </w:rPr>
      </w:pPr>
      <w:r w:rsidRPr="00CA285F">
        <w:rPr>
          <w:color w:val="auto"/>
          <w:sz w:val="20"/>
          <w:szCs w:val="20"/>
        </w:rPr>
        <w:t>Gigalitre</w:t>
      </w:r>
      <w:r w:rsidR="00CA285F">
        <w:rPr>
          <w:color w:val="auto"/>
          <w:sz w:val="20"/>
          <w:szCs w:val="20"/>
        </w:rPr>
        <w:t xml:space="preserve"> (GL)</w:t>
      </w:r>
    </w:p>
    <w:p w14:paraId="03129AA2" w14:textId="2F55061B" w:rsidR="007E1870" w:rsidRDefault="00182DB5" w:rsidP="00182DB5">
      <w:pPr>
        <w:pStyle w:val="Body"/>
        <w:spacing w:after="57"/>
        <w:rPr>
          <w:color w:val="auto"/>
        </w:rPr>
      </w:pPr>
      <w:r w:rsidRPr="00CA285F">
        <w:rPr>
          <w:color w:val="auto"/>
        </w:rPr>
        <w:t xml:space="preserve">One billion (1,000,000,000) litres. One gigalitre is the equivalent of approximately 400 Olympic size swimming pools. </w:t>
      </w:r>
    </w:p>
    <w:p w14:paraId="6BD810F3" w14:textId="77777777" w:rsidR="007E1870" w:rsidRDefault="007E1870" w:rsidP="00182DB5">
      <w:pPr>
        <w:pStyle w:val="Body"/>
        <w:spacing w:after="57"/>
        <w:rPr>
          <w:color w:val="auto"/>
        </w:rPr>
      </w:pPr>
    </w:p>
    <w:p w14:paraId="01CE4EBA" w14:textId="680C73B9" w:rsidR="007E1870" w:rsidRPr="00744FD1" w:rsidRDefault="007E1870" w:rsidP="00182DB5">
      <w:pPr>
        <w:pStyle w:val="Body"/>
        <w:spacing w:after="57"/>
        <w:rPr>
          <w:b/>
          <w:bCs/>
          <w:color w:val="auto"/>
        </w:rPr>
      </w:pPr>
      <w:r w:rsidRPr="00744FD1">
        <w:rPr>
          <w:b/>
          <w:bCs/>
          <w:color w:val="auto"/>
        </w:rPr>
        <w:t>Greater Metropolitan Melbourne Region</w:t>
      </w:r>
    </w:p>
    <w:p w14:paraId="40C072D9" w14:textId="4271CB95" w:rsidR="007E1870" w:rsidRPr="00CA285F" w:rsidRDefault="007E1870" w:rsidP="00182DB5">
      <w:pPr>
        <w:pStyle w:val="Body"/>
        <w:spacing w:after="57"/>
        <w:rPr>
          <w:color w:val="auto"/>
        </w:rPr>
      </w:pPr>
      <w:r>
        <w:rPr>
          <w:color w:val="auto"/>
        </w:rPr>
        <w:t xml:space="preserve">The Port Phillip and Western Port Bay catchment area, including the </w:t>
      </w:r>
      <w:proofErr w:type="spellStart"/>
      <w:r w:rsidR="000E01D7">
        <w:rPr>
          <w:color w:val="auto"/>
        </w:rPr>
        <w:t>Yarra</w:t>
      </w:r>
      <w:proofErr w:type="spellEnd"/>
      <w:r>
        <w:rPr>
          <w:color w:val="auto"/>
        </w:rPr>
        <w:t xml:space="preserve">, </w:t>
      </w:r>
      <w:proofErr w:type="spellStart"/>
      <w:r w:rsidR="000E01D7">
        <w:rPr>
          <w:color w:val="auto"/>
        </w:rPr>
        <w:t>Yarra</w:t>
      </w:r>
      <w:proofErr w:type="spellEnd"/>
      <w:r>
        <w:rPr>
          <w:color w:val="auto"/>
        </w:rPr>
        <w:t xml:space="preserve">, </w:t>
      </w:r>
      <w:proofErr w:type="spellStart"/>
      <w:r>
        <w:rPr>
          <w:color w:val="auto"/>
        </w:rPr>
        <w:t>Yarra</w:t>
      </w:r>
      <w:proofErr w:type="spellEnd"/>
      <w:r>
        <w:rPr>
          <w:color w:val="auto"/>
        </w:rPr>
        <w:t>, Dandenong and Western Port catchments.</w:t>
      </w:r>
    </w:p>
    <w:p w14:paraId="32231D3A" w14:textId="77777777" w:rsidR="00182DB5" w:rsidRPr="00CA285F" w:rsidRDefault="00182DB5" w:rsidP="00182DB5">
      <w:pPr>
        <w:pStyle w:val="Subheader"/>
        <w:spacing w:after="102"/>
        <w:rPr>
          <w:color w:val="auto"/>
        </w:rPr>
      </w:pPr>
      <w:r w:rsidRPr="00CA285F">
        <w:rPr>
          <w:color w:val="auto"/>
          <w:sz w:val="20"/>
          <w:szCs w:val="20"/>
        </w:rPr>
        <w:t>Greenfield land</w:t>
      </w:r>
    </w:p>
    <w:p w14:paraId="08251928" w14:textId="2A4E70E5" w:rsidR="00182DB5" w:rsidRPr="00CA285F" w:rsidRDefault="00182DB5" w:rsidP="00182DB5">
      <w:pPr>
        <w:pStyle w:val="Body"/>
        <w:spacing w:after="102"/>
        <w:rPr>
          <w:color w:val="auto"/>
        </w:rPr>
      </w:pPr>
      <w:r w:rsidRPr="00CA285F">
        <w:rPr>
          <w:color w:val="auto"/>
        </w:rPr>
        <w:t>Undeveloped land identified for residential or industrial/commercial development, generally on the fringe of metropolitan Melbourne.</w:t>
      </w:r>
    </w:p>
    <w:p w14:paraId="1242DA44" w14:textId="77777777" w:rsidR="00182DB5" w:rsidRPr="00CA285F" w:rsidRDefault="00182DB5" w:rsidP="00182DB5">
      <w:pPr>
        <w:pStyle w:val="Subheader"/>
        <w:spacing w:after="102"/>
        <w:rPr>
          <w:color w:val="auto"/>
        </w:rPr>
      </w:pPr>
      <w:r w:rsidRPr="00CA285F">
        <w:rPr>
          <w:color w:val="auto"/>
          <w:sz w:val="20"/>
          <w:szCs w:val="20"/>
        </w:rPr>
        <w:t xml:space="preserve">Groundwater </w:t>
      </w:r>
    </w:p>
    <w:p w14:paraId="29BC282A" w14:textId="1E4DCA79" w:rsidR="00182DB5" w:rsidRPr="00CA285F" w:rsidRDefault="00182DB5" w:rsidP="00182DB5">
      <w:pPr>
        <w:pStyle w:val="Body"/>
        <w:spacing w:after="102"/>
        <w:rPr>
          <w:color w:val="auto"/>
        </w:rPr>
      </w:pPr>
      <w:r w:rsidRPr="00CA285F">
        <w:rPr>
          <w:color w:val="auto"/>
        </w:rPr>
        <w:t>All subsurface water, generally occupying the pores and crevices of rock and soil.</w:t>
      </w:r>
    </w:p>
    <w:p w14:paraId="325D9559" w14:textId="77777777" w:rsidR="00182DB5" w:rsidRPr="00CA285F" w:rsidRDefault="00182DB5" w:rsidP="00182DB5">
      <w:pPr>
        <w:pStyle w:val="Subheader"/>
        <w:spacing w:after="102"/>
        <w:rPr>
          <w:color w:val="auto"/>
        </w:rPr>
      </w:pPr>
      <w:r w:rsidRPr="00CA285F">
        <w:rPr>
          <w:color w:val="auto"/>
          <w:sz w:val="20"/>
          <w:szCs w:val="20"/>
        </w:rPr>
        <w:t xml:space="preserve">Growth areas </w:t>
      </w:r>
    </w:p>
    <w:p w14:paraId="4358D4D0" w14:textId="7F74B8F4" w:rsidR="00182DB5" w:rsidRPr="00CA285F" w:rsidRDefault="00182DB5" w:rsidP="00182DB5">
      <w:pPr>
        <w:pStyle w:val="Body"/>
        <w:spacing w:after="102"/>
        <w:rPr>
          <w:color w:val="auto"/>
        </w:rPr>
      </w:pPr>
      <w:r w:rsidRPr="00CA285F">
        <w:rPr>
          <w:color w:val="auto"/>
        </w:rPr>
        <w:t>Locations on the fringe of metropolitan Melbourne designated in planning schemes for large-scale transformation, over many years, from rural to urban use.</w:t>
      </w:r>
    </w:p>
    <w:p w14:paraId="41E8FF23" w14:textId="77777777" w:rsidR="00182DB5" w:rsidRPr="00CA285F" w:rsidRDefault="00182DB5" w:rsidP="00182DB5">
      <w:pPr>
        <w:pStyle w:val="Subheader"/>
        <w:spacing w:after="102"/>
        <w:rPr>
          <w:color w:val="auto"/>
        </w:rPr>
      </w:pPr>
      <w:r w:rsidRPr="00CA285F">
        <w:rPr>
          <w:color w:val="auto"/>
          <w:sz w:val="20"/>
          <w:szCs w:val="20"/>
        </w:rPr>
        <w:t xml:space="preserve">Impervious area </w:t>
      </w:r>
    </w:p>
    <w:p w14:paraId="2290B7CF" w14:textId="3BE873C8" w:rsidR="00182DB5" w:rsidRPr="00CA285F" w:rsidRDefault="00182DB5" w:rsidP="00182DB5">
      <w:pPr>
        <w:pStyle w:val="Body"/>
        <w:spacing w:after="102"/>
        <w:rPr>
          <w:color w:val="auto"/>
        </w:rPr>
      </w:pPr>
      <w:r w:rsidRPr="00CA285F">
        <w:rPr>
          <w:color w:val="auto"/>
        </w:rPr>
        <w:t>A surface or area within a catchment that significantly restricts the infiltration of water. Impervious surfaces can include concrete, road surfaces, roofs and saturated ground such as a lake or pond.</w:t>
      </w:r>
    </w:p>
    <w:p w14:paraId="2EAA2B3D" w14:textId="77777777" w:rsidR="00182DB5" w:rsidRPr="00CA285F" w:rsidRDefault="00182DB5" w:rsidP="00182DB5">
      <w:pPr>
        <w:pStyle w:val="Subheader"/>
        <w:spacing w:after="102"/>
        <w:rPr>
          <w:color w:val="auto"/>
        </w:rPr>
      </w:pPr>
      <w:r w:rsidRPr="00CA285F">
        <w:rPr>
          <w:color w:val="auto"/>
          <w:sz w:val="20"/>
          <w:szCs w:val="20"/>
        </w:rPr>
        <w:t>Infrastructure</w:t>
      </w:r>
    </w:p>
    <w:p w14:paraId="51497F54" w14:textId="77777777" w:rsidR="00182DB5" w:rsidRPr="00CA285F" w:rsidRDefault="00182DB5" w:rsidP="00182DB5">
      <w:pPr>
        <w:pStyle w:val="Body"/>
        <w:spacing w:after="102"/>
        <w:rPr>
          <w:color w:val="auto"/>
        </w:rPr>
      </w:pPr>
      <w:r w:rsidRPr="00CA285F">
        <w:rPr>
          <w:color w:val="auto"/>
        </w:rPr>
        <w:t>Basic facilities and networks needed for the functioning of a local community or broader society.</w:t>
      </w:r>
    </w:p>
    <w:p w14:paraId="0BA68DE3" w14:textId="77777777" w:rsidR="00182DB5" w:rsidRPr="00CA285F" w:rsidRDefault="00182DB5" w:rsidP="00182DB5">
      <w:pPr>
        <w:pStyle w:val="Subheader"/>
        <w:rPr>
          <w:color w:val="auto"/>
        </w:rPr>
      </w:pPr>
      <w:r w:rsidRPr="00CA285F">
        <w:rPr>
          <w:color w:val="auto"/>
          <w:sz w:val="20"/>
          <w:szCs w:val="20"/>
        </w:rPr>
        <w:t xml:space="preserve">Integrated water management (IWM) </w:t>
      </w:r>
    </w:p>
    <w:p w14:paraId="0F9E052D" w14:textId="419BD933" w:rsidR="00182DB5" w:rsidRPr="00CA285F" w:rsidRDefault="00182DB5" w:rsidP="00182DB5">
      <w:pPr>
        <w:pStyle w:val="Body"/>
        <w:spacing w:after="57"/>
        <w:rPr>
          <w:color w:val="auto"/>
        </w:rPr>
      </w:pPr>
      <w:r w:rsidRPr="00CA285F">
        <w:rPr>
          <w:color w:val="auto"/>
        </w:rPr>
        <w:t xml:space="preserve">A collaborative approach to planning that brings together all elements of the water cycle including </w:t>
      </w:r>
      <w:r w:rsidR="008F6D67">
        <w:rPr>
          <w:color w:val="auto"/>
        </w:rPr>
        <w:t>wastewater</w:t>
      </w:r>
      <w:r w:rsidRPr="00CA285F">
        <w:rPr>
          <w:color w:val="auto"/>
        </w:rPr>
        <w:t xml:space="preserve"> management, water supply, stormwater management and water treatment, considering environmental, economic and social benefits. </w:t>
      </w:r>
    </w:p>
    <w:p w14:paraId="3C393C4E" w14:textId="6D2E5E89" w:rsidR="00182DB5" w:rsidRPr="00CA285F" w:rsidRDefault="00182DB5" w:rsidP="00182DB5">
      <w:pPr>
        <w:pStyle w:val="Subheader"/>
        <w:rPr>
          <w:color w:val="auto"/>
        </w:rPr>
      </w:pPr>
      <w:r w:rsidRPr="00CA285F">
        <w:rPr>
          <w:color w:val="auto"/>
          <w:sz w:val="20"/>
          <w:szCs w:val="20"/>
        </w:rPr>
        <w:t xml:space="preserve">Integrated Water Management Forum </w:t>
      </w:r>
    </w:p>
    <w:p w14:paraId="7ACB5593" w14:textId="6C46A4D5" w:rsidR="00182DB5" w:rsidRPr="00CA285F" w:rsidRDefault="00182DB5" w:rsidP="00182DB5">
      <w:pPr>
        <w:pStyle w:val="Body"/>
        <w:spacing w:after="57"/>
        <w:rPr>
          <w:color w:val="auto"/>
        </w:rPr>
      </w:pPr>
      <w:r w:rsidRPr="00CA285F">
        <w:rPr>
          <w:color w:val="auto"/>
        </w:rPr>
        <w:t xml:space="preserve">A meeting of urban water management organisations to identify, prioritise and commit to the investigation of integrated water management opportunities. </w:t>
      </w:r>
    </w:p>
    <w:p w14:paraId="659ECF0D" w14:textId="1DAAABBF" w:rsidR="00182DB5" w:rsidRPr="00CA285F" w:rsidRDefault="00182DB5" w:rsidP="00182DB5">
      <w:pPr>
        <w:pStyle w:val="Subheader"/>
        <w:rPr>
          <w:color w:val="auto"/>
        </w:rPr>
      </w:pPr>
      <w:r w:rsidRPr="00CA285F">
        <w:rPr>
          <w:color w:val="auto"/>
          <w:sz w:val="20"/>
          <w:szCs w:val="20"/>
        </w:rPr>
        <w:t xml:space="preserve">Integrated water management opportunity </w:t>
      </w:r>
    </w:p>
    <w:p w14:paraId="187A203C" w14:textId="056C0FE6" w:rsidR="00182DB5" w:rsidRPr="00CA285F" w:rsidRDefault="00182DB5" w:rsidP="00182DB5">
      <w:pPr>
        <w:pStyle w:val="Body"/>
        <w:spacing w:after="57"/>
        <w:rPr>
          <w:color w:val="auto"/>
        </w:rPr>
      </w:pPr>
      <w:r w:rsidRPr="00CA285F">
        <w:rPr>
          <w:color w:val="auto"/>
        </w:rPr>
        <w:lastRenderedPageBreak/>
        <w:t xml:space="preserve">A servicing need that has the potential to leverage broader benefits when undertaken collaboratively, using an integrated water management approach. </w:t>
      </w:r>
    </w:p>
    <w:p w14:paraId="2033509A" w14:textId="77777777" w:rsidR="00182DB5" w:rsidRPr="00CA285F" w:rsidRDefault="00182DB5" w:rsidP="00182DB5">
      <w:pPr>
        <w:pStyle w:val="Subheader"/>
        <w:rPr>
          <w:color w:val="auto"/>
        </w:rPr>
      </w:pPr>
      <w:r w:rsidRPr="00CA285F">
        <w:rPr>
          <w:color w:val="auto"/>
          <w:sz w:val="20"/>
          <w:szCs w:val="20"/>
        </w:rPr>
        <w:t>Irrigation district</w:t>
      </w:r>
    </w:p>
    <w:p w14:paraId="6BA7DD43" w14:textId="7BC43B25" w:rsidR="00182DB5" w:rsidRPr="00CA285F" w:rsidRDefault="00182DB5" w:rsidP="00182DB5">
      <w:pPr>
        <w:pStyle w:val="Body"/>
        <w:spacing w:after="57"/>
        <w:rPr>
          <w:color w:val="auto"/>
        </w:rPr>
      </w:pPr>
      <w:r w:rsidRPr="00CA285F">
        <w:rPr>
          <w:color w:val="auto"/>
        </w:rPr>
        <w:t xml:space="preserve">An area declared under the </w:t>
      </w:r>
      <w:r w:rsidRPr="00CA285F">
        <w:rPr>
          <w:i/>
          <w:iCs/>
        </w:rPr>
        <w:t>Water Act 1989</w:t>
      </w:r>
      <w:r w:rsidRPr="00CA285F">
        <w:rPr>
          <w:color w:val="auto"/>
        </w:rPr>
        <w:t xml:space="preserve"> that is supplied with water by channels and pipelines used mainly for irrigation purposes.</w:t>
      </w:r>
    </w:p>
    <w:p w14:paraId="21E051D2" w14:textId="77777777" w:rsidR="00182DB5" w:rsidRPr="00CA285F" w:rsidRDefault="00182DB5" w:rsidP="00182DB5">
      <w:pPr>
        <w:pStyle w:val="Subheader"/>
        <w:rPr>
          <w:color w:val="auto"/>
        </w:rPr>
      </w:pPr>
      <w:r w:rsidRPr="00CA285F">
        <w:rPr>
          <w:color w:val="auto"/>
          <w:sz w:val="20"/>
          <w:szCs w:val="20"/>
        </w:rPr>
        <w:t xml:space="preserve">Liveability </w:t>
      </w:r>
    </w:p>
    <w:p w14:paraId="35AFB025" w14:textId="77777777" w:rsidR="00182DB5" w:rsidRPr="00CA285F" w:rsidRDefault="00182DB5" w:rsidP="00182DB5">
      <w:pPr>
        <w:pStyle w:val="Body"/>
        <w:spacing w:after="57"/>
        <w:rPr>
          <w:color w:val="auto"/>
        </w:rPr>
      </w:pPr>
      <w:r w:rsidRPr="00CA285F">
        <w:rPr>
          <w:color w:val="auto"/>
        </w:rPr>
        <w:t>A measure of a city’s residents’ quality of life, used to benchmark cities around the world. It includes socioeconomic, environmental, transport and recreational measures.</w:t>
      </w:r>
    </w:p>
    <w:p w14:paraId="308216B1" w14:textId="77777777" w:rsidR="00182DB5" w:rsidRPr="00CA285F" w:rsidRDefault="00182DB5" w:rsidP="00182DB5">
      <w:pPr>
        <w:pStyle w:val="Subheader"/>
        <w:rPr>
          <w:color w:val="auto"/>
        </w:rPr>
      </w:pPr>
      <w:r w:rsidRPr="00CA285F">
        <w:rPr>
          <w:color w:val="auto"/>
          <w:sz w:val="20"/>
          <w:szCs w:val="20"/>
        </w:rPr>
        <w:t xml:space="preserve">Megalitre (ML) </w:t>
      </w:r>
    </w:p>
    <w:p w14:paraId="29F56F1C" w14:textId="52EAD629" w:rsidR="00182DB5" w:rsidRPr="00CA285F" w:rsidRDefault="00182DB5" w:rsidP="00CA285F">
      <w:pPr>
        <w:pStyle w:val="Body"/>
        <w:spacing w:after="57"/>
        <w:rPr>
          <w:color w:val="auto"/>
        </w:rPr>
      </w:pPr>
      <w:r w:rsidRPr="00CA285F">
        <w:rPr>
          <w:color w:val="auto"/>
        </w:rPr>
        <w:t xml:space="preserve">One million (1,000,000) litres. </w:t>
      </w:r>
    </w:p>
    <w:p w14:paraId="5511886B" w14:textId="77777777" w:rsidR="00182DB5" w:rsidRPr="00CA285F" w:rsidRDefault="00182DB5" w:rsidP="00182DB5">
      <w:pPr>
        <w:pStyle w:val="Subheader"/>
        <w:rPr>
          <w:color w:val="auto"/>
        </w:rPr>
      </w:pPr>
      <w:r w:rsidRPr="00CA285F">
        <w:rPr>
          <w:color w:val="auto"/>
          <w:sz w:val="20"/>
          <w:szCs w:val="20"/>
        </w:rPr>
        <w:t xml:space="preserve">National employment and innovation clusters (NEIC) </w:t>
      </w:r>
    </w:p>
    <w:p w14:paraId="1CAB4E9C" w14:textId="08005092" w:rsidR="00182DB5" w:rsidRPr="00CA285F" w:rsidRDefault="00182DB5" w:rsidP="00182DB5">
      <w:pPr>
        <w:pStyle w:val="Body"/>
        <w:spacing w:after="57"/>
        <w:rPr>
          <w:color w:val="auto"/>
        </w:rPr>
      </w:pPr>
      <w:r w:rsidRPr="00CA285F">
        <w:rPr>
          <w:color w:val="auto"/>
        </w:rPr>
        <w:t>Designated concentrations of employment distinguished by a strong core of nationally significant knowledge sector businesses and institutions that make a major contribution to the national economy and Melbourne’s positioning in the global economy.</w:t>
      </w:r>
    </w:p>
    <w:p w14:paraId="72F37310" w14:textId="77777777" w:rsidR="00182DB5" w:rsidRPr="00CA285F" w:rsidRDefault="00182DB5" w:rsidP="00182DB5">
      <w:pPr>
        <w:pStyle w:val="Subheader"/>
        <w:rPr>
          <w:color w:val="auto"/>
        </w:rPr>
      </w:pPr>
      <w:r w:rsidRPr="00CA285F">
        <w:rPr>
          <w:color w:val="auto"/>
          <w:sz w:val="20"/>
          <w:szCs w:val="20"/>
        </w:rPr>
        <w:t xml:space="preserve">Open space </w:t>
      </w:r>
    </w:p>
    <w:p w14:paraId="00921617" w14:textId="027BC9A7" w:rsidR="00182DB5" w:rsidRPr="00CA285F" w:rsidRDefault="00182DB5" w:rsidP="00182DB5">
      <w:pPr>
        <w:pStyle w:val="Body"/>
        <w:spacing w:after="57"/>
        <w:rPr>
          <w:color w:val="auto"/>
        </w:rPr>
      </w:pPr>
      <w:r w:rsidRPr="00CA285F">
        <w:rPr>
          <w:color w:val="auto"/>
        </w:rPr>
        <w:t>Includes land reserved for natural landscape, parklands, recreation and active sports</w:t>
      </w:r>
      <w:r w:rsidR="00CA285F">
        <w:rPr>
          <w:color w:val="auto"/>
        </w:rPr>
        <w:t>.</w:t>
      </w:r>
    </w:p>
    <w:p w14:paraId="7F662BC5" w14:textId="77777777" w:rsidR="00182DB5" w:rsidRPr="00CA285F" w:rsidRDefault="00182DB5" w:rsidP="00182DB5">
      <w:pPr>
        <w:pStyle w:val="Subheader"/>
        <w:rPr>
          <w:color w:val="auto"/>
        </w:rPr>
      </w:pPr>
      <w:r w:rsidRPr="00CA285F">
        <w:rPr>
          <w:color w:val="auto"/>
          <w:sz w:val="20"/>
          <w:szCs w:val="20"/>
        </w:rPr>
        <w:t xml:space="preserve">Potable </w:t>
      </w:r>
    </w:p>
    <w:p w14:paraId="0DAA2659" w14:textId="77777777" w:rsidR="00182DB5" w:rsidRPr="00CA285F" w:rsidRDefault="00182DB5" w:rsidP="00182DB5">
      <w:pPr>
        <w:pStyle w:val="Body"/>
        <w:spacing w:after="57"/>
        <w:rPr>
          <w:color w:val="auto"/>
        </w:rPr>
      </w:pPr>
      <w:r w:rsidRPr="00CA285F">
        <w:rPr>
          <w:color w:val="auto"/>
        </w:rPr>
        <w:t>Water of suitable quality for drinking.</w:t>
      </w:r>
    </w:p>
    <w:p w14:paraId="66EBCE3F" w14:textId="77777777" w:rsidR="00182DB5" w:rsidRPr="00CA285F" w:rsidRDefault="00182DB5" w:rsidP="00182DB5">
      <w:pPr>
        <w:pStyle w:val="Subheader"/>
        <w:rPr>
          <w:color w:val="auto"/>
        </w:rPr>
      </w:pPr>
      <w:r w:rsidRPr="00CA285F">
        <w:rPr>
          <w:color w:val="auto"/>
          <w:sz w:val="20"/>
          <w:szCs w:val="20"/>
        </w:rPr>
        <w:t xml:space="preserve">Rainwater </w:t>
      </w:r>
    </w:p>
    <w:p w14:paraId="7F542A9D" w14:textId="61F3BEB1" w:rsidR="00182DB5" w:rsidRPr="00CA285F" w:rsidRDefault="00182DB5" w:rsidP="00182DB5">
      <w:pPr>
        <w:pStyle w:val="Body"/>
        <w:spacing w:after="57"/>
        <w:rPr>
          <w:color w:val="auto"/>
        </w:rPr>
      </w:pPr>
      <w:r w:rsidRPr="00CA285F">
        <w:rPr>
          <w:color w:val="auto"/>
        </w:rPr>
        <w:t>Water that has fallen as rain or has been collected from rainfall.</w:t>
      </w:r>
    </w:p>
    <w:p w14:paraId="1C185C38" w14:textId="77777777" w:rsidR="00182DB5" w:rsidRPr="00CA285F" w:rsidRDefault="00182DB5" w:rsidP="00182DB5">
      <w:pPr>
        <w:pStyle w:val="Subheader"/>
        <w:rPr>
          <w:color w:val="auto"/>
        </w:rPr>
      </w:pPr>
      <w:r w:rsidRPr="00CA285F">
        <w:rPr>
          <w:color w:val="auto"/>
          <w:sz w:val="20"/>
          <w:szCs w:val="20"/>
        </w:rPr>
        <w:t xml:space="preserve">Recycled water </w:t>
      </w:r>
    </w:p>
    <w:p w14:paraId="6D969739" w14:textId="646C7667" w:rsidR="00182DB5" w:rsidRPr="00CA285F" w:rsidRDefault="00182DB5" w:rsidP="00182DB5">
      <w:pPr>
        <w:pStyle w:val="Body"/>
        <w:spacing w:after="57"/>
        <w:rPr>
          <w:color w:val="auto"/>
        </w:rPr>
      </w:pPr>
      <w:r w:rsidRPr="00CA285F">
        <w:rPr>
          <w:color w:val="auto"/>
        </w:rPr>
        <w:t>Water derived from sewerage systems or industry processes that is treated to a standard appropriate for its intended use.</w:t>
      </w:r>
    </w:p>
    <w:p w14:paraId="6567E316" w14:textId="77777777" w:rsidR="00182DB5" w:rsidRPr="00CA285F" w:rsidRDefault="00182DB5" w:rsidP="00182DB5">
      <w:pPr>
        <w:pStyle w:val="Subheader"/>
        <w:rPr>
          <w:color w:val="auto"/>
        </w:rPr>
      </w:pPr>
      <w:r w:rsidRPr="00CA285F">
        <w:rPr>
          <w:color w:val="auto"/>
          <w:sz w:val="20"/>
          <w:szCs w:val="20"/>
        </w:rPr>
        <w:t xml:space="preserve">Reservoir </w:t>
      </w:r>
    </w:p>
    <w:p w14:paraId="5D7FB99A" w14:textId="1EAA92F1" w:rsidR="00182DB5" w:rsidRPr="00CA285F" w:rsidRDefault="00182DB5" w:rsidP="00182DB5">
      <w:pPr>
        <w:pStyle w:val="Body"/>
        <w:spacing w:after="57"/>
        <w:rPr>
          <w:color w:val="auto"/>
        </w:rPr>
      </w:pPr>
      <w:r w:rsidRPr="00CA285F">
        <w:rPr>
          <w:color w:val="auto"/>
        </w:rPr>
        <w:t>Natural or artificial dam or lake used for the storage and regulation of water.</w:t>
      </w:r>
    </w:p>
    <w:p w14:paraId="08003765" w14:textId="77777777" w:rsidR="00182DB5" w:rsidRPr="00CA285F" w:rsidRDefault="00182DB5" w:rsidP="00182DB5">
      <w:pPr>
        <w:pStyle w:val="Subheader"/>
        <w:rPr>
          <w:color w:val="auto"/>
        </w:rPr>
      </w:pPr>
      <w:r w:rsidRPr="00CA285F">
        <w:rPr>
          <w:color w:val="auto"/>
          <w:sz w:val="20"/>
          <w:szCs w:val="20"/>
        </w:rPr>
        <w:t xml:space="preserve">Resilience </w:t>
      </w:r>
    </w:p>
    <w:p w14:paraId="0B59C721" w14:textId="2DFBC562" w:rsidR="00182DB5" w:rsidRPr="00CA285F" w:rsidRDefault="00182DB5" w:rsidP="00182DB5">
      <w:pPr>
        <w:pStyle w:val="Body"/>
        <w:spacing w:after="57"/>
        <w:rPr>
          <w:color w:val="auto"/>
        </w:rPr>
      </w:pPr>
      <w:r w:rsidRPr="00CA285F">
        <w:rPr>
          <w:color w:val="auto"/>
        </w:rPr>
        <w:t xml:space="preserve">The capacity of individuals, communities, institutions, businesses, </w:t>
      </w:r>
      <w:r w:rsidRPr="00CA285F">
        <w:rPr>
          <w:color w:val="auto"/>
          <w:spacing w:val="-2"/>
        </w:rPr>
        <w:t>systems and infrastructure to survive,</w:t>
      </w:r>
      <w:r w:rsidR="00CA285F" w:rsidRPr="00CA285F">
        <w:rPr>
          <w:color w:val="auto"/>
        </w:rPr>
        <w:t xml:space="preserve"> </w:t>
      </w:r>
      <w:r w:rsidRPr="00CA285F">
        <w:rPr>
          <w:color w:val="auto"/>
        </w:rPr>
        <w:t>adapt and grow, no matter what chronic stresses or shocks they encounter.</w:t>
      </w:r>
    </w:p>
    <w:p w14:paraId="05D1286E" w14:textId="77777777" w:rsidR="00182DB5" w:rsidRPr="00CA285F" w:rsidRDefault="00182DB5" w:rsidP="00182DB5">
      <w:pPr>
        <w:pStyle w:val="Subheader"/>
        <w:rPr>
          <w:color w:val="auto"/>
        </w:rPr>
      </w:pPr>
      <w:r w:rsidRPr="00CA285F">
        <w:rPr>
          <w:color w:val="auto"/>
          <w:sz w:val="20"/>
          <w:szCs w:val="20"/>
        </w:rPr>
        <w:t>Runoff</w:t>
      </w:r>
    </w:p>
    <w:p w14:paraId="4408B09E" w14:textId="47215DAC" w:rsidR="00182DB5" w:rsidRPr="00CA285F" w:rsidRDefault="00182DB5" w:rsidP="00182DB5">
      <w:pPr>
        <w:pStyle w:val="Body"/>
        <w:spacing w:after="57"/>
        <w:rPr>
          <w:color w:val="auto"/>
        </w:rPr>
      </w:pPr>
      <w:r w:rsidRPr="00CA285F">
        <w:rPr>
          <w:color w:val="auto"/>
        </w:rPr>
        <w:t xml:space="preserve">The portion of rainfall which actually ends up as streamflow, also known as rainfall excess. </w:t>
      </w:r>
    </w:p>
    <w:p w14:paraId="21EA3F35" w14:textId="77777777" w:rsidR="00182DB5" w:rsidRPr="00CA285F" w:rsidRDefault="00182DB5" w:rsidP="00182DB5">
      <w:pPr>
        <w:pStyle w:val="Subheader"/>
        <w:rPr>
          <w:color w:val="auto"/>
        </w:rPr>
      </w:pPr>
      <w:r w:rsidRPr="00CA285F">
        <w:rPr>
          <w:color w:val="auto"/>
          <w:sz w:val="20"/>
          <w:szCs w:val="20"/>
        </w:rPr>
        <w:t xml:space="preserve">State-significant industrial precincts (SSIP) </w:t>
      </w:r>
    </w:p>
    <w:p w14:paraId="3287A434" w14:textId="637E32B5" w:rsidR="00182DB5" w:rsidRPr="00CA285F" w:rsidRDefault="00182DB5" w:rsidP="00182DB5">
      <w:pPr>
        <w:pStyle w:val="Body"/>
        <w:spacing w:after="57"/>
        <w:rPr>
          <w:color w:val="auto"/>
        </w:rPr>
      </w:pPr>
      <w:r w:rsidRPr="00CA285F">
        <w:rPr>
          <w:color w:val="auto"/>
        </w:rPr>
        <w:t>Strategically located land available for major industrial development linked to the Principal Freight Network and transport gateways.</w:t>
      </w:r>
    </w:p>
    <w:p w14:paraId="18B33177" w14:textId="77777777" w:rsidR="00182DB5" w:rsidRPr="00CA285F" w:rsidRDefault="00182DB5" w:rsidP="00182DB5">
      <w:pPr>
        <w:pStyle w:val="Subheader"/>
        <w:rPr>
          <w:color w:val="auto"/>
        </w:rPr>
      </w:pPr>
      <w:r w:rsidRPr="00CA285F">
        <w:rPr>
          <w:color w:val="auto"/>
          <w:sz w:val="20"/>
          <w:szCs w:val="20"/>
        </w:rPr>
        <w:t xml:space="preserve">Stormwater </w:t>
      </w:r>
    </w:p>
    <w:p w14:paraId="68F730A8" w14:textId="5E99470B" w:rsidR="00182DB5" w:rsidRPr="00CA285F" w:rsidRDefault="00182DB5" w:rsidP="00CA285F">
      <w:pPr>
        <w:pStyle w:val="Body"/>
        <w:spacing w:after="57"/>
        <w:rPr>
          <w:color w:val="auto"/>
        </w:rPr>
      </w:pPr>
      <w:r w:rsidRPr="00CA285F">
        <w:rPr>
          <w:color w:val="auto"/>
        </w:rPr>
        <w:t xml:space="preserve">Runoff from urban areas. The net increase in runoff and decrease in groundwater recharge resulting from the introduction of impervious surfaces such as roofs and roads within urban development. </w:t>
      </w:r>
    </w:p>
    <w:p w14:paraId="4D109204" w14:textId="77777777" w:rsidR="00182DB5" w:rsidRPr="00CA285F" w:rsidRDefault="00182DB5" w:rsidP="00182DB5">
      <w:pPr>
        <w:pStyle w:val="Subheader"/>
        <w:rPr>
          <w:color w:val="auto"/>
        </w:rPr>
      </w:pPr>
      <w:r w:rsidRPr="00CA285F">
        <w:rPr>
          <w:color w:val="auto"/>
          <w:sz w:val="20"/>
          <w:szCs w:val="20"/>
        </w:rPr>
        <w:t>Stormwater flooding</w:t>
      </w:r>
    </w:p>
    <w:p w14:paraId="0FBE7461" w14:textId="4EEB5CC9" w:rsidR="00182DB5" w:rsidRDefault="00182DB5" w:rsidP="00182DB5">
      <w:pPr>
        <w:pStyle w:val="Body"/>
        <w:spacing w:after="57"/>
        <w:rPr>
          <w:color w:val="auto"/>
        </w:rPr>
      </w:pPr>
      <w:r w:rsidRPr="00CA285F">
        <w:rPr>
          <w:color w:val="auto"/>
        </w:rPr>
        <w:lastRenderedPageBreak/>
        <w:t>Inundation by local runoff. Stormwater flooding can be caused by local runoff exceeding the capacity of an urban stormwater drainage system or by the backwater effects of mainstream flooding causing the urban stormwater drainage system to overflow.</w:t>
      </w:r>
    </w:p>
    <w:p w14:paraId="36535A25" w14:textId="0A92D5A0" w:rsidR="00385BEA" w:rsidRPr="00744FD1" w:rsidRDefault="00385BEA" w:rsidP="00182DB5">
      <w:pPr>
        <w:pStyle w:val="Body"/>
        <w:spacing w:after="57"/>
        <w:rPr>
          <w:b/>
          <w:bCs/>
          <w:color w:val="auto"/>
        </w:rPr>
      </w:pPr>
      <w:r w:rsidRPr="00744FD1">
        <w:rPr>
          <w:b/>
          <w:bCs/>
          <w:color w:val="auto"/>
        </w:rPr>
        <w:t>Sub-catchment</w:t>
      </w:r>
    </w:p>
    <w:p w14:paraId="3E1A0A1B" w14:textId="3E0F3BD8" w:rsidR="00385BEA" w:rsidRPr="00CA285F" w:rsidRDefault="00385BEA" w:rsidP="00182DB5">
      <w:pPr>
        <w:pStyle w:val="Body"/>
        <w:spacing w:after="57"/>
        <w:rPr>
          <w:color w:val="auto"/>
        </w:rPr>
      </w:pPr>
      <w:r>
        <w:rPr>
          <w:color w:val="auto"/>
        </w:rPr>
        <w:t xml:space="preserve">A minor waterway catchment within one of the major waterway catchments in the region. There are 69 sub-catchments defined by the Healthy Waterways Strategy (Melbourne Water, 2018) in the Port Phillip Bay and Western Port Region, which are used as the spatial </w:t>
      </w:r>
      <w:r w:rsidR="00CB4C73">
        <w:rPr>
          <w:color w:val="auto"/>
        </w:rPr>
        <w:t>unit</w:t>
      </w:r>
      <w:r>
        <w:rPr>
          <w:color w:val="auto"/>
        </w:rPr>
        <w:t xml:space="preserve"> for the Plan analysis.</w:t>
      </w:r>
    </w:p>
    <w:p w14:paraId="371FFDF0" w14:textId="77777777" w:rsidR="00182DB5" w:rsidRPr="00CA285F" w:rsidRDefault="00182DB5" w:rsidP="00182DB5">
      <w:pPr>
        <w:pStyle w:val="Subheader"/>
        <w:rPr>
          <w:color w:val="auto"/>
        </w:rPr>
      </w:pPr>
      <w:r w:rsidRPr="00CA285F">
        <w:rPr>
          <w:color w:val="auto"/>
          <w:sz w:val="20"/>
          <w:szCs w:val="20"/>
        </w:rPr>
        <w:t>Traditional Owners</w:t>
      </w:r>
    </w:p>
    <w:p w14:paraId="615DA904" w14:textId="77777777" w:rsidR="00182DB5" w:rsidRPr="00CA285F" w:rsidRDefault="00182DB5" w:rsidP="00182DB5">
      <w:pPr>
        <w:pStyle w:val="Body"/>
        <w:spacing w:after="57"/>
        <w:rPr>
          <w:color w:val="auto"/>
        </w:rPr>
      </w:pPr>
      <w:r w:rsidRPr="00CA285F">
        <w:rPr>
          <w:color w:val="auto"/>
        </w:rPr>
        <w:t>People who, through membership of a descent group or clan, are responsible for caring for Country. Aboriginal people with knowledge about traditions, observances, customs or beliefs associated with a particular area. A Traditional Owner is authorised to speak for Country and its heritage.</w:t>
      </w:r>
    </w:p>
    <w:p w14:paraId="6129ED92" w14:textId="77777777" w:rsidR="00182DB5" w:rsidRPr="00CA285F" w:rsidRDefault="00182DB5" w:rsidP="00182DB5">
      <w:pPr>
        <w:pStyle w:val="Subheader"/>
        <w:rPr>
          <w:color w:val="auto"/>
          <w:sz w:val="20"/>
          <w:szCs w:val="20"/>
        </w:rPr>
      </w:pPr>
      <w:r w:rsidRPr="00CA285F">
        <w:rPr>
          <w:color w:val="auto"/>
          <w:sz w:val="20"/>
          <w:szCs w:val="20"/>
        </w:rPr>
        <w:t xml:space="preserve">Urban greening </w:t>
      </w:r>
    </w:p>
    <w:p w14:paraId="208BE231" w14:textId="5B2C8F52" w:rsidR="00182DB5" w:rsidRPr="00CA285F" w:rsidRDefault="00182DB5" w:rsidP="00182DB5">
      <w:pPr>
        <w:pStyle w:val="Body"/>
        <w:spacing w:after="57"/>
        <w:rPr>
          <w:color w:val="auto"/>
        </w:rPr>
      </w:pPr>
      <w:r w:rsidRPr="00CA285F">
        <w:rPr>
          <w:color w:val="auto"/>
        </w:rPr>
        <w:t xml:space="preserve">Growing plants wherever possible in cities to contribute to urban vegetation </w:t>
      </w:r>
      <w:r w:rsidR="008F6D67" w:rsidRPr="00CA285F">
        <w:rPr>
          <w:color w:val="auto"/>
        </w:rPr>
        <w:t>coverage and</w:t>
      </w:r>
      <w:r w:rsidRPr="00CA285F">
        <w:rPr>
          <w:color w:val="auto"/>
        </w:rPr>
        <w:t xml:space="preserve"> providing a connection to nature.</w:t>
      </w:r>
    </w:p>
    <w:p w14:paraId="317137B6" w14:textId="3EF01996" w:rsidR="00182DB5" w:rsidRPr="00CA285F" w:rsidRDefault="00182DB5" w:rsidP="00182DB5">
      <w:pPr>
        <w:pStyle w:val="Subheader"/>
        <w:rPr>
          <w:color w:val="auto"/>
        </w:rPr>
      </w:pPr>
      <w:r w:rsidRPr="00CA285F">
        <w:rPr>
          <w:color w:val="auto"/>
          <w:sz w:val="20"/>
          <w:szCs w:val="20"/>
        </w:rPr>
        <w:t>Urban heat</w:t>
      </w:r>
      <w:r w:rsidR="00CA285F" w:rsidRPr="00CA285F">
        <w:rPr>
          <w:color w:val="auto"/>
          <w:sz w:val="20"/>
          <w:szCs w:val="20"/>
        </w:rPr>
        <w:t xml:space="preserve"> </w:t>
      </w:r>
      <w:r w:rsidRPr="00CA285F">
        <w:rPr>
          <w:color w:val="auto"/>
          <w:sz w:val="20"/>
          <w:szCs w:val="20"/>
        </w:rPr>
        <w:t xml:space="preserve">island effect </w:t>
      </w:r>
    </w:p>
    <w:p w14:paraId="5AD2FDB9" w14:textId="2C3BF552" w:rsidR="00182DB5" w:rsidRPr="00CA285F" w:rsidRDefault="00182DB5" w:rsidP="00CA285F">
      <w:pPr>
        <w:pStyle w:val="Body"/>
        <w:spacing w:after="57"/>
        <w:rPr>
          <w:color w:val="auto"/>
        </w:rPr>
      </w:pPr>
      <w:r w:rsidRPr="00CA285F">
        <w:rPr>
          <w:color w:val="auto"/>
        </w:rPr>
        <w:t>When the built environment absorbs, traps, and in some cases directly emits heat, causing urban areas to be significantly warmer than surrounding non-urban areas.</w:t>
      </w:r>
    </w:p>
    <w:p w14:paraId="6B5C7FDD" w14:textId="77777777" w:rsidR="00182DB5" w:rsidRPr="007D5A4E" w:rsidRDefault="00182DB5" w:rsidP="00182DB5">
      <w:pPr>
        <w:pStyle w:val="Subheader"/>
        <w:rPr>
          <w:color w:val="auto"/>
        </w:rPr>
      </w:pPr>
      <w:r w:rsidRPr="007D5A4E">
        <w:rPr>
          <w:color w:val="auto"/>
          <w:sz w:val="20"/>
          <w:szCs w:val="20"/>
        </w:rPr>
        <w:t xml:space="preserve">Urban renewal </w:t>
      </w:r>
    </w:p>
    <w:p w14:paraId="56A2436F" w14:textId="61ECB05B" w:rsidR="00182DB5" w:rsidRPr="007D5A4E" w:rsidRDefault="00182DB5" w:rsidP="00182DB5">
      <w:pPr>
        <w:pStyle w:val="Body"/>
        <w:spacing w:after="57"/>
        <w:rPr>
          <w:color w:val="auto"/>
        </w:rPr>
      </w:pPr>
      <w:r w:rsidRPr="007D5A4E">
        <w:rPr>
          <w:color w:val="auto"/>
          <w:spacing w:val="-1"/>
        </w:rPr>
        <w:t>The process of planning and redeveloping underutilised medium and large-scale urban areas, precincts or sites for mixed land-use purposes.</w:t>
      </w:r>
    </w:p>
    <w:p w14:paraId="2A01E6CC" w14:textId="77777777" w:rsidR="00182DB5" w:rsidRPr="007D5A4E" w:rsidRDefault="00182DB5" w:rsidP="00182DB5">
      <w:pPr>
        <w:pStyle w:val="Subheader"/>
        <w:rPr>
          <w:color w:val="auto"/>
        </w:rPr>
      </w:pPr>
      <w:r w:rsidRPr="007D5A4E">
        <w:rPr>
          <w:color w:val="auto"/>
          <w:sz w:val="20"/>
          <w:szCs w:val="20"/>
        </w:rPr>
        <w:t xml:space="preserve">Urban water cycle </w:t>
      </w:r>
    </w:p>
    <w:p w14:paraId="25FFE20C" w14:textId="77777777" w:rsidR="00182DB5" w:rsidRPr="007D5A4E" w:rsidRDefault="00182DB5" w:rsidP="00182DB5">
      <w:pPr>
        <w:pStyle w:val="Body"/>
        <w:spacing w:after="57"/>
        <w:rPr>
          <w:color w:val="auto"/>
        </w:rPr>
      </w:pPr>
      <w:r w:rsidRPr="007D5A4E">
        <w:rPr>
          <w:color w:val="auto"/>
          <w:spacing w:val="2"/>
        </w:rPr>
        <w:t xml:space="preserve">The cycle of water through urban environments. Distinguished from the natural urban water cycle by the transfer of water through built </w:t>
      </w:r>
      <w:r w:rsidRPr="007D5A4E">
        <w:rPr>
          <w:color w:val="auto"/>
        </w:rPr>
        <w:t xml:space="preserve">infrastructure and the high runoff rates generated by impervious surfaces. </w:t>
      </w:r>
    </w:p>
    <w:p w14:paraId="5AA404AA" w14:textId="77777777" w:rsidR="00182DB5" w:rsidRPr="007D5A4E" w:rsidRDefault="00182DB5" w:rsidP="00182DB5">
      <w:pPr>
        <w:pStyle w:val="Subheader"/>
        <w:rPr>
          <w:color w:val="auto"/>
        </w:rPr>
      </w:pPr>
      <w:r w:rsidRPr="007D5A4E">
        <w:rPr>
          <w:color w:val="auto"/>
          <w:sz w:val="20"/>
          <w:szCs w:val="20"/>
        </w:rPr>
        <w:t xml:space="preserve">Wastewater </w:t>
      </w:r>
    </w:p>
    <w:p w14:paraId="6153C473" w14:textId="3B6F66EF" w:rsidR="00182DB5" w:rsidRPr="007D5A4E" w:rsidRDefault="00182DB5" w:rsidP="00182DB5">
      <w:pPr>
        <w:pStyle w:val="Body"/>
        <w:spacing w:after="57"/>
        <w:rPr>
          <w:color w:val="auto"/>
        </w:rPr>
      </w:pPr>
      <w:r w:rsidRPr="007D5A4E">
        <w:rPr>
          <w:color w:val="auto"/>
          <w:spacing w:val="2"/>
        </w:rPr>
        <w:t>Water that has had its quality affected by human influence, deriving from industrial, domestic,</w:t>
      </w:r>
      <w:r w:rsidRPr="007D5A4E">
        <w:rPr>
          <w:color w:val="auto"/>
        </w:rPr>
        <w:t xml:space="preserve"> agricultural or commercial activities.</w:t>
      </w:r>
    </w:p>
    <w:p w14:paraId="65A44FAF" w14:textId="77777777" w:rsidR="00182DB5" w:rsidRPr="007D5A4E" w:rsidRDefault="00182DB5" w:rsidP="00182DB5">
      <w:pPr>
        <w:pStyle w:val="Subheader"/>
        <w:rPr>
          <w:color w:val="auto"/>
        </w:rPr>
      </w:pPr>
      <w:r w:rsidRPr="007D5A4E">
        <w:rPr>
          <w:color w:val="auto"/>
          <w:sz w:val="20"/>
          <w:szCs w:val="20"/>
        </w:rPr>
        <w:t xml:space="preserve">Water corporations </w:t>
      </w:r>
    </w:p>
    <w:p w14:paraId="6B91D998" w14:textId="77777777" w:rsidR="00182DB5" w:rsidRPr="007D5A4E" w:rsidRDefault="00182DB5" w:rsidP="00182DB5">
      <w:pPr>
        <w:pStyle w:val="Body"/>
        <w:spacing w:after="57"/>
        <w:rPr>
          <w:color w:val="auto"/>
        </w:rPr>
      </w:pPr>
      <w:r w:rsidRPr="007D5A4E">
        <w:rPr>
          <w:color w:val="auto"/>
        </w:rPr>
        <w:t xml:space="preserve">Victorian Government organisations charged with supplying water to urban and rural water users. They administer the diversion of water from waterways and the extraction of groundwater. Formerly known as water authorities. </w:t>
      </w:r>
    </w:p>
    <w:p w14:paraId="55558112" w14:textId="77777777" w:rsidR="00182DB5" w:rsidRPr="007D5A4E" w:rsidRDefault="00182DB5" w:rsidP="00182DB5">
      <w:pPr>
        <w:pStyle w:val="Subheader"/>
        <w:rPr>
          <w:color w:val="auto"/>
        </w:rPr>
      </w:pPr>
      <w:r w:rsidRPr="007D5A4E">
        <w:rPr>
          <w:color w:val="auto"/>
          <w:sz w:val="20"/>
          <w:szCs w:val="20"/>
        </w:rPr>
        <w:t>Water infrastructure</w:t>
      </w:r>
    </w:p>
    <w:p w14:paraId="1FCD7B88" w14:textId="3500C405" w:rsidR="00182DB5" w:rsidRPr="00EA1C26" w:rsidRDefault="00182DB5" w:rsidP="00182DB5">
      <w:pPr>
        <w:pStyle w:val="Body"/>
        <w:spacing w:after="57"/>
        <w:rPr>
          <w:color w:val="FF0000"/>
        </w:rPr>
      </w:pPr>
      <w:r w:rsidRPr="007D5A4E">
        <w:rPr>
          <w:color w:val="auto"/>
        </w:rPr>
        <w:t>Facilities, services and installations needed for the functioning of a water system.</w:t>
      </w:r>
    </w:p>
    <w:p w14:paraId="35737543" w14:textId="1CC27646" w:rsidR="00182DB5" w:rsidRPr="007D5A4E" w:rsidRDefault="00182DB5" w:rsidP="00182DB5">
      <w:pPr>
        <w:pStyle w:val="Subheader"/>
        <w:rPr>
          <w:color w:val="auto"/>
        </w:rPr>
      </w:pPr>
      <w:r w:rsidRPr="007D5A4E">
        <w:rPr>
          <w:color w:val="auto"/>
          <w:sz w:val="20"/>
          <w:szCs w:val="20"/>
        </w:rPr>
        <w:t>Water sector</w:t>
      </w:r>
    </w:p>
    <w:p w14:paraId="296663FB" w14:textId="5E70B3D2" w:rsidR="00182DB5" w:rsidRPr="007D5A4E" w:rsidRDefault="00182DB5" w:rsidP="00182DB5">
      <w:pPr>
        <w:pStyle w:val="Body"/>
        <w:rPr>
          <w:color w:val="auto"/>
        </w:rPr>
      </w:pPr>
      <w:r w:rsidRPr="007D5A4E">
        <w:rPr>
          <w:color w:val="auto"/>
        </w:rPr>
        <w:t>Organisations involved in water management, including water corporations, local government and catchment</w:t>
      </w:r>
      <w:r w:rsidR="007D5A4E">
        <w:rPr>
          <w:color w:val="auto"/>
        </w:rPr>
        <w:t xml:space="preserve"> </w:t>
      </w:r>
      <w:r w:rsidRPr="007D5A4E">
        <w:rPr>
          <w:color w:val="auto"/>
        </w:rPr>
        <w:t xml:space="preserve">management authorities. </w:t>
      </w:r>
    </w:p>
    <w:p w14:paraId="7C5E2240" w14:textId="77777777" w:rsidR="00182DB5" w:rsidRPr="007D5A4E" w:rsidRDefault="00182DB5" w:rsidP="00182DB5">
      <w:pPr>
        <w:pStyle w:val="Subheader"/>
        <w:rPr>
          <w:color w:val="auto"/>
        </w:rPr>
      </w:pPr>
      <w:r w:rsidRPr="007D5A4E">
        <w:rPr>
          <w:color w:val="auto"/>
          <w:sz w:val="20"/>
          <w:szCs w:val="20"/>
        </w:rPr>
        <w:t xml:space="preserve">Waterways </w:t>
      </w:r>
    </w:p>
    <w:p w14:paraId="4254F559" w14:textId="1A4990CF" w:rsidR="00182DB5" w:rsidRPr="007D5A4E" w:rsidRDefault="00182DB5" w:rsidP="00182DB5">
      <w:pPr>
        <w:pStyle w:val="Body"/>
        <w:spacing w:after="57"/>
        <w:rPr>
          <w:color w:val="auto"/>
        </w:rPr>
      </w:pPr>
      <w:r w:rsidRPr="007D5A4E">
        <w:rPr>
          <w:color w:val="auto"/>
        </w:rPr>
        <w:t>Rivers and streams, their associated estuaries and floodplains (including floodplain wetlands)</w:t>
      </w:r>
      <w:r w:rsidR="007D5A4E" w:rsidRPr="007D5A4E">
        <w:rPr>
          <w:color w:val="auto"/>
        </w:rPr>
        <w:t xml:space="preserve"> </w:t>
      </w:r>
      <w:r w:rsidRPr="007D5A4E">
        <w:rPr>
          <w:color w:val="auto"/>
        </w:rPr>
        <w:t>and non-riverine wetlands.</w:t>
      </w:r>
    </w:p>
    <w:p w14:paraId="50553A29" w14:textId="4E951938" w:rsidR="00182DB5" w:rsidRPr="007D5A4E" w:rsidRDefault="00182DB5" w:rsidP="00182DB5">
      <w:pPr>
        <w:pStyle w:val="Subheader"/>
        <w:rPr>
          <w:color w:val="auto"/>
        </w:rPr>
      </w:pPr>
      <w:r w:rsidRPr="007D5A4E">
        <w:rPr>
          <w:color w:val="auto"/>
          <w:sz w:val="20"/>
          <w:szCs w:val="20"/>
        </w:rPr>
        <w:t>Waterway health</w:t>
      </w:r>
    </w:p>
    <w:p w14:paraId="70A52722" w14:textId="4A74D155" w:rsidR="00182DB5" w:rsidRPr="007D5A4E" w:rsidRDefault="00182DB5" w:rsidP="00182DB5">
      <w:pPr>
        <w:pStyle w:val="Body"/>
        <w:spacing w:after="57"/>
        <w:rPr>
          <w:color w:val="auto"/>
        </w:rPr>
      </w:pPr>
      <w:r w:rsidRPr="007D5A4E">
        <w:rPr>
          <w:color w:val="auto"/>
        </w:rPr>
        <w:lastRenderedPageBreak/>
        <w:t xml:space="preserve">Waterway </w:t>
      </w:r>
      <w:r w:rsidR="007D5A4E" w:rsidRPr="007D5A4E">
        <w:rPr>
          <w:color w:val="auto"/>
        </w:rPr>
        <w:t xml:space="preserve">health </w:t>
      </w:r>
      <w:r w:rsidRPr="007D5A4E">
        <w:rPr>
          <w:color w:val="auto"/>
        </w:rPr>
        <w:t xml:space="preserve">is an umbrella term for the overall state of key features and processes that underpin functioning waterway ecosystems (such as species and communities, habitat, connectivity, water quality, riparian vegetation, physical form, and ecosystem processes such as nutrient cycling and carbon storage). </w:t>
      </w:r>
    </w:p>
    <w:p w14:paraId="0ADB474E" w14:textId="77777777" w:rsidR="00182DB5" w:rsidRPr="007D5A4E" w:rsidRDefault="00182DB5" w:rsidP="00182DB5">
      <w:pPr>
        <w:pStyle w:val="Subheader"/>
        <w:rPr>
          <w:color w:val="auto"/>
        </w:rPr>
      </w:pPr>
      <w:r w:rsidRPr="007D5A4E">
        <w:rPr>
          <w:color w:val="auto"/>
          <w:sz w:val="20"/>
          <w:szCs w:val="20"/>
        </w:rPr>
        <w:t>Wetlands</w:t>
      </w:r>
    </w:p>
    <w:p w14:paraId="194B29DE" w14:textId="35C737EA" w:rsidR="00182DB5" w:rsidRPr="007D5A4E" w:rsidRDefault="00182DB5" w:rsidP="00182DB5">
      <w:pPr>
        <w:pStyle w:val="Body"/>
        <w:rPr>
          <w:color w:val="auto"/>
        </w:rPr>
      </w:pPr>
      <w:r w:rsidRPr="007D5A4E">
        <w:rPr>
          <w:color w:val="auto"/>
        </w:rPr>
        <w:t>Areas, whether natural, modified or artificial, subject to permanent or temporary inundation, that hold static or very slow-moving water and develop, or have the potential to develop, biota adapted to inundation and the aquatic environment. Wetlands may be fresh or saline.</w:t>
      </w:r>
    </w:p>
    <w:p w14:paraId="3B2612CD" w14:textId="43B8F414" w:rsidR="00EA1C26" w:rsidRDefault="00EA1C26">
      <w:r>
        <w:br w:type="page"/>
      </w:r>
    </w:p>
    <w:p w14:paraId="7DCE394F" w14:textId="5E95BB19" w:rsidR="00EA1C26" w:rsidRDefault="00EA1C26" w:rsidP="00EA1C26">
      <w:pPr>
        <w:rPr>
          <w:rStyle w:val="Strong"/>
          <w:lang w:eastAsia="en-AU"/>
        </w:rPr>
      </w:pPr>
      <w:r>
        <w:rPr>
          <w:rStyle w:val="Strong"/>
          <w:lang w:eastAsia="en-AU"/>
        </w:rPr>
        <w:lastRenderedPageBreak/>
        <w:t>Back cover</w:t>
      </w:r>
    </w:p>
    <w:p w14:paraId="31379064" w14:textId="4C2C4AFD" w:rsidR="00EA1C26" w:rsidRDefault="00EA1C26" w:rsidP="00EA1C26">
      <w:pPr>
        <w:rPr>
          <w:rStyle w:val="Strong"/>
          <w:lang w:eastAsia="en-AU"/>
        </w:rPr>
      </w:pPr>
    </w:p>
    <w:p w14:paraId="6AD269D9" w14:textId="77777777" w:rsidR="007B2289" w:rsidRPr="00744FD1" w:rsidRDefault="007B2289" w:rsidP="007B2289">
      <w:pPr>
        <w:pStyle w:val="Body"/>
        <w:rPr>
          <w:color w:val="auto"/>
          <w:sz w:val="14"/>
          <w:szCs w:val="14"/>
        </w:rPr>
      </w:pPr>
      <w:r w:rsidRPr="00744FD1">
        <w:rPr>
          <w:rFonts w:ascii="Gilroy Bold" w:hAnsi="Gilroy Bold" w:cs="Gilroy Bold"/>
          <w:b/>
          <w:bCs/>
          <w:color w:val="auto"/>
          <w:sz w:val="14"/>
          <w:szCs w:val="14"/>
        </w:rPr>
        <w:t>Acknowledgement of Victoria’s Aboriginal communities</w:t>
      </w:r>
    </w:p>
    <w:p w14:paraId="25339D99" w14:textId="77777777" w:rsidR="007B2289" w:rsidRPr="00744FD1" w:rsidRDefault="007B2289" w:rsidP="007B2289">
      <w:pPr>
        <w:pStyle w:val="Body"/>
        <w:rPr>
          <w:color w:val="auto"/>
          <w:sz w:val="14"/>
          <w:szCs w:val="14"/>
        </w:rPr>
      </w:pPr>
      <w:r w:rsidRPr="00744FD1">
        <w:rPr>
          <w:color w:val="auto"/>
          <w:sz w:val="14"/>
          <w:szCs w:val="14"/>
        </w:rPr>
        <w:t>The Victorian Government proudly acknowledges Victoria's Aboriginal communities and their rich culture and pays its respects to their Elders past and present. The government also recognises the intrinsic connection of Traditional Owners to Country and acknowledges their contribution to the management of land, water and resources.</w:t>
      </w:r>
    </w:p>
    <w:p w14:paraId="4831C27C" w14:textId="77777777" w:rsidR="007B2289" w:rsidRPr="00744FD1" w:rsidRDefault="007B2289" w:rsidP="007B2289">
      <w:pPr>
        <w:pStyle w:val="Body"/>
        <w:rPr>
          <w:color w:val="auto"/>
          <w:sz w:val="14"/>
          <w:szCs w:val="14"/>
        </w:rPr>
      </w:pPr>
      <w:r w:rsidRPr="00744FD1">
        <w:rPr>
          <w:color w:val="auto"/>
          <w:sz w:val="14"/>
          <w:szCs w:val="14"/>
        </w:rPr>
        <w:t xml:space="preserve">We acknowledge Aboriginal people as Australia’s first peoples and as the Traditional Owners and custodians of the land and water on which we rely. We recognise and value the ongoing contribution of Aboriginal people and communities to Victorian life and how this enriches us. We embrace the spirit of reconciliation, working towards the equality </w:t>
      </w:r>
      <w:r w:rsidRPr="00744FD1">
        <w:rPr>
          <w:color w:val="auto"/>
          <w:sz w:val="14"/>
          <w:szCs w:val="14"/>
        </w:rPr>
        <w:br/>
        <w:t>of outcomes and ensuring an equal voice.</w:t>
      </w:r>
    </w:p>
    <w:p w14:paraId="37FEE8F6" w14:textId="7200EB9E" w:rsidR="007B2289" w:rsidRPr="00744FD1" w:rsidRDefault="007B2289" w:rsidP="007B2289">
      <w:pPr>
        <w:pStyle w:val="Body"/>
        <w:rPr>
          <w:color w:val="auto"/>
          <w:sz w:val="14"/>
          <w:szCs w:val="14"/>
        </w:rPr>
      </w:pPr>
      <w:r w:rsidRPr="00744FD1">
        <w:rPr>
          <w:color w:val="auto"/>
          <w:sz w:val="14"/>
          <w:szCs w:val="14"/>
        </w:rPr>
        <w:t xml:space="preserve">© The State of Victoria Department of Environment, Land, Water and Planning </w:t>
      </w:r>
      <w:r w:rsidR="0023116D" w:rsidRPr="00744FD1">
        <w:rPr>
          <w:color w:val="auto"/>
          <w:sz w:val="14"/>
          <w:szCs w:val="14"/>
        </w:rPr>
        <w:t>20</w:t>
      </w:r>
      <w:r w:rsidR="0023116D">
        <w:rPr>
          <w:color w:val="auto"/>
          <w:sz w:val="14"/>
          <w:szCs w:val="14"/>
        </w:rPr>
        <w:t>21</w:t>
      </w:r>
      <w:r w:rsidRPr="00744FD1">
        <w:rPr>
          <w:color w:val="auto"/>
          <w:sz w:val="14"/>
          <w:szCs w:val="14"/>
        </w:rPr>
        <w:br/>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w:t>
      </w:r>
      <w:r w:rsidRPr="00744FD1">
        <w:rPr>
          <w:color w:val="auto"/>
          <w:sz w:val="14"/>
          <w:szCs w:val="14"/>
        </w:rPr>
        <w:br/>
        <w:t>of this licence, visit creativecommons.org/licenses/by/4.0/</w:t>
      </w:r>
    </w:p>
    <w:p w14:paraId="2E7E703D" w14:textId="6A822447" w:rsidR="007B2289" w:rsidRPr="00744FD1" w:rsidRDefault="007B2289" w:rsidP="007B2289">
      <w:pPr>
        <w:pStyle w:val="Body"/>
        <w:rPr>
          <w:rFonts w:ascii="Gilroy Bold" w:hAnsi="Gilroy Bold" w:cs="Gilroy Bold"/>
          <w:b/>
          <w:bCs/>
          <w:color w:val="auto"/>
          <w:sz w:val="14"/>
          <w:szCs w:val="14"/>
        </w:rPr>
      </w:pPr>
      <w:r w:rsidRPr="00744FD1">
        <w:rPr>
          <w:rFonts w:ascii="Gilroy Bold" w:hAnsi="Gilroy Bold" w:cs="Gilroy Bold"/>
          <w:b/>
          <w:bCs/>
          <w:color w:val="auto"/>
          <w:sz w:val="14"/>
          <w:szCs w:val="14"/>
        </w:rPr>
        <w:t>Disclaimer</w:t>
      </w:r>
      <w:r w:rsidRPr="00744FD1">
        <w:rPr>
          <w:color w:val="auto"/>
          <w:sz w:val="14"/>
          <w:szCs w:val="14"/>
        </w:rPr>
        <w:br/>
        <w:t xml:space="preserve">This publication may be of assistance to you but the State of Victoria and its employees do not guarantee that the publication is without flaw of any kind </w:t>
      </w:r>
      <w:r w:rsidRPr="00744FD1">
        <w:rPr>
          <w:color w:val="auto"/>
          <w:sz w:val="14"/>
          <w:szCs w:val="14"/>
        </w:rPr>
        <w:br/>
        <w:t xml:space="preserve">or is wholly appropriate for your particular purposes and therefore disclaims </w:t>
      </w:r>
      <w:r w:rsidRPr="00744FD1">
        <w:rPr>
          <w:color w:val="auto"/>
          <w:sz w:val="14"/>
          <w:szCs w:val="14"/>
        </w:rPr>
        <w:br/>
        <w:t xml:space="preserve">all liability for any error, loss or other consequence which may arise from you </w:t>
      </w:r>
      <w:r w:rsidRPr="00744FD1">
        <w:rPr>
          <w:color w:val="auto"/>
          <w:sz w:val="14"/>
          <w:szCs w:val="14"/>
        </w:rPr>
        <w:br/>
        <w:t>relying on any information in this publication.</w:t>
      </w:r>
    </w:p>
    <w:p w14:paraId="43A49C64" w14:textId="77777777" w:rsidR="007B2289" w:rsidRPr="00744FD1" w:rsidRDefault="007B2289" w:rsidP="007B2289">
      <w:pPr>
        <w:pStyle w:val="Body"/>
        <w:rPr>
          <w:color w:val="auto"/>
          <w:sz w:val="14"/>
          <w:szCs w:val="14"/>
        </w:rPr>
      </w:pPr>
      <w:r w:rsidRPr="00744FD1">
        <w:rPr>
          <w:rFonts w:ascii="Gilroy Bold" w:hAnsi="Gilroy Bold" w:cs="Gilroy Bold"/>
          <w:b/>
          <w:bCs/>
          <w:color w:val="auto"/>
          <w:sz w:val="14"/>
          <w:szCs w:val="14"/>
        </w:rPr>
        <w:t>Accessibility</w:t>
      </w:r>
      <w:r w:rsidRPr="00744FD1">
        <w:rPr>
          <w:color w:val="auto"/>
          <w:sz w:val="14"/>
          <w:szCs w:val="14"/>
        </w:rPr>
        <w:br/>
        <w:t xml:space="preserve">If you would like to receive this publication in an alternative format, </w:t>
      </w:r>
      <w:r w:rsidRPr="00744FD1">
        <w:rPr>
          <w:color w:val="auto"/>
          <w:sz w:val="14"/>
          <w:szCs w:val="14"/>
        </w:rPr>
        <w:br/>
        <w:t xml:space="preserve">please telephone the DELWP Customer Service Centre on 136 186 or email </w:t>
      </w:r>
      <w:r w:rsidRPr="00744FD1">
        <w:rPr>
          <w:color w:val="auto"/>
          <w:sz w:val="14"/>
          <w:szCs w:val="14"/>
        </w:rPr>
        <w:br/>
        <w:t xml:space="preserve">customer.service@delwp.vic.gov.au or via the National Relay Service on 133 677, </w:t>
      </w:r>
      <w:r w:rsidRPr="00744FD1">
        <w:rPr>
          <w:color w:val="auto"/>
          <w:sz w:val="14"/>
          <w:szCs w:val="14"/>
        </w:rPr>
        <w:br/>
        <w:t xml:space="preserve">www.relayservice.com.au. </w:t>
      </w:r>
    </w:p>
    <w:p w14:paraId="1D108611" w14:textId="77777777" w:rsidR="007B2289" w:rsidRPr="00744FD1" w:rsidRDefault="007B2289" w:rsidP="007B2289">
      <w:pPr>
        <w:pStyle w:val="Body"/>
        <w:rPr>
          <w:color w:val="auto"/>
          <w:sz w:val="14"/>
          <w:szCs w:val="14"/>
        </w:rPr>
      </w:pPr>
      <w:r w:rsidRPr="00744FD1">
        <w:rPr>
          <w:color w:val="auto"/>
          <w:sz w:val="14"/>
          <w:szCs w:val="14"/>
        </w:rPr>
        <w:t>This document is also available on the internet at www.delwp.vic.gov.au</w:t>
      </w:r>
    </w:p>
    <w:p w14:paraId="5EB05BA8" w14:textId="2EB928FA" w:rsidR="007B2289" w:rsidRDefault="007B2289" w:rsidP="00EA1C26">
      <w:pPr>
        <w:rPr>
          <w:rStyle w:val="Strong"/>
          <w:lang w:eastAsia="en-AU"/>
        </w:rPr>
      </w:pPr>
    </w:p>
    <w:p w14:paraId="1065DCB5" w14:textId="2ED0D616" w:rsidR="007B2289" w:rsidRDefault="007B2289" w:rsidP="00EA1C26">
      <w:pPr>
        <w:rPr>
          <w:rStyle w:val="Strong"/>
          <w:lang w:eastAsia="en-AU"/>
        </w:rPr>
      </w:pPr>
    </w:p>
    <w:p w14:paraId="1CB1C4AA" w14:textId="77777777" w:rsidR="007B2289" w:rsidRDefault="007B2289" w:rsidP="00EA1C26">
      <w:pPr>
        <w:rPr>
          <w:rStyle w:val="Strong"/>
          <w:lang w:eastAsia="en-AU"/>
        </w:rPr>
      </w:pPr>
    </w:p>
    <w:p w14:paraId="2BF03ED1" w14:textId="18DF0B02" w:rsidR="00EA1C26" w:rsidRPr="00EA1C26" w:rsidRDefault="00EA1C26" w:rsidP="00EA1C26">
      <w:pPr>
        <w:rPr>
          <w:rStyle w:val="Strong"/>
          <w:b w:val="0"/>
          <w:bCs w:val="0"/>
          <w:lang w:eastAsia="en-AU"/>
        </w:rPr>
      </w:pPr>
      <w:r w:rsidRPr="00EA1C26">
        <w:rPr>
          <w:rStyle w:val="Strong"/>
          <w:b w:val="0"/>
          <w:bCs w:val="0"/>
          <w:lang w:eastAsia="en-AU"/>
        </w:rPr>
        <w:t>For more information visit:</w:t>
      </w:r>
    </w:p>
    <w:p w14:paraId="3FB60067" w14:textId="0955EEF5" w:rsidR="00EA1C26" w:rsidRPr="00EA1C26" w:rsidRDefault="00EA1C26" w:rsidP="00EA1C26">
      <w:pPr>
        <w:rPr>
          <w:rStyle w:val="Strong"/>
          <w:b w:val="0"/>
          <w:bCs w:val="0"/>
          <w:lang w:eastAsia="en-AU"/>
        </w:rPr>
      </w:pPr>
      <w:r w:rsidRPr="00EA1C26">
        <w:rPr>
          <w:rStyle w:val="Strong"/>
          <w:b w:val="0"/>
          <w:bCs w:val="0"/>
          <w:lang w:eastAsia="en-AU"/>
        </w:rPr>
        <w:t>https://www.water.vic.gov.au/liveable/integrated-water-management-program</w:t>
      </w:r>
    </w:p>
    <w:p w14:paraId="2978759D" w14:textId="77777777" w:rsidR="00CA5137" w:rsidRDefault="00CA5137" w:rsidP="00182DB5"/>
    <w:sectPr w:rsidR="00CA5137" w:rsidSect="00730614">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F53C2" w14:textId="77777777" w:rsidR="00707F1A" w:rsidRDefault="00707F1A" w:rsidP="00ED7A1E">
      <w:pPr>
        <w:spacing w:after="0" w:line="240" w:lineRule="auto"/>
      </w:pPr>
      <w:r>
        <w:separator/>
      </w:r>
    </w:p>
  </w:endnote>
  <w:endnote w:type="continuationSeparator" w:id="0">
    <w:p w14:paraId="2E4A08B3" w14:textId="77777777" w:rsidR="00707F1A" w:rsidRDefault="00707F1A" w:rsidP="00ED7A1E">
      <w:pPr>
        <w:spacing w:after="0" w:line="240" w:lineRule="auto"/>
      </w:pPr>
      <w:r>
        <w:continuationSeparator/>
      </w:r>
    </w:p>
  </w:endnote>
  <w:endnote w:type="continuationNotice" w:id="1">
    <w:p w14:paraId="536FE299" w14:textId="77777777" w:rsidR="00707F1A" w:rsidRDefault="00707F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ilroy">
    <w:altName w:val="Calibri"/>
    <w:panose1 w:val="00000000000000000000"/>
    <w:charset w:val="00"/>
    <w:family w:val="auto"/>
    <w:notTrueType/>
    <w:pitch w:val="default"/>
    <w:sig w:usb0="00000003" w:usb1="00000000" w:usb2="00000000" w:usb3="00000000" w:csb0="00000001" w:csb1="00000000"/>
  </w:font>
  <w:font w:name="Gilroy Bold">
    <w:altName w:val="Calibri"/>
    <w:panose1 w:val="00000000000000000000"/>
    <w:charset w:val="00"/>
    <w:family w:val="auto"/>
    <w:notTrueType/>
    <w:pitch w:val="default"/>
    <w:sig w:usb0="00000003" w:usb1="00000000" w:usb2="00000000" w:usb3="00000000" w:csb0="00000001" w:csb1="00000000"/>
  </w:font>
  <w:font w:name="Gilroy Regular Italic">
    <w:panose1 w:val="00000000000000000000"/>
    <w:charset w:val="00"/>
    <w:family w:val="auto"/>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eiryo">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BBA43" w14:textId="77777777" w:rsidR="00F70456" w:rsidRDefault="00F704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338C9" w14:textId="71CD5272" w:rsidR="00F70456" w:rsidRDefault="00F70456">
    <w:pPr>
      <w:pStyle w:val="Footer"/>
    </w:pPr>
    <w:r>
      <w:rPr>
        <w:noProof/>
      </w:rPr>
      <mc:AlternateContent>
        <mc:Choice Requires="wps">
          <w:drawing>
            <wp:anchor distT="0" distB="0" distL="114300" distR="114300" simplePos="0" relativeHeight="251658240" behindDoc="0" locked="0" layoutInCell="0" allowOverlap="1" wp14:anchorId="6CE0CA42" wp14:editId="2E8F85F9">
              <wp:simplePos x="0" y="0"/>
              <wp:positionH relativeFrom="page">
                <wp:posOffset>0</wp:posOffset>
              </wp:positionH>
              <wp:positionV relativeFrom="page">
                <wp:posOffset>10227945</wp:posOffset>
              </wp:positionV>
              <wp:extent cx="7560310" cy="273050"/>
              <wp:effectExtent l="0" t="0" r="0" b="12700"/>
              <wp:wrapNone/>
              <wp:docPr id="3" name="MSIPCM0e854081ad21f95281ce5f91"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72B6F9" w14:textId="62739111" w:rsidR="00F70456" w:rsidRPr="00F70456" w:rsidRDefault="00F70456" w:rsidP="00F70456">
                          <w:pPr>
                            <w:spacing w:after="0"/>
                            <w:jc w:val="center"/>
                            <w:rPr>
                              <w:rFonts w:ascii="Calibri" w:hAnsi="Calibri" w:cs="Calibri"/>
                              <w:color w:val="000000"/>
                              <w:sz w:val="24"/>
                            </w:rPr>
                          </w:pPr>
                          <w:r w:rsidRPr="00F70456">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E0CA42" id="_x0000_t202" coordsize="21600,21600" o:spt="202" path="m,l,21600r21600,l21600,xe">
              <v:stroke joinstyle="miter"/>
              <v:path gradientshapeok="t" o:connecttype="rect"/>
            </v:shapetype>
            <v:shape id="MSIPCM0e854081ad21f95281ce5f91" o:spid="_x0000_s1026" type="#_x0000_t202" alt="{&quot;HashCode&quot;:-1264680268,&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2472B6F9" w14:textId="62739111" w:rsidR="00F70456" w:rsidRPr="00F70456" w:rsidRDefault="00F70456" w:rsidP="00F70456">
                    <w:pPr>
                      <w:spacing w:after="0"/>
                      <w:jc w:val="center"/>
                      <w:rPr>
                        <w:rFonts w:ascii="Calibri" w:hAnsi="Calibri" w:cs="Calibri"/>
                        <w:color w:val="000000"/>
                        <w:sz w:val="24"/>
                      </w:rPr>
                    </w:pPr>
                    <w:r w:rsidRPr="00F70456">
                      <w:rPr>
                        <w:rFonts w:ascii="Calibri" w:hAnsi="Calibri" w:cs="Calibri"/>
                        <w:color w:val="000000"/>
                        <w:sz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F92B8" w14:textId="77777777" w:rsidR="00F70456" w:rsidRDefault="00F704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CA27A" w14:textId="77777777" w:rsidR="00707F1A" w:rsidRDefault="00707F1A" w:rsidP="00ED7A1E">
      <w:pPr>
        <w:spacing w:after="0" w:line="240" w:lineRule="auto"/>
      </w:pPr>
      <w:r>
        <w:separator/>
      </w:r>
    </w:p>
  </w:footnote>
  <w:footnote w:type="continuationSeparator" w:id="0">
    <w:p w14:paraId="302C627F" w14:textId="77777777" w:rsidR="00707F1A" w:rsidRDefault="00707F1A" w:rsidP="00ED7A1E">
      <w:pPr>
        <w:spacing w:after="0" w:line="240" w:lineRule="auto"/>
      </w:pPr>
      <w:r>
        <w:continuationSeparator/>
      </w:r>
    </w:p>
  </w:footnote>
  <w:footnote w:type="continuationNotice" w:id="1">
    <w:p w14:paraId="629FE2AF" w14:textId="77777777" w:rsidR="00707F1A" w:rsidRDefault="00707F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E8E43" w14:textId="77777777" w:rsidR="00F70456" w:rsidRDefault="00F704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6C0E1" w14:textId="77777777" w:rsidR="00F70456" w:rsidRDefault="00F704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A022A" w14:textId="77777777" w:rsidR="00F70456" w:rsidRDefault="00F704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72946"/>
    <w:multiLevelType w:val="hybridMultilevel"/>
    <w:tmpl w:val="3A08C3B2"/>
    <w:lvl w:ilvl="0" w:tplc="FE3A9984">
      <w:start w:val="1"/>
      <w:numFmt w:val="bullet"/>
      <w:lvlText w:val="•"/>
      <w:lvlJc w:val="left"/>
      <w:pPr>
        <w:tabs>
          <w:tab w:val="num" w:pos="720"/>
        </w:tabs>
        <w:ind w:left="720" w:hanging="360"/>
      </w:pPr>
      <w:rPr>
        <w:rFonts w:ascii="Arial" w:hAnsi="Arial" w:hint="default"/>
      </w:rPr>
    </w:lvl>
    <w:lvl w:ilvl="1" w:tplc="D85E46BA" w:tentative="1">
      <w:start w:val="1"/>
      <w:numFmt w:val="bullet"/>
      <w:lvlText w:val="•"/>
      <w:lvlJc w:val="left"/>
      <w:pPr>
        <w:tabs>
          <w:tab w:val="num" w:pos="1440"/>
        </w:tabs>
        <w:ind w:left="1440" w:hanging="360"/>
      </w:pPr>
      <w:rPr>
        <w:rFonts w:ascii="Arial" w:hAnsi="Arial" w:hint="default"/>
      </w:rPr>
    </w:lvl>
    <w:lvl w:ilvl="2" w:tplc="C880605A" w:tentative="1">
      <w:start w:val="1"/>
      <w:numFmt w:val="bullet"/>
      <w:lvlText w:val="•"/>
      <w:lvlJc w:val="left"/>
      <w:pPr>
        <w:tabs>
          <w:tab w:val="num" w:pos="2160"/>
        </w:tabs>
        <w:ind w:left="2160" w:hanging="360"/>
      </w:pPr>
      <w:rPr>
        <w:rFonts w:ascii="Arial" w:hAnsi="Arial" w:hint="default"/>
      </w:rPr>
    </w:lvl>
    <w:lvl w:ilvl="3" w:tplc="C944D2CE" w:tentative="1">
      <w:start w:val="1"/>
      <w:numFmt w:val="bullet"/>
      <w:lvlText w:val="•"/>
      <w:lvlJc w:val="left"/>
      <w:pPr>
        <w:tabs>
          <w:tab w:val="num" w:pos="2880"/>
        </w:tabs>
        <w:ind w:left="2880" w:hanging="360"/>
      </w:pPr>
      <w:rPr>
        <w:rFonts w:ascii="Arial" w:hAnsi="Arial" w:hint="default"/>
      </w:rPr>
    </w:lvl>
    <w:lvl w:ilvl="4" w:tplc="CAD4ACC8" w:tentative="1">
      <w:start w:val="1"/>
      <w:numFmt w:val="bullet"/>
      <w:lvlText w:val="•"/>
      <w:lvlJc w:val="left"/>
      <w:pPr>
        <w:tabs>
          <w:tab w:val="num" w:pos="3600"/>
        </w:tabs>
        <w:ind w:left="3600" w:hanging="360"/>
      </w:pPr>
      <w:rPr>
        <w:rFonts w:ascii="Arial" w:hAnsi="Arial" w:hint="default"/>
      </w:rPr>
    </w:lvl>
    <w:lvl w:ilvl="5" w:tplc="1070F352" w:tentative="1">
      <w:start w:val="1"/>
      <w:numFmt w:val="bullet"/>
      <w:lvlText w:val="•"/>
      <w:lvlJc w:val="left"/>
      <w:pPr>
        <w:tabs>
          <w:tab w:val="num" w:pos="4320"/>
        </w:tabs>
        <w:ind w:left="4320" w:hanging="360"/>
      </w:pPr>
      <w:rPr>
        <w:rFonts w:ascii="Arial" w:hAnsi="Arial" w:hint="default"/>
      </w:rPr>
    </w:lvl>
    <w:lvl w:ilvl="6" w:tplc="23DE6304" w:tentative="1">
      <w:start w:val="1"/>
      <w:numFmt w:val="bullet"/>
      <w:lvlText w:val="•"/>
      <w:lvlJc w:val="left"/>
      <w:pPr>
        <w:tabs>
          <w:tab w:val="num" w:pos="5040"/>
        </w:tabs>
        <w:ind w:left="5040" w:hanging="360"/>
      </w:pPr>
      <w:rPr>
        <w:rFonts w:ascii="Arial" w:hAnsi="Arial" w:hint="default"/>
      </w:rPr>
    </w:lvl>
    <w:lvl w:ilvl="7" w:tplc="E7E4AAC8" w:tentative="1">
      <w:start w:val="1"/>
      <w:numFmt w:val="bullet"/>
      <w:lvlText w:val="•"/>
      <w:lvlJc w:val="left"/>
      <w:pPr>
        <w:tabs>
          <w:tab w:val="num" w:pos="5760"/>
        </w:tabs>
        <w:ind w:left="5760" w:hanging="360"/>
      </w:pPr>
      <w:rPr>
        <w:rFonts w:ascii="Arial" w:hAnsi="Arial" w:hint="default"/>
      </w:rPr>
    </w:lvl>
    <w:lvl w:ilvl="8" w:tplc="2CC254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66E2588"/>
    <w:multiLevelType w:val="hybridMultilevel"/>
    <w:tmpl w:val="117ACA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202F5490"/>
    <w:multiLevelType w:val="hybridMultilevel"/>
    <w:tmpl w:val="E570884A"/>
    <w:lvl w:ilvl="0" w:tplc="EFCAA21A">
      <w:start w:val="1"/>
      <w:numFmt w:val="bullet"/>
      <w:lvlText w:val="•"/>
      <w:lvlJc w:val="left"/>
      <w:pPr>
        <w:tabs>
          <w:tab w:val="num" w:pos="720"/>
        </w:tabs>
        <w:ind w:left="720" w:hanging="360"/>
      </w:pPr>
      <w:rPr>
        <w:rFonts w:ascii="Arial" w:hAnsi="Arial" w:hint="default"/>
      </w:rPr>
    </w:lvl>
    <w:lvl w:ilvl="1" w:tplc="4EEC2EE0" w:tentative="1">
      <w:start w:val="1"/>
      <w:numFmt w:val="bullet"/>
      <w:lvlText w:val="•"/>
      <w:lvlJc w:val="left"/>
      <w:pPr>
        <w:tabs>
          <w:tab w:val="num" w:pos="1440"/>
        </w:tabs>
        <w:ind w:left="1440" w:hanging="360"/>
      </w:pPr>
      <w:rPr>
        <w:rFonts w:ascii="Arial" w:hAnsi="Arial" w:hint="default"/>
      </w:rPr>
    </w:lvl>
    <w:lvl w:ilvl="2" w:tplc="D77C39F4" w:tentative="1">
      <w:start w:val="1"/>
      <w:numFmt w:val="bullet"/>
      <w:lvlText w:val="•"/>
      <w:lvlJc w:val="left"/>
      <w:pPr>
        <w:tabs>
          <w:tab w:val="num" w:pos="2160"/>
        </w:tabs>
        <w:ind w:left="2160" w:hanging="360"/>
      </w:pPr>
      <w:rPr>
        <w:rFonts w:ascii="Arial" w:hAnsi="Arial" w:hint="default"/>
      </w:rPr>
    </w:lvl>
    <w:lvl w:ilvl="3" w:tplc="B8007802" w:tentative="1">
      <w:start w:val="1"/>
      <w:numFmt w:val="bullet"/>
      <w:lvlText w:val="•"/>
      <w:lvlJc w:val="left"/>
      <w:pPr>
        <w:tabs>
          <w:tab w:val="num" w:pos="2880"/>
        </w:tabs>
        <w:ind w:left="2880" w:hanging="360"/>
      </w:pPr>
      <w:rPr>
        <w:rFonts w:ascii="Arial" w:hAnsi="Arial" w:hint="default"/>
      </w:rPr>
    </w:lvl>
    <w:lvl w:ilvl="4" w:tplc="4B0C6C78" w:tentative="1">
      <w:start w:val="1"/>
      <w:numFmt w:val="bullet"/>
      <w:lvlText w:val="•"/>
      <w:lvlJc w:val="left"/>
      <w:pPr>
        <w:tabs>
          <w:tab w:val="num" w:pos="3600"/>
        </w:tabs>
        <w:ind w:left="3600" w:hanging="360"/>
      </w:pPr>
      <w:rPr>
        <w:rFonts w:ascii="Arial" w:hAnsi="Arial" w:hint="default"/>
      </w:rPr>
    </w:lvl>
    <w:lvl w:ilvl="5" w:tplc="980EF4F0" w:tentative="1">
      <w:start w:val="1"/>
      <w:numFmt w:val="bullet"/>
      <w:lvlText w:val="•"/>
      <w:lvlJc w:val="left"/>
      <w:pPr>
        <w:tabs>
          <w:tab w:val="num" w:pos="4320"/>
        </w:tabs>
        <w:ind w:left="4320" w:hanging="360"/>
      </w:pPr>
      <w:rPr>
        <w:rFonts w:ascii="Arial" w:hAnsi="Arial" w:hint="default"/>
      </w:rPr>
    </w:lvl>
    <w:lvl w:ilvl="6" w:tplc="34D07CA6" w:tentative="1">
      <w:start w:val="1"/>
      <w:numFmt w:val="bullet"/>
      <w:lvlText w:val="•"/>
      <w:lvlJc w:val="left"/>
      <w:pPr>
        <w:tabs>
          <w:tab w:val="num" w:pos="5040"/>
        </w:tabs>
        <w:ind w:left="5040" w:hanging="360"/>
      </w:pPr>
      <w:rPr>
        <w:rFonts w:ascii="Arial" w:hAnsi="Arial" w:hint="default"/>
      </w:rPr>
    </w:lvl>
    <w:lvl w:ilvl="7" w:tplc="7C4E2EB2" w:tentative="1">
      <w:start w:val="1"/>
      <w:numFmt w:val="bullet"/>
      <w:lvlText w:val="•"/>
      <w:lvlJc w:val="left"/>
      <w:pPr>
        <w:tabs>
          <w:tab w:val="num" w:pos="5760"/>
        </w:tabs>
        <w:ind w:left="5760" w:hanging="360"/>
      </w:pPr>
      <w:rPr>
        <w:rFonts w:ascii="Arial" w:hAnsi="Arial" w:hint="default"/>
      </w:rPr>
    </w:lvl>
    <w:lvl w:ilvl="8" w:tplc="C71C23E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47E30A6"/>
    <w:multiLevelType w:val="hybridMultilevel"/>
    <w:tmpl w:val="39AAA460"/>
    <w:lvl w:ilvl="0" w:tplc="77F224FA">
      <w:start w:val="1"/>
      <w:numFmt w:val="bullet"/>
      <w:lvlText w:val="•"/>
      <w:lvlJc w:val="left"/>
      <w:pPr>
        <w:tabs>
          <w:tab w:val="num" w:pos="720"/>
        </w:tabs>
        <w:ind w:left="720" w:hanging="360"/>
      </w:pPr>
      <w:rPr>
        <w:rFonts w:ascii="Arial" w:hAnsi="Arial" w:hint="default"/>
      </w:rPr>
    </w:lvl>
    <w:lvl w:ilvl="1" w:tplc="E2EABFCA" w:tentative="1">
      <w:start w:val="1"/>
      <w:numFmt w:val="bullet"/>
      <w:lvlText w:val="•"/>
      <w:lvlJc w:val="left"/>
      <w:pPr>
        <w:tabs>
          <w:tab w:val="num" w:pos="1440"/>
        </w:tabs>
        <w:ind w:left="1440" w:hanging="360"/>
      </w:pPr>
      <w:rPr>
        <w:rFonts w:ascii="Arial" w:hAnsi="Arial" w:hint="default"/>
      </w:rPr>
    </w:lvl>
    <w:lvl w:ilvl="2" w:tplc="4BFA4704" w:tentative="1">
      <w:start w:val="1"/>
      <w:numFmt w:val="bullet"/>
      <w:lvlText w:val="•"/>
      <w:lvlJc w:val="left"/>
      <w:pPr>
        <w:tabs>
          <w:tab w:val="num" w:pos="2160"/>
        </w:tabs>
        <w:ind w:left="2160" w:hanging="360"/>
      </w:pPr>
      <w:rPr>
        <w:rFonts w:ascii="Arial" w:hAnsi="Arial" w:hint="default"/>
      </w:rPr>
    </w:lvl>
    <w:lvl w:ilvl="3" w:tplc="F99ECB1A" w:tentative="1">
      <w:start w:val="1"/>
      <w:numFmt w:val="bullet"/>
      <w:lvlText w:val="•"/>
      <w:lvlJc w:val="left"/>
      <w:pPr>
        <w:tabs>
          <w:tab w:val="num" w:pos="2880"/>
        </w:tabs>
        <w:ind w:left="2880" w:hanging="360"/>
      </w:pPr>
      <w:rPr>
        <w:rFonts w:ascii="Arial" w:hAnsi="Arial" w:hint="default"/>
      </w:rPr>
    </w:lvl>
    <w:lvl w:ilvl="4" w:tplc="43F0AA02" w:tentative="1">
      <w:start w:val="1"/>
      <w:numFmt w:val="bullet"/>
      <w:lvlText w:val="•"/>
      <w:lvlJc w:val="left"/>
      <w:pPr>
        <w:tabs>
          <w:tab w:val="num" w:pos="3600"/>
        </w:tabs>
        <w:ind w:left="3600" w:hanging="360"/>
      </w:pPr>
      <w:rPr>
        <w:rFonts w:ascii="Arial" w:hAnsi="Arial" w:hint="default"/>
      </w:rPr>
    </w:lvl>
    <w:lvl w:ilvl="5" w:tplc="984065B0" w:tentative="1">
      <w:start w:val="1"/>
      <w:numFmt w:val="bullet"/>
      <w:lvlText w:val="•"/>
      <w:lvlJc w:val="left"/>
      <w:pPr>
        <w:tabs>
          <w:tab w:val="num" w:pos="4320"/>
        </w:tabs>
        <w:ind w:left="4320" w:hanging="360"/>
      </w:pPr>
      <w:rPr>
        <w:rFonts w:ascii="Arial" w:hAnsi="Arial" w:hint="default"/>
      </w:rPr>
    </w:lvl>
    <w:lvl w:ilvl="6" w:tplc="951CD4B4" w:tentative="1">
      <w:start w:val="1"/>
      <w:numFmt w:val="bullet"/>
      <w:lvlText w:val="•"/>
      <w:lvlJc w:val="left"/>
      <w:pPr>
        <w:tabs>
          <w:tab w:val="num" w:pos="5040"/>
        </w:tabs>
        <w:ind w:left="5040" w:hanging="360"/>
      </w:pPr>
      <w:rPr>
        <w:rFonts w:ascii="Arial" w:hAnsi="Arial" w:hint="default"/>
      </w:rPr>
    </w:lvl>
    <w:lvl w:ilvl="7" w:tplc="A9FE2526" w:tentative="1">
      <w:start w:val="1"/>
      <w:numFmt w:val="bullet"/>
      <w:lvlText w:val="•"/>
      <w:lvlJc w:val="left"/>
      <w:pPr>
        <w:tabs>
          <w:tab w:val="num" w:pos="5760"/>
        </w:tabs>
        <w:ind w:left="5760" w:hanging="360"/>
      </w:pPr>
      <w:rPr>
        <w:rFonts w:ascii="Arial" w:hAnsi="Arial" w:hint="default"/>
      </w:rPr>
    </w:lvl>
    <w:lvl w:ilvl="8" w:tplc="6A48CF9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0194BE5"/>
    <w:multiLevelType w:val="hybridMultilevel"/>
    <w:tmpl w:val="9A40F994"/>
    <w:lvl w:ilvl="0" w:tplc="0C09000F">
      <w:start w:val="1"/>
      <w:numFmt w:val="decimal"/>
      <w:lvlText w:val="%1."/>
      <w:lvlJc w:val="left"/>
      <w:pPr>
        <w:ind w:left="47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61B485D"/>
    <w:multiLevelType w:val="hybridMultilevel"/>
    <w:tmpl w:val="B30E8F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66A180D"/>
    <w:multiLevelType w:val="hybridMultilevel"/>
    <w:tmpl w:val="D34CA9A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BAF4611"/>
    <w:multiLevelType w:val="hybridMultilevel"/>
    <w:tmpl w:val="8FD20EC2"/>
    <w:lvl w:ilvl="0" w:tplc="8CB6957E">
      <w:start w:val="1"/>
      <w:numFmt w:val="decimal"/>
      <w:lvlText w:val="%1."/>
      <w:lvlJc w:val="left"/>
      <w:pPr>
        <w:ind w:left="720" w:hanging="360"/>
      </w:pPr>
      <w:rPr>
        <w:rFonts w:cstheme="minorHAnsi" w:hint="default"/>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4BA1E5A"/>
    <w:multiLevelType w:val="multilevel"/>
    <w:tmpl w:val="82C2F15C"/>
    <w:styleLink w:val="ZZBullets"/>
    <w:lvl w:ilvl="0">
      <w:start w:val="1"/>
      <w:numFmt w:val="bullet"/>
      <w:pStyle w:val="DHHSbullet1"/>
      <w:lvlText w:val="•"/>
      <w:lvlJc w:val="left"/>
      <w:pPr>
        <w:ind w:left="284" w:hanging="284"/>
      </w:pPr>
      <w:rPr>
        <w:rFonts w:ascii="Calibri" w:hAnsi="Calibri" w:cs="Times New Roman" w:hint="default"/>
      </w:rPr>
    </w:lvl>
    <w:lvl w:ilvl="1">
      <w:start w:val="1"/>
      <w:numFmt w:val="bullet"/>
      <w:lvlRestart w:val="0"/>
      <w:pStyle w:val="DHHSbullet1lastline"/>
      <w:lvlText w:val="•"/>
      <w:lvlJc w:val="left"/>
      <w:pPr>
        <w:ind w:left="284" w:hanging="284"/>
      </w:pPr>
      <w:rPr>
        <w:rFonts w:ascii="Calibri" w:hAnsi="Calibri" w:cs="Times New Roman" w:hint="default"/>
      </w:rPr>
    </w:lvl>
    <w:lvl w:ilvl="2">
      <w:start w:val="1"/>
      <w:numFmt w:val="bullet"/>
      <w:lvlRestart w:val="0"/>
      <w:pStyle w:val="DHHSbullet2"/>
      <w:lvlText w:val="–"/>
      <w:lvlJc w:val="left"/>
      <w:pPr>
        <w:ind w:left="567" w:hanging="283"/>
      </w:pPr>
      <w:rPr>
        <w:rFonts w:ascii="Arial" w:hAnsi="Arial" w:cs="Times New Roman" w:hint="default"/>
      </w:rPr>
    </w:lvl>
    <w:lvl w:ilvl="3">
      <w:start w:val="1"/>
      <w:numFmt w:val="bullet"/>
      <w:lvlRestart w:val="0"/>
      <w:pStyle w:val="DHHSbullet2lastline"/>
      <w:lvlText w:val="–"/>
      <w:lvlJc w:val="left"/>
      <w:pPr>
        <w:ind w:left="567" w:hanging="283"/>
      </w:pPr>
      <w:rPr>
        <w:rFonts w:ascii="Arial" w:hAnsi="Arial" w:cs="Times New Roman" w:hint="default"/>
      </w:rPr>
    </w:lvl>
    <w:lvl w:ilvl="4">
      <w:start w:val="1"/>
      <w:numFmt w:val="bullet"/>
      <w:lvlRestart w:val="0"/>
      <w:pStyle w:val="DHHSbulletindent"/>
      <w:lvlText w:val="•"/>
      <w:lvlJc w:val="left"/>
      <w:pPr>
        <w:ind w:left="680" w:hanging="283"/>
      </w:pPr>
      <w:rPr>
        <w:rFonts w:ascii="Calibri" w:hAnsi="Calibri" w:cs="Times New Roman" w:hint="default"/>
      </w:rPr>
    </w:lvl>
    <w:lvl w:ilvl="5">
      <w:start w:val="1"/>
      <w:numFmt w:val="bullet"/>
      <w:lvlRestart w:val="0"/>
      <w:pStyle w:val="DHHSbulletindentlastline"/>
      <w:lvlText w:val="•"/>
      <w:lvlJc w:val="left"/>
      <w:pPr>
        <w:ind w:left="680" w:hanging="283"/>
      </w:pPr>
      <w:rPr>
        <w:rFonts w:ascii="Calibri" w:hAnsi="Calibri" w:cs="Times New Roman" w:hint="default"/>
      </w:rPr>
    </w:lvl>
    <w:lvl w:ilvl="6">
      <w:start w:val="1"/>
      <w:numFmt w:val="bullet"/>
      <w:lvlRestart w:val="0"/>
      <w:pStyle w:val="DHHStablebullet"/>
      <w:lvlText w:val="•"/>
      <w:lvlJc w:val="left"/>
      <w:pPr>
        <w:ind w:left="227" w:hanging="227"/>
      </w:pPr>
      <w:rPr>
        <w:rFonts w:ascii="Calibri" w:hAnsi="Calibri" w:cs="Times New Roman" w:hint="default"/>
      </w:r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9" w15:restartNumberingAfterBreak="0">
    <w:nsid w:val="574125B8"/>
    <w:multiLevelType w:val="hybridMultilevel"/>
    <w:tmpl w:val="585E864C"/>
    <w:lvl w:ilvl="0" w:tplc="7ACC858C">
      <w:start w:val="1"/>
      <w:numFmt w:val="bullet"/>
      <w:lvlText w:val="•"/>
      <w:lvlJc w:val="left"/>
      <w:pPr>
        <w:tabs>
          <w:tab w:val="num" w:pos="720"/>
        </w:tabs>
        <w:ind w:left="720" w:hanging="360"/>
      </w:pPr>
      <w:rPr>
        <w:rFonts w:ascii="Arial" w:hAnsi="Arial" w:hint="default"/>
      </w:rPr>
    </w:lvl>
    <w:lvl w:ilvl="1" w:tplc="D1BA7EDA" w:tentative="1">
      <w:start w:val="1"/>
      <w:numFmt w:val="bullet"/>
      <w:lvlText w:val="•"/>
      <w:lvlJc w:val="left"/>
      <w:pPr>
        <w:tabs>
          <w:tab w:val="num" w:pos="1440"/>
        </w:tabs>
        <w:ind w:left="1440" w:hanging="360"/>
      </w:pPr>
      <w:rPr>
        <w:rFonts w:ascii="Arial" w:hAnsi="Arial" w:hint="default"/>
      </w:rPr>
    </w:lvl>
    <w:lvl w:ilvl="2" w:tplc="09A8DE2E" w:tentative="1">
      <w:start w:val="1"/>
      <w:numFmt w:val="bullet"/>
      <w:lvlText w:val="•"/>
      <w:lvlJc w:val="left"/>
      <w:pPr>
        <w:tabs>
          <w:tab w:val="num" w:pos="2160"/>
        </w:tabs>
        <w:ind w:left="2160" w:hanging="360"/>
      </w:pPr>
      <w:rPr>
        <w:rFonts w:ascii="Arial" w:hAnsi="Arial" w:hint="default"/>
      </w:rPr>
    </w:lvl>
    <w:lvl w:ilvl="3" w:tplc="465E010C" w:tentative="1">
      <w:start w:val="1"/>
      <w:numFmt w:val="bullet"/>
      <w:lvlText w:val="•"/>
      <w:lvlJc w:val="left"/>
      <w:pPr>
        <w:tabs>
          <w:tab w:val="num" w:pos="2880"/>
        </w:tabs>
        <w:ind w:left="2880" w:hanging="360"/>
      </w:pPr>
      <w:rPr>
        <w:rFonts w:ascii="Arial" w:hAnsi="Arial" w:hint="default"/>
      </w:rPr>
    </w:lvl>
    <w:lvl w:ilvl="4" w:tplc="8638A9FA" w:tentative="1">
      <w:start w:val="1"/>
      <w:numFmt w:val="bullet"/>
      <w:lvlText w:val="•"/>
      <w:lvlJc w:val="left"/>
      <w:pPr>
        <w:tabs>
          <w:tab w:val="num" w:pos="3600"/>
        </w:tabs>
        <w:ind w:left="3600" w:hanging="360"/>
      </w:pPr>
      <w:rPr>
        <w:rFonts w:ascii="Arial" w:hAnsi="Arial" w:hint="default"/>
      </w:rPr>
    </w:lvl>
    <w:lvl w:ilvl="5" w:tplc="5582E3C6" w:tentative="1">
      <w:start w:val="1"/>
      <w:numFmt w:val="bullet"/>
      <w:lvlText w:val="•"/>
      <w:lvlJc w:val="left"/>
      <w:pPr>
        <w:tabs>
          <w:tab w:val="num" w:pos="4320"/>
        </w:tabs>
        <w:ind w:left="4320" w:hanging="360"/>
      </w:pPr>
      <w:rPr>
        <w:rFonts w:ascii="Arial" w:hAnsi="Arial" w:hint="default"/>
      </w:rPr>
    </w:lvl>
    <w:lvl w:ilvl="6" w:tplc="A18AA2DE" w:tentative="1">
      <w:start w:val="1"/>
      <w:numFmt w:val="bullet"/>
      <w:lvlText w:val="•"/>
      <w:lvlJc w:val="left"/>
      <w:pPr>
        <w:tabs>
          <w:tab w:val="num" w:pos="5040"/>
        </w:tabs>
        <w:ind w:left="5040" w:hanging="360"/>
      </w:pPr>
      <w:rPr>
        <w:rFonts w:ascii="Arial" w:hAnsi="Arial" w:hint="default"/>
      </w:rPr>
    </w:lvl>
    <w:lvl w:ilvl="7" w:tplc="8876B584" w:tentative="1">
      <w:start w:val="1"/>
      <w:numFmt w:val="bullet"/>
      <w:lvlText w:val="•"/>
      <w:lvlJc w:val="left"/>
      <w:pPr>
        <w:tabs>
          <w:tab w:val="num" w:pos="5760"/>
        </w:tabs>
        <w:ind w:left="5760" w:hanging="360"/>
      </w:pPr>
      <w:rPr>
        <w:rFonts w:ascii="Arial" w:hAnsi="Arial" w:hint="default"/>
      </w:rPr>
    </w:lvl>
    <w:lvl w:ilvl="8" w:tplc="33E40B9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63056B9"/>
    <w:multiLevelType w:val="hybridMultilevel"/>
    <w:tmpl w:val="D34CA9A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5"/>
  </w:num>
  <w:num w:numId="3">
    <w:abstractNumId w:val="2"/>
  </w:num>
  <w:num w:numId="4">
    <w:abstractNumId w:val="9"/>
  </w:num>
  <w:num w:numId="5">
    <w:abstractNumId w:val="3"/>
  </w:num>
  <w:num w:numId="6">
    <w:abstractNumId w:val="0"/>
  </w:num>
  <w:num w:numId="7">
    <w:abstractNumId w:val="1"/>
  </w:num>
  <w:num w:numId="8">
    <w:abstractNumId w:val="1"/>
  </w:num>
  <w:num w:numId="9">
    <w:abstractNumId w:val="6"/>
  </w:num>
  <w:num w:numId="10">
    <w:abstractNumId w:val="10"/>
  </w:num>
  <w:num w:numId="11">
    <w:abstractNumId w:val="8"/>
  </w:num>
  <w:num w:numId="12">
    <w:abstractNumId w:val="8"/>
    <w:lvlOverride w:ilvl="0"/>
    <w:lvlOverride w:ilvl="1"/>
    <w:lvlOverride w:ilvl="2"/>
    <w:lvlOverride w:ilvl="3"/>
    <w:lvlOverride w:ilvl="4"/>
    <w:lvlOverride w:ilvl="5"/>
    <w:lvlOverride w:ilvl="6"/>
    <w:lvlOverride w:ilvl="7">
      <w:startOverride w:val="1"/>
    </w:lvlOverride>
    <w:lvlOverride w:ilvl="8">
      <w:startOverride w:val="1"/>
    </w:lvlOverride>
  </w:num>
  <w:num w:numId="13">
    <w:abstractNumId w:val="4"/>
  </w:num>
  <w:num w:numId="14">
    <w:abstractNumId w:val="8"/>
    <w:lvlOverride w:ilvl="0"/>
    <w:lvlOverride w:ilvl="1"/>
    <w:lvlOverride w:ilvl="2"/>
    <w:lvlOverride w:ilvl="3"/>
    <w:lvlOverride w:ilvl="4"/>
    <w:lvlOverride w:ilvl="5"/>
    <w:lvlOverride w:ilvl="6"/>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721"/>
    <w:rsid w:val="00001194"/>
    <w:rsid w:val="0000272A"/>
    <w:rsid w:val="0000274D"/>
    <w:rsid w:val="00002ECE"/>
    <w:rsid w:val="000030D4"/>
    <w:rsid w:val="000058CD"/>
    <w:rsid w:val="00007C96"/>
    <w:rsid w:val="0001052B"/>
    <w:rsid w:val="000108BA"/>
    <w:rsid w:val="0001347C"/>
    <w:rsid w:val="0001490B"/>
    <w:rsid w:val="00015607"/>
    <w:rsid w:val="000179C5"/>
    <w:rsid w:val="00020CA0"/>
    <w:rsid w:val="000228F8"/>
    <w:rsid w:val="00024242"/>
    <w:rsid w:val="0002468F"/>
    <w:rsid w:val="00026D4E"/>
    <w:rsid w:val="000277AE"/>
    <w:rsid w:val="0003046E"/>
    <w:rsid w:val="00031AA4"/>
    <w:rsid w:val="0003232F"/>
    <w:rsid w:val="0003432C"/>
    <w:rsid w:val="000374AC"/>
    <w:rsid w:val="00040DD2"/>
    <w:rsid w:val="0004190F"/>
    <w:rsid w:val="00042693"/>
    <w:rsid w:val="000428A8"/>
    <w:rsid w:val="00043258"/>
    <w:rsid w:val="00044649"/>
    <w:rsid w:val="00044C83"/>
    <w:rsid w:val="00045E03"/>
    <w:rsid w:val="00046F73"/>
    <w:rsid w:val="00051D88"/>
    <w:rsid w:val="000537BA"/>
    <w:rsid w:val="00054CDC"/>
    <w:rsid w:val="00057B0B"/>
    <w:rsid w:val="00062559"/>
    <w:rsid w:val="0006293B"/>
    <w:rsid w:val="00062F43"/>
    <w:rsid w:val="00062FC4"/>
    <w:rsid w:val="00063DAD"/>
    <w:rsid w:val="000656B7"/>
    <w:rsid w:val="00065D29"/>
    <w:rsid w:val="000713F5"/>
    <w:rsid w:val="000725D3"/>
    <w:rsid w:val="00072F14"/>
    <w:rsid w:val="00073E46"/>
    <w:rsid w:val="000777AA"/>
    <w:rsid w:val="000841C6"/>
    <w:rsid w:val="000846D6"/>
    <w:rsid w:val="000851F9"/>
    <w:rsid w:val="00085344"/>
    <w:rsid w:val="0008766E"/>
    <w:rsid w:val="0008781B"/>
    <w:rsid w:val="00087911"/>
    <w:rsid w:val="00090F35"/>
    <w:rsid w:val="0009370A"/>
    <w:rsid w:val="00094285"/>
    <w:rsid w:val="00094982"/>
    <w:rsid w:val="00096A22"/>
    <w:rsid w:val="0009706C"/>
    <w:rsid w:val="0009727A"/>
    <w:rsid w:val="000A00A1"/>
    <w:rsid w:val="000A1CA1"/>
    <w:rsid w:val="000A27F4"/>
    <w:rsid w:val="000A3D44"/>
    <w:rsid w:val="000A5FF9"/>
    <w:rsid w:val="000A63DE"/>
    <w:rsid w:val="000A65C5"/>
    <w:rsid w:val="000B140E"/>
    <w:rsid w:val="000B292F"/>
    <w:rsid w:val="000B398B"/>
    <w:rsid w:val="000B649F"/>
    <w:rsid w:val="000B79F3"/>
    <w:rsid w:val="000C091D"/>
    <w:rsid w:val="000C1199"/>
    <w:rsid w:val="000C1763"/>
    <w:rsid w:val="000C196A"/>
    <w:rsid w:val="000C200E"/>
    <w:rsid w:val="000C2099"/>
    <w:rsid w:val="000C467D"/>
    <w:rsid w:val="000C4E8D"/>
    <w:rsid w:val="000C53DD"/>
    <w:rsid w:val="000D1157"/>
    <w:rsid w:val="000D298A"/>
    <w:rsid w:val="000D432D"/>
    <w:rsid w:val="000D4F37"/>
    <w:rsid w:val="000D70C6"/>
    <w:rsid w:val="000E01D7"/>
    <w:rsid w:val="000E12CB"/>
    <w:rsid w:val="000E261D"/>
    <w:rsid w:val="000E3527"/>
    <w:rsid w:val="000E4250"/>
    <w:rsid w:val="000E4FF3"/>
    <w:rsid w:val="000E7FF9"/>
    <w:rsid w:val="000F11E4"/>
    <w:rsid w:val="000F42FB"/>
    <w:rsid w:val="000F5525"/>
    <w:rsid w:val="000F59FE"/>
    <w:rsid w:val="000F5C5C"/>
    <w:rsid w:val="000F73E0"/>
    <w:rsid w:val="00101B2A"/>
    <w:rsid w:val="00102B8D"/>
    <w:rsid w:val="00104268"/>
    <w:rsid w:val="001056D8"/>
    <w:rsid w:val="00106A4B"/>
    <w:rsid w:val="001072D8"/>
    <w:rsid w:val="001072E8"/>
    <w:rsid w:val="00110279"/>
    <w:rsid w:val="0011665E"/>
    <w:rsid w:val="001171DF"/>
    <w:rsid w:val="0012071B"/>
    <w:rsid w:val="001209B6"/>
    <w:rsid w:val="00122C91"/>
    <w:rsid w:val="00130AD9"/>
    <w:rsid w:val="00132B38"/>
    <w:rsid w:val="001331F1"/>
    <w:rsid w:val="0013481C"/>
    <w:rsid w:val="00135514"/>
    <w:rsid w:val="00137E3D"/>
    <w:rsid w:val="00140A15"/>
    <w:rsid w:val="00142C1A"/>
    <w:rsid w:val="00143BC2"/>
    <w:rsid w:val="00144B01"/>
    <w:rsid w:val="00146B55"/>
    <w:rsid w:val="00146DA0"/>
    <w:rsid w:val="001512FF"/>
    <w:rsid w:val="0015176F"/>
    <w:rsid w:val="00151A92"/>
    <w:rsid w:val="00151D68"/>
    <w:rsid w:val="00152937"/>
    <w:rsid w:val="001530B2"/>
    <w:rsid w:val="001551F1"/>
    <w:rsid w:val="0015525E"/>
    <w:rsid w:val="00155DDC"/>
    <w:rsid w:val="00156AF3"/>
    <w:rsid w:val="0016191E"/>
    <w:rsid w:val="001622E8"/>
    <w:rsid w:val="00163275"/>
    <w:rsid w:val="00166195"/>
    <w:rsid w:val="00166C4C"/>
    <w:rsid w:val="0016734A"/>
    <w:rsid w:val="00167792"/>
    <w:rsid w:val="00167E65"/>
    <w:rsid w:val="0017073F"/>
    <w:rsid w:val="00171623"/>
    <w:rsid w:val="00173A64"/>
    <w:rsid w:val="00173F7A"/>
    <w:rsid w:val="001748D5"/>
    <w:rsid w:val="0017706D"/>
    <w:rsid w:val="0017749E"/>
    <w:rsid w:val="0017757D"/>
    <w:rsid w:val="00180503"/>
    <w:rsid w:val="00180FFC"/>
    <w:rsid w:val="001817DE"/>
    <w:rsid w:val="00182DB5"/>
    <w:rsid w:val="00183648"/>
    <w:rsid w:val="00183A82"/>
    <w:rsid w:val="00184ACE"/>
    <w:rsid w:val="00185825"/>
    <w:rsid w:val="0019031D"/>
    <w:rsid w:val="00192099"/>
    <w:rsid w:val="001921C8"/>
    <w:rsid w:val="001927CD"/>
    <w:rsid w:val="0019456C"/>
    <w:rsid w:val="00194ECF"/>
    <w:rsid w:val="00195AD2"/>
    <w:rsid w:val="00195CFE"/>
    <w:rsid w:val="0019760F"/>
    <w:rsid w:val="001A051E"/>
    <w:rsid w:val="001A180D"/>
    <w:rsid w:val="001A471D"/>
    <w:rsid w:val="001A55E9"/>
    <w:rsid w:val="001A56C9"/>
    <w:rsid w:val="001A5D14"/>
    <w:rsid w:val="001A72B6"/>
    <w:rsid w:val="001A7957"/>
    <w:rsid w:val="001B0562"/>
    <w:rsid w:val="001B064A"/>
    <w:rsid w:val="001B14F9"/>
    <w:rsid w:val="001B1CA2"/>
    <w:rsid w:val="001B2AB2"/>
    <w:rsid w:val="001B2CFA"/>
    <w:rsid w:val="001B3872"/>
    <w:rsid w:val="001B533F"/>
    <w:rsid w:val="001B6597"/>
    <w:rsid w:val="001C0BBE"/>
    <w:rsid w:val="001C1067"/>
    <w:rsid w:val="001C124F"/>
    <w:rsid w:val="001C18D7"/>
    <w:rsid w:val="001C1C59"/>
    <w:rsid w:val="001C4796"/>
    <w:rsid w:val="001C696F"/>
    <w:rsid w:val="001C6C2F"/>
    <w:rsid w:val="001C7264"/>
    <w:rsid w:val="001D16E0"/>
    <w:rsid w:val="001D27A3"/>
    <w:rsid w:val="001D3A87"/>
    <w:rsid w:val="001D7464"/>
    <w:rsid w:val="001E17BC"/>
    <w:rsid w:val="001E3837"/>
    <w:rsid w:val="001E4510"/>
    <w:rsid w:val="001E4FBB"/>
    <w:rsid w:val="001F57B7"/>
    <w:rsid w:val="001F6293"/>
    <w:rsid w:val="00201C0E"/>
    <w:rsid w:val="00202BC9"/>
    <w:rsid w:val="0020390A"/>
    <w:rsid w:val="00206D6F"/>
    <w:rsid w:val="0021009F"/>
    <w:rsid w:val="00211B34"/>
    <w:rsid w:val="002139FB"/>
    <w:rsid w:val="00213D82"/>
    <w:rsid w:val="0021796F"/>
    <w:rsid w:val="00217A3D"/>
    <w:rsid w:val="0022391E"/>
    <w:rsid w:val="00223C09"/>
    <w:rsid w:val="002242DB"/>
    <w:rsid w:val="00224A38"/>
    <w:rsid w:val="00225F38"/>
    <w:rsid w:val="00227B79"/>
    <w:rsid w:val="0023116D"/>
    <w:rsid w:val="002333CD"/>
    <w:rsid w:val="00233DD5"/>
    <w:rsid w:val="002361F4"/>
    <w:rsid w:val="00237B0B"/>
    <w:rsid w:val="00241F2D"/>
    <w:rsid w:val="002459A8"/>
    <w:rsid w:val="002462E5"/>
    <w:rsid w:val="00250332"/>
    <w:rsid w:val="002503DD"/>
    <w:rsid w:val="00250B49"/>
    <w:rsid w:val="0025166F"/>
    <w:rsid w:val="002516E9"/>
    <w:rsid w:val="00251842"/>
    <w:rsid w:val="00251DFE"/>
    <w:rsid w:val="00252B54"/>
    <w:rsid w:val="002537CD"/>
    <w:rsid w:val="00265102"/>
    <w:rsid w:val="00265CDA"/>
    <w:rsid w:val="0027142F"/>
    <w:rsid w:val="002714F4"/>
    <w:rsid w:val="00271C37"/>
    <w:rsid w:val="00272D38"/>
    <w:rsid w:val="0027355E"/>
    <w:rsid w:val="00273C2E"/>
    <w:rsid w:val="00273C6C"/>
    <w:rsid w:val="0027659B"/>
    <w:rsid w:val="00277457"/>
    <w:rsid w:val="00277E41"/>
    <w:rsid w:val="002802BC"/>
    <w:rsid w:val="002810D1"/>
    <w:rsid w:val="0028138F"/>
    <w:rsid w:val="00281DE7"/>
    <w:rsid w:val="00283FD1"/>
    <w:rsid w:val="002848EE"/>
    <w:rsid w:val="00286E0D"/>
    <w:rsid w:val="00291BE6"/>
    <w:rsid w:val="00294143"/>
    <w:rsid w:val="00294A5F"/>
    <w:rsid w:val="002958DD"/>
    <w:rsid w:val="00296E31"/>
    <w:rsid w:val="002971BA"/>
    <w:rsid w:val="002979AB"/>
    <w:rsid w:val="002979B2"/>
    <w:rsid w:val="002A0BC5"/>
    <w:rsid w:val="002A29D1"/>
    <w:rsid w:val="002A459F"/>
    <w:rsid w:val="002A5FA2"/>
    <w:rsid w:val="002A60C0"/>
    <w:rsid w:val="002A672E"/>
    <w:rsid w:val="002B0C5C"/>
    <w:rsid w:val="002B2B09"/>
    <w:rsid w:val="002B38F9"/>
    <w:rsid w:val="002B6FA6"/>
    <w:rsid w:val="002B722E"/>
    <w:rsid w:val="002B7651"/>
    <w:rsid w:val="002C0C87"/>
    <w:rsid w:val="002C1398"/>
    <w:rsid w:val="002C2324"/>
    <w:rsid w:val="002C3A46"/>
    <w:rsid w:val="002D16B9"/>
    <w:rsid w:val="002D19B6"/>
    <w:rsid w:val="002D1CD5"/>
    <w:rsid w:val="002D3058"/>
    <w:rsid w:val="002D6822"/>
    <w:rsid w:val="002E00AB"/>
    <w:rsid w:val="002E01F7"/>
    <w:rsid w:val="002E2C00"/>
    <w:rsid w:val="002E57F9"/>
    <w:rsid w:val="002E5836"/>
    <w:rsid w:val="002E6079"/>
    <w:rsid w:val="002E6105"/>
    <w:rsid w:val="002F021D"/>
    <w:rsid w:val="002F1CAE"/>
    <w:rsid w:val="002F56B6"/>
    <w:rsid w:val="002F64FC"/>
    <w:rsid w:val="002F714A"/>
    <w:rsid w:val="002F7582"/>
    <w:rsid w:val="002F78D4"/>
    <w:rsid w:val="0030244E"/>
    <w:rsid w:val="00302DF8"/>
    <w:rsid w:val="003033A0"/>
    <w:rsid w:val="00303D55"/>
    <w:rsid w:val="003042AA"/>
    <w:rsid w:val="0030444A"/>
    <w:rsid w:val="00305015"/>
    <w:rsid w:val="00307C56"/>
    <w:rsid w:val="0031076C"/>
    <w:rsid w:val="00310EE5"/>
    <w:rsid w:val="00312091"/>
    <w:rsid w:val="00313EE1"/>
    <w:rsid w:val="00316E32"/>
    <w:rsid w:val="003170B4"/>
    <w:rsid w:val="0031761E"/>
    <w:rsid w:val="0032012B"/>
    <w:rsid w:val="003235FE"/>
    <w:rsid w:val="00323BEB"/>
    <w:rsid w:val="00326AE5"/>
    <w:rsid w:val="0033004E"/>
    <w:rsid w:val="003328E2"/>
    <w:rsid w:val="00333F48"/>
    <w:rsid w:val="00334AB5"/>
    <w:rsid w:val="00337870"/>
    <w:rsid w:val="00337A0D"/>
    <w:rsid w:val="00340D09"/>
    <w:rsid w:val="00350AD7"/>
    <w:rsid w:val="00353288"/>
    <w:rsid w:val="0035334C"/>
    <w:rsid w:val="00361D87"/>
    <w:rsid w:val="00367A6A"/>
    <w:rsid w:val="00370B69"/>
    <w:rsid w:val="00371426"/>
    <w:rsid w:val="00373E4C"/>
    <w:rsid w:val="00374BBB"/>
    <w:rsid w:val="00375767"/>
    <w:rsid w:val="00375B4A"/>
    <w:rsid w:val="00381267"/>
    <w:rsid w:val="00382207"/>
    <w:rsid w:val="00382A81"/>
    <w:rsid w:val="003843EB"/>
    <w:rsid w:val="0038517E"/>
    <w:rsid w:val="00385BEA"/>
    <w:rsid w:val="0038676E"/>
    <w:rsid w:val="00390926"/>
    <w:rsid w:val="00390E3A"/>
    <w:rsid w:val="0039146A"/>
    <w:rsid w:val="00392554"/>
    <w:rsid w:val="00392567"/>
    <w:rsid w:val="00392B7A"/>
    <w:rsid w:val="003933B9"/>
    <w:rsid w:val="003951A1"/>
    <w:rsid w:val="003979AF"/>
    <w:rsid w:val="003A0B9E"/>
    <w:rsid w:val="003A16CC"/>
    <w:rsid w:val="003A2392"/>
    <w:rsid w:val="003A23D5"/>
    <w:rsid w:val="003A2F92"/>
    <w:rsid w:val="003A4C4D"/>
    <w:rsid w:val="003A4F50"/>
    <w:rsid w:val="003A541E"/>
    <w:rsid w:val="003A5C75"/>
    <w:rsid w:val="003A5F6E"/>
    <w:rsid w:val="003A5F93"/>
    <w:rsid w:val="003B1FE5"/>
    <w:rsid w:val="003B4192"/>
    <w:rsid w:val="003B46F9"/>
    <w:rsid w:val="003B5810"/>
    <w:rsid w:val="003B6AB4"/>
    <w:rsid w:val="003B7E88"/>
    <w:rsid w:val="003C1AAB"/>
    <w:rsid w:val="003C3D17"/>
    <w:rsid w:val="003C439E"/>
    <w:rsid w:val="003C46B6"/>
    <w:rsid w:val="003C765B"/>
    <w:rsid w:val="003D1DBC"/>
    <w:rsid w:val="003D2915"/>
    <w:rsid w:val="003D2D0F"/>
    <w:rsid w:val="003D2DC8"/>
    <w:rsid w:val="003D3319"/>
    <w:rsid w:val="003D3600"/>
    <w:rsid w:val="003D4553"/>
    <w:rsid w:val="003D62A0"/>
    <w:rsid w:val="003D62A2"/>
    <w:rsid w:val="003D694F"/>
    <w:rsid w:val="003E0C86"/>
    <w:rsid w:val="003E1485"/>
    <w:rsid w:val="003E287D"/>
    <w:rsid w:val="003E398B"/>
    <w:rsid w:val="003E3DE4"/>
    <w:rsid w:val="003E426B"/>
    <w:rsid w:val="003E57AB"/>
    <w:rsid w:val="003E6801"/>
    <w:rsid w:val="003F0357"/>
    <w:rsid w:val="003F069E"/>
    <w:rsid w:val="003F0782"/>
    <w:rsid w:val="003F0E6E"/>
    <w:rsid w:val="003F2D24"/>
    <w:rsid w:val="003F5A36"/>
    <w:rsid w:val="003F73C4"/>
    <w:rsid w:val="00400788"/>
    <w:rsid w:val="0040177F"/>
    <w:rsid w:val="00402EB1"/>
    <w:rsid w:val="00402FD4"/>
    <w:rsid w:val="004030EE"/>
    <w:rsid w:val="00403B72"/>
    <w:rsid w:val="004040CE"/>
    <w:rsid w:val="004042E8"/>
    <w:rsid w:val="00404E95"/>
    <w:rsid w:val="00405078"/>
    <w:rsid w:val="00407C1A"/>
    <w:rsid w:val="00410224"/>
    <w:rsid w:val="004102FE"/>
    <w:rsid w:val="00410DE3"/>
    <w:rsid w:val="004140CA"/>
    <w:rsid w:val="004147E6"/>
    <w:rsid w:val="004213AF"/>
    <w:rsid w:val="004214A8"/>
    <w:rsid w:val="00421936"/>
    <w:rsid w:val="004220AC"/>
    <w:rsid w:val="00422133"/>
    <w:rsid w:val="004230AF"/>
    <w:rsid w:val="004233B0"/>
    <w:rsid w:val="004263EA"/>
    <w:rsid w:val="00426BC8"/>
    <w:rsid w:val="00426EF6"/>
    <w:rsid w:val="0042711F"/>
    <w:rsid w:val="0042712F"/>
    <w:rsid w:val="00430F53"/>
    <w:rsid w:val="004323E2"/>
    <w:rsid w:val="00432793"/>
    <w:rsid w:val="0043424B"/>
    <w:rsid w:val="004368F6"/>
    <w:rsid w:val="00436E2B"/>
    <w:rsid w:val="00437C1F"/>
    <w:rsid w:val="004409A9"/>
    <w:rsid w:val="00442703"/>
    <w:rsid w:val="00442C98"/>
    <w:rsid w:val="00442CB5"/>
    <w:rsid w:val="0044440F"/>
    <w:rsid w:val="004458BC"/>
    <w:rsid w:val="0044774F"/>
    <w:rsid w:val="004517F6"/>
    <w:rsid w:val="004522B4"/>
    <w:rsid w:val="00453024"/>
    <w:rsid w:val="00455537"/>
    <w:rsid w:val="00455EB7"/>
    <w:rsid w:val="00456174"/>
    <w:rsid w:val="00456A2F"/>
    <w:rsid w:val="00457BE5"/>
    <w:rsid w:val="00460435"/>
    <w:rsid w:val="004645BC"/>
    <w:rsid w:val="004650FA"/>
    <w:rsid w:val="00465771"/>
    <w:rsid w:val="0047001B"/>
    <w:rsid w:val="004710F7"/>
    <w:rsid w:val="0047178D"/>
    <w:rsid w:val="00471901"/>
    <w:rsid w:val="00472289"/>
    <w:rsid w:val="00472511"/>
    <w:rsid w:val="00472FB1"/>
    <w:rsid w:val="004740BC"/>
    <w:rsid w:val="00474A24"/>
    <w:rsid w:val="00474D2D"/>
    <w:rsid w:val="004759B8"/>
    <w:rsid w:val="00475C1B"/>
    <w:rsid w:val="004762A1"/>
    <w:rsid w:val="00477BBA"/>
    <w:rsid w:val="0048031C"/>
    <w:rsid w:val="00480A72"/>
    <w:rsid w:val="00480AF6"/>
    <w:rsid w:val="00482006"/>
    <w:rsid w:val="00482AB2"/>
    <w:rsid w:val="00483132"/>
    <w:rsid w:val="00483AC9"/>
    <w:rsid w:val="00483B05"/>
    <w:rsid w:val="00483B3A"/>
    <w:rsid w:val="00484068"/>
    <w:rsid w:val="00485722"/>
    <w:rsid w:val="00494D86"/>
    <w:rsid w:val="00496CAA"/>
    <w:rsid w:val="00496F18"/>
    <w:rsid w:val="00497985"/>
    <w:rsid w:val="00497BCA"/>
    <w:rsid w:val="004A09A3"/>
    <w:rsid w:val="004A1152"/>
    <w:rsid w:val="004A2EC8"/>
    <w:rsid w:val="004A3A5C"/>
    <w:rsid w:val="004A3D0B"/>
    <w:rsid w:val="004A44A4"/>
    <w:rsid w:val="004A51CE"/>
    <w:rsid w:val="004A5473"/>
    <w:rsid w:val="004A5FE2"/>
    <w:rsid w:val="004A70FE"/>
    <w:rsid w:val="004B3586"/>
    <w:rsid w:val="004B46FB"/>
    <w:rsid w:val="004B4DBE"/>
    <w:rsid w:val="004B71D7"/>
    <w:rsid w:val="004C022B"/>
    <w:rsid w:val="004C20E4"/>
    <w:rsid w:val="004C21F3"/>
    <w:rsid w:val="004C35A9"/>
    <w:rsid w:val="004C7748"/>
    <w:rsid w:val="004D174D"/>
    <w:rsid w:val="004D1842"/>
    <w:rsid w:val="004D1CA4"/>
    <w:rsid w:val="004D1FCA"/>
    <w:rsid w:val="004D2EF0"/>
    <w:rsid w:val="004D35F0"/>
    <w:rsid w:val="004D44E3"/>
    <w:rsid w:val="004D4DFC"/>
    <w:rsid w:val="004D61EE"/>
    <w:rsid w:val="004D6488"/>
    <w:rsid w:val="004D6745"/>
    <w:rsid w:val="004E394E"/>
    <w:rsid w:val="004E5525"/>
    <w:rsid w:val="004F0B49"/>
    <w:rsid w:val="004F13A0"/>
    <w:rsid w:val="004F16C2"/>
    <w:rsid w:val="004F384A"/>
    <w:rsid w:val="004F50D5"/>
    <w:rsid w:val="004F54AA"/>
    <w:rsid w:val="004F5882"/>
    <w:rsid w:val="004F6661"/>
    <w:rsid w:val="004F6E84"/>
    <w:rsid w:val="0050172A"/>
    <w:rsid w:val="005023CB"/>
    <w:rsid w:val="00502FB4"/>
    <w:rsid w:val="005056F7"/>
    <w:rsid w:val="00506C57"/>
    <w:rsid w:val="0050731A"/>
    <w:rsid w:val="00512719"/>
    <w:rsid w:val="00514DF5"/>
    <w:rsid w:val="00515F36"/>
    <w:rsid w:val="00516313"/>
    <w:rsid w:val="00517DBD"/>
    <w:rsid w:val="0052135D"/>
    <w:rsid w:val="0052303B"/>
    <w:rsid w:val="00523106"/>
    <w:rsid w:val="005231D6"/>
    <w:rsid w:val="005260A7"/>
    <w:rsid w:val="00532941"/>
    <w:rsid w:val="00533D45"/>
    <w:rsid w:val="00534776"/>
    <w:rsid w:val="005347BB"/>
    <w:rsid w:val="00535C7D"/>
    <w:rsid w:val="00535E20"/>
    <w:rsid w:val="00536EE1"/>
    <w:rsid w:val="00540CA9"/>
    <w:rsid w:val="005444F3"/>
    <w:rsid w:val="00545147"/>
    <w:rsid w:val="00546E70"/>
    <w:rsid w:val="00547F89"/>
    <w:rsid w:val="00547FD6"/>
    <w:rsid w:val="005506B2"/>
    <w:rsid w:val="00550E0A"/>
    <w:rsid w:val="005515B1"/>
    <w:rsid w:val="00552687"/>
    <w:rsid w:val="00554EB1"/>
    <w:rsid w:val="005572D6"/>
    <w:rsid w:val="00561258"/>
    <w:rsid w:val="00566344"/>
    <w:rsid w:val="0056717F"/>
    <w:rsid w:val="00571212"/>
    <w:rsid w:val="00571919"/>
    <w:rsid w:val="005734E4"/>
    <w:rsid w:val="00574D97"/>
    <w:rsid w:val="00575BA6"/>
    <w:rsid w:val="005766CA"/>
    <w:rsid w:val="005767DD"/>
    <w:rsid w:val="00576FB4"/>
    <w:rsid w:val="00580788"/>
    <w:rsid w:val="005818B8"/>
    <w:rsid w:val="005842D6"/>
    <w:rsid w:val="005843F3"/>
    <w:rsid w:val="00584FE9"/>
    <w:rsid w:val="00585752"/>
    <w:rsid w:val="00585C0E"/>
    <w:rsid w:val="00586FF6"/>
    <w:rsid w:val="00592047"/>
    <w:rsid w:val="00593344"/>
    <w:rsid w:val="00595FE7"/>
    <w:rsid w:val="00596CF4"/>
    <w:rsid w:val="005974A7"/>
    <w:rsid w:val="005A03AF"/>
    <w:rsid w:val="005A1319"/>
    <w:rsid w:val="005A27D7"/>
    <w:rsid w:val="005A2D77"/>
    <w:rsid w:val="005A3D31"/>
    <w:rsid w:val="005A55CC"/>
    <w:rsid w:val="005A5DE1"/>
    <w:rsid w:val="005A7B76"/>
    <w:rsid w:val="005A7DCA"/>
    <w:rsid w:val="005B0DA8"/>
    <w:rsid w:val="005B2717"/>
    <w:rsid w:val="005B7D3F"/>
    <w:rsid w:val="005C115C"/>
    <w:rsid w:val="005C484D"/>
    <w:rsid w:val="005C6904"/>
    <w:rsid w:val="005D0218"/>
    <w:rsid w:val="005D336E"/>
    <w:rsid w:val="005D5E6D"/>
    <w:rsid w:val="005D60B1"/>
    <w:rsid w:val="005D6D8E"/>
    <w:rsid w:val="005D7587"/>
    <w:rsid w:val="005E1584"/>
    <w:rsid w:val="005E184C"/>
    <w:rsid w:val="005E56C6"/>
    <w:rsid w:val="005E7116"/>
    <w:rsid w:val="005E7AA5"/>
    <w:rsid w:val="005F2D91"/>
    <w:rsid w:val="005F47EB"/>
    <w:rsid w:val="005F6344"/>
    <w:rsid w:val="005F7757"/>
    <w:rsid w:val="00601D5C"/>
    <w:rsid w:val="006023CC"/>
    <w:rsid w:val="0060254E"/>
    <w:rsid w:val="0060314F"/>
    <w:rsid w:val="00604171"/>
    <w:rsid w:val="00605FFD"/>
    <w:rsid w:val="006065CE"/>
    <w:rsid w:val="006115BE"/>
    <w:rsid w:val="00613FD8"/>
    <w:rsid w:val="00614411"/>
    <w:rsid w:val="006144C7"/>
    <w:rsid w:val="00620344"/>
    <w:rsid w:val="006206A6"/>
    <w:rsid w:val="0062145B"/>
    <w:rsid w:val="006216F9"/>
    <w:rsid w:val="0062566D"/>
    <w:rsid w:val="00626CD6"/>
    <w:rsid w:val="00627DFA"/>
    <w:rsid w:val="00627E30"/>
    <w:rsid w:val="00631DC4"/>
    <w:rsid w:val="00632EEF"/>
    <w:rsid w:val="00635FA1"/>
    <w:rsid w:val="0063718B"/>
    <w:rsid w:val="0064041C"/>
    <w:rsid w:val="00641A6C"/>
    <w:rsid w:val="00645325"/>
    <w:rsid w:val="00645778"/>
    <w:rsid w:val="00645F96"/>
    <w:rsid w:val="00646B51"/>
    <w:rsid w:val="006477F9"/>
    <w:rsid w:val="006514BE"/>
    <w:rsid w:val="00651AD8"/>
    <w:rsid w:val="00652049"/>
    <w:rsid w:val="0065429C"/>
    <w:rsid w:val="00654AA5"/>
    <w:rsid w:val="00662347"/>
    <w:rsid w:val="00663D80"/>
    <w:rsid w:val="006649DC"/>
    <w:rsid w:val="006656EC"/>
    <w:rsid w:val="00666504"/>
    <w:rsid w:val="00666D1F"/>
    <w:rsid w:val="006674D8"/>
    <w:rsid w:val="006703B0"/>
    <w:rsid w:val="00671C64"/>
    <w:rsid w:val="0067400B"/>
    <w:rsid w:val="00677314"/>
    <w:rsid w:val="00681190"/>
    <w:rsid w:val="00682B8C"/>
    <w:rsid w:val="00682E76"/>
    <w:rsid w:val="006842EC"/>
    <w:rsid w:val="00684D8A"/>
    <w:rsid w:val="00685B33"/>
    <w:rsid w:val="00687B1F"/>
    <w:rsid w:val="00690737"/>
    <w:rsid w:val="00693248"/>
    <w:rsid w:val="0069343C"/>
    <w:rsid w:val="00693980"/>
    <w:rsid w:val="006956C7"/>
    <w:rsid w:val="00696E7F"/>
    <w:rsid w:val="00697EC5"/>
    <w:rsid w:val="006A185E"/>
    <w:rsid w:val="006A26B3"/>
    <w:rsid w:val="006A350A"/>
    <w:rsid w:val="006A4799"/>
    <w:rsid w:val="006A6CE4"/>
    <w:rsid w:val="006A6F81"/>
    <w:rsid w:val="006A780A"/>
    <w:rsid w:val="006B04F1"/>
    <w:rsid w:val="006B2B28"/>
    <w:rsid w:val="006B5AA9"/>
    <w:rsid w:val="006C183B"/>
    <w:rsid w:val="006C2434"/>
    <w:rsid w:val="006C2E9D"/>
    <w:rsid w:val="006C3DFA"/>
    <w:rsid w:val="006C4A0C"/>
    <w:rsid w:val="006C56B3"/>
    <w:rsid w:val="006C5DCA"/>
    <w:rsid w:val="006C6ABD"/>
    <w:rsid w:val="006D034C"/>
    <w:rsid w:val="006D14F4"/>
    <w:rsid w:val="006D2181"/>
    <w:rsid w:val="006D5752"/>
    <w:rsid w:val="006D5CEE"/>
    <w:rsid w:val="006E0B88"/>
    <w:rsid w:val="006E1D02"/>
    <w:rsid w:val="006E44CC"/>
    <w:rsid w:val="006E77DD"/>
    <w:rsid w:val="006E79AF"/>
    <w:rsid w:val="006F002D"/>
    <w:rsid w:val="006F165A"/>
    <w:rsid w:val="006F18E1"/>
    <w:rsid w:val="006F3283"/>
    <w:rsid w:val="006F64C4"/>
    <w:rsid w:val="0070102F"/>
    <w:rsid w:val="00706D8A"/>
    <w:rsid w:val="00707759"/>
    <w:rsid w:val="00707F1A"/>
    <w:rsid w:val="007112C4"/>
    <w:rsid w:val="007114A3"/>
    <w:rsid w:val="00716DF2"/>
    <w:rsid w:val="00720A91"/>
    <w:rsid w:val="00721E7D"/>
    <w:rsid w:val="00722CBE"/>
    <w:rsid w:val="00723D3A"/>
    <w:rsid w:val="00726BEB"/>
    <w:rsid w:val="00727E21"/>
    <w:rsid w:val="00730614"/>
    <w:rsid w:val="00730F99"/>
    <w:rsid w:val="00733C8F"/>
    <w:rsid w:val="007343FE"/>
    <w:rsid w:val="0073731C"/>
    <w:rsid w:val="00740DC1"/>
    <w:rsid w:val="00741582"/>
    <w:rsid w:val="00741708"/>
    <w:rsid w:val="00742673"/>
    <w:rsid w:val="00743D22"/>
    <w:rsid w:val="00744C5F"/>
    <w:rsid w:val="00744FD1"/>
    <w:rsid w:val="00746D23"/>
    <w:rsid w:val="00750C30"/>
    <w:rsid w:val="007519CF"/>
    <w:rsid w:val="0075254F"/>
    <w:rsid w:val="00752874"/>
    <w:rsid w:val="00753067"/>
    <w:rsid w:val="00753249"/>
    <w:rsid w:val="007552D4"/>
    <w:rsid w:val="007554CA"/>
    <w:rsid w:val="00755E19"/>
    <w:rsid w:val="007560DD"/>
    <w:rsid w:val="00760DCF"/>
    <w:rsid w:val="00763355"/>
    <w:rsid w:val="007636C4"/>
    <w:rsid w:val="0076605C"/>
    <w:rsid w:val="007661FF"/>
    <w:rsid w:val="00766D27"/>
    <w:rsid w:val="007719C9"/>
    <w:rsid w:val="00771BC3"/>
    <w:rsid w:val="007747A7"/>
    <w:rsid w:val="00777E8E"/>
    <w:rsid w:val="00781B13"/>
    <w:rsid w:val="0078230B"/>
    <w:rsid w:val="007834AA"/>
    <w:rsid w:val="00784F75"/>
    <w:rsid w:val="00785455"/>
    <w:rsid w:val="00786D23"/>
    <w:rsid w:val="007875B4"/>
    <w:rsid w:val="00787BE5"/>
    <w:rsid w:val="00792CEC"/>
    <w:rsid w:val="00793EC0"/>
    <w:rsid w:val="0079547A"/>
    <w:rsid w:val="007A26EF"/>
    <w:rsid w:val="007A2852"/>
    <w:rsid w:val="007A29B8"/>
    <w:rsid w:val="007A2A1D"/>
    <w:rsid w:val="007A33BC"/>
    <w:rsid w:val="007A355C"/>
    <w:rsid w:val="007A3620"/>
    <w:rsid w:val="007A5876"/>
    <w:rsid w:val="007A5B09"/>
    <w:rsid w:val="007A75DA"/>
    <w:rsid w:val="007B0DE2"/>
    <w:rsid w:val="007B0EC3"/>
    <w:rsid w:val="007B17AF"/>
    <w:rsid w:val="007B2289"/>
    <w:rsid w:val="007B66AB"/>
    <w:rsid w:val="007C0ABB"/>
    <w:rsid w:val="007C1966"/>
    <w:rsid w:val="007C1CE7"/>
    <w:rsid w:val="007C544C"/>
    <w:rsid w:val="007C5474"/>
    <w:rsid w:val="007C631C"/>
    <w:rsid w:val="007C708B"/>
    <w:rsid w:val="007D2D50"/>
    <w:rsid w:val="007D3212"/>
    <w:rsid w:val="007D49C9"/>
    <w:rsid w:val="007D4D85"/>
    <w:rsid w:val="007D5A4E"/>
    <w:rsid w:val="007D6D8D"/>
    <w:rsid w:val="007D6F69"/>
    <w:rsid w:val="007E08F6"/>
    <w:rsid w:val="007E1870"/>
    <w:rsid w:val="007E2502"/>
    <w:rsid w:val="007E3033"/>
    <w:rsid w:val="007E31AB"/>
    <w:rsid w:val="007E5D98"/>
    <w:rsid w:val="007F0AFA"/>
    <w:rsid w:val="007F2AB9"/>
    <w:rsid w:val="007F2C69"/>
    <w:rsid w:val="007F2D64"/>
    <w:rsid w:val="007F2F24"/>
    <w:rsid w:val="007F3A62"/>
    <w:rsid w:val="007F409D"/>
    <w:rsid w:val="007F4DEA"/>
    <w:rsid w:val="007F5B1F"/>
    <w:rsid w:val="007F5B61"/>
    <w:rsid w:val="007F63D1"/>
    <w:rsid w:val="00800638"/>
    <w:rsid w:val="00800885"/>
    <w:rsid w:val="0080147A"/>
    <w:rsid w:val="008016CC"/>
    <w:rsid w:val="008035FC"/>
    <w:rsid w:val="00806122"/>
    <w:rsid w:val="0080756D"/>
    <w:rsid w:val="00807591"/>
    <w:rsid w:val="00807E52"/>
    <w:rsid w:val="00810811"/>
    <w:rsid w:val="0081588D"/>
    <w:rsid w:val="00815C10"/>
    <w:rsid w:val="00816C1F"/>
    <w:rsid w:val="00817C06"/>
    <w:rsid w:val="00817E61"/>
    <w:rsid w:val="008206B1"/>
    <w:rsid w:val="00822D9D"/>
    <w:rsid w:val="0082330D"/>
    <w:rsid w:val="00824245"/>
    <w:rsid w:val="00825633"/>
    <w:rsid w:val="008279DE"/>
    <w:rsid w:val="00827F15"/>
    <w:rsid w:val="00832731"/>
    <w:rsid w:val="00832A04"/>
    <w:rsid w:val="008342C4"/>
    <w:rsid w:val="00835721"/>
    <w:rsid w:val="00840D64"/>
    <w:rsid w:val="00841275"/>
    <w:rsid w:val="008425C1"/>
    <w:rsid w:val="008458D6"/>
    <w:rsid w:val="00845C91"/>
    <w:rsid w:val="008471CA"/>
    <w:rsid w:val="00851B46"/>
    <w:rsid w:val="008550C5"/>
    <w:rsid w:val="00855AE9"/>
    <w:rsid w:val="0085752C"/>
    <w:rsid w:val="00857FA9"/>
    <w:rsid w:val="0086123F"/>
    <w:rsid w:val="00861F0C"/>
    <w:rsid w:val="008629DE"/>
    <w:rsid w:val="00864430"/>
    <w:rsid w:val="00864FD7"/>
    <w:rsid w:val="00865AE3"/>
    <w:rsid w:val="00866319"/>
    <w:rsid w:val="00867EED"/>
    <w:rsid w:val="0087132C"/>
    <w:rsid w:val="0087152E"/>
    <w:rsid w:val="00872CE1"/>
    <w:rsid w:val="008732B5"/>
    <w:rsid w:val="00874D16"/>
    <w:rsid w:val="00874F22"/>
    <w:rsid w:val="008756F5"/>
    <w:rsid w:val="008777BB"/>
    <w:rsid w:val="00880511"/>
    <w:rsid w:val="008807E9"/>
    <w:rsid w:val="008809F5"/>
    <w:rsid w:val="00881F16"/>
    <w:rsid w:val="00882C50"/>
    <w:rsid w:val="00883C0C"/>
    <w:rsid w:val="00884C49"/>
    <w:rsid w:val="00887BA1"/>
    <w:rsid w:val="0089290A"/>
    <w:rsid w:val="00894212"/>
    <w:rsid w:val="008953F1"/>
    <w:rsid w:val="00897B0F"/>
    <w:rsid w:val="008A2F94"/>
    <w:rsid w:val="008A3411"/>
    <w:rsid w:val="008A6E38"/>
    <w:rsid w:val="008A771A"/>
    <w:rsid w:val="008B0DDC"/>
    <w:rsid w:val="008B173A"/>
    <w:rsid w:val="008B1DDA"/>
    <w:rsid w:val="008B240B"/>
    <w:rsid w:val="008B2F15"/>
    <w:rsid w:val="008B3064"/>
    <w:rsid w:val="008B505C"/>
    <w:rsid w:val="008B5999"/>
    <w:rsid w:val="008B792A"/>
    <w:rsid w:val="008C0234"/>
    <w:rsid w:val="008C1301"/>
    <w:rsid w:val="008C39D3"/>
    <w:rsid w:val="008C4442"/>
    <w:rsid w:val="008C4631"/>
    <w:rsid w:val="008C7D2A"/>
    <w:rsid w:val="008D0DBF"/>
    <w:rsid w:val="008D14A7"/>
    <w:rsid w:val="008D1AB0"/>
    <w:rsid w:val="008D1C1B"/>
    <w:rsid w:val="008D3654"/>
    <w:rsid w:val="008D79FE"/>
    <w:rsid w:val="008E2AD6"/>
    <w:rsid w:val="008E3414"/>
    <w:rsid w:val="008E4FE1"/>
    <w:rsid w:val="008E5A26"/>
    <w:rsid w:val="008E7E85"/>
    <w:rsid w:val="008F2A5F"/>
    <w:rsid w:val="008F2DBD"/>
    <w:rsid w:val="008F58A2"/>
    <w:rsid w:val="008F6D67"/>
    <w:rsid w:val="008F714C"/>
    <w:rsid w:val="0090048E"/>
    <w:rsid w:val="00901F0D"/>
    <w:rsid w:val="009033DE"/>
    <w:rsid w:val="009049C9"/>
    <w:rsid w:val="00905467"/>
    <w:rsid w:val="00906E5E"/>
    <w:rsid w:val="00907718"/>
    <w:rsid w:val="009077C6"/>
    <w:rsid w:val="00912BDA"/>
    <w:rsid w:val="00914C4D"/>
    <w:rsid w:val="0091544D"/>
    <w:rsid w:val="00916A52"/>
    <w:rsid w:val="00917932"/>
    <w:rsid w:val="00920EA8"/>
    <w:rsid w:val="00921553"/>
    <w:rsid w:val="0092302F"/>
    <w:rsid w:val="00923E6A"/>
    <w:rsid w:val="009257FF"/>
    <w:rsid w:val="00926202"/>
    <w:rsid w:val="00927B68"/>
    <w:rsid w:val="00930908"/>
    <w:rsid w:val="00930D71"/>
    <w:rsid w:val="00931914"/>
    <w:rsid w:val="0093442C"/>
    <w:rsid w:val="00937B5A"/>
    <w:rsid w:val="00937BF3"/>
    <w:rsid w:val="00937F74"/>
    <w:rsid w:val="00941577"/>
    <w:rsid w:val="00942BA0"/>
    <w:rsid w:val="00943F7C"/>
    <w:rsid w:val="00944048"/>
    <w:rsid w:val="00944222"/>
    <w:rsid w:val="00946327"/>
    <w:rsid w:val="00946550"/>
    <w:rsid w:val="0094765D"/>
    <w:rsid w:val="00950AD7"/>
    <w:rsid w:val="00950CBD"/>
    <w:rsid w:val="00950F16"/>
    <w:rsid w:val="00951386"/>
    <w:rsid w:val="009524C9"/>
    <w:rsid w:val="00952EE4"/>
    <w:rsid w:val="0095384A"/>
    <w:rsid w:val="00960531"/>
    <w:rsid w:val="009605DD"/>
    <w:rsid w:val="009614AF"/>
    <w:rsid w:val="00962A71"/>
    <w:rsid w:val="009630E9"/>
    <w:rsid w:val="00963196"/>
    <w:rsid w:val="00963BEF"/>
    <w:rsid w:val="00963DD8"/>
    <w:rsid w:val="0096416B"/>
    <w:rsid w:val="00965352"/>
    <w:rsid w:val="009662DB"/>
    <w:rsid w:val="0096734A"/>
    <w:rsid w:val="009728D8"/>
    <w:rsid w:val="00974E0A"/>
    <w:rsid w:val="00976328"/>
    <w:rsid w:val="00976B95"/>
    <w:rsid w:val="00976F67"/>
    <w:rsid w:val="0097755B"/>
    <w:rsid w:val="009803BD"/>
    <w:rsid w:val="00980DFE"/>
    <w:rsid w:val="009816FC"/>
    <w:rsid w:val="009840CA"/>
    <w:rsid w:val="00984180"/>
    <w:rsid w:val="00985C98"/>
    <w:rsid w:val="00985E3E"/>
    <w:rsid w:val="0098670B"/>
    <w:rsid w:val="00987A27"/>
    <w:rsid w:val="0099003F"/>
    <w:rsid w:val="00990087"/>
    <w:rsid w:val="00991163"/>
    <w:rsid w:val="009917C6"/>
    <w:rsid w:val="00995100"/>
    <w:rsid w:val="00996CCD"/>
    <w:rsid w:val="00997356"/>
    <w:rsid w:val="009A0117"/>
    <w:rsid w:val="009A40F6"/>
    <w:rsid w:val="009A4B2A"/>
    <w:rsid w:val="009B0AE1"/>
    <w:rsid w:val="009B0B5F"/>
    <w:rsid w:val="009B169B"/>
    <w:rsid w:val="009B1856"/>
    <w:rsid w:val="009B35C4"/>
    <w:rsid w:val="009B607C"/>
    <w:rsid w:val="009B610D"/>
    <w:rsid w:val="009C0F6B"/>
    <w:rsid w:val="009C3BDF"/>
    <w:rsid w:val="009C6A53"/>
    <w:rsid w:val="009C76F1"/>
    <w:rsid w:val="009C7EAB"/>
    <w:rsid w:val="009D365C"/>
    <w:rsid w:val="009D3D44"/>
    <w:rsid w:val="009D513F"/>
    <w:rsid w:val="009D51C0"/>
    <w:rsid w:val="009D51FA"/>
    <w:rsid w:val="009D5410"/>
    <w:rsid w:val="009D6D1E"/>
    <w:rsid w:val="009D6FA9"/>
    <w:rsid w:val="009D734D"/>
    <w:rsid w:val="009E0641"/>
    <w:rsid w:val="009E12B4"/>
    <w:rsid w:val="009E5B5A"/>
    <w:rsid w:val="009E79F8"/>
    <w:rsid w:val="009F0B56"/>
    <w:rsid w:val="009F0DAD"/>
    <w:rsid w:val="009F11DD"/>
    <w:rsid w:val="009F352B"/>
    <w:rsid w:val="009F3C6E"/>
    <w:rsid w:val="009F4434"/>
    <w:rsid w:val="009F4A57"/>
    <w:rsid w:val="009F5CAD"/>
    <w:rsid w:val="009F7AD9"/>
    <w:rsid w:val="00A0287C"/>
    <w:rsid w:val="00A02FB3"/>
    <w:rsid w:val="00A07090"/>
    <w:rsid w:val="00A07AB8"/>
    <w:rsid w:val="00A129DF"/>
    <w:rsid w:val="00A13DCB"/>
    <w:rsid w:val="00A15AEB"/>
    <w:rsid w:val="00A169A6"/>
    <w:rsid w:val="00A17050"/>
    <w:rsid w:val="00A177C7"/>
    <w:rsid w:val="00A20625"/>
    <w:rsid w:val="00A2165E"/>
    <w:rsid w:val="00A223BE"/>
    <w:rsid w:val="00A234D4"/>
    <w:rsid w:val="00A234F7"/>
    <w:rsid w:val="00A245E5"/>
    <w:rsid w:val="00A26E03"/>
    <w:rsid w:val="00A301A1"/>
    <w:rsid w:val="00A30899"/>
    <w:rsid w:val="00A30A66"/>
    <w:rsid w:val="00A316C8"/>
    <w:rsid w:val="00A31CDE"/>
    <w:rsid w:val="00A3328D"/>
    <w:rsid w:val="00A3795F"/>
    <w:rsid w:val="00A4388D"/>
    <w:rsid w:val="00A43B3D"/>
    <w:rsid w:val="00A43F2C"/>
    <w:rsid w:val="00A4660E"/>
    <w:rsid w:val="00A47348"/>
    <w:rsid w:val="00A5075F"/>
    <w:rsid w:val="00A50EE1"/>
    <w:rsid w:val="00A522BB"/>
    <w:rsid w:val="00A52E07"/>
    <w:rsid w:val="00A564EE"/>
    <w:rsid w:val="00A615CE"/>
    <w:rsid w:val="00A6193F"/>
    <w:rsid w:val="00A62D3C"/>
    <w:rsid w:val="00A65391"/>
    <w:rsid w:val="00A67A88"/>
    <w:rsid w:val="00A70BE4"/>
    <w:rsid w:val="00A71D38"/>
    <w:rsid w:val="00A73DE5"/>
    <w:rsid w:val="00A74F46"/>
    <w:rsid w:val="00A75666"/>
    <w:rsid w:val="00A77418"/>
    <w:rsid w:val="00A82B87"/>
    <w:rsid w:val="00A84792"/>
    <w:rsid w:val="00A847A4"/>
    <w:rsid w:val="00A849AC"/>
    <w:rsid w:val="00A8570C"/>
    <w:rsid w:val="00A8590E"/>
    <w:rsid w:val="00A86861"/>
    <w:rsid w:val="00A871D0"/>
    <w:rsid w:val="00A872D1"/>
    <w:rsid w:val="00A90DF1"/>
    <w:rsid w:val="00A913E1"/>
    <w:rsid w:val="00A97194"/>
    <w:rsid w:val="00A972C1"/>
    <w:rsid w:val="00A976C9"/>
    <w:rsid w:val="00AA07CB"/>
    <w:rsid w:val="00AA0A2B"/>
    <w:rsid w:val="00AA0CDD"/>
    <w:rsid w:val="00AA231E"/>
    <w:rsid w:val="00AA2589"/>
    <w:rsid w:val="00AA26BB"/>
    <w:rsid w:val="00AA30C2"/>
    <w:rsid w:val="00AA4C60"/>
    <w:rsid w:val="00AA4D30"/>
    <w:rsid w:val="00AA667B"/>
    <w:rsid w:val="00AA6E46"/>
    <w:rsid w:val="00AA7EF0"/>
    <w:rsid w:val="00AB2EC3"/>
    <w:rsid w:val="00AB3875"/>
    <w:rsid w:val="00AB5211"/>
    <w:rsid w:val="00AB65CF"/>
    <w:rsid w:val="00AC18DD"/>
    <w:rsid w:val="00AC28AB"/>
    <w:rsid w:val="00AC4D2A"/>
    <w:rsid w:val="00AC4F63"/>
    <w:rsid w:val="00AC5312"/>
    <w:rsid w:val="00AC66D4"/>
    <w:rsid w:val="00AC69A5"/>
    <w:rsid w:val="00AC7D08"/>
    <w:rsid w:val="00AD14AC"/>
    <w:rsid w:val="00AD3420"/>
    <w:rsid w:val="00AD6574"/>
    <w:rsid w:val="00AE29EF"/>
    <w:rsid w:val="00AE5342"/>
    <w:rsid w:val="00AE6ED9"/>
    <w:rsid w:val="00AF0306"/>
    <w:rsid w:val="00AF036D"/>
    <w:rsid w:val="00AF0620"/>
    <w:rsid w:val="00AF2711"/>
    <w:rsid w:val="00AF2751"/>
    <w:rsid w:val="00AF296A"/>
    <w:rsid w:val="00AF29E6"/>
    <w:rsid w:val="00AF2CD7"/>
    <w:rsid w:val="00AF318A"/>
    <w:rsid w:val="00AF3908"/>
    <w:rsid w:val="00AF59CA"/>
    <w:rsid w:val="00AF5D50"/>
    <w:rsid w:val="00AF698B"/>
    <w:rsid w:val="00B01D36"/>
    <w:rsid w:val="00B03904"/>
    <w:rsid w:val="00B04383"/>
    <w:rsid w:val="00B061F8"/>
    <w:rsid w:val="00B07CC5"/>
    <w:rsid w:val="00B10C64"/>
    <w:rsid w:val="00B1161C"/>
    <w:rsid w:val="00B1285C"/>
    <w:rsid w:val="00B136A8"/>
    <w:rsid w:val="00B14A22"/>
    <w:rsid w:val="00B1689C"/>
    <w:rsid w:val="00B212C5"/>
    <w:rsid w:val="00B23950"/>
    <w:rsid w:val="00B24CF3"/>
    <w:rsid w:val="00B2759F"/>
    <w:rsid w:val="00B31592"/>
    <w:rsid w:val="00B34B2F"/>
    <w:rsid w:val="00B37B38"/>
    <w:rsid w:val="00B40BDD"/>
    <w:rsid w:val="00B41C79"/>
    <w:rsid w:val="00B43354"/>
    <w:rsid w:val="00B439D9"/>
    <w:rsid w:val="00B4438A"/>
    <w:rsid w:val="00B45209"/>
    <w:rsid w:val="00B4564C"/>
    <w:rsid w:val="00B468EF"/>
    <w:rsid w:val="00B5041A"/>
    <w:rsid w:val="00B51185"/>
    <w:rsid w:val="00B535E8"/>
    <w:rsid w:val="00B53AB6"/>
    <w:rsid w:val="00B5563B"/>
    <w:rsid w:val="00B55C93"/>
    <w:rsid w:val="00B6203A"/>
    <w:rsid w:val="00B64854"/>
    <w:rsid w:val="00B65ADB"/>
    <w:rsid w:val="00B703AB"/>
    <w:rsid w:val="00B72306"/>
    <w:rsid w:val="00B727B8"/>
    <w:rsid w:val="00B73B5F"/>
    <w:rsid w:val="00B73DCC"/>
    <w:rsid w:val="00B75395"/>
    <w:rsid w:val="00B77042"/>
    <w:rsid w:val="00B77174"/>
    <w:rsid w:val="00B77708"/>
    <w:rsid w:val="00B777F6"/>
    <w:rsid w:val="00B809E1"/>
    <w:rsid w:val="00B81404"/>
    <w:rsid w:val="00B818D7"/>
    <w:rsid w:val="00B826C5"/>
    <w:rsid w:val="00B827F8"/>
    <w:rsid w:val="00B82D27"/>
    <w:rsid w:val="00B841D2"/>
    <w:rsid w:val="00B852CF"/>
    <w:rsid w:val="00B9077E"/>
    <w:rsid w:val="00B970DB"/>
    <w:rsid w:val="00BA0810"/>
    <w:rsid w:val="00BA1BDF"/>
    <w:rsid w:val="00BA1E94"/>
    <w:rsid w:val="00BA4EB0"/>
    <w:rsid w:val="00BA6A36"/>
    <w:rsid w:val="00BA70A3"/>
    <w:rsid w:val="00BB06D3"/>
    <w:rsid w:val="00BB36E2"/>
    <w:rsid w:val="00BB4318"/>
    <w:rsid w:val="00BB74BD"/>
    <w:rsid w:val="00BC03E8"/>
    <w:rsid w:val="00BC2432"/>
    <w:rsid w:val="00BC2673"/>
    <w:rsid w:val="00BC2803"/>
    <w:rsid w:val="00BC2CCF"/>
    <w:rsid w:val="00BC348C"/>
    <w:rsid w:val="00BC4541"/>
    <w:rsid w:val="00BC5D41"/>
    <w:rsid w:val="00BD1022"/>
    <w:rsid w:val="00BD1790"/>
    <w:rsid w:val="00BD2389"/>
    <w:rsid w:val="00BD395B"/>
    <w:rsid w:val="00BD4F8D"/>
    <w:rsid w:val="00BD5B96"/>
    <w:rsid w:val="00BE0016"/>
    <w:rsid w:val="00BE0B3C"/>
    <w:rsid w:val="00BE0C00"/>
    <w:rsid w:val="00BE0C85"/>
    <w:rsid w:val="00BE157A"/>
    <w:rsid w:val="00BE291D"/>
    <w:rsid w:val="00BE3B24"/>
    <w:rsid w:val="00BE51A7"/>
    <w:rsid w:val="00BE71FF"/>
    <w:rsid w:val="00BE7357"/>
    <w:rsid w:val="00BF1F1D"/>
    <w:rsid w:val="00BF30F8"/>
    <w:rsid w:val="00BF56F4"/>
    <w:rsid w:val="00BF5882"/>
    <w:rsid w:val="00BF5C2D"/>
    <w:rsid w:val="00BF6A0A"/>
    <w:rsid w:val="00C00402"/>
    <w:rsid w:val="00C00A27"/>
    <w:rsid w:val="00C042B8"/>
    <w:rsid w:val="00C05176"/>
    <w:rsid w:val="00C06E3E"/>
    <w:rsid w:val="00C07951"/>
    <w:rsid w:val="00C109CE"/>
    <w:rsid w:val="00C11F16"/>
    <w:rsid w:val="00C123F3"/>
    <w:rsid w:val="00C20E6D"/>
    <w:rsid w:val="00C224FA"/>
    <w:rsid w:val="00C23450"/>
    <w:rsid w:val="00C23F1B"/>
    <w:rsid w:val="00C24358"/>
    <w:rsid w:val="00C24AE7"/>
    <w:rsid w:val="00C257B0"/>
    <w:rsid w:val="00C25EE7"/>
    <w:rsid w:val="00C30D98"/>
    <w:rsid w:val="00C32BAA"/>
    <w:rsid w:val="00C33193"/>
    <w:rsid w:val="00C35933"/>
    <w:rsid w:val="00C35E1C"/>
    <w:rsid w:val="00C42DF4"/>
    <w:rsid w:val="00C476DA"/>
    <w:rsid w:val="00C50253"/>
    <w:rsid w:val="00C529FC"/>
    <w:rsid w:val="00C529FD"/>
    <w:rsid w:val="00C56025"/>
    <w:rsid w:val="00C57669"/>
    <w:rsid w:val="00C57B03"/>
    <w:rsid w:val="00C57E64"/>
    <w:rsid w:val="00C60A26"/>
    <w:rsid w:val="00C6138C"/>
    <w:rsid w:val="00C62947"/>
    <w:rsid w:val="00C6295D"/>
    <w:rsid w:val="00C65746"/>
    <w:rsid w:val="00C71604"/>
    <w:rsid w:val="00C7240E"/>
    <w:rsid w:val="00C7323A"/>
    <w:rsid w:val="00C733FC"/>
    <w:rsid w:val="00C76A72"/>
    <w:rsid w:val="00C842CC"/>
    <w:rsid w:val="00C851F4"/>
    <w:rsid w:val="00C8544D"/>
    <w:rsid w:val="00C86C20"/>
    <w:rsid w:val="00C87258"/>
    <w:rsid w:val="00C91512"/>
    <w:rsid w:val="00C95606"/>
    <w:rsid w:val="00C9695C"/>
    <w:rsid w:val="00C96ED7"/>
    <w:rsid w:val="00CA0469"/>
    <w:rsid w:val="00CA285F"/>
    <w:rsid w:val="00CA29E2"/>
    <w:rsid w:val="00CA3CB4"/>
    <w:rsid w:val="00CA5137"/>
    <w:rsid w:val="00CB0850"/>
    <w:rsid w:val="00CB2849"/>
    <w:rsid w:val="00CB3945"/>
    <w:rsid w:val="00CB39B9"/>
    <w:rsid w:val="00CB479A"/>
    <w:rsid w:val="00CB4BD6"/>
    <w:rsid w:val="00CB4C73"/>
    <w:rsid w:val="00CB523D"/>
    <w:rsid w:val="00CB5F98"/>
    <w:rsid w:val="00CB604E"/>
    <w:rsid w:val="00CC0077"/>
    <w:rsid w:val="00CC1D8B"/>
    <w:rsid w:val="00CC2F8A"/>
    <w:rsid w:val="00CC5197"/>
    <w:rsid w:val="00CC5D7D"/>
    <w:rsid w:val="00CC6111"/>
    <w:rsid w:val="00CD0387"/>
    <w:rsid w:val="00CD058A"/>
    <w:rsid w:val="00CD253E"/>
    <w:rsid w:val="00CD29C7"/>
    <w:rsid w:val="00CD40D6"/>
    <w:rsid w:val="00CD75B2"/>
    <w:rsid w:val="00CE31EA"/>
    <w:rsid w:val="00CE372C"/>
    <w:rsid w:val="00CE4FF3"/>
    <w:rsid w:val="00CE569F"/>
    <w:rsid w:val="00CE5922"/>
    <w:rsid w:val="00CE6A1C"/>
    <w:rsid w:val="00CE73FA"/>
    <w:rsid w:val="00CE7B34"/>
    <w:rsid w:val="00CE7D55"/>
    <w:rsid w:val="00CF0833"/>
    <w:rsid w:val="00CF0B88"/>
    <w:rsid w:val="00CF13D0"/>
    <w:rsid w:val="00CF1738"/>
    <w:rsid w:val="00CF48D9"/>
    <w:rsid w:val="00CF63CA"/>
    <w:rsid w:val="00D01C1F"/>
    <w:rsid w:val="00D02361"/>
    <w:rsid w:val="00D02894"/>
    <w:rsid w:val="00D03BA2"/>
    <w:rsid w:val="00D03FBB"/>
    <w:rsid w:val="00D05174"/>
    <w:rsid w:val="00D0671A"/>
    <w:rsid w:val="00D11657"/>
    <w:rsid w:val="00D142DA"/>
    <w:rsid w:val="00D14701"/>
    <w:rsid w:val="00D147CB"/>
    <w:rsid w:val="00D1610D"/>
    <w:rsid w:val="00D16454"/>
    <w:rsid w:val="00D20DA0"/>
    <w:rsid w:val="00D2624B"/>
    <w:rsid w:val="00D27689"/>
    <w:rsid w:val="00D30384"/>
    <w:rsid w:val="00D316DD"/>
    <w:rsid w:val="00D32592"/>
    <w:rsid w:val="00D33E90"/>
    <w:rsid w:val="00D34AEE"/>
    <w:rsid w:val="00D35381"/>
    <w:rsid w:val="00D379F9"/>
    <w:rsid w:val="00D37FB5"/>
    <w:rsid w:val="00D401DD"/>
    <w:rsid w:val="00D43737"/>
    <w:rsid w:val="00D46E32"/>
    <w:rsid w:val="00D50600"/>
    <w:rsid w:val="00D5067F"/>
    <w:rsid w:val="00D5198C"/>
    <w:rsid w:val="00D5235F"/>
    <w:rsid w:val="00D55BAA"/>
    <w:rsid w:val="00D56C3F"/>
    <w:rsid w:val="00D57243"/>
    <w:rsid w:val="00D60336"/>
    <w:rsid w:val="00D606BF"/>
    <w:rsid w:val="00D63778"/>
    <w:rsid w:val="00D649E8"/>
    <w:rsid w:val="00D67B93"/>
    <w:rsid w:val="00D67C2E"/>
    <w:rsid w:val="00D710EB"/>
    <w:rsid w:val="00D714A1"/>
    <w:rsid w:val="00D7230F"/>
    <w:rsid w:val="00D73477"/>
    <w:rsid w:val="00D739C3"/>
    <w:rsid w:val="00D73EF1"/>
    <w:rsid w:val="00D754ED"/>
    <w:rsid w:val="00D77880"/>
    <w:rsid w:val="00D87085"/>
    <w:rsid w:val="00D87DFA"/>
    <w:rsid w:val="00D90310"/>
    <w:rsid w:val="00D90909"/>
    <w:rsid w:val="00D91495"/>
    <w:rsid w:val="00D924C8"/>
    <w:rsid w:val="00D945EF"/>
    <w:rsid w:val="00DA08B8"/>
    <w:rsid w:val="00DA1CA1"/>
    <w:rsid w:val="00DA1D4E"/>
    <w:rsid w:val="00DA3507"/>
    <w:rsid w:val="00DA3C3B"/>
    <w:rsid w:val="00DA3E5F"/>
    <w:rsid w:val="00DA403B"/>
    <w:rsid w:val="00DA49B2"/>
    <w:rsid w:val="00DA59CF"/>
    <w:rsid w:val="00DB00B4"/>
    <w:rsid w:val="00DB042D"/>
    <w:rsid w:val="00DB0614"/>
    <w:rsid w:val="00DB299F"/>
    <w:rsid w:val="00DB66E5"/>
    <w:rsid w:val="00DB6C9D"/>
    <w:rsid w:val="00DB7395"/>
    <w:rsid w:val="00DB7C66"/>
    <w:rsid w:val="00DC24FC"/>
    <w:rsid w:val="00DC5298"/>
    <w:rsid w:val="00DC5372"/>
    <w:rsid w:val="00DC5F8C"/>
    <w:rsid w:val="00DC6537"/>
    <w:rsid w:val="00DC774F"/>
    <w:rsid w:val="00DD1687"/>
    <w:rsid w:val="00DD3B4F"/>
    <w:rsid w:val="00DD3FBA"/>
    <w:rsid w:val="00DD4F6D"/>
    <w:rsid w:val="00DD53B7"/>
    <w:rsid w:val="00DD5B0C"/>
    <w:rsid w:val="00DD5CF5"/>
    <w:rsid w:val="00DD69A9"/>
    <w:rsid w:val="00DD6BC4"/>
    <w:rsid w:val="00DE09B5"/>
    <w:rsid w:val="00DE4AD1"/>
    <w:rsid w:val="00DE56F3"/>
    <w:rsid w:val="00DE5E65"/>
    <w:rsid w:val="00DF045F"/>
    <w:rsid w:val="00DF0995"/>
    <w:rsid w:val="00DF1617"/>
    <w:rsid w:val="00DF2074"/>
    <w:rsid w:val="00DF5069"/>
    <w:rsid w:val="00DF7908"/>
    <w:rsid w:val="00E0090B"/>
    <w:rsid w:val="00E072C4"/>
    <w:rsid w:val="00E11FD5"/>
    <w:rsid w:val="00E12735"/>
    <w:rsid w:val="00E12872"/>
    <w:rsid w:val="00E1379E"/>
    <w:rsid w:val="00E20274"/>
    <w:rsid w:val="00E207D8"/>
    <w:rsid w:val="00E21D60"/>
    <w:rsid w:val="00E21EDE"/>
    <w:rsid w:val="00E22A9D"/>
    <w:rsid w:val="00E234E4"/>
    <w:rsid w:val="00E2672E"/>
    <w:rsid w:val="00E2788F"/>
    <w:rsid w:val="00E30CE3"/>
    <w:rsid w:val="00E31750"/>
    <w:rsid w:val="00E31E44"/>
    <w:rsid w:val="00E32465"/>
    <w:rsid w:val="00E37B7A"/>
    <w:rsid w:val="00E40300"/>
    <w:rsid w:val="00E415EB"/>
    <w:rsid w:val="00E429BA"/>
    <w:rsid w:val="00E44295"/>
    <w:rsid w:val="00E446EC"/>
    <w:rsid w:val="00E44A4B"/>
    <w:rsid w:val="00E451DC"/>
    <w:rsid w:val="00E45F18"/>
    <w:rsid w:val="00E47F60"/>
    <w:rsid w:val="00E50E87"/>
    <w:rsid w:val="00E50F48"/>
    <w:rsid w:val="00E5140A"/>
    <w:rsid w:val="00E514CD"/>
    <w:rsid w:val="00E530AA"/>
    <w:rsid w:val="00E53B56"/>
    <w:rsid w:val="00E53BE3"/>
    <w:rsid w:val="00E542D5"/>
    <w:rsid w:val="00E55247"/>
    <w:rsid w:val="00E56314"/>
    <w:rsid w:val="00E56826"/>
    <w:rsid w:val="00E57035"/>
    <w:rsid w:val="00E57EAF"/>
    <w:rsid w:val="00E6094A"/>
    <w:rsid w:val="00E60D83"/>
    <w:rsid w:val="00E60DFE"/>
    <w:rsid w:val="00E62E7A"/>
    <w:rsid w:val="00E6347B"/>
    <w:rsid w:val="00E7035A"/>
    <w:rsid w:val="00E71A35"/>
    <w:rsid w:val="00E7245A"/>
    <w:rsid w:val="00E72761"/>
    <w:rsid w:val="00E73605"/>
    <w:rsid w:val="00E75ECB"/>
    <w:rsid w:val="00E8100F"/>
    <w:rsid w:val="00E84877"/>
    <w:rsid w:val="00E85BD3"/>
    <w:rsid w:val="00E86ECD"/>
    <w:rsid w:val="00E8796B"/>
    <w:rsid w:val="00E9027A"/>
    <w:rsid w:val="00E90A41"/>
    <w:rsid w:val="00E90C3B"/>
    <w:rsid w:val="00E925C8"/>
    <w:rsid w:val="00E92770"/>
    <w:rsid w:val="00E93564"/>
    <w:rsid w:val="00E95283"/>
    <w:rsid w:val="00E9534F"/>
    <w:rsid w:val="00E965C8"/>
    <w:rsid w:val="00E96D97"/>
    <w:rsid w:val="00EA0593"/>
    <w:rsid w:val="00EA1C26"/>
    <w:rsid w:val="00EA2413"/>
    <w:rsid w:val="00EA27A0"/>
    <w:rsid w:val="00EA30D0"/>
    <w:rsid w:val="00EA38E1"/>
    <w:rsid w:val="00EA6955"/>
    <w:rsid w:val="00EA767E"/>
    <w:rsid w:val="00EB35CB"/>
    <w:rsid w:val="00EB3B61"/>
    <w:rsid w:val="00EB45EE"/>
    <w:rsid w:val="00EB5404"/>
    <w:rsid w:val="00EB5987"/>
    <w:rsid w:val="00EB703A"/>
    <w:rsid w:val="00EC0A8C"/>
    <w:rsid w:val="00EC141F"/>
    <w:rsid w:val="00EC4306"/>
    <w:rsid w:val="00EC6603"/>
    <w:rsid w:val="00ED494D"/>
    <w:rsid w:val="00ED5DBA"/>
    <w:rsid w:val="00ED651C"/>
    <w:rsid w:val="00ED7A1E"/>
    <w:rsid w:val="00ED7D09"/>
    <w:rsid w:val="00EE000D"/>
    <w:rsid w:val="00EE04F4"/>
    <w:rsid w:val="00EE1035"/>
    <w:rsid w:val="00EE259D"/>
    <w:rsid w:val="00EE2FB3"/>
    <w:rsid w:val="00EE4A50"/>
    <w:rsid w:val="00EE4CC0"/>
    <w:rsid w:val="00EE6425"/>
    <w:rsid w:val="00EE6AFD"/>
    <w:rsid w:val="00EE6BFB"/>
    <w:rsid w:val="00EF0B53"/>
    <w:rsid w:val="00EF29CB"/>
    <w:rsid w:val="00EF48C8"/>
    <w:rsid w:val="00EF58E8"/>
    <w:rsid w:val="00EF5FCA"/>
    <w:rsid w:val="00EF61E7"/>
    <w:rsid w:val="00EF69DE"/>
    <w:rsid w:val="00EF7BD2"/>
    <w:rsid w:val="00F01080"/>
    <w:rsid w:val="00F011A1"/>
    <w:rsid w:val="00F05DCA"/>
    <w:rsid w:val="00F05F8F"/>
    <w:rsid w:val="00F1096A"/>
    <w:rsid w:val="00F13582"/>
    <w:rsid w:val="00F1643E"/>
    <w:rsid w:val="00F201D6"/>
    <w:rsid w:val="00F21783"/>
    <w:rsid w:val="00F223C9"/>
    <w:rsid w:val="00F23247"/>
    <w:rsid w:val="00F23E54"/>
    <w:rsid w:val="00F3207D"/>
    <w:rsid w:val="00F323E2"/>
    <w:rsid w:val="00F35348"/>
    <w:rsid w:val="00F35A83"/>
    <w:rsid w:val="00F36C19"/>
    <w:rsid w:val="00F40B29"/>
    <w:rsid w:val="00F41780"/>
    <w:rsid w:val="00F42853"/>
    <w:rsid w:val="00F4342D"/>
    <w:rsid w:val="00F45556"/>
    <w:rsid w:val="00F45C20"/>
    <w:rsid w:val="00F50F3A"/>
    <w:rsid w:val="00F5195E"/>
    <w:rsid w:val="00F54805"/>
    <w:rsid w:val="00F54EB7"/>
    <w:rsid w:val="00F54F49"/>
    <w:rsid w:val="00F5568B"/>
    <w:rsid w:val="00F567CF"/>
    <w:rsid w:val="00F57A83"/>
    <w:rsid w:val="00F618B7"/>
    <w:rsid w:val="00F62A8C"/>
    <w:rsid w:val="00F63E54"/>
    <w:rsid w:val="00F65064"/>
    <w:rsid w:val="00F6588D"/>
    <w:rsid w:val="00F6622E"/>
    <w:rsid w:val="00F6623A"/>
    <w:rsid w:val="00F662EB"/>
    <w:rsid w:val="00F66994"/>
    <w:rsid w:val="00F70456"/>
    <w:rsid w:val="00F707C0"/>
    <w:rsid w:val="00F7102B"/>
    <w:rsid w:val="00F76955"/>
    <w:rsid w:val="00F81C40"/>
    <w:rsid w:val="00F826D9"/>
    <w:rsid w:val="00F827CB"/>
    <w:rsid w:val="00F855E4"/>
    <w:rsid w:val="00F9068E"/>
    <w:rsid w:val="00F90EAE"/>
    <w:rsid w:val="00F91595"/>
    <w:rsid w:val="00F924BB"/>
    <w:rsid w:val="00F93566"/>
    <w:rsid w:val="00F9373C"/>
    <w:rsid w:val="00F97B9F"/>
    <w:rsid w:val="00FA0B8F"/>
    <w:rsid w:val="00FA37CC"/>
    <w:rsid w:val="00FA666E"/>
    <w:rsid w:val="00FB22D3"/>
    <w:rsid w:val="00FB5C6E"/>
    <w:rsid w:val="00FB6EC5"/>
    <w:rsid w:val="00FC01D8"/>
    <w:rsid w:val="00FC079D"/>
    <w:rsid w:val="00FC1077"/>
    <w:rsid w:val="00FC128F"/>
    <w:rsid w:val="00FC1FFB"/>
    <w:rsid w:val="00FC2283"/>
    <w:rsid w:val="00FC2CBF"/>
    <w:rsid w:val="00FC2D0F"/>
    <w:rsid w:val="00FC756D"/>
    <w:rsid w:val="00FD07E6"/>
    <w:rsid w:val="00FD1D41"/>
    <w:rsid w:val="00FD355A"/>
    <w:rsid w:val="00FD3B80"/>
    <w:rsid w:val="00FD7FFB"/>
    <w:rsid w:val="00FE083B"/>
    <w:rsid w:val="00FE1CC6"/>
    <w:rsid w:val="00FE2F03"/>
    <w:rsid w:val="00FE3D71"/>
    <w:rsid w:val="00FE6039"/>
    <w:rsid w:val="00FE66A9"/>
    <w:rsid w:val="00FE6857"/>
    <w:rsid w:val="00FE7220"/>
    <w:rsid w:val="00FE7B5E"/>
    <w:rsid w:val="00FF0E65"/>
    <w:rsid w:val="00FF1F97"/>
    <w:rsid w:val="00FF35DD"/>
    <w:rsid w:val="00FF42BB"/>
    <w:rsid w:val="00FF69C4"/>
    <w:rsid w:val="00FF6F5B"/>
    <w:rsid w:val="00FF7875"/>
    <w:rsid w:val="0A9434DA"/>
    <w:rsid w:val="0ABF44CE"/>
    <w:rsid w:val="0B06C0C3"/>
    <w:rsid w:val="0E56A530"/>
    <w:rsid w:val="13926BC6"/>
    <w:rsid w:val="182C65C9"/>
    <w:rsid w:val="199917F5"/>
    <w:rsid w:val="1D164823"/>
    <w:rsid w:val="22B6913D"/>
    <w:rsid w:val="2838ECB9"/>
    <w:rsid w:val="2A4507DB"/>
    <w:rsid w:val="32A47EE6"/>
    <w:rsid w:val="35516EB4"/>
    <w:rsid w:val="3B1CDEB0"/>
    <w:rsid w:val="3B6A5F3F"/>
    <w:rsid w:val="3EB3CD15"/>
    <w:rsid w:val="40834B2B"/>
    <w:rsid w:val="4B112C98"/>
    <w:rsid w:val="5A896DF4"/>
    <w:rsid w:val="5D1BFC66"/>
    <w:rsid w:val="5F17B3D5"/>
    <w:rsid w:val="69507B1C"/>
    <w:rsid w:val="6965D12D"/>
    <w:rsid w:val="6B6F48EF"/>
    <w:rsid w:val="6EFD1986"/>
    <w:rsid w:val="74773276"/>
    <w:rsid w:val="783A478E"/>
    <w:rsid w:val="7E67D7D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F72B8"/>
  <w15:chartTrackingRefBased/>
  <w15:docId w15:val="{D57174D9-613C-46FB-8D2A-A8BD75CE2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D7A1E"/>
    <w:pPr>
      <w:keepNext/>
      <w:keepLines/>
      <w:tabs>
        <w:tab w:val="num" w:pos="0"/>
      </w:tabs>
      <w:spacing w:after="0" w:line="240" w:lineRule="auto"/>
      <w:outlineLvl w:val="0"/>
    </w:pPr>
    <w:rPr>
      <w:rFonts w:asciiTheme="majorHAnsi" w:eastAsiaTheme="majorEastAsia" w:hAnsiTheme="majorHAnsi" w:cstheme="majorBidi"/>
      <w:b/>
      <w:bCs/>
      <w:color w:val="FFC000" w:themeColor="accent4"/>
      <w:sz w:val="36"/>
      <w:szCs w:val="28"/>
      <w:lang w:eastAsia="en-AU"/>
    </w:rPr>
  </w:style>
  <w:style w:type="paragraph" w:styleId="Heading2">
    <w:name w:val="heading 2"/>
    <w:basedOn w:val="Normal"/>
    <w:next w:val="Normal"/>
    <w:link w:val="Heading2Char"/>
    <w:uiPriority w:val="9"/>
    <w:unhideWhenUsed/>
    <w:qFormat/>
    <w:rsid w:val="0017749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956C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7A1E"/>
    <w:rPr>
      <w:rFonts w:asciiTheme="majorHAnsi" w:eastAsiaTheme="majorEastAsia" w:hAnsiTheme="majorHAnsi" w:cstheme="majorBidi"/>
      <w:b/>
      <w:bCs/>
      <w:color w:val="FFC000" w:themeColor="accent4"/>
      <w:sz w:val="36"/>
      <w:szCs w:val="28"/>
      <w:lang w:eastAsia="en-AU"/>
    </w:rPr>
  </w:style>
  <w:style w:type="paragraph" w:styleId="BodyText">
    <w:name w:val="Body Text"/>
    <w:basedOn w:val="Normal"/>
    <w:link w:val="BodyTextChar"/>
    <w:qFormat/>
    <w:rsid w:val="00ED7A1E"/>
    <w:pPr>
      <w:spacing w:before="60" w:after="120" w:line="240" w:lineRule="atLeast"/>
    </w:pPr>
    <w:rPr>
      <w:rFonts w:eastAsia="Times New Roman" w:cs="Times New Roman"/>
      <w:color w:val="000000" w:themeColor="text1"/>
      <w:sz w:val="20"/>
      <w:szCs w:val="20"/>
      <w:lang w:eastAsia="en-AU"/>
    </w:rPr>
  </w:style>
  <w:style w:type="character" w:customStyle="1" w:styleId="BodyTextChar">
    <w:name w:val="Body Text Char"/>
    <w:basedOn w:val="DefaultParagraphFont"/>
    <w:link w:val="BodyText"/>
    <w:rsid w:val="00ED7A1E"/>
    <w:rPr>
      <w:rFonts w:eastAsia="Times New Roman" w:cs="Times New Roman"/>
      <w:color w:val="000000" w:themeColor="text1"/>
      <w:sz w:val="20"/>
      <w:szCs w:val="20"/>
      <w:lang w:eastAsia="en-AU"/>
    </w:rPr>
  </w:style>
  <w:style w:type="paragraph" w:styleId="FootnoteText">
    <w:name w:val="footnote text"/>
    <w:basedOn w:val="Normal"/>
    <w:link w:val="FootnoteTextChar"/>
    <w:uiPriority w:val="99"/>
    <w:unhideWhenUsed/>
    <w:rsid w:val="00ED7A1E"/>
    <w:pPr>
      <w:spacing w:after="0" w:line="240" w:lineRule="auto"/>
    </w:pPr>
    <w:rPr>
      <w:rFonts w:ascii="Times New Roman" w:eastAsia="Times New Roman" w:hAnsi="Times New Roman" w:cs="Times New Roman"/>
      <w:sz w:val="20"/>
      <w:szCs w:val="20"/>
      <w:lang w:eastAsia="en-AU"/>
    </w:rPr>
  </w:style>
  <w:style w:type="character" w:customStyle="1" w:styleId="FootnoteTextChar">
    <w:name w:val="Footnote Text Char"/>
    <w:basedOn w:val="DefaultParagraphFont"/>
    <w:link w:val="FootnoteText"/>
    <w:uiPriority w:val="99"/>
    <w:rsid w:val="00ED7A1E"/>
    <w:rPr>
      <w:rFonts w:ascii="Times New Roman" w:eastAsia="Times New Roman" w:hAnsi="Times New Roman" w:cs="Times New Roman"/>
      <w:sz w:val="20"/>
      <w:szCs w:val="20"/>
      <w:lang w:eastAsia="en-AU"/>
    </w:rPr>
  </w:style>
  <w:style w:type="character" w:styleId="FootnoteReference">
    <w:name w:val="footnote reference"/>
    <w:basedOn w:val="DefaultParagraphFont"/>
    <w:unhideWhenUsed/>
    <w:rsid w:val="00ED7A1E"/>
    <w:rPr>
      <w:vertAlign w:val="superscript"/>
    </w:rPr>
  </w:style>
  <w:style w:type="table" w:customStyle="1" w:styleId="TableGrid1">
    <w:name w:val="Table Grid1"/>
    <w:basedOn w:val="TableNormal"/>
    <w:next w:val="TableGrid"/>
    <w:uiPriority w:val="39"/>
    <w:rsid w:val="00ED7A1E"/>
    <w:pPr>
      <w:spacing w:before="60" w:after="60" w:line="220" w:lineRule="atLeast"/>
      <w:ind w:left="113" w:right="113"/>
    </w:pPr>
    <w:rPr>
      <w:rFonts w:eastAsia="Times New Roman" w:cs="Times New Roman"/>
      <w:color w:val="000000"/>
      <w:sz w:val="18"/>
      <w:szCs w:val="20"/>
      <w:lang w:eastAsia="en-AU"/>
    </w:rPr>
    <w:tblPr>
      <w:tblStyleRowBandSize w:val="1"/>
      <w:tblStyleColBandSize w:val="1"/>
      <w:tblBorders>
        <w:top w:val="single" w:sz="8" w:space="0" w:color="029676"/>
        <w:bottom w:val="single" w:sz="8" w:space="0" w:color="029676"/>
        <w:insideH w:val="single" w:sz="8" w:space="0" w:color="029676"/>
      </w:tblBorders>
      <w:tblCellMar>
        <w:left w:w="0" w:type="dxa"/>
        <w:right w:w="0" w:type="dxa"/>
      </w:tblCellMar>
    </w:tblPr>
    <w:tcPr>
      <w:shd w:val="clear" w:color="auto" w:fill="auto"/>
    </w:tcPr>
    <w:tblStylePr w:type="firstRow">
      <w:pPr>
        <w:wordWrap/>
        <w:spacing w:beforeLines="0" w:before="60" w:beforeAutospacing="0" w:afterLines="0" w:after="60" w:afterAutospacing="0" w:line="220" w:lineRule="atLeast"/>
        <w:jc w:val="left"/>
      </w:pPr>
      <w:rPr>
        <w:rFonts w:ascii="Calibri" w:hAnsi="Calibri"/>
        <w:b w:val="0"/>
        <w:color w:val="000000"/>
        <w:sz w:val="18"/>
      </w:rPr>
      <w:tblPr/>
      <w:tcPr>
        <w:shd w:val="clear" w:color="auto" w:fill="029676"/>
      </w:tcPr>
    </w:tblStylePr>
    <w:tblStylePr w:type="lastRow">
      <w:rPr>
        <w:b w:val="0"/>
      </w:rPr>
    </w:tblStylePr>
    <w:tblStylePr w:type="lastCol">
      <w:pPr>
        <w:jc w:val="left"/>
      </w:pPr>
    </w:tblStylePr>
    <w:tblStylePr w:type="band1Vert">
      <w:tblPr/>
      <w:tcPr>
        <w:shd w:val="clear" w:color="auto" w:fill="DAF0F3"/>
      </w:tcPr>
    </w:tblStylePr>
    <w:tblStylePr w:type="nwCell">
      <w:pPr>
        <w:jc w:val="left"/>
      </w:pPr>
      <w:tblPr/>
      <w:tcPr>
        <w:vAlign w:val="center"/>
      </w:tcPr>
    </w:tblStylePr>
  </w:style>
  <w:style w:type="table" w:styleId="TableGrid">
    <w:name w:val="Table Grid"/>
    <w:basedOn w:val="TableNormal"/>
    <w:uiPriority w:val="39"/>
    <w:rsid w:val="00ED7A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7749E"/>
    <w:rPr>
      <w:rFonts w:asciiTheme="majorHAnsi" w:eastAsiaTheme="majorEastAsia" w:hAnsiTheme="majorHAnsi" w:cstheme="majorBidi"/>
      <w:color w:val="2F5496" w:themeColor="accent1" w:themeShade="BF"/>
      <w:sz w:val="26"/>
      <w:szCs w:val="26"/>
    </w:rPr>
  </w:style>
  <w:style w:type="paragraph" w:styleId="EndnoteText">
    <w:name w:val="endnote text"/>
    <w:basedOn w:val="Normal"/>
    <w:link w:val="EndnoteTextChar"/>
    <w:uiPriority w:val="99"/>
    <w:semiHidden/>
    <w:unhideWhenUsed/>
    <w:rsid w:val="002E01F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E01F7"/>
    <w:rPr>
      <w:sz w:val="20"/>
      <w:szCs w:val="20"/>
    </w:rPr>
  </w:style>
  <w:style w:type="character" w:styleId="EndnoteReference">
    <w:name w:val="endnote reference"/>
    <w:basedOn w:val="DefaultParagraphFont"/>
    <w:uiPriority w:val="99"/>
    <w:semiHidden/>
    <w:unhideWhenUsed/>
    <w:rsid w:val="002E01F7"/>
    <w:rPr>
      <w:vertAlign w:val="superscript"/>
    </w:rPr>
  </w:style>
  <w:style w:type="paragraph" w:styleId="ListParagraph">
    <w:name w:val="List Paragraph"/>
    <w:basedOn w:val="Normal"/>
    <w:uiPriority w:val="34"/>
    <w:qFormat/>
    <w:rsid w:val="002E01F7"/>
    <w:pPr>
      <w:ind w:left="720"/>
      <w:contextualSpacing/>
    </w:pPr>
  </w:style>
  <w:style w:type="character" w:styleId="Strong">
    <w:name w:val="Strong"/>
    <w:basedOn w:val="DefaultParagraphFont"/>
    <w:uiPriority w:val="22"/>
    <w:qFormat/>
    <w:rsid w:val="00F5568B"/>
    <w:rPr>
      <w:b/>
      <w:bCs/>
    </w:rPr>
  </w:style>
  <w:style w:type="character" w:styleId="CommentReference">
    <w:name w:val="annotation reference"/>
    <w:basedOn w:val="DefaultParagraphFont"/>
    <w:uiPriority w:val="99"/>
    <w:semiHidden/>
    <w:unhideWhenUsed/>
    <w:rsid w:val="006206A6"/>
    <w:rPr>
      <w:sz w:val="16"/>
      <w:szCs w:val="16"/>
    </w:rPr>
  </w:style>
  <w:style w:type="paragraph" w:styleId="CommentText">
    <w:name w:val="annotation text"/>
    <w:basedOn w:val="Normal"/>
    <w:link w:val="CommentTextChar"/>
    <w:uiPriority w:val="99"/>
    <w:semiHidden/>
    <w:unhideWhenUsed/>
    <w:rsid w:val="006206A6"/>
    <w:pPr>
      <w:spacing w:line="240" w:lineRule="auto"/>
    </w:pPr>
    <w:rPr>
      <w:sz w:val="20"/>
      <w:szCs w:val="20"/>
    </w:rPr>
  </w:style>
  <w:style w:type="character" w:customStyle="1" w:styleId="CommentTextChar">
    <w:name w:val="Comment Text Char"/>
    <w:basedOn w:val="DefaultParagraphFont"/>
    <w:link w:val="CommentText"/>
    <w:uiPriority w:val="99"/>
    <w:semiHidden/>
    <w:rsid w:val="006206A6"/>
    <w:rPr>
      <w:sz w:val="20"/>
      <w:szCs w:val="20"/>
    </w:rPr>
  </w:style>
  <w:style w:type="paragraph" w:styleId="CommentSubject">
    <w:name w:val="annotation subject"/>
    <w:basedOn w:val="CommentText"/>
    <w:next w:val="CommentText"/>
    <w:link w:val="CommentSubjectChar"/>
    <w:uiPriority w:val="99"/>
    <w:semiHidden/>
    <w:unhideWhenUsed/>
    <w:rsid w:val="006206A6"/>
    <w:rPr>
      <w:b/>
      <w:bCs/>
    </w:rPr>
  </w:style>
  <w:style w:type="character" w:customStyle="1" w:styleId="CommentSubjectChar">
    <w:name w:val="Comment Subject Char"/>
    <w:basedOn w:val="CommentTextChar"/>
    <w:link w:val="CommentSubject"/>
    <w:uiPriority w:val="99"/>
    <w:semiHidden/>
    <w:rsid w:val="006206A6"/>
    <w:rPr>
      <w:b/>
      <w:bCs/>
      <w:sz w:val="20"/>
      <w:szCs w:val="20"/>
    </w:rPr>
  </w:style>
  <w:style w:type="paragraph" w:customStyle="1" w:styleId="Body">
    <w:name w:val="Body"/>
    <w:basedOn w:val="Normal"/>
    <w:uiPriority w:val="99"/>
    <w:rsid w:val="00182DB5"/>
    <w:pPr>
      <w:tabs>
        <w:tab w:val="left" w:pos="170"/>
      </w:tabs>
      <w:suppressAutoHyphens/>
      <w:autoSpaceDE w:val="0"/>
      <w:autoSpaceDN w:val="0"/>
      <w:adjustRightInd w:val="0"/>
      <w:spacing w:after="170" w:line="260" w:lineRule="atLeast"/>
      <w:textAlignment w:val="center"/>
    </w:pPr>
    <w:rPr>
      <w:rFonts w:ascii="Gilroy" w:hAnsi="Gilroy" w:cs="Gilroy"/>
      <w:color w:val="000000"/>
      <w:sz w:val="18"/>
      <w:szCs w:val="18"/>
      <w:lang w:val="en-GB"/>
    </w:rPr>
  </w:style>
  <w:style w:type="paragraph" w:customStyle="1" w:styleId="Subheader">
    <w:name w:val="Subheader"/>
    <w:basedOn w:val="Body"/>
    <w:uiPriority w:val="99"/>
    <w:rsid w:val="00182DB5"/>
    <w:pPr>
      <w:spacing w:before="170"/>
    </w:pPr>
    <w:rPr>
      <w:rFonts w:ascii="Gilroy Bold" w:hAnsi="Gilroy Bold" w:cs="Gilroy Bold"/>
      <w:b/>
      <w:bCs/>
      <w:color w:val="455C7D"/>
      <w:sz w:val="22"/>
      <w:szCs w:val="22"/>
    </w:rPr>
  </w:style>
  <w:style w:type="character" w:customStyle="1" w:styleId="RegularItalic">
    <w:name w:val="Regular Italic"/>
    <w:uiPriority w:val="99"/>
    <w:rsid w:val="00182DB5"/>
    <w:rPr>
      <w:rFonts w:ascii="Gilroy Regular Italic" w:hAnsi="Gilroy Regular Italic" w:cs="Gilroy Regular Italic"/>
      <w:i/>
      <w:iCs/>
    </w:rPr>
  </w:style>
  <w:style w:type="paragraph" w:styleId="NormalWeb">
    <w:name w:val="Normal (Web)"/>
    <w:basedOn w:val="Normal"/>
    <w:uiPriority w:val="99"/>
    <w:unhideWhenUsed/>
    <w:rsid w:val="00F662EB"/>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customStyle="1" w:styleId="Intro">
    <w:name w:val="Intro"/>
    <w:basedOn w:val="Body"/>
    <w:uiPriority w:val="99"/>
    <w:rsid w:val="004D61EE"/>
    <w:pPr>
      <w:spacing w:line="340" w:lineRule="atLeast"/>
    </w:pPr>
    <w:rPr>
      <w:color w:val="9BD2AD"/>
      <w:sz w:val="28"/>
      <w:szCs w:val="28"/>
    </w:rPr>
  </w:style>
  <w:style w:type="character" w:styleId="Hyperlink">
    <w:name w:val="Hyperlink"/>
    <w:basedOn w:val="DefaultParagraphFont"/>
    <w:uiPriority w:val="99"/>
    <w:unhideWhenUsed/>
    <w:rsid w:val="00EF29CB"/>
    <w:rPr>
      <w:color w:val="0000FF"/>
      <w:u w:val="single"/>
    </w:rPr>
  </w:style>
  <w:style w:type="paragraph" w:styleId="BalloonText">
    <w:name w:val="Balloon Text"/>
    <w:basedOn w:val="Normal"/>
    <w:link w:val="BalloonTextChar"/>
    <w:uiPriority w:val="99"/>
    <w:semiHidden/>
    <w:unhideWhenUsed/>
    <w:rsid w:val="00A62D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D3C"/>
    <w:rPr>
      <w:rFonts w:ascii="Segoe UI" w:hAnsi="Segoe UI" w:cs="Segoe UI"/>
      <w:sz w:val="18"/>
      <w:szCs w:val="18"/>
    </w:rPr>
  </w:style>
  <w:style w:type="character" w:styleId="UnresolvedMention">
    <w:name w:val="Unresolved Mention"/>
    <w:basedOn w:val="DefaultParagraphFont"/>
    <w:uiPriority w:val="99"/>
    <w:unhideWhenUsed/>
    <w:rsid w:val="00595FE7"/>
    <w:rPr>
      <w:color w:val="605E5C"/>
      <w:shd w:val="clear" w:color="auto" w:fill="E1DFDD"/>
    </w:rPr>
  </w:style>
  <w:style w:type="character" w:styleId="Mention">
    <w:name w:val="Mention"/>
    <w:basedOn w:val="DefaultParagraphFont"/>
    <w:uiPriority w:val="99"/>
    <w:unhideWhenUsed/>
    <w:rsid w:val="00595FE7"/>
    <w:rPr>
      <w:color w:val="2B579A"/>
      <w:shd w:val="clear" w:color="auto" w:fill="E1DFDD"/>
    </w:rPr>
  </w:style>
  <w:style w:type="paragraph" w:styleId="Header">
    <w:name w:val="header"/>
    <w:basedOn w:val="Normal"/>
    <w:link w:val="HeaderChar"/>
    <w:uiPriority w:val="99"/>
    <w:unhideWhenUsed/>
    <w:rsid w:val="00760D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DCF"/>
  </w:style>
  <w:style w:type="paragraph" w:styleId="Footer">
    <w:name w:val="footer"/>
    <w:basedOn w:val="Normal"/>
    <w:link w:val="FooterChar"/>
    <w:uiPriority w:val="99"/>
    <w:unhideWhenUsed/>
    <w:rsid w:val="00760D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DCF"/>
  </w:style>
  <w:style w:type="paragraph" w:styleId="Revision">
    <w:name w:val="Revision"/>
    <w:hidden/>
    <w:uiPriority w:val="99"/>
    <w:semiHidden/>
    <w:rsid w:val="000537BA"/>
    <w:pPr>
      <w:spacing w:after="0" w:line="240" w:lineRule="auto"/>
    </w:pPr>
  </w:style>
  <w:style w:type="character" w:styleId="FollowedHyperlink">
    <w:name w:val="FollowedHyperlink"/>
    <w:basedOn w:val="DefaultParagraphFont"/>
    <w:uiPriority w:val="99"/>
    <w:semiHidden/>
    <w:unhideWhenUsed/>
    <w:rsid w:val="00CB4BD6"/>
    <w:rPr>
      <w:color w:val="954F72" w:themeColor="followedHyperlink"/>
      <w:u w:val="single"/>
    </w:rPr>
  </w:style>
  <w:style w:type="character" w:customStyle="1" w:styleId="Heading3Char">
    <w:name w:val="Heading 3 Char"/>
    <w:basedOn w:val="DefaultParagraphFont"/>
    <w:link w:val="Heading3"/>
    <w:uiPriority w:val="9"/>
    <w:semiHidden/>
    <w:rsid w:val="006956C7"/>
    <w:rPr>
      <w:rFonts w:asciiTheme="majorHAnsi" w:eastAsiaTheme="majorEastAsia" w:hAnsiTheme="majorHAnsi" w:cstheme="majorBidi"/>
      <w:color w:val="1F3763" w:themeColor="accent1" w:themeShade="7F"/>
      <w:sz w:val="24"/>
      <w:szCs w:val="24"/>
    </w:rPr>
  </w:style>
  <w:style w:type="character" w:customStyle="1" w:styleId="qu">
    <w:name w:val="qu"/>
    <w:basedOn w:val="DefaultParagraphFont"/>
    <w:rsid w:val="006956C7"/>
  </w:style>
  <w:style w:type="character" w:customStyle="1" w:styleId="gd">
    <w:name w:val="gd"/>
    <w:basedOn w:val="DefaultParagraphFont"/>
    <w:rsid w:val="006956C7"/>
  </w:style>
  <w:style w:type="character" w:customStyle="1" w:styleId="g3">
    <w:name w:val="g3"/>
    <w:basedOn w:val="DefaultParagraphFont"/>
    <w:rsid w:val="006956C7"/>
  </w:style>
  <w:style w:type="character" w:customStyle="1" w:styleId="hb">
    <w:name w:val="hb"/>
    <w:basedOn w:val="DefaultParagraphFont"/>
    <w:rsid w:val="006956C7"/>
  </w:style>
  <w:style w:type="character" w:customStyle="1" w:styleId="g2">
    <w:name w:val="g2"/>
    <w:basedOn w:val="DefaultParagraphFont"/>
    <w:rsid w:val="006956C7"/>
  </w:style>
  <w:style w:type="paragraph" w:customStyle="1" w:styleId="DHHSbody">
    <w:name w:val="DHHS body"/>
    <w:qFormat/>
    <w:rsid w:val="00744FD1"/>
    <w:pPr>
      <w:spacing w:after="120" w:line="270" w:lineRule="atLeast"/>
    </w:pPr>
    <w:rPr>
      <w:rFonts w:ascii="Arial" w:eastAsia="Times" w:hAnsi="Arial" w:cs="Times New Roman"/>
      <w:sz w:val="20"/>
      <w:szCs w:val="20"/>
    </w:rPr>
  </w:style>
  <w:style w:type="paragraph" w:customStyle="1" w:styleId="DHHSbullet1">
    <w:name w:val="DHHS bullet 1"/>
    <w:basedOn w:val="Normal"/>
    <w:qFormat/>
    <w:rsid w:val="000E01D7"/>
    <w:pPr>
      <w:numPr>
        <w:numId w:val="11"/>
      </w:numPr>
      <w:spacing w:after="40" w:line="270" w:lineRule="atLeast"/>
    </w:pPr>
    <w:rPr>
      <w:rFonts w:ascii="Arial" w:eastAsia="Times" w:hAnsi="Arial" w:cs="Times New Roman"/>
      <w:sz w:val="20"/>
      <w:szCs w:val="20"/>
    </w:rPr>
  </w:style>
  <w:style w:type="paragraph" w:customStyle="1" w:styleId="DHHSbullet2">
    <w:name w:val="DHHS bullet 2"/>
    <w:basedOn w:val="Normal"/>
    <w:uiPriority w:val="2"/>
    <w:qFormat/>
    <w:rsid w:val="000E01D7"/>
    <w:pPr>
      <w:numPr>
        <w:ilvl w:val="2"/>
        <w:numId w:val="11"/>
      </w:numPr>
      <w:spacing w:after="40" w:line="270" w:lineRule="atLeast"/>
    </w:pPr>
    <w:rPr>
      <w:rFonts w:ascii="Arial" w:eastAsia="Times" w:hAnsi="Arial" w:cs="Times New Roman"/>
      <w:sz w:val="20"/>
      <w:szCs w:val="20"/>
    </w:rPr>
  </w:style>
  <w:style w:type="paragraph" w:customStyle="1" w:styleId="DHHSbullet1lastline">
    <w:name w:val="DHHS bullet 1 last line"/>
    <w:basedOn w:val="DHHSbullet1"/>
    <w:qFormat/>
    <w:rsid w:val="000E01D7"/>
    <w:pPr>
      <w:numPr>
        <w:ilvl w:val="1"/>
      </w:numPr>
      <w:spacing w:after="120"/>
    </w:pPr>
  </w:style>
  <w:style w:type="paragraph" w:customStyle="1" w:styleId="DHHSbullet2lastline">
    <w:name w:val="DHHS bullet 2 last line"/>
    <w:basedOn w:val="DHHSbullet2"/>
    <w:uiPriority w:val="2"/>
    <w:qFormat/>
    <w:rsid w:val="000E01D7"/>
    <w:pPr>
      <w:numPr>
        <w:ilvl w:val="3"/>
      </w:numPr>
      <w:spacing w:after="120"/>
    </w:pPr>
  </w:style>
  <w:style w:type="paragraph" w:customStyle="1" w:styleId="DHHStablebullet">
    <w:name w:val="DHHS table bullet"/>
    <w:basedOn w:val="Normal"/>
    <w:uiPriority w:val="3"/>
    <w:qFormat/>
    <w:rsid w:val="000E01D7"/>
    <w:pPr>
      <w:numPr>
        <w:ilvl w:val="6"/>
        <w:numId w:val="11"/>
      </w:numPr>
      <w:spacing w:before="80" w:after="60" w:line="240" w:lineRule="auto"/>
    </w:pPr>
    <w:rPr>
      <w:rFonts w:ascii="Arial" w:eastAsia="Times New Roman" w:hAnsi="Arial" w:cs="Times New Roman"/>
      <w:sz w:val="20"/>
      <w:szCs w:val="20"/>
    </w:rPr>
  </w:style>
  <w:style w:type="paragraph" w:customStyle="1" w:styleId="DHHSbulletindent">
    <w:name w:val="DHHS bullet indent"/>
    <w:basedOn w:val="Normal"/>
    <w:uiPriority w:val="4"/>
    <w:rsid w:val="000E01D7"/>
    <w:pPr>
      <w:numPr>
        <w:ilvl w:val="4"/>
        <w:numId w:val="11"/>
      </w:numPr>
      <w:spacing w:after="40" w:line="270" w:lineRule="atLeast"/>
    </w:pPr>
    <w:rPr>
      <w:rFonts w:ascii="Arial" w:eastAsia="Times" w:hAnsi="Arial" w:cs="Times New Roman"/>
      <w:sz w:val="20"/>
      <w:szCs w:val="20"/>
    </w:rPr>
  </w:style>
  <w:style w:type="paragraph" w:customStyle="1" w:styleId="DHHSbulletindentlastline">
    <w:name w:val="DHHS bullet indent last line"/>
    <w:basedOn w:val="Normal"/>
    <w:uiPriority w:val="4"/>
    <w:rsid w:val="000E01D7"/>
    <w:pPr>
      <w:numPr>
        <w:ilvl w:val="5"/>
        <w:numId w:val="11"/>
      </w:numPr>
      <w:spacing w:after="120" w:line="270" w:lineRule="atLeast"/>
    </w:pPr>
    <w:rPr>
      <w:rFonts w:ascii="Arial" w:eastAsia="Times" w:hAnsi="Arial" w:cs="Times New Roman"/>
      <w:sz w:val="20"/>
      <w:szCs w:val="20"/>
    </w:rPr>
  </w:style>
  <w:style w:type="numbering" w:customStyle="1" w:styleId="ZZBullets">
    <w:name w:val="ZZ Bullets"/>
    <w:rsid w:val="000E01D7"/>
    <w:pPr>
      <w:numPr>
        <w:numId w:val="11"/>
      </w:numPr>
    </w:pPr>
  </w:style>
  <w:style w:type="paragraph" w:customStyle="1" w:styleId="DHHSbodyboxed">
    <w:name w:val="DHHS body boxed"/>
    <w:basedOn w:val="DHHSbody"/>
    <w:rsid w:val="00AF2711"/>
    <w:pPr>
      <w:pBdr>
        <w:top w:val="single" w:sz="4" w:space="8" w:color="306A78"/>
        <w:left w:val="single" w:sz="4" w:space="4" w:color="306A78"/>
        <w:bottom w:val="single" w:sz="4" w:space="8" w:color="306A78"/>
        <w:right w:val="single" w:sz="4" w:space="4" w:color="306A78"/>
      </w:pBdr>
      <w:ind w:left="113"/>
    </w:pPr>
  </w:style>
  <w:style w:type="table" w:customStyle="1" w:styleId="TableGrid11">
    <w:name w:val="Table Grid11"/>
    <w:basedOn w:val="TableNormal"/>
    <w:next w:val="TableGrid"/>
    <w:uiPriority w:val="39"/>
    <w:rsid w:val="001C1067"/>
    <w:pPr>
      <w:spacing w:before="60" w:after="60" w:line="220" w:lineRule="atLeast"/>
      <w:ind w:left="113" w:right="113"/>
    </w:pPr>
    <w:rPr>
      <w:rFonts w:eastAsia="Times New Roman" w:cs="Times New Roman"/>
      <w:color w:val="000000"/>
      <w:sz w:val="18"/>
      <w:szCs w:val="20"/>
      <w:lang w:eastAsia="en-AU"/>
    </w:rPr>
    <w:tblPr>
      <w:tblStyleRowBandSize w:val="1"/>
      <w:tblStyleColBandSize w:val="1"/>
      <w:tblBorders>
        <w:top w:val="single" w:sz="8" w:space="0" w:color="029676"/>
        <w:bottom w:val="single" w:sz="8" w:space="0" w:color="029676"/>
        <w:insideH w:val="single" w:sz="8" w:space="0" w:color="029676"/>
      </w:tblBorders>
      <w:tblCellMar>
        <w:left w:w="0" w:type="dxa"/>
        <w:right w:w="0" w:type="dxa"/>
      </w:tblCellMar>
    </w:tblPr>
    <w:tcPr>
      <w:shd w:val="clear" w:color="auto" w:fill="auto"/>
    </w:tcPr>
    <w:tblStylePr w:type="firstRow">
      <w:pPr>
        <w:wordWrap/>
        <w:spacing w:beforeLines="0" w:before="60" w:beforeAutospacing="0" w:afterLines="0" w:after="60" w:afterAutospacing="0" w:line="220" w:lineRule="atLeast"/>
        <w:jc w:val="left"/>
      </w:pPr>
      <w:rPr>
        <w:rFonts w:ascii="Calibri" w:hAnsi="Calibri"/>
        <w:b w:val="0"/>
        <w:color w:val="000000"/>
        <w:sz w:val="18"/>
      </w:rPr>
      <w:tblPr/>
      <w:tcPr>
        <w:shd w:val="clear" w:color="auto" w:fill="029676"/>
      </w:tcPr>
    </w:tblStylePr>
    <w:tblStylePr w:type="lastRow">
      <w:rPr>
        <w:b w:val="0"/>
      </w:rPr>
    </w:tblStylePr>
    <w:tblStylePr w:type="lastCol">
      <w:pPr>
        <w:jc w:val="left"/>
      </w:pPr>
    </w:tblStylePr>
    <w:tblStylePr w:type="band1Vert">
      <w:tblPr/>
      <w:tcPr>
        <w:shd w:val="clear" w:color="auto" w:fill="DAF0F3"/>
      </w:tcPr>
    </w:tblStylePr>
    <w:tblStylePr w:type="nwCell">
      <w:pPr>
        <w:jc w:val="left"/>
      </w:pPr>
      <w:tblPr/>
      <w:tcPr>
        <w:vAlign w:val="center"/>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95317">
      <w:bodyDiv w:val="1"/>
      <w:marLeft w:val="0"/>
      <w:marRight w:val="0"/>
      <w:marTop w:val="0"/>
      <w:marBottom w:val="0"/>
      <w:divBdr>
        <w:top w:val="none" w:sz="0" w:space="0" w:color="auto"/>
        <w:left w:val="none" w:sz="0" w:space="0" w:color="auto"/>
        <w:bottom w:val="none" w:sz="0" w:space="0" w:color="auto"/>
        <w:right w:val="none" w:sz="0" w:space="0" w:color="auto"/>
      </w:divBdr>
      <w:divsChild>
        <w:div w:id="831137384">
          <w:marLeft w:val="0"/>
          <w:marRight w:val="0"/>
          <w:marTop w:val="0"/>
          <w:marBottom w:val="0"/>
          <w:divBdr>
            <w:top w:val="none" w:sz="0" w:space="0" w:color="auto"/>
            <w:left w:val="none" w:sz="0" w:space="0" w:color="auto"/>
            <w:bottom w:val="none" w:sz="0" w:space="0" w:color="auto"/>
            <w:right w:val="none" w:sz="0" w:space="0" w:color="auto"/>
          </w:divBdr>
        </w:div>
      </w:divsChild>
    </w:div>
    <w:div w:id="230191927">
      <w:bodyDiv w:val="1"/>
      <w:marLeft w:val="0"/>
      <w:marRight w:val="0"/>
      <w:marTop w:val="0"/>
      <w:marBottom w:val="0"/>
      <w:divBdr>
        <w:top w:val="none" w:sz="0" w:space="0" w:color="auto"/>
        <w:left w:val="none" w:sz="0" w:space="0" w:color="auto"/>
        <w:bottom w:val="none" w:sz="0" w:space="0" w:color="auto"/>
        <w:right w:val="none" w:sz="0" w:space="0" w:color="auto"/>
      </w:divBdr>
    </w:div>
    <w:div w:id="347567336">
      <w:bodyDiv w:val="1"/>
      <w:marLeft w:val="0"/>
      <w:marRight w:val="0"/>
      <w:marTop w:val="0"/>
      <w:marBottom w:val="0"/>
      <w:divBdr>
        <w:top w:val="none" w:sz="0" w:space="0" w:color="auto"/>
        <w:left w:val="none" w:sz="0" w:space="0" w:color="auto"/>
        <w:bottom w:val="none" w:sz="0" w:space="0" w:color="auto"/>
        <w:right w:val="none" w:sz="0" w:space="0" w:color="auto"/>
      </w:divBdr>
    </w:div>
    <w:div w:id="534342957">
      <w:bodyDiv w:val="1"/>
      <w:marLeft w:val="0"/>
      <w:marRight w:val="0"/>
      <w:marTop w:val="0"/>
      <w:marBottom w:val="0"/>
      <w:divBdr>
        <w:top w:val="none" w:sz="0" w:space="0" w:color="auto"/>
        <w:left w:val="none" w:sz="0" w:space="0" w:color="auto"/>
        <w:bottom w:val="none" w:sz="0" w:space="0" w:color="auto"/>
        <w:right w:val="none" w:sz="0" w:space="0" w:color="auto"/>
      </w:divBdr>
    </w:div>
    <w:div w:id="765736630">
      <w:bodyDiv w:val="1"/>
      <w:marLeft w:val="0"/>
      <w:marRight w:val="0"/>
      <w:marTop w:val="0"/>
      <w:marBottom w:val="0"/>
      <w:divBdr>
        <w:top w:val="none" w:sz="0" w:space="0" w:color="auto"/>
        <w:left w:val="none" w:sz="0" w:space="0" w:color="auto"/>
        <w:bottom w:val="none" w:sz="0" w:space="0" w:color="auto"/>
        <w:right w:val="none" w:sz="0" w:space="0" w:color="auto"/>
      </w:divBdr>
      <w:divsChild>
        <w:div w:id="1192888001">
          <w:marLeft w:val="274"/>
          <w:marRight w:val="0"/>
          <w:marTop w:val="150"/>
          <w:marBottom w:val="0"/>
          <w:divBdr>
            <w:top w:val="none" w:sz="0" w:space="0" w:color="auto"/>
            <w:left w:val="none" w:sz="0" w:space="0" w:color="auto"/>
            <w:bottom w:val="none" w:sz="0" w:space="0" w:color="auto"/>
            <w:right w:val="none" w:sz="0" w:space="0" w:color="auto"/>
          </w:divBdr>
        </w:div>
      </w:divsChild>
    </w:div>
    <w:div w:id="860124932">
      <w:bodyDiv w:val="1"/>
      <w:marLeft w:val="0"/>
      <w:marRight w:val="0"/>
      <w:marTop w:val="0"/>
      <w:marBottom w:val="0"/>
      <w:divBdr>
        <w:top w:val="none" w:sz="0" w:space="0" w:color="auto"/>
        <w:left w:val="none" w:sz="0" w:space="0" w:color="auto"/>
        <w:bottom w:val="none" w:sz="0" w:space="0" w:color="auto"/>
        <w:right w:val="none" w:sz="0" w:space="0" w:color="auto"/>
      </w:divBdr>
    </w:div>
    <w:div w:id="1336884507">
      <w:bodyDiv w:val="1"/>
      <w:marLeft w:val="0"/>
      <w:marRight w:val="0"/>
      <w:marTop w:val="0"/>
      <w:marBottom w:val="0"/>
      <w:divBdr>
        <w:top w:val="none" w:sz="0" w:space="0" w:color="auto"/>
        <w:left w:val="none" w:sz="0" w:space="0" w:color="auto"/>
        <w:bottom w:val="none" w:sz="0" w:space="0" w:color="auto"/>
        <w:right w:val="none" w:sz="0" w:space="0" w:color="auto"/>
      </w:divBdr>
    </w:div>
    <w:div w:id="1438215436">
      <w:bodyDiv w:val="1"/>
      <w:marLeft w:val="0"/>
      <w:marRight w:val="0"/>
      <w:marTop w:val="0"/>
      <w:marBottom w:val="0"/>
      <w:divBdr>
        <w:top w:val="none" w:sz="0" w:space="0" w:color="auto"/>
        <w:left w:val="none" w:sz="0" w:space="0" w:color="auto"/>
        <w:bottom w:val="none" w:sz="0" w:space="0" w:color="auto"/>
        <w:right w:val="none" w:sz="0" w:space="0" w:color="auto"/>
      </w:divBdr>
      <w:divsChild>
        <w:div w:id="249583187">
          <w:marLeft w:val="0"/>
          <w:marRight w:val="0"/>
          <w:marTop w:val="0"/>
          <w:marBottom w:val="0"/>
          <w:divBdr>
            <w:top w:val="none" w:sz="0" w:space="0" w:color="auto"/>
            <w:left w:val="none" w:sz="0" w:space="0" w:color="auto"/>
            <w:bottom w:val="none" w:sz="0" w:space="0" w:color="auto"/>
            <w:right w:val="none" w:sz="0" w:space="0" w:color="auto"/>
          </w:divBdr>
        </w:div>
        <w:div w:id="759763793">
          <w:marLeft w:val="0"/>
          <w:marRight w:val="0"/>
          <w:marTop w:val="0"/>
          <w:marBottom w:val="0"/>
          <w:divBdr>
            <w:top w:val="none" w:sz="0" w:space="0" w:color="auto"/>
            <w:left w:val="none" w:sz="0" w:space="0" w:color="auto"/>
            <w:bottom w:val="none" w:sz="0" w:space="0" w:color="auto"/>
            <w:right w:val="none" w:sz="0" w:space="0" w:color="auto"/>
          </w:divBdr>
        </w:div>
      </w:divsChild>
    </w:div>
    <w:div w:id="1672637760">
      <w:bodyDiv w:val="1"/>
      <w:marLeft w:val="0"/>
      <w:marRight w:val="0"/>
      <w:marTop w:val="0"/>
      <w:marBottom w:val="0"/>
      <w:divBdr>
        <w:top w:val="none" w:sz="0" w:space="0" w:color="auto"/>
        <w:left w:val="none" w:sz="0" w:space="0" w:color="auto"/>
        <w:bottom w:val="none" w:sz="0" w:space="0" w:color="auto"/>
        <w:right w:val="none" w:sz="0" w:space="0" w:color="auto"/>
      </w:divBdr>
      <w:divsChild>
        <w:div w:id="915212417">
          <w:marLeft w:val="0"/>
          <w:marRight w:val="0"/>
          <w:marTop w:val="0"/>
          <w:marBottom w:val="0"/>
          <w:divBdr>
            <w:top w:val="none" w:sz="0" w:space="0" w:color="auto"/>
            <w:left w:val="none" w:sz="0" w:space="0" w:color="auto"/>
            <w:bottom w:val="none" w:sz="0" w:space="0" w:color="auto"/>
            <w:right w:val="none" w:sz="0" w:space="0" w:color="auto"/>
          </w:divBdr>
          <w:divsChild>
            <w:div w:id="1720132859">
              <w:marLeft w:val="0"/>
              <w:marRight w:val="0"/>
              <w:marTop w:val="0"/>
              <w:marBottom w:val="0"/>
              <w:divBdr>
                <w:top w:val="none" w:sz="0" w:space="0" w:color="auto"/>
                <w:left w:val="none" w:sz="0" w:space="0" w:color="auto"/>
                <w:bottom w:val="none" w:sz="0" w:space="0" w:color="auto"/>
                <w:right w:val="none" w:sz="0" w:space="0" w:color="auto"/>
              </w:divBdr>
              <w:divsChild>
                <w:div w:id="197316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01237">
          <w:marLeft w:val="0"/>
          <w:marRight w:val="0"/>
          <w:marTop w:val="0"/>
          <w:marBottom w:val="0"/>
          <w:divBdr>
            <w:top w:val="none" w:sz="0" w:space="0" w:color="auto"/>
            <w:left w:val="none" w:sz="0" w:space="0" w:color="auto"/>
            <w:bottom w:val="none" w:sz="0" w:space="0" w:color="auto"/>
            <w:right w:val="none" w:sz="0" w:space="0" w:color="auto"/>
          </w:divBdr>
          <w:divsChild>
            <w:div w:id="289481766">
              <w:marLeft w:val="0"/>
              <w:marRight w:val="0"/>
              <w:marTop w:val="0"/>
              <w:marBottom w:val="0"/>
              <w:divBdr>
                <w:top w:val="none" w:sz="0" w:space="0" w:color="auto"/>
                <w:left w:val="none" w:sz="0" w:space="0" w:color="auto"/>
                <w:bottom w:val="none" w:sz="0" w:space="0" w:color="auto"/>
                <w:right w:val="none" w:sz="0" w:space="0" w:color="auto"/>
              </w:divBdr>
            </w:div>
          </w:divsChild>
        </w:div>
        <w:div w:id="1720475100">
          <w:marLeft w:val="0"/>
          <w:marRight w:val="0"/>
          <w:marTop w:val="0"/>
          <w:marBottom w:val="0"/>
          <w:divBdr>
            <w:top w:val="none" w:sz="0" w:space="0" w:color="auto"/>
            <w:left w:val="none" w:sz="0" w:space="0" w:color="auto"/>
            <w:bottom w:val="none" w:sz="0" w:space="0" w:color="auto"/>
            <w:right w:val="none" w:sz="0" w:space="0" w:color="auto"/>
          </w:divBdr>
          <w:divsChild>
            <w:div w:id="79838950">
              <w:marLeft w:val="0"/>
              <w:marRight w:val="0"/>
              <w:marTop w:val="0"/>
              <w:marBottom w:val="0"/>
              <w:divBdr>
                <w:top w:val="none" w:sz="0" w:space="0" w:color="auto"/>
                <w:left w:val="none" w:sz="0" w:space="0" w:color="auto"/>
                <w:bottom w:val="none" w:sz="0" w:space="0" w:color="auto"/>
                <w:right w:val="none" w:sz="0" w:space="0" w:color="auto"/>
              </w:divBdr>
            </w:div>
            <w:div w:id="533689033">
              <w:marLeft w:val="0"/>
              <w:marRight w:val="0"/>
              <w:marTop w:val="0"/>
              <w:marBottom w:val="0"/>
              <w:divBdr>
                <w:top w:val="none" w:sz="0" w:space="0" w:color="auto"/>
                <w:left w:val="none" w:sz="0" w:space="0" w:color="auto"/>
                <w:bottom w:val="none" w:sz="0" w:space="0" w:color="auto"/>
                <w:right w:val="none" w:sz="0" w:space="0" w:color="auto"/>
              </w:divBdr>
            </w:div>
          </w:divsChild>
        </w:div>
        <w:div w:id="1936547083">
          <w:marLeft w:val="0"/>
          <w:marRight w:val="0"/>
          <w:marTop w:val="0"/>
          <w:marBottom w:val="0"/>
          <w:divBdr>
            <w:top w:val="none" w:sz="0" w:space="0" w:color="auto"/>
            <w:left w:val="none" w:sz="0" w:space="0" w:color="auto"/>
            <w:bottom w:val="none" w:sz="0" w:space="0" w:color="auto"/>
            <w:right w:val="none" w:sz="0" w:space="0" w:color="auto"/>
          </w:divBdr>
          <w:divsChild>
            <w:div w:id="1305817485">
              <w:marLeft w:val="0"/>
              <w:marRight w:val="0"/>
              <w:marTop w:val="0"/>
              <w:marBottom w:val="0"/>
              <w:divBdr>
                <w:top w:val="none" w:sz="0" w:space="0" w:color="auto"/>
                <w:left w:val="none" w:sz="0" w:space="0" w:color="auto"/>
                <w:bottom w:val="none" w:sz="0" w:space="0" w:color="auto"/>
                <w:right w:val="none" w:sz="0" w:space="0" w:color="auto"/>
              </w:divBdr>
              <w:divsChild>
                <w:div w:id="101249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737147">
      <w:bodyDiv w:val="1"/>
      <w:marLeft w:val="0"/>
      <w:marRight w:val="0"/>
      <w:marTop w:val="0"/>
      <w:marBottom w:val="0"/>
      <w:divBdr>
        <w:top w:val="none" w:sz="0" w:space="0" w:color="auto"/>
        <w:left w:val="none" w:sz="0" w:space="0" w:color="auto"/>
        <w:bottom w:val="none" w:sz="0" w:space="0" w:color="auto"/>
        <w:right w:val="none" w:sz="0" w:space="0" w:color="auto"/>
      </w:divBdr>
      <w:divsChild>
        <w:div w:id="628051877">
          <w:marLeft w:val="0"/>
          <w:marRight w:val="0"/>
          <w:marTop w:val="0"/>
          <w:marBottom w:val="0"/>
          <w:divBdr>
            <w:top w:val="none" w:sz="0" w:space="0" w:color="auto"/>
            <w:left w:val="none" w:sz="0" w:space="0" w:color="auto"/>
            <w:bottom w:val="none" w:sz="0" w:space="0" w:color="auto"/>
            <w:right w:val="none" w:sz="0" w:space="0" w:color="auto"/>
          </w:divBdr>
          <w:divsChild>
            <w:div w:id="1449934246">
              <w:marLeft w:val="0"/>
              <w:marRight w:val="0"/>
              <w:marTop w:val="0"/>
              <w:marBottom w:val="0"/>
              <w:divBdr>
                <w:top w:val="none" w:sz="0" w:space="0" w:color="auto"/>
                <w:left w:val="none" w:sz="0" w:space="0" w:color="auto"/>
                <w:bottom w:val="none" w:sz="0" w:space="0" w:color="auto"/>
                <w:right w:val="none" w:sz="0" w:space="0" w:color="auto"/>
              </w:divBdr>
            </w:div>
          </w:divsChild>
        </w:div>
        <w:div w:id="859271206">
          <w:marLeft w:val="0"/>
          <w:marRight w:val="0"/>
          <w:marTop w:val="0"/>
          <w:marBottom w:val="0"/>
          <w:divBdr>
            <w:top w:val="none" w:sz="0" w:space="0" w:color="auto"/>
            <w:left w:val="none" w:sz="0" w:space="0" w:color="auto"/>
            <w:bottom w:val="none" w:sz="0" w:space="0" w:color="auto"/>
            <w:right w:val="none" w:sz="0" w:space="0" w:color="auto"/>
          </w:divBdr>
          <w:divsChild>
            <w:div w:id="507260385">
              <w:marLeft w:val="0"/>
              <w:marRight w:val="0"/>
              <w:marTop w:val="0"/>
              <w:marBottom w:val="0"/>
              <w:divBdr>
                <w:top w:val="none" w:sz="0" w:space="0" w:color="auto"/>
                <w:left w:val="none" w:sz="0" w:space="0" w:color="auto"/>
                <w:bottom w:val="none" w:sz="0" w:space="0" w:color="auto"/>
                <w:right w:val="none" w:sz="0" w:space="0" w:color="auto"/>
              </w:divBdr>
              <w:divsChild>
                <w:div w:id="210541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043032">
          <w:marLeft w:val="0"/>
          <w:marRight w:val="0"/>
          <w:marTop w:val="0"/>
          <w:marBottom w:val="0"/>
          <w:divBdr>
            <w:top w:val="none" w:sz="0" w:space="0" w:color="auto"/>
            <w:left w:val="none" w:sz="0" w:space="0" w:color="auto"/>
            <w:bottom w:val="none" w:sz="0" w:space="0" w:color="auto"/>
            <w:right w:val="none" w:sz="0" w:space="0" w:color="auto"/>
          </w:divBdr>
          <w:divsChild>
            <w:div w:id="1425034571">
              <w:marLeft w:val="0"/>
              <w:marRight w:val="0"/>
              <w:marTop w:val="0"/>
              <w:marBottom w:val="0"/>
              <w:divBdr>
                <w:top w:val="none" w:sz="0" w:space="0" w:color="auto"/>
                <w:left w:val="none" w:sz="0" w:space="0" w:color="auto"/>
                <w:bottom w:val="none" w:sz="0" w:space="0" w:color="auto"/>
                <w:right w:val="none" w:sz="0" w:space="0" w:color="auto"/>
              </w:divBdr>
            </w:div>
            <w:div w:id="1685129032">
              <w:marLeft w:val="0"/>
              <w:marRight w:val="0"/>
              <w:marTop w:val="0"/>
              <w:marBottom w:val="0"/>
              <w:divBdr>
                <w:top w:val="none" w:sz="0" w:space="0" w:color="auto"/>
                <w:left w:val="none" w:sz="0" w:space="0" w:color="auto"/>
                <w:bottom w:val="none" w:sz="0" w:space="0" w:color="auto"/>
                <w:right w:val="none" w:sz="0" w:space="0" w:color="auto"/>
              </w:divBdr>
            </w:div>
          </w:divsChild>
        </w:div>
        <w:div w:id="2115401744">
          <w:marLeft w:val="0"/>
          <w:marRight w:val="0"/>
          <w:marTop w:val="0"/>
          <w:marBottom w:val="0"/>
          <w:divBdr>
            <w:top w:val="none" w:sz="0" w:space="0" w:color="auto"/>
            <w:left w:val="none" w:sz="0" w:space="0" w:color="auto"/>
            <w:bottom w:val="none" w:sz="0" w:space="0" w:color="auto"/>
            <w:right w:val="none" w:sz="0" w:space="0" w:color="auto"/>
          </w:divBdr>
          <w:divsChild>
            <w:div w:id="1227296369">
              <w:marLeft w:val="0"/>
              <w:marRight w:val="0"/>
              <w:marTop w:val="0"/>
              <w:marBottom w:val="0"/>
              <w:divBdr>
                <w:top w:val="none" w:sz="0" w:space="0" w:color="auto"/>
                <w:left w:val="none" w:sz="0" w:space="0" w:color="auto"/>
                <w:bottom w:val="none" w:sz="0" w:space="0" w:color="auto"/>
                <w:right w:val="none" w:sz="0" w:space="0" w:color="auto"/>
              </w:divBdr>
              <w:divsChild>
                <w:div w:id="1913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776934">
      <w:bodyDiv w:val="1"/>
      <w:marLeft w:val="0"/>
      <w:marRight w:val="0"/>
      <w:marTop w:val="0"/>
      <w:marBottom w:val="0"/>
      <w:divBdr>
        <w:top w:val="none" w:sz="0" w:space="0" w:color="auto"/>
        <w:left w:val="none" w:sz="0" w:space="0" w:color="auto"/>
        <w:bottom w:val="none" w:sz="0" w:space="0" w:color="auto"/>
        <w:right w:val="none" w:sz="0" w:space="0" w:color="auto"/>
      </w:divBdr>
      <w:divsChild>
        <w:div w:id="60711873">
          <w:marLeft w:val="274"/>
          <w:marRight w:val="0"/>
          <w:marTop w:val="150"/>
          <w:marBottom w:val="0"/>
          <w:divBdr>
            <w:top w:val="none" w:sz="0" w:space="0" w:color="auto"/>
            <w:left w:val="none" w:sz="0" w:space="0" w:color="auto"/>
            <w:bottom w:val="none" w:sz="0" w:space="0" w:color="auto"/>
            <w:right w:val="none" w:sz="0" w:space="0" w:color="auto"/>
          </w:divBdr>
        </w:div>
        <w:div w:id="288053103">
          <w:marLeft w:val="274"/>
          <w:marRight w:val="0"/>
          <w:marTop w:val="150"/>
          <w:marBottom w:val="0"/>
          <w:divBdr>
            <w:top w:val="none" w:sz="0" w:space="0" w:color="auto"/>
            <w:left w:val="none" w:sz="0" w:space="0" w:color="auto"/>
            <w:bottom w:val="none" w:sz="0" w:space="0" w:color="auto"/>
            <w:right w:val="none" w:sz="0" w:space="0" w:color="auto"/>
          </w:divBdr>
        </w:div>
        <w:div w:id="693844331">
          <w:marLeft w:val="274"/>
          <w:marRight w:val="0"/>
          <w:marTop w:val="150"/>
          <w:marBottom w:val="0"/>
          <w:divBdr>
            <w:top w:val="none" w:sz="0" w:space="0" w:color="auto"/>
            <w:left w:val="none" w:sz="0" w:space="0" w:color="auto"/>
            <w:bottom w:val="none" w:sz="0" w:space="0" w:color="auto"/>
            <w:right w:val="none" w:sz="0" w:space="0" w:color="auto"/>
          </w:divBdr>
        </w:div>
        <w:div w:id="723680573">
          <w:marLeft w:val="274"/>
          <w:marRight w:val="0"/>
          <w:marTop w:val="150"/>
          <w:marBottom w:val="0"/>
          <w:divBdr>
            <w:top w:val="none" w:sz="0" w:space="0" w:color="auto"/>
            <w:left w:val="none" w:sz="0" w:space="0" w:color="auto"/>
            <w:bottom w:val="none" w:sz="0" w:space="0" w:color="auto"/>
            <w:right w:val="none" w:sz="0" w:space="0" w:color="auto"/>
          </w:divBdr>
        </w:div>
        <w:div w:id="747381795">
          <w:marLeft w:val="274"/>
          <w:marRight w:val="0"/>
          <w:marTop w:val="150"/>
          <w:marBottom w:val="0"/>
          <w:divBdr>
            <w:top w:val="none" w:sz="0" w:space="0" w:color="auto"/>
            <w:left w:val="none" w:sz="0" w:space="0" w:color="auto"/>
            <w:bottom w:val="none" w:sz="0" w:space="0" w:color="auto"/>
            <w:right w:val="none" w:sz="0" w:space="0" w:color="auto"/>
          </w:divBdr>
        </w:div>
        <w:div w:id="883833913">
          <w:marLeft w:val="274"/>
          <w:marRight w:val="0"/>
          <w:marTop w:val="150"/>
          <w:marBottom w:val="0"/>
          <w:divBdr>
            <w:top w:val="none" w:sz="0" w:space="0" w:color="auto"/>
            <w:left w:val="none" w:sz="0" w:space="0" w:color="auto"/>
            <w:bottom w:val="none" w:sz="0" w:space="0" w:color="auto"/>
            <w:right w:val="none" w:sz="0" w:space="0" w:color="auto"/>
          </w:divBdr>
        </w:div>
        <w:div w:id="1611429572">
          <w:marLeft w:val="274"/>
          <w:marRight w:val="0"/>
          <w:marTop w:val="150"/>
          <w:marBottom w:val="0"/>
          <w:divBdr>
            <w:top w:val="none" w:sz="0" w:space="0" w:color="auto"/>
            <w:left w:val="none" w:sz="0" w:space="0" w:color="auto"/>
            <w:bottom w:val="none" w:sz="0" w:space="0" w:color="auto"/>
            <w:right w:val="none" w:sz="0" w:space="0" w:color="auto"/>
          </w:divBdr>
        </w:div>
        <w:div w:id="1665622409">
          <w:marLeft w:val="274"/>
          <w:marRight w:val="0"/>
          <w:marTop w:val="150"/>
          <w:marBottom w:val="0"/>
          <w:divBdr>
            <w:top w:val="none" w:sz="0" w:space="0" w:color="auto"/>
            <w:left w:val="none" w:sz="0" w:space="0" w:color="auto"/>
            <w:bottom w:val="none" w:sz="0" w:space="0" w:color="auto"/>
            <w:right w:val="none" w:sz="0" w:space="0" w:color="auto"/>
          </w:divBdr>
        </w:div>
      </w:divsChild>
    </w:div>
    <w:div w:id="1753966076">
      <w:bodyDiv w:val="1"/>
      <w:marLeft w:val="0"/>
      <w:marRight w:val="0"/>
      <w:marTop w:val="0"/>
      <w:marBottom w:val="0"/>
      <w:divBdr>
        <w:top w:val="none" w:sz="0" w:space="0" w:color="auto"/>
        <w:left w:val="none" w:sz="0" w:space="0" w:color="auto"/>
        <w:bottom w:val="none" w:sz="0" w:space="0" w:color="auto"/>
        <w:right w:val="none" w:sz="0" w:space="0" w:color="auto"/>
      </w:divBdr>
      <w:divsChild>
        <w:div w:id="187255840">
          <w:marLeft w:val="0"/>
          <w:marRight w:val="0"/>
          <w:marTop w:val="0"/>
          <w:marBottom w:val="0"/>
          <w:divBdr>
            <w:top w:val="none" w:sz="0" w:space="0" w:color="auto"/>
            <w:left w:val="none" w:sz="0" w:space="0" w:color="auto"/>
            <w:bottom w:val="none" w:sz="0" w:space="0" w:color="auto"/>
            <w:right w:val="none" w:sz="0" w:space="0" w:color="auto"/>
          </w:divBdr>
        </w:div>
        <w:div w:id="377169895">
          <w:marLeft w:val="0"/>
          <w:marRight w:val="0"/>
          <w:marTop w:val="0"/>
          <w:marBottom w:val="0"/>
          <w:divBdr>
            <w:top w:val="none" w:sz="0" w:space="0" w:color="auto"/>
            <w:left w:val="none" w:sz="0" w:space="0" w:color="auto"/>
            <w:bottom w:val="none" w:sz="0" w:space="0" w:color="auto"/>
            <w:right w:val="none" w:sz="0" w:space="0" w:color="auto"/>
          </w:divBdr>
        </w:div>
      </w:divsChild>
    </w:div>
    <w:div w:id="1898079667">
      <w:bodyDiv w:val="1"/>
      <w:marLeft w:val="0"/>
      <w:marRight w:val="0"/>
      <w:marTop w:val="0"/>
      <w:marBottom w:val="0"/>
      <w:divBdr>
        <w:top w:val="none" w:sz="0" w:space="0" w:color="auto"/>
        <w:left w:val="none" w:sz="0" w:space="0" w:color="auto"/>
        <w:bottom w:val="none" w:sz="0" w:space="0" w:color="auto"/>
        <w:right w:val="none" w:sz="0" w:space="0" w:color="auto"/>
      </w:divBdr>
      <w:divsChild>
        <w:div w:id="2041122406">
          <w:marLeft w:val="274"/>
          <w:marRight w:val="0"/>
          <w:marTop w:val="150"/>
          <w:marBottom w:val="0"/>
          <w:divBdr>
            <w:top w:val="none" w:sz="0" w:space="0" w:color="auto"/>
            <w:left w:val="none" w:sz="0" w:space="0" w:color="auto"/>
            <w:bottom w:val="none" w:sz="0" w:space="0" w:color="auto"/>
            <w:right w:val="none" w:sz="0" w:space="0" w:color="auto"/>
          </w:divBdr>
        </w:div>
      </w:divsChild>
    </w:div>
    <w:div w:id="1977879204">
      <w:bodyDiv w:val="1"/>
      <w:marLeft w:val="0"/>
      <w:marRight w:val="0"/>
      <w:marTop w:val="0"/>
      <w:marBottom w:val="0"/>
      <w:divBdr>
        <w:top w:val="none" w:sz="0" w:space="0" w:color="auto"/>
        <w:left w:val="none" w:sz="0" w:space="0" w:color="auto"/>
        <w:bottom w:val="none" w:sz="0" w:space="0" w:color="auto"/>
        <w:right w:val="none" w:sz="0" w:space="0" w:color="auto"/>
      </w:divBdr>
    </w:div>
    <w:div w:id="211918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jp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7.jp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jp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image" Target="media/image6.jp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1.jp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image" Target="media/image5.jp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water.vic.gov.au/liveable/integrated-water-management-program/forums" TargetMode="External"/><Relationship Id="rId22" Type="http://schemas.openxmlformats.org/officeDocument/2006/relationships/image" Target="media/image8.png"/><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797aeec6-0273-40f2-ab3e-beee73212332" ContentTypeId="0x0101009298E819CE1EBB4F8D2096B3E0F0C291" PreviousValue="false"/>
</file>

<file path=customXml/item3.xml><?xml version="1.0" encoding="utf-8"?>
<?mso-contentType ?>
<p:Policy xmlns:p="office.server.policy" id="" local="true">
  <p:Name>ECM V2 Project</p:Name>
  <p:Description>Enable Version label</p:Description>
  <p:Statement/>
  <p:PolicyItems>
    <p:PolicyItem featureId="Microsoft.Office.RecordsManagement.PolicyFeatures.PolicyLabel" staticId="0x0101009298E819CE1EBB4F8D2096B3E0F0C2911D00D74430046A4BA340BB3AEC1E62D27798|-1306371497" UniqueId="737e59ab-0021-48b5-bf92-c0e159bc2c2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ED7216B1055CE64D8599CE61F2B51E52" ma:contentTypeVersion="30" ma:contentTypeDescription="All project related information. The library can be used to manage multiple projects." ma:contentTypeScope="" ma:versionID="3ae39264f34a0a59bab1a863545179ca">
  <xsd:schema xmlns:xsd="http://www.w3.org/2001/XMLSchema" xmlns:xs="http://www.w3.org/2001/XMLSchema" xmlns:p="http://schemas.microsoft.com/office/2006/metadata/properties" xmlns:ns1="http://schemas.microsoft.com/sharepoint/v3" xmlns:ns2="9fd47c19-1c4a-4d7d-b342-c10cef269344" xmlns:ns3="a5f32de4-e402-4188-b034-e71ca7d22e54" xmlns:ns4="05aa45cf-ed89-4733-97a8-db4ce5c51511" xmlns:ns5="2ff2c590-3a90-4dda-8b15-28d3ad1f73bd" xmlns:ns6="3f75f718-be5e-4d81-9a81-7aa43c22ef12" targetNamespace="http://schemas.microsoft.com/office/2006/metadata/properties" ma:root="true" ma:fieldsID="92871e17a7b3fa8fdde60d72b0ddfc58" ns1:_="" ns2:_="" ns3:_="" ns4:_="" ns5:_="" ns6:_="">
    <xsd:import namespace="http://schemas.microsoft.com/sharepoint/v3"/>
    <xsd:import namespace="9fd47c19-1c4a-4d7d-b342-c10cef269344"/>
    <xsd:import namespace="a5f32de4-e402-4188-b034-e71ca7d22e54"/>
    <xsd:import namespace="05aa45cf-ed89-4733-97a8-db4ce5c51511"/>
    <xsd:import namespace="2ff2c590-3a90-4dda-8b15-28d3ad1f73bd"/>
    <xsd:import namespace="3f75f718-be5e-4d81-9a81-7aa43c22ef12"/>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f2ccc2d036544b63b99cbcec8aa9ae6a" minOccurs="0"/>
                <xsd:element ref="ns1:_dlc_Exempt" minOccurs="0"/>
                <xsd:element ref="ns4:DLCPolicyLabelValue" minOccurs="0"/>
                <xsd:element ref="ns4:DLCPolicyLabelClientValue" minOccurs="0"/>
                <xsd:element ref="ns4:DLCPolicyLabelLock" minOccurs="0"/>
                <xsd:element ref="ns5:Activity" minOccurs="0"/>
                <xsd:element ref="ns5:Projectname" minOccurs="0"/>
                <xsd:element ref="ns5:MediaServiceMetadata" minOccurs="0"/>
                <xsd:element ref="ns5:MediaServiceFastMetadata" minOccurs="0"/>
                <xsd:element ref="ns5:MediaServiceAutoKeyPoints" minOccurs="0"/>
                <xsd:element ref="ns5:MediaServiceKeyPoints" minOccurs="0"/>
                <xsd:element ref="ns6:SharedWithUsers" minOccurs="0"/>
                <xsd:element ref="ns6:SharedWithDetails" minOccurs="0"/>
                <xsd:element ref="ns2:Project_Pha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f2ccc2d036544b63b99cbcec8aa9ae6a" ma:index="19" ma:taxonomy="true" ma:internalName="f2ccc2d036544b63b99cbcec8aa9ae6a" ma:taxonomyFieldName="Records_x0020_Class_x0020_Project" ma:displayName="Classification" ma:readOnly="false"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element name="Project_Phase" ma:index="33" nillable="true" ma:displayName="Project_Phase" ma:format="Dropdown" ma:internalName="Project_Phase">
      <xsd:simpleType>
        <xsd:restriction base="dms:Choice">
          <xsd:enumeration value="Initiate"/>
          <xsd:enumeration value="Plan"/>
          <xsd:enumeration value="Build"/>
          <xsd:enumeration value="Test"/>
          <xsd:enumeration value="Implement"/>
          <xsd:enumeration value="Run"/>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aa45cf-ed89-4733-97a8-db4ce5c51511" elementFormDefault="qualified">
    <xsd:import namespace="http://schemas.microsoft.com/office/2006/documentManagement/types"/>
    <xsd:import namespace="http://schemas.microsoft.com/office/infopath/2007/PartnerControls"/>
    <xsd:element name="DLCPolicyLabelValue" ma:index="2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3"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f2c590-3a90-4dda-8b15-28d3ad1f73bd" elementFormDefault="qualified">
    <xsd:import namespace="http://schemas.microsoft.com/office/2006/documentManagement/types"/>
    <xsd:import namespace="http://schemas.microsoft.com/office/infopath/2007/PartnerControls"/>
    <xsd:element name="Activity" ma:index="24" nillable="true" ma:displayName="Activity" ma:format="Dropdown" ma:internalName="Activity">
      <xsd:simpleType>
        <xsd:union memberTypes="dms:Text">
          <xsd:simpleType>
            <xsd:restriction base="dms:Choice">
              <xsd:enumeration value="Quick wins"/>
              <xsd:enumeration value="Briefing"/>
              <xsd:enumeration value="Case studies"/>
              <xsd:enumeration value="Procurement"/>
              <xsd:enumeration value="Governance"/>
              <xsd:enumeration value="Deliverables"/>
              <xsd:enumeration value="Final report"/>
              <xsd:enumeration value="Validation"/>
              <xsd:enumeration value="Meetings"/>
              <xsd:enumeration value="Plan"/>
              <xsd:enumeration value="Implementation"/>
              <xsd:enumeration value="Review"/>
              <xsd:enumeration value="Evidence"/>
              <xsd:enumeration value="Evaluation"/>
              <xsd:enumeration value="Reference Material"/>
              <xsd:enumeration value="Proposal"/>
              <xsd:enumeration value="Modelling"/>
            </xsd:restriction>
          </xsd:simpleType>
        </xsd:union>
      </xsd:simpleType>
    </xsd:element>
    <xsd:element name="Projectname" ma:index="25" nillable="true" ma:displayName="Project name" ma:format="Dropdown" ma:internalName="Projectname">
      <xsd:simpleType>
        <xsd:union memberTypes="dms:Text">
          <xsd:simpleType>
            <xsd:restriction base="dms:Choice">
              <xsd:enumeration value="CSIWM Plans"/>
              <xsd:enumeration value="Embedding IWM in Urban Planning"/>
              <xsd:enumeration value="MERI"/>
              <xsd:enumeration value="ACAWN"/>
              <xsd:enumeration value="Action Planning"/>
              <xsd:enumeration value="CASNO"/>
              <xsd:enumeration value="SoO"/>
              <xsd:enumeration value="IWM Governance"/>
              <xsd:enumeration value="CASBE"/>
              <xsd:enumeration value="Avoided Bulk Water Supply Cost"/>
              <xsd:enumeration value="Port Phillip Western Port Source Catchment Modelling"/>
              <xsd:enumeration value="Peri-Urban Agriculture"/>
              <xsd:enumeration value="Systemic Funding"/>
            </xsd:restriction>
          </xsd:simpleType>
        </xsd:union>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75f718-be5e-4d81-9a81-7aa43c22ef12"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58</Value>
      <Value>1</Value>
      <Value>2</Value>
    </TaxCatchAll>
    <b9b43b809ea4445880dbf70bb9849525 xmlns="9fd47c19-1c4a-4d7d-b342-c10cef269344">
      <Terms xmlns="http://schemas.microsoft.com/office/infopath/2007/PartnerControls"/>
    </b9b43b809ea4445880dbf70bb9849525>
    <Projectname xmlns="2ff2c590-3a90-4dda-8b15-28d3ad1f73bd">CSIWM Plans</Projectname>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Project_Phase xmlns="9fd47c19-1c4a-4d7d-b342-c10cef269344" xsi:nil="tru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Media releases and external comms</TermName>
          <TermId xmlns="http://schemas.microsoft.com/office/infopath/2007/PartnerControls">2b7373b1-735b-462c-80f0-e7c19c0cf9f7</TermId>
        </TermInfo>
      </Terms>
    </f2ccc2d036544b63b99cbcec8aa9ae6a>
    <Activity xmlns="2ff2c590-3a90-4dda-8b15-28d3ad1f73bd">Final report</Activity>
    <DLCPolicyLabelClientValue xmlns="05aa45cf-ed89-4733-97a8-db4ce5c51511">Version {_UIVersionString}</DLCPolicyLabelClientValue>
    <DLCPolicyLabelLock xmlns="05aa45cf-ed89-4733-97a8-db4ce5c51511" xsi:nil="true"/>
    <_dlc_DocId xmlns="a5f32de4-e402-4188-b034-e71ca7d22e54">DOCID845-1377883055-274</_dlc_DocId>
    <_dlc_DocIdUrl xmlns="a5f32de4-e402-4188-b034-e71ca7d22e54">
      <Url>https://delwpvicgovau.sharepoint.com/sites/ecm_845/_layouts/15/DocIdRedir.aspx?ID=DOCID845-1377883055-274</Url>
      <Description>DOCID845-1377883055-274</Description>
    </_dlc_DocIdUrl>
    <DLCPolicyLabelValue xmlns="05aa45cf-ed89-4733-97a8-db4ce5c51511">Version 0.16</DLCPolicyLabelVal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84A9A-D449-4117-B8B8-086382047AE9}">
  <ds:schemaRefs>
    <ds:schemaRef ds:uri="http://schemas.microsoft.com/sharepoint/events"/>
  </ds:schemaRefs>
</ds:datastoreItem>
</file>

<file path=customXml/itemProps2.xml><?xml version="1.0" encoding="utf-8"?>
<ds:datastoreItem xmlns:ds="http://schemas.openxmlformats.org/officeDocument/2006/customXml" ds:itemID="{DB0CD212-8D97-4913-81B1-BC184D1B0D50}">
  <ds:schemaRefs>
    <ds:schemaRef ds:uri="Microsoft.SharePoint.Taxonomy.ContentTypeSync"/>
  </ds:schemaRefs>
</ds:datastoreItem>
</file>

<file path=customXml/itemProps3.xml><?xml version="1.0" encoding="utf-8"?>
<ds:datastoreItem xmlns:ds="http://schemas.openxmlformats.org/officeDocument/2006/customXml" ds:itemID="{DF90219F-6F1B-4DE4-BB9F-F07DBA8F0898}">
  <ds:schemaRefs>
    <ds:schemaRef ds:uri="office.server.policy"/>
  </ds:schemaRefs>
</ds:datastoreItem>
</file>

<file path=customXml/itemProps4.xml><?xml version="1.0" encoding="utf-8"?>
<ds:datastoreItem xmlns:ds="http://schemas.openxmlformats.org/officeDocument/2006/customXml" ds:itemID="{E8067F9C-BDC2-4A05-B9DA-C984742C84E2}"/>
</file>

<file path=customXml/itemProps5.xml><?xml version="1.0" encoding="utf-8"?>
<ds:datastoreItem xmlns:ds="http://schemas.openxmlformats.org/officeDocument/2006/customXml" ds:itemID="{6CF68FF5-F876-4913-A0FE-71535D702E46}">
  <ds:schemaRefs>
    <ds:schemaRef ds:uri="http://schemas.microsoft.com/office/2006/metadata/properties"/>
    <ds:schemaRef ds:uri="http://schemas.microsoft.com/office/infopath/2007/PartnerControls"/>
    <ds:schemaRef ds:uri="9fd47c19-1c4a-4d7d-b342-c10cef269344"/>
    <ds:schemaRef ds:uri="2ff2c590-3a90-4dda-8b15-28d3ad1f73bd"/>
    <ds:schemaRef ds:uri="05aa45cf-ed89-4733-97a8-db4ce5c51511"/>
    <ds:schemaRef ds:uri="a5f32de4-e402-4188-b034-e71ca7d22e54"/>
  </ds:schemaRefs>
</ds:datastoreItem>
</file>

<file path=customXml/itemProps6.xml><?xml version="1.0" encoding="utf-8"?>
<ds:datastoreItem xmlns:ds="http://schemas.openxmlformats.org/officeDocument/2006/customXml" ds:itemID="{557D5661-52AF-461A-8DF2-FAEF0F392748}">
  <ds:schemaRefs>
    <ds:schemaRef ds:uri="http://schemas.microsoft.com/sharepoint/v3/contenttype/forms"/>
  </ds:schemaRefs>
</ds:datastoreItem>
</file>

<file path=customXml/itemProps7.xml><?xml version="1.0" encoding="utf-8"?>
<ds:datastoreItem xmlns:ds="http://schemas.openxmlformats.org/officeDocument/2006/customXml" ds:itemID="{C746CA81-BB56-419F-A005-847794499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33</Pages>
  <Words>10818</Words>
  <Characters>61663</Characters>
  <Application>Microsoft Office Word</Application>
  <DocSecurity>0</DocSecurity>
  <Lines>513</Lines>
  <Paragraphs>144</Paragraphs>
  <ScaleCrop>false</ScaleCrop>
  <Company/>
  <LinksUpToDate>false</LinksUpToDate>
  <CharactersWithSpaces>72337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Yarra CSIWM Plan Summary - Accessible</dc:title>
  <dc:subject/>
  <dc:creator>Celeste Morgan</dc:creator>
  <cp:keywords/>
  <dc:description/>
  <cp:lastModifiedBy>Sylvia Tawfik (DELWP)</cp:lastModifiedBy>
  <cp:revision>100</cp:revision>
  <dcterms:created xsi:type="dcterms:W3CDTF">2021-07-05T04:03:00Z</dcterms:created>
  <dcterms:modified xsi:type="dcterms:W3CDTF">2022-10-24T01:08:00Z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2021-06-15T02:53:05Z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6373712f-c3f7-42bb-8741-8debed1129cd</vt:lpwstr>
  </property>
  <property fmtid="{D5CDD505-2E9C-101B-9397-08002B2CF9AE}" pid="8" name="MSIP_Label_4257e2ab-f512-40e2-9c9a-c64247360765_ContentBits">
    <vt:lpwstr>2</vt:lpwstr>
  </property>
  <property fmtid="{D5CDD505-2E9C-101B-9397-08002B2CF9AE}" pid="9" name="ContentTypeId">
    <vt:lpwstr>0x0101009298E819CE1EBB4F8D2096B3E0F0C2911D00ED7216B1055CE64D8599CE61F2B51E52</vt:lpwstr>
  </property>
  <property fmtid="{D5CDD505-2E9C-101B-9397-08002B2CF9AE}" pid="10" name="_dlc_DocIdItemGuid">
    <vt:lpwstr>e02937da-c025-457b-86bb-2205b5c59907</vt:lpwstr>
  </property>
  <property fmtid="{D5CDD505-2E9C-101B-9397-08002B2CF9AE}" pid="11" name="Dissemination Limiting Marker">
    <vt:lpwstr>2;#FOUO|955eb6fc-b35a-4808-8aa5-31e514fa3f26</vt:lpwstr>
  </property>
  <property fmtid="{D5CDD505-2E9C-101B-9397-08002B2CF9AE}" pid="12" name="Security Classification">
    <vt:lpwstr>1;#Unclassified|7fa379f4-4aba-4692-ab80-7d39d3a23cf4</vt:lpwstr>
  </property>
  <property fmtid="{D5CDD505-2E9C-101B-9397-08002B2CF9AE}" pid="13" name="g91c59fb10974fa1a03160ad8386f0f4">
    <vt:lpwstr/>
  </property>
  <property fmtid="{D5CDD505-2E9C-101B-9397-08002B2CF9AE}" pid="14" name="Records Class Project">
    <vt:lpwstr>58;#Media releases and external comms|2b7373b1-735b-462c-80f0-e7c19c0cf9f7</vt:lpwstr>
  </property>
  <property fmtid="{D5CDD505-2E9C-101B-9397-08002B2CF9AE}" pid="15" name="Department Document Type">
    <vt:lpwstr/>
  </property>
  <property fmtid="{D5CDD505-2E9C-101B-9397-08002B2CF9AE}" pid="16" name="Record_x0020_Purpose">
    <vt:lpwstr/>
  </property>
  <property fmtid="{D5CDD505-2E9C-101B-9397-08002B2CF9AE}" pid="17" name="Record Purpose">
    <vt:lpwstr/>
  </property>
</Properties>
</file>