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11.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15.xml" ContentType="application/vnd.openxmlformats-officedocument.wordprocessingml.footer+xml"/>
  <Override PartName="/word/footer6.xml" ContentType="application/vnd.openxmlformats-officedocument.wordprocessingml.footer+xml"/>
  <Override PartName="/word/footer4.xml" ContentType="application/vnd.openxmlformats-officedocument.wordprocessingml.footer+xml"/>
  <Override PartName="/word/footer22.xml" ContentType="application/vnd.openxmlformats-officedocument.wordprocessingml.footer+xml"/>
  <Override PartName="/word/footer21.xml" ContentType="application/vnd.openxmlformats-officedocument.wordprocessingml.footer+xml"/>
  <Override PartName="/word/footer20.xml" ContentType="application/vnd.openxmlformats-officedocument.wordprocessingml.footer+xml"/>
  <Override PartName="/word/footer19.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9.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14.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header10.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customXml/itemProps10.xml" ContentType="application/vnd.openxmlformats-officedocument.customXmlProperties+xml"/>
  <Override PartName="/customXml/itemProps11.xml" ContentType="application/vnd.openxmlformats-officedocument.customXmlProperties+xml"/>
  <Override PartName="/customXml/itemProps9.xml" ContentType="application/vnd.openxmlformats-officedocument.customXmlProperties+xml"/>
  <Override PartName="/customXml/itemProps8.xml" ContentType="application/vnd.openxmlformats-officedocument.customXmlProperties+xml"/>
  <Override PartName="/customXml/itemProps7.xml" ContentType="application/vnd.openxmlformats-officedocument.customXmlProperties+xml"/>
  <Override PartName="/customXml/itemProps6.xml" ContentType="application/vnd.openxmlformats-officedocument.customXmlProperties+xml"/>
  <Override PartName="/customXml/itemProps5.xml" ContentType="application/vnd.openxmlformats-officedocument.customXmlProperties+xml"/>
  <Override PartName="/customXml/itemProps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45202585" w:displacedByCustomXml="next"/>
    <w:sdt>
      <w:sdtPr>
        <w:rPr>
          <w:rFonts w:ascii="Arial" w:hAnsi="Arial" w:cs="Arial"/>
          <w:b w:val="0"/>
          <w:color w:val="auto"/>
          <w:sz w:val="20"/>
        </w:rPr>
        <w:id w:val="-730926708"/>
        <w:docPartObj>
          <w:docPartGallery w:val="Cover Pages"/>
          <w:docPartUnique/>
        </w:docPartObj>
      </w:sdtPr>
      <w:sdtContent>
        <w:p w14:paraId="75357E41" w14:textId="3CD077FB" w:rsidR="00372B54" w:rsidRPr="00A134A7" w:rsidRDefault="00372B54">
          <w:pPr>
            <w:pStyle w:val="CoverHeading"/>
            <w:rPr>
              <w:rFonts w:ascii="Arial" w:hAnsi="Arial" w:cs="Arial"/>
            </w:rPr>
          </w:pPr>
        </w:p>
        <w:bookmarkEnd w:id="0"/>
        <w:p w14:paraId="20397090" w14:textId="24979D32" w:rsidR="00372B54" w:rsidRPr="005D74D1" w:rsidRDefault="00B30395">
          <w:pPr>
            <w:pStyle w:val="CoverInformation"/>
            <w:rPr>
              <w:rFonts w:ascii="Arial" w:hAnsi="Arial" w:cs="Arial"/>
            </w:rPr>
          </w:pPr>
          <w:r w:rsidRPr="00A134A7">
            <w:rPr>
              <w:rFonts w:ascii="Arial" w:eastAsia="Times New Roman" w:hAnsi="Arial" w:cs="Arial"/>
              <w:noProof/>
              <w:sz w:val="24"/>
              <w:szCs w:val="24"/>
            </w:rPr>
            <w:drawing>
              <wp:anchor distT="0" distB="0" distL="114300" distR="114300" simplePos="0" relativeHeight="251613184" behindDoc="0" locked="0" layoutInCell="1" allowOverlap="1" wp14:anchorId="7110E51B" wp14:editId="4AA8828F">
                <wp:simplePos x="0" y="0"/>
                <wp:positionH relativeFrom="page">
                  <wp:align>left</wp:align>
                </wp:positionH>
                <wp:positionV relativeFrom="page">
                  <wp:align>top</wp:align>
                </wp:positionV>
                <wp:extent cx="7562088" cy="10689336"/>
                <wp:effectExtent l="0" t="0" r="1270" b="0"/>
                <wp:wrapNone/>
                <wp:docPr id="1695052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052288"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7562088" cy="106893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4F8C" w:rsidRPr="005D74D1">
            <w:rPr>
              <w:rFonts w:ascii="Arial" w:hAnsi="Arial" w:cs="Arial"/>
            </w:rPr>
            <w:t>Version</w:t>
          </w:r>
          <w:r w:rsidR="00372B54" w:rsidRPr="005D74D1">
            <w:rPr>
              <w:rFonts w:ascii="Arial" w:hAnsi="Arial" w:cs="Arial"/>
            </w:rPr>
            <w:t xml:space="preserve">: </w:t>
          </w:r>
        </w:p>
        <w:sdt>
          <w:sdtPr>
            <w:rPr>
              <w:rFonts w:ascii="Arial" w:hAnsi="Arial" w:cs="Arial"/>
            </w:rPr>
            <w:alias w:val="Client name"/>
            <w:tag w:val="Client name"/>
            <w:id w:val="1125356160"/>
            <w:placeholder>
              <w:docPart w:val="36D44A4E7DED4AEDBB16B49CA2972F6E"/>
            </w:placeholder>
            <w:dataBinding w:xpath="/*[local-name()='root']/*[local-name()='ClientName']" w:storeItemID="{8F33FB8F-8118-4915-86A8-F93B7C2B254E}"/>
            <w:text w:multiLine="1"/>
          </w:sdtPr>
          <w:sdtContent>
            <w:p w14:paraId="569FFBFC" w14:textId="1A34CAA5" w:rsidR="005516D1" w:rsidRPr="005D74D1" w:rsidRDefault="00963A13">
              <w:pPr>
                <w:pStyle w:val="CoverInformationBold"/>
                <w:rPr>
                  <w:rFonts w:ascii="Arial" w:hAnsi="Arial" w:cs="Arial"/>
                </w:rPr>
              </w:pPr>
              <w:r w:rsidRPr="005D74D1">
                <w:rPr>
                  <w:rFonts w:ascii="Arial" w:hAnsi="Arial" w:cs="Arial"/>
                </w:rPr>
                <w:t>Department of Energy, Environment and Climate Action</w:t>
              </w:r>
            </w:p>
          </w:sdtContent>
        </w:sdt>
        <w:p w14:paraId="2B878139" w14:textId="56116B1D" w:rsidR="00963A13" w:rsidRPr="005D74D1" w:rsidRDefault="00963A13">
          <w:pPr>
            <w:pStyle w:val="CoverInformationBold"/>
            <w:rPr>
              <w:rFonts w:ascii="Arial" w:hAnsi="Arial" w:cs="Arial"/>
            </w:rPr>
          </w:pPr>
        </w:p>
        <w:p w14:paraId="30323538" w14:textId="299BC110" w:rsidR="00C0687E" w:rsidRPr="00A134A7" w:rsidRDefault="00C0687E" w:rsidP="00C0687E">
          <w:pPr>
            <w:spacing w:before="100" w:beforeAutospacing="1" w:after="100" w:afterAutospacing="1"/>
            <w:rPr>
              <w:rFonts w:eastAsia="Times New Roman" w:cs="Arial"/>
              <w:sz w:val="24"/>
              <w:szCs w:val="24"/>
            </w:rPr>
          </w:pPr>
        </w:p>
        <w:p w14:paraId="04A20035" w14:textId="77777777" w:rsidR="00C0687E" w:rsidRPr="005D74D1" w:rsidRDefault="00C0687E">
          <w:pPr>
            <w:pStyle w:val="CoverInformationBold"/>
            <w:rPr>
              <w:rFonts w:ascii="Arial" w:hAnsi="Arial" w:cs="Arial"/>
            </w:rPr>
          </w:pPr>
        </w:p>
        <w:sdt>
          <w:sdtPr>
            <w:rPr>
              <w:rFonts w:ascii="Arial" w:hAnsi="Arial" w:cs="Arial"/>
            </w:rPr>
            <w:alias w:val="Project name"/>
            <w:tag w:val="Project name"/>
            <w:id w:val="-1280945525"/>
            <w:placeholder>
              <w:docPart w:val="1BCD75D4B9C048B18E802794AA2B87F0"/>
            </w:placeholder>
            <w:dataBinding w:xpath="/*[local-name()='root']/*[local-name()='ProjectName']" w:storeItemID="{8F33FB8F-8118-4915-86A8-F93B7C2B254E}"/>
            <w:text w:multiLine="1"/>
          </w:sdtPr>
          <w:sdtContent>
            <w:p w14:paraId="647B665A" w14:textId="26F23CAD" w:rsidR="00372B54" w:rsidRPr="005D74D1" w:rsidRDefault="00DE09B9">
              <w:pPr>
                <w:pStyle w:val="CoverInformationBold"/>
                <w:rPr>
                  <w:rFonts w:ascii="Arial" w:hAnsi="Arial" w:cs="Arial"/>
                </w:rPr>
              </w:pPr>
              <w:r w:rsidRPr="005D74D1">
                <w:rPr>
                  <w:rFonts w:ascii="Arial" w:hAnsi="Arial" w:cs="Arial"/>
                </w:rPr>
                <w:t>Evaluation of the Fifth Tranche of the Environmental Contribution</w:t>
              </w:r>
            </w:p>
          </w:sdtContent>
        </w:sdt>
        <w:p w14:paraId="6D126DE6" w14:textId="22AF5EB1" w:rsidR="00372B54" w:rsidRPr="005D74D1" w:rsidRDefault="00372B54">
          <w:pPr>
            <w:pStyle w:val="CoverInformation"/>
            <w:contextualSpacing w:val="0"/>
            <w:rPr>
              <w:rFonts w:ascii="Arial" w:hAnsi="Arial" w:cs="Ari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
            <w:gridCol w:w="468"/>
            <w:gridCol w:w="7371"/>
            <w:gridCol w:w="579"/>
            <w:gridCol w:w="367"/>
          </w:tblGrid>
          <w:tr w:rsidR="004F3A07" w:rsidRPr="005D74D1" w14:paraId="4E8A2494" w14:textId="77777777" w:rsidTr="004F3A07">
            <w:trPr>
              <w:trHeight w:hRule="exact" w:val="6804"/>
            </w:trPr>
            <w:tc>
              <w:tcPr>
                <w:tcW w:w="241" w:type="dxa"/>
                <w:shd w:val="clear" w:color="auto" w:fill="231EDC" w:themeFill="accent1"/>
              </w:tcPr>
              <w:p w14:paraId="770EFD46" w14:textId="5E223FB4" w:rsidR="004F3A07" w:rsidRPr="00A134A7" w:rsidRDefault="00615878">
                <w:pPr>
                  <w:pStyle w:val="CoverInformation"/>
                  <w:rPr>
                    <w:rFonts w:ascii="Arial" w:hAnsi="Arial" w:cs="Arial"/>
                    <w:lang w:val="en-AU"/>
                  </w:rPr>
                </w:pPr>
                <w:bookmarkStart w:id="1" w:name="CoverPage"/>
                <w:bookmarkEnd w:id="1"/>
                <w:r w:rsidRPr="00A134A7">
                  <w:rPr>
                    <w:rFonts w:ascii="Arial" w:hAnsi="Arial" w:cs="Arial"/>
                    <w:noProof/>
                  </w:rPr>
                  <w:drawing>
                    <wp:anchor distT="0" distB="0" distL="114300" distR="114300" simplePos="0" relativeHeight="251611136" behindDoc="0" locked="0" layoutInCell="1" allowOverlap="1" wp14:anchorId="5B3E4AA9" wp14:editId="65A36921">
                      <wp:simplePos x="0" y="0"/>
                      <wp:positionH relativeFrom="column">
                        <wp:posOffset>55245</wp:posOffset>
                      </wp:positionH>
                      <wp:positionV relativeFrom="paragraph">
                        <wp:posOffset>-2540</wp:posOffset>
                      </wp:positionV>
                      <wp:extent cx="5497657" cy="4314825"/>
                      <wp:effectExtent l="0" t="0" r="8255" b="0"/>
                      <wp:wrapNone/>
                      <wp:docPr id="10616255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625569" name="Picture 1061625569"/>
                              <pic:cNvPicPr/>
                            </pic:nvPicPr>
                            <pic:blipFill rotWithShape="1">
                              <a:blip r:embed="rId19" cstate="print">
                                <a:extLst>
                                  <a:ext uri="{28A0092B-C50C-407E-A947-70E740481C1C}">
                                    <a14:useLocalDpi xmlns:a14="http://schemas.microsoft.com/office/drawing/2010/main" val="0"/>
                                  </a:ext>
                                </a:extLst>
                              </a:blip>
                              <a:srcRect l="11557" r="9790"/>
                              <a:stretch/>
                            </pic:blipFill>
                            <pic:spPr bwMode="auto">
                              <a:xfrm>
                                <a:off x="0" y="0"/>
                                <a:ext cx="5509920" cy="4324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68" w:type="dxa"/>
                <w:shd w:val="clear" w:color="auto" w:fill="000000" w:themeFill="text1"/>
              </w:tcPr>
              <w:p w14:paraId="151755DA" w14:textId="0C65285C" w:rsidR="004F3A07" w:rsidRPr="00A134A7" w:rsidRDefault="004F3A07">
                <w:pPr>
                  <w:pStyle w:val="CoverInformation"/>
                  <w:rPr>
                    <w:rFonts w:ascii="Arial" w:hAnsi="Arial" w:cs="Arial"/>
                    <w:lang w:val="en-AU"/>
                  </w:rPr>
                </w:pPr>
              </w:p>
            </w:tc>
            <w:tc>
              <w:tcPr>
                <w:tcW w:w="7371" w:type="dxa"/>
                <w:shd w:val="clear" w:color="auto" w:fill="231EDC" w:themeFill="accent1"/>
              </w:tcPr>
              <w:p w14:paraId="3B454391" w14:textId="7547271A" w:rsidR="004F3A07" w:rsidRPr="00A134A7" w:rsidRDefault="00615878">
                <w:pPr>
                  <w:pStyle w:val="CoverInformation"/>
                  <w:rPr>
                    <w:rFonts w:ascii="Arial" w:hAnsi="Arial" w:cs="Arial"/>
                    <w:lang w:val="en-AU"/>
                  </w:rPr>
                </w:pPr>
                <w:r w:rsidRPr="00A134A7">
                  <w:rPr>
                    <w:rFonts w:ascii="Arial" w:hAnsi="Arial" w:cs="Arial"/>
                    <w:noProof/>
                  </w:rPr>
                  <mc:AlternateContent>
                    <mc:Choice Requires="wps">
                      <w:drawing>
                        <wp:anchor distT="45720" distB="45720" distL="114300" distR="114300" simplePos="0" relativeHeight="251612160" behindDoc="0" locked="0" layoutInCell="1" allowOverlap="1" wp14:anchorId="583C5580" wp14:editId="56A1FCC8">
                          <wp:simplePos x="0" y="0"/>
                          <wp:positionH relativeFrom="column">
                            <wp:posOffset>-68580</wp:posOffset>
                          </wp:positionH>
                          <wp:positionV relativeFrom="paragraph">
                            <wp:posOffset>3750310</wp:posOffset>
                          </wp:positionV>
                          <wp:extent cx="4488815" cy="1404620"/>
                          <wp:effectExtent l="0" t="0" r="26035"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8815" cy="1404620"/>
                                  </a:xfrm>
                                  <a:prstGeom prst="rect">
                                    <a:avLst/>
                                  </a:prstGeom>
                                  <a:solidFill>
                                    <a:srgbClr val="FFFFFF"/>
                                  </a:solidFill>
                                  <a:ln w="9525">
                                    <a:solidFill>
                                      <a:srgbClr val="000000"/>
                                    </a:solidFill>
                                    <a:miter lim="800000"/>
                                    <a:headEnd/>
                                    <a:tailEnd/>
                                  </a:ln>
                                </wps:spPr>
                                <wps:txbx>
                                  <w:txbxContent>
                                    <w:p w14:paraId="4FA57918" w14:textId="6F77B230" w:rsidR="00B83C42" w:rsidRDefault="00B83C42">
                                      <w:r w:rsidRPr="00CF4ABF">
                                        <w:rPr>
                                          <w:highlight w:val="yellow"/>
                                        </w:rPr>
                                        <w:t xml:space="preserve">&lt;Drafting Note: Final report to include graphical </w:t>
                                      </w:r>
                                      <w:r w:rsidR="00E56BD6" w:rsidRPr="00CF4ABF">
                                        <w:rPr>
                                          <w:highlight w:val="yellow"/>
                                        </w:rPr>
                                        <w:t>cover page and section divider pa</w:t>
                                      </w:r>
                                      <w:r w:rsidR="00741351" w:rsidRPr="00CF4ABF">
                                        <w:rPr>
                                          <w:highlight w:val="yellow"/>
                                        </w:rPr>
                                        <w:t>ges&gt;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3C5580" id="_x0000_t202" coordsize="21600,21600" o:spt="202" path="m,l,21600r21600,l21600,xe">
                          <v:stroke joinstyle="miter"/>
                          <v:path gradientshapeok="t" o:connecttype="rect"/>
                        </v:shapetype>
                        <v:shape id="Text Box 2" o:spid="_x0000_s1026" type="#_x0000_t202" style="position:absolute;margin-left:-5.4pt;margin-top:295.3pt;width:353.45pt;height:110.6pt;z-index:2516121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">
                          <v:textbox style="mso-fit-shape-to-text:t">
                            <w:txbxContent>
                              <w:p w14:paraId="4FA57918" w14:textId="6F77B230" w:rsidR="00B83C42" w:rsidRDefault="00B83C42">
                                <w:r w:rsidRPr="00CF4ABF">
                                  <w:rPr>
                                    <w:highlight w:val="yellow"/>
                                  </w:rPr>
                                  <w:t xml:space="preserve">&lt;Drafting Note: Final report to include graphical </w:t>
                                </w:r>
                                <w:r w:rsidR="00E56BD6" w:rsidRPr="00CF4ABF">
                                  <w:rPr>
                                    <w:highlight w:val="yellow"/>
                                  </w:rPr>
                                  <w:t>cover page and section divider pa</w:t>
                                </w:r>
                                <w:r w:rsidR="00741351" w:rsidRPr="00CF4ABF">
                                  <w:rPr>
                                    <w:highlight w:val="yellow"/>
                                  </w:rPr>
                                  <w:t>ges&gt;</w:t>
                                </w:r>
                              </w:p>
                            </w:txbxContent>
                          </v:textbox>
                          <w10:wrap type="square"/>
                        </v:shape>
                      </w:pict>
                    </mc:Fallback>
                  </mc:AlternateContent>
                </w:r>
              </w:p>
            </w:tc>
            <w:tc>
              <w:tcPr>
                <w:tcW w:w="579" w:type="dxa"/>
                <w:shd w:val="clear" w:color="auto" w:fill="000000" w:themeFill="text1"/>
              </w:tcPr>
              <w:p w14:paraId="28166B9B" w14:textId="77777777" w:rsidR="004F3A07" w:rsidRPr="00A134A7" w:rsidRDefault="004F3A07">
                <w:pPr>
                  <w:pStyle w:val="CoverInformation"/>
                  <w:rPr>
                    <w:rFonts w:ascii="Arial" w:hAnsi="Arial" w:cs="Arial"/>
                    <w:lang w:val="en-AU"/>
                  </w:rPr>
                </w:pPr>
              </w:p>
              <w:p w14:paraId="02306C0C" w14:textId="77777777" w:rsidR="00963A13" w:rsidRPr="005D74D1" w:rsidRDefault="00963A13" w:rsidP="00963A13">
                <w:pPr>
                  <w:rPr>
                    <w:rFonts w:cs="Arial"/>
                    <w:lang w:val="en-AU"/>
                  </w:rPr>
                </w:pPr>
              </w:p>
              <w:p w14:paraId="20C42129" w14:textId="77777777" w:rsidR="00963A13" w:rsidRPr="005D74D1" w:rsidRDefault="00963A13" w:rsidP="00963A13">
                <w:pPr>
                  <w:rPr>
                    <w:rFonts w:cs="Arial"/>
                    <w:lang w:val="en-AU"/>
                  </w:rPr>
                </w:pPr>
              </w:p>
              <w:p w14:paraId="6729D7F6" w14:textId="77777777" w:rsidR="00963A13" w:rsidRPr="005D74D1" w:rsidRDefault="00963A13" w:rsidP="00963A13">
                <w:pPr>
                  <w:rPr>
                    <w:rFonts w:cs="Arial"/>
                    <w:lang w:val="en-AU"/>
                  </w:rPr>
                </w:pPr>
              </w:p>
              <w:p w14:paraId="2A92650A" w14:textId="77777777" w:rsidR="00963A13" w:rsidRPr="005D74D1" w:rsidRDefault="00963A13" w:rsidP="00963A13">
                <w:pPr>
                  <w:rPr>
                    <w:rFonts w:cs="Arial"/>
                    <w:lang w:val="en-AU"/>
                  </w:rPr>
                </w:pPr>
              </w:p>
              <w:p w14:paraId="69CEDB00" w14:textId="77777777" w:rsidR="00963A13" w:rsidRPr="005D74D1" w:rsidRDefault="00963A13" w:rsidP="00963A13">
                <w:pPr>
                  <w:rPr>
                    <w:rFonts w:cs="Arial"/>
                    <w:lang w:val="en-AU"/>
                  </w:rPr>
                </w:pPr>
              </w:p>
              <w:p w14:paraId="0D176D5E" w14:textId="77777777" w:rsidR="00963A13" w:rsidRPr="005D74D1" w:rsidRDefault="00963A13" w:rsidP="00963A13">
                <w:pPr>
                  <w:rPr>
                    <w:rFonts w:cs="Arial"/>
                    <w:lang w:val="en-AU"/>
                  </w:rPr>
                </w:pPr>
              </w:p>
              <w:p w14:paraId="5481FB10" w14:textId="77777777" w:rsidR="00963A13" w:rsidRPr="005D74D1" w:rsidRDefault="00963A13" w:rsidP="00963A13">
                <w:pPr>
                  <w:rPr>
                    <w:rFonts w:cs="Arial"/>
                    <w:lang w:val="en-AU"/>
                  </w:rPr>
                </w:pPr>
              </w:p>
              <w:p w14:paraId="48D1298E" w14:textId="77777777" w:rsidR="00963A13" w:rsidRPr="005D74D1" w:rsidRDefault="00963A13" w:rsidP="00963A13">
                <w:pPr>
                  <w:rPr>
                    <w:rFonts w:cs="Arial"/>
                    <w:lang w:val="en-AU"/>
                  </w:rPr>
                </w:pPr>
              </w:p>
              <w:p w14:paraId="35FB745D" w14:textId="77777777" w:rsidR="00963A13" w:rsidRPr="005D74D1" w:rsidRDefault="00963A13" w:rsidP="00963A13">
                <w:pPr>
                  <w:rPr>
                    <w:rFonts w:cs="Arial"/>
                    <w:lang w:val="en-AU"/>
                  </w:rPr>
                </w:pPr>
              </w:p>
              <w:p w14:paraId="0223B527" w14:textId="77777777" w:rsidR="00963A13" w:rsidRPr="005D74D1" w:rsidRDefault="00963A13" w:rsidP="00963A13">
                <w:pPr>
                  <w:rPr>
                    <w:rFonts w:cs="Arial"/>
                    <w:lang w:val="en-AU"/>
                  </w:rPr>
                </w:pPr>
              </w:p>
              <w:p w14:paraId="471FC843" w14:textId="77777777" w:rsidR="00963A13" w:rsidRPr="005D74D1" w:rsidRDefault="00963A13" w:rsidP="00963A13">
                <w:pPr>
                  <w:rPr>
                    <w:rFonts w:cs="Arial"/>
                    <w:lang w:val="en-AU"/>
                  </w:rPr>
                </w:pPr>
              </w:p>
              <w:p w14:paraId="5F908A1B" w14:textId="77777777" w:rsidR="00963A13" w:rsidRPr="005D74D1" w:rsidRDefault="00963A13" w:rsidP="00963A13">
                <w:pPr>
                  <w:rPr>
                    <w:rFonts w:cs="Arial"/>
                    <w:lang w:val="en-AU"/>
                  </w:rPr>
                </w:pPr>
              </w:p>
              <w:p w14:paraId="274BF57A" w14:textId="77777777" w:rsidR="00963A13" w:rsidRPr="005D74D1" w:rsidRDefault="00963A13" w:rsidP="00963A13">
                <w:pPr>
                  <w:rPr>
                    <w:rFonts w:cs="Arial"/>
                    <w:lang w:val="en-AU"/>
                  </w:rPr>
                </w:pPr>
              </w:p>
              <w:p w14:paraId="4C8E3D9A" w14:textId="77777777" w:rsidR="00963A13" w:rsidRPr="005D74D1" w:rsidRDefault="00963A13" w:rsidP="00963A13">
                <w:pPr>
                  <w:rPr>
                    <w:rFonts w:cs="Arial"/>
                    <w:lang w:val="en-AU"/>
                  </w:rPr>
                </w:pPr>
              </w:p>
              <w:p w14:paraId="6B3DF46E" w14:textId="281519DF" w:rsidR="00963A13" w:rsidRPr="005D74D1" w:rsidRDefault="00963A13" w:rsidP="00963A13">
                <w:pPr>
                  <w:rPr>
                    <w:rFonts w:cs="Arial"/>
                    <w:lang w:val="en-AU"/>
                  </w:rPr>
                </w:pPr>
              </w:p>
            </w:tc>
            <w:tc>
              <w:tcPr>
                <w:tcW w:w="367" w:type="dxa"/>
                <w:shd w:val="clear" w:color="auto" w:fill="231EDC" w:themeFill="accent1"/>
              </w:tcPr>
              <w:p w14:paraId="42D7093C" w14:textId="77777777" w:rsidR="004F3A07" w:rsidRPr="00A134A7" w:rsidRDefault="004F3A07">
                <w:pPr>
                  <w:pStyle w:val="CoverInformation"/>
                  <w:rPr>
                    <w:rFonts w:ascii="Arial" w:hAnsi="Arial" w:cs="Arial"/>
                    <w:lang w:val="en-AU"/>
                  </w:rPr>
                </w:pPr>
              </w:p>
            </w:tc>
          </w:tr>
        </w:tbl>
        <w:p w14:paraId="24AA1D2E" w14:textId="77777777" w:rsidR="00372B54" w:rsidRPr="005D74D1" w:rsidRDefault="00000000" w:rsidP="00C21589">
          <w:pPr>
            <w:tabs>
              <w:tab w:val="left" w:pos="2171"/>
            </w:tabs>
            <w:rPr>
              <w:rFonts w:cs="Arial"/>
            </w:rPr>
            <w:sectPr w:rsidR="00372B54" w:rsidRPr="005D74D1" w:rsidSect="00D42C35">
              <w:headerReference w:type="even" r:id="rId20"/>
              <w:headerReference w:type="default" r:id="rId21"/>
              <w:footerReference w:type="default" r:id="rId22"/>
              <w:headerReference w:type="first" r:id="rId23"/>
              <w:footerReference w:type="first" r:id="rId24"/>
              <w:pgSz w:w="11906" w:h="16838" w:code="9"/>
              <w:pgMar w:top="2302" w:right="1440" w:bottom="567" w:left="1440" w:header="936" w:footer="0" w:gutter="0"/>
              <w:pgNumType w:start="1"/>
              <w:cols w:space="720"/>
              <w:titlePg/>
              <w:docGrid w:linePitch="360"/>
            </w:sectPr>
          </w:pPr>
        </w:p>
      </w:sdtContent>
    </w:sdt>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3" w:type="dxa"/>
          <w:right w:w="0" w:type="dxa"/>
        </w:tblCellMar>
        <w:tblLook w:val="04A0" w:firstRow="1" w:lastRow="0" w:firstColumn="1" w:lastColumn="0" w:noHBand="0" w:noVBand="1"/>
        <w:tblCaption w:val="Flysheet table"/>
      </w:tblPr>
      <w:tblGrid>
        <w:gridCol w:w="1498"/>
        <w:gridCol w:w="3024"/>
        <w:gridCol w:w="1497"/>
        <w:gridCol w:w="3007"/>
      </w:tblGrid>
      <w:tr w:rsidR="005E43B2" w:rsidRPr="005D74D1" w14:paraId="61315846" w14:textId="77777777">
        <w:trPr>
          <w:trHeight w:val="735"/>
        </w:trPr>
        <w:sdt>
          <w:sdtPr>
            <w:rPr>
              <w:rFonts w:ascii="Arial" w:hAnsi="Arial" w:cs="Arial"/>
            </w:rPr>
            <w:alias w:val="Document title"/>
            <w:tag w:val="Document title"/>
            <w:id w:val="-483083624"/>
            <w:placeholder>
              <w:docPart w:val="F2B5E0636E4D4FE885272BE8EC8BDA6D"/>
            </w:placeholder>
            <w:dataBinding w:xpath="/*[local-name()='root']/*[local-name()='DocumentTitle']" w:storeItemID="{8F33FB8F-8118-4915-86A8-F93B7C2B254E}"/>
            <w:text w:multiLine="1"/>
          </w:sdtPr>
          <w:sdtContent>
            <w:tc>
              <w:tcPr>
                <w:tcW w:w="9026" w:type="dxa"/>
                <w:gridSpan w:val="4"/>
                <w:tcMar>
                  <w:top w:w="0" w:type="dxa"/>
                  <w:left w:w="0" w:type="dxa"/>
                  <w:bottom w:w="0" w:type="dxa"/>
                  <w:right w:w="0" w:type="dxa"/>
                </w:tcMar>
                <w:hideMark/>
              </w:tcPr>
              <w:p w14:paraId="2D2E3844" w14:textId="548B05C6" w:rsidR="005E43B2" w:rsidRPr="00A134A7" w:rsidRDefault="001C2714">
                <w:pPr>
                  <w:pStyle w:val="DocumentSubject"/>
                  <w:rPr>
                    <w:rFonts w:ascii="Arial" w:hAnsi="Arial" w:cs="Arial"/>
                    <w:lang w:val="en-AU"/>
                  </w:rPr>
                </w:pPr>
                <w:r w:rsidRPr="00A134A7">
                  <w:rPr>
                    <w:rFonts w:ascii="Arial" w:hAnsi="Arial" w:cs="Arial"/>
                  </w:rPr>
                  <w:t>Evaluation of the Fifth Tranche of the Environmental Contribution – 2024 End-Of-Tranche Evaluation</w:t>
                </w:r>
              </w:p>
            </w:tc>
          </w:sdtContent>
        </w:sdt>
      </w:tr>
      <w:tr w:rsidR="005E43B2" w:rsidRPr="005D74D1" w14:paraId="49DAD489" w14:textId="77777777">
        <w:tc>
          <w:tcPr>
            <w:tcW w:w="1498" w:type="dxa"/>
            <w:tcMar>
              <w:top w:w="29" w:type="dxa"/>
              <w:left w:w="0" w:type="dxa"/>
              <w:bottom w:w="29" w:type="dxa"/>
              <w:right w:w="0" w:type="dxa"/>
            </w:tcMar>
          </w:tcPr>
          <w:p w14:paraId="3D1471E3" w14:textId="77777777" w:rsidR="005E43B2" w:rsidRPr="005D74D1" w:rsidRDefault="005E43B2" w:rsidP="004311D5">
            <w:pPr>
              <w:pStyle w:val="Details"/>
              <w:rPr>
                <w:rFonts w:ascii="Arial" w:hAnsi="Arial" w:cs="Arial"/>
                <w:b/>
                <w:lang w:val="en-AU"/>
              </w:rPr>
            </w:pPr>
            <w:r w:rsidRPr="005D74D1">
              <w:rPr>
                <w:rFonts w:ascii="Arial" w:hAnsi="Arial" w:cs="Arial"/>
                <w:b/>
                <w:lang w:val="en-AU"/>
              </w:rPr>
              <w:t>Client name:</w:t>
            </w:r>
          </w:p>
        </w:tc>
        <w:tc>
          <w:tcPr>
            <w:tcW w:w="7528" w:type="dxa"/>
            <w:gridSpan w:val="3"/>
            <w:tcMar>
              <w:top w:w="29" w:type="dxa"/>
              <w:left w:w="0" w:type="dxa"/>
              <w:bottom w:w="29" w:type="dxa"/>
              <w:right w:w="0" w:type="dxa"/>
            </w:tcMar>
          </w:tcPr>
          <w:sdt>
            <w:sdtPr>
              <w:rPr>
                <w:rFonts w:ascii="Arial" w:hAnsi="Arial" w:cs="Arial"/>
              </w:rPr>
              <w:alias w:val="Client name"/>
              <w:tag w:val="Client name"/>
              <w:id w:val="-365833201"/>
              <w:placeholder>
                <w:docPart w:val="AB68EF522E384A01A93EE9B279C113B3"/>
              </w:placeholder>
              <w:dataBinding w:xpath="/*[local-name()='root']/*[local-name()='ClientName']" w:storeItemID="{8F33FB8F-8118-4915-86A8-F93B7C2B254E}"/>
              <w:text w:multiLine="1"/>
            </w:sdtPr>
            <w:sdtContent>
              <w:p w14:paraId="5461DFFD" w14:textId="4A8BD59E" w:rsidR="005E43B2" w:rsidRPr="005D74D1" w:rsidRDefault="00963A13" w:rsidP="004311D5">
                <w:pPr>
                  <w:pStyle w:val="Details"/>
                  <w:rPr>
                    <w:rFonts w:ascii="Arial" w:hAnsi="Arial" w:cs="Arial"/>
                    <w:lang w:val="en-AU"/>
                  </w:rPr>
                </w:pPr>
                <w:r w:rsidRPr="005D74D1">
                  <w:rPr>
                    <w:rFonts w:ascii="Arial" w:hAnsi="Arial" w:cs="Arial"/>
                    <w:lang w:val="en-AU"/>
                  </w:rPr>
                  <w:t>Department of Energy, Environment and Climate Action</w:t>
                </w:r>
              </w:p>
            </w:sdtContent>
          </w:sdt>
        </w:tc>
      </w:tr>
      <w:tr w:rsidR="005E43B2" w:rsidRPr="005D74D1" w14:paraId="61D2C2BB" w14:textId="77777777">
        <w:tc>
          <w:tcPr>
            <w:tcW w:w="1498" w:type="dxa"/>
            <w:tcMar>
              <w:top w:w="29" w:type="dxa"/>
              <w:left w:w="0" w:type="dxa"/>
              <w:bottom w:w="29" w:type="dxa"/>
              <w:right w:w="0" w:type="dxa"/>
            </w:tcMar>
          </w:tcPr>
          <w:p w14:paraId="6B186DA0" w14:textId="77777777" w:rsidR="005E43B2" w:rsidRPr="005D74D1" w:rsidRDefault="005E43B2" w:rsidP="004311D5">
            <w:pPr>
              <w:pStyle w:val="Details"/>
              <w:rPr>
                <w:rFonts w:ascii="Arial" w:hAnsi="Arial" w:cs="Arial"/>
                <w:b/>
                <w:lang w:val="en-AU"/>
              </w:rPr>
            </w:pPr>
            <w:r w:rsidRPr="005D74D1">
              <w:rPr>
                <w:rFonts w:ascii="Arial" w:hAnsi="Arial" w:cs="Arial"/>
                <w:b/>
                <w:lang w:val="en-AU"/>
              </w:rPr>
              <w:t>Project name:</w:t>
            </w:r>
          </w:p>
        </w:tc>
        <w:sdt>
          <w:sdtPr>
            <w:rPr>
              <w:rFonts w:ascii="Arial" w:hAnsi="Arial" w:cs="Arial"/>
            </w:rPr>
            <w:alias w:val="Project name"/>
            <w:tag w:val="Project name"/>
            <w:id w:val="734510314"/>
            <w:placeholder>
              <w:docPart w:val="AAEB1CEDE6524C148C22E88510988B5F"/>
            </w:placeholder>
            <w:dataBinding w:xpath="/*[local-name()='root']/*[local-name()='ProjectName']" w:storeItemID="{8F33FB8F-8118-4915-86A8-F93B7C2B254E}"/>
            <w:text w:multiLine="1"/>
          </w:sdtPr>
          <w:sdtContent>
            <w:tc>
              <w:tcPr>
                <w:tcW w:w="7528" w:type="dxa"/>
                <w:gridSpan w:val="3"/>
                <w:tcMar>
                  <w:top w:w="29" w:type="dxa"/>
                  <w:left w:w="0" w:type="dxa"/>
                  <w:bottom w:w="29" w:type="dxa"/>
                  <w:right w:w="0" w:type="dxa"/>
                </w:tcMar>
              </w:tcPr>
              <w:p w14:paraId="23327582" w14:textId="72FC474F" w:rsidR="005E43B2" w:rsidRPr="005D74D1" w:rsidRDefault="00DE09B9" w:rsidP="004311D5">
                <w:pPr>
                  <w:pStyle w:val="Details"/>
                  <w:rPr>
                    <w:rFonts w:ascii="Arial" w:hAnsi="Arial" w:cs="Arial"/>
                    <w:lang w:val="en-AU"/>
                  </w:rPr>
                </w:pPr>
                <w:r w:rsidRPr="005D74D1">
                  <w:rPr>
                    <w:rFonts w:ascii="Arial" w:hAnsi="Arial" w:cs="Arial"/>
                    <w:lang w:val="en-AU"/>
                  </w:rPr>
                  <w:t>Evaluation of the Fifth Tranche of the Environmental Contribution</w:t>
                </w:r>
              </w:p>
            </w:tc>
          </w:sdtContent>
        </w:sdt>
      </w:tr>
      <w:tr w:rsidR="005E43B2" w:rsidRPr="005D74D1" w14:paraId="37E453A3" w14:textId="77777777">
        <w:tc>
          <w:tcPr>
            <w:tcW w:w="1498" w:type="dxa"/>
            <w:tcMar>
              <w:top w:w="29" w:type="dxa"/>
              <w:left w:w="0" w:type="dxa"/>
              <w:bottom w:w="29" w:type="dxa"/>
              <w:right w:w="0" w:type="dxa"/>
            </w:tcMar>
            <w:hideMark/>
          </w:tcPr>
          <w:p w14:paraId="3A5868C1" w14:textId="77777777" w:rsidR="005E43B2" w:rsidRPr="005D74D1" w:rsidRDefault="004F3E26" w:rsidP="004311D5">
            <w:pPr>
              <w:pStyle w:val="Details"/>
              <w:rPr>
                <w:rFonts w:ascii="Arial" w:hAnsi="Arial" w:cs="Arial"/>
                <w:b/>
                <w:lang w:val="en-AU"/>
              </w:rPr>
            </w:pPr>
            <w:r w:rsidRPr="005D74D1">
              <w:rPr>
                <w:rFonts w:ascii="Arial" w:hAnsi="Arial" w:cs="Arial"/>
                <w:b/>
                <w:lang w:val="en-AU"/>
              </w:rPr>
              <w:t>Version</w:t>
            </w:r>
            <w:r w:rsidR="005E43B2" w:rsidRPr="005D74D1">
              <w:rPr>
                <w:rFonts w:ascii="Arial" w:hAnsi="Arial" w:cs="Arial"/>
                <w:b/>
                <w:lang w:val="en-AU"/>
              </w:rPr>
              <w:t>:</w:t>
            </w:r>
          </w:p>
        </w:tc>
        <w:tc>
          <w:tcPr>
            <w:tcW w:w="3024" w:type="dxa"/>
            <w:tcMar>
              <w:top w:w="29" w:type="dxa"/>
              <w:left w:w="0" w:type="dxa"/>
              <w:bottom w:w="29" w:type="dxa"/>
              <w:right w:w="0" w:type="dxa"/>
            </w:tcMar>
            <w:hideMark/>
          </w:tcPr>
          <w:sdt>
            <w:sdtPr>
              <w:rPr>
                <w:rFonts w:ascii="Arial" w:hAnsi="Arial" w:cs="Arial"/>
              </w:rPr>
              <w:alias w:val="Version"/>
              <w:tag w:val="Version"/>
              <w:id w:val="664976577"/>
              <w:placeholder>
                <w:docPart w:val="FC1D9BB07051476E86496D1AA1562C95"/>
              </w:placeholder>
              <w:dataBinding w:xpath="/*[local-name()='root']/*[local-name()='RevisionNumber']" w:storeItemID="{8F33FB8F-8118-4915-86A8-F93B7C2B254E}"/>
              <w:text w:multiLine="1"/>
            </w:sdtPr>
            <w:sdtContent>
              <w:p w14:paraId="6CB77603" w14:textId="69330BD2" w:rsidR="005E43B2" w:rsidRPr="005D74D1" w:rsidRDefault="00E307FA" w:rsidP="004311D5">
                <w:pPr>
                  <w:pStyle w:val="Details"/>
                  <w:rPr>
                    <w:rFonts w:ascii="Arial" w:hAnsi="Arial" w:cs="Arial"/>
                    <w:lang w:val="en-AU"/>
                  </w:rPr>
                </w:pPr>
                <w:r w:rsidRPr="005D74D1">
                  <w:rPr>
                    <w:rFonts w:ascii="Arial" w:hAnsi="Arial" w:cs="Arial"/>
                    <w:lang w:val="en-AU"/>
                  </w:rPr>
                  <w:t>Final</w:t>
                </w:r>
              </w:p>
            </w:sdtContent>
          </w:sdt>
        </w:tc>
        <w:tc>
          <w:tcPr>
            <w:tcW w:w="1497" w:type="dxa"/>
            <w:tcMar>
              <w:top w:w="29" w:type="dxa"/>
              <w:left w:w="0" w:type="dxa"/>
              <w:bottom w:w="29" w:type="dxa"/>
              <w:right w:w="0" w:type="dxa"/>
            </w:tcMar>
            <w:hideMark/>
          </w:tcPr>
          <w:p w14:paraId="55373498" w14:textId="77777777" w:rsidR="005E43B2" w:rsidRPr="005D74D1" w:rsidRDefault="005E43B2" w:rsidP="004311D5">
            <w:pPr>
              <w:pStyle w:val="Details"/>
              <w:rPr>
                <w:rFonts w:ascii="Arial" w:hAnsi="Arial" w:cs="Arial"/>
                <w:b/>
                <w:lang w:val="en-AU"/>
              </w:rPr>
            </w:pPr>
            <w:r w:rsidRPr="005D74D1">
              <w:rPr>
                <w:rFonts w:ascii="Arial" w:hAnsi="Arial" w:cs="Arial"/>
                <w:b/>
                <w:lang w:val="en-AU"/>
              </w:rPr>
              <w:t>Prepared by:</w:t>
            </w:r>
          </w:p>
        </w:tc>
        <w:tc>
          <w:tcPr>
            <w:tcW w:w="3007" w:type="dxa"/>
            <w:tcMar>
              <w:top w:w="29" w:type="dxa"/>
              <w:left w:w="0" w:type="dxa"/>
              <w:bottom w:w="29" w:type="dxa"/>
              <w:right w:w="0" w:type="dxa"/>
            </w:tcMar>
            <w:hideMark/>
          </w:tcPr>
          <w:sdt>
            <w:sdtPr>
              <w:rPr>
                <w:rFonts w:ascii="Arial" w:hAnsi="Arial" w:cs="Arial"/>
              </w:rPr>
              <w:alias w:val="Prepared by"/>
              <w:tag w:val="Prepared by"/>
              <w:id w:val="-962106934"/>
              <w:placeholder>
                <w:docPart w:val="B0512B5BC5AF4D08A318C6351C4C211D"/>
              </w:placeholder>
              <w:dataBinding w:xpath="/*[local-name()='root']/*[local-name()='Sender']/*[local-name()='FullName']" w:storeItemID="{8F33FB8F-8118-4915-86A8-F93B7C2B254E}"/>
              <w:text w:multiLine="1"/>
            </w:sdtPr>
            <w:sdtContent>
              <w:p w14:paraId="41E98D73" w14:textId="42D57D59" w:rsidR="005E43B2" w:rsidRPr="005D74D1" w:rsidRDefault="00755C8B" w:rsidP="004311D5">
                <w:pPr>
                  <w:pStyle w:val="Details"/>
                  <w:rPr>
                    <w:rFonts w:ascii="Arial" w:hAnsi="Arial" w:cs="Arial"/>
                    <w:lang w:val="en-AU"/>
                  </w:rPr>
                </w:pPr>
                <w:r w:rsidRPr="005D74D1">
                  <w:rPr>
                    <w:rFonts w:ascii="Arial" w:hAnsi="Arial" w:cs="Arial"/>
                    <w:lang w:val="en-AU"/>
                  </w:rPr>
                  <w:t xml:space="preserve">B Coff </w:t>
                </w:r>
              </w:p>
            </w:sdtContent>
          </w:sdt>
        </w:tc>
      </w:tr>
      <w:tr w:rsidR="005E43B2" w:rsidRPr="005D74D1" w14:paraId="459C4802" w14:textId="77777777" w:rsidTr="002E5493">
        <w:tc>
          <w:tcPr>
            <w:tcW w:w="1498" w:type="dxa"/>
            <w:tcMar>
              <w:top w:w="29" w:type="dxa"/>
              <w:left w:w="0" w:type="dxa"/>
              <w:bottom w:w="29" w:type="dxa"/>
              <w:right w:w="0" w:type="dxa"/>
            </w:tcMar>
            <w:hideMark/>
          </w:tcPr>
          <w:p w14:paraId="4D696C68" w14:textId="77777777" w:rsidR="005E43B2" w:rsidRPr="005D74D1" w:rsidRDefault="005E43B2" w:rsidP="004311D5">
            <w:pPr>
              <w:pStyle w:val="Details"/>
              <w:rPr>
                <w:rFonts w:ascii="Arial" w:hAnsi="Arial" w:cs="Arial"/>
                <w:b/>
                <w:lang w:val="en-AU"/>
              </w:rPr>
            </w:pPr>
            <w:r w:rsidRPr="005D74D1">
              <w:rPr>
                <w:rFonts w:ascii="Arial" w:hAnsi="Arial" w:cs="Arial"/>
                <w:b/>
                <w:lang w:val="en-AU"/>
              </w:rPr>
              <w:t>Date:</w:t>
            </w:r>
          </w:p>
        </w:tc>
        <w:tc>
          <w:tcPr>
            <w:tcW w:w="3024" w:type="dxa"/>
            <w:tcMar>
              <w:top w:w="29" w:type="dxa"/>
              <w:left w:w="0" w:type="dxa"/>
              <w:bottom w:w="29" w:type="dxa"/>
              <w:right w:w="0" w:type="dxa"/>
            </w:tcMar>
            <w:hideMark/>
          </w:tcPr>
          <w:p w14:paraId="6070A39A" w14:textId="5E722B05" w:rsidR="005E43B2" w:rsidRPr="005D74D1" w:rsidRDefault="007D2DF3" w:rsidP="004311D5">
            <w:pPr>
              <w:pStyle w:val="Details"/>
              <w:rPr>
                <w:rFonts w:ascii="Arial" w:hAnsi="Arial" w:cs="Arial"/>
                <w:lang w:val="en-AU"/>
              </w:rPr>
            </w:pPr>
            <w:r w:rsidRPr="005D74D1">
              <w:rPr>
                <w:rFonts w:ascii="Arial" w:hAnsi="Arial" w:cs="Arial"/>
              </w:rPr>
              <w:t>29</w:t>
            </w:r>
            <w:r w:rsidR="000710B5" w:rsidRPr="005D74D1">
              <w:rPr>
                <w:rFonts w:ascii="Arial" w:hAnsi="Arial" w:cs="Arial"/>
              </w:rPr>
              <w:t xml:space="preserve"> November</w:t>
            </w:r>
            <w:r w:rsidR="00AC5D5C" w:rsidRPr="005D74D1">
              <w:rPr>
                <w:rFonts w:ascii="Arial" w:hAnsi="Arial" w:cs="Arial"/>
              </w:rPr>
              <w:t xml:space="preserve"> 2024</w:t>
            </w:r>
          </w:p>
        </w:tc>
        <w:tc>
          <w:tcPr>
            <w:tcW w:w="1497" w:type="dxa"/>
            <w:tcMar>
              <w:top w:w="29" w:type="dxa"/>
              <w:left w:w="0" w:type="dxa"/>
              <w:bottom w:w="29" w:type="dxa"/>
              <w:right w:w="0" w:type="dxa"/>
            </w:tcMar>
          </w:tcPr>
          <w:p w14:paraId="5C413245" w14:textId="34CE428A" w:rsidR="005E43B2" w:rsidRPr="005D74D1" w:rsidRDefault="005E43B2" w:rsidP="004311D5">
            <w:pPr>
              <w:pStyle w:val="Details"/>
              <w:rPr>
                <w:rFonts w:ascii="Arial" w:hAnsi="Arial" w:cs="Arial"/>
                <w:b/>
                <w:lang w:val="en-AU"/>
              </w:rPr>
            </w:pPr>
          </w:p>
        </w:tc>
        <w:tc>
          <w:tcPr>
            <w:tcW w:w="3007" w:type="dxa"/>
            <w:tcMar>
              <w:top w:w="29" w:type="dxa"/>
              <w:left w:w="0" w:type="dxa"/>
              <w:bottom w:w="29" w:type="dxa"/>
              <w:right w:w="0" w:type="dxa"/>
            </w:tcMar>
          </w:tcPr>
          <w:p w14:paraId="4C326D6A" w14:textId="4B9FDEF2" w:rsidR="005E43B2" w:rsidRPr="005D74D1" w:rsidRDefault="005E43B2" w:rsidP="004311D5">
            <w:pPr>
              <w:pStyle w:val="Details"/>
              <w:rPr>
                <w:rFonts w:ascii="Arial" w:hAnsi="Arial" w:cs="Arial"/>
                <w:lang w:val="en-AU"/>
              </w:rPr>
            </w:pPr>
          </w:p>
        </w:tc>
      </w:tr>
      <w:tr w:rsidR="005E43B2" w:rsidRPr="005D74D1" w14:paraId="0E33AA40" w14:textId="77777777">
        <w:tc>
          <w:tcPr>
            <w:tcW w:w="1498" w:type="dxa"/>
            <w:tcMar>
              <w:top w:w="29" w:type="dxa"/>
              <w:left w:w="0" w:type="dxa"/>
              <w:bottom w:w="29" w:type="dxa"/>
              <w:right w:w="0" w:type="dxa"/>
            </w:tcMar>
            <w:hideMark/>
          </w:tcPr>
          <w:p w14:paraId="17836007" w14:textId="77777777" w:rsidR="005E43B2" w:rsidRPr="005D74D1" w:rsidRDefault="005E43B2" w:rsidP="004311D5">
            <w:pPr>
              <w:pStyle w:val="Details"/>
              <w:rPr>
                <w:rFonts w:ascii="Arial" w:hAnsi="Arial" w:cs="Arial"/>
                <w:b/>
                <w:lang w:val="en-AU"/>
              </w:rPr>
            </w:pPr>
            <w:r w:rsidRPr="005D74D1">
              <w:rPr>
                <w:rFonts w:ascii="Arial" w:hAnsi="Arial" w:cs="Arial"/>
                <w:b/>
                <w:lang w:val="en-AU"/>
              </w:rPr>
              <w:t>Doc</w:t>
            </w:r>
            <w:r w:rsidR="004A5083" w:rsidRPr="005D74D1">
              <w:rPr>
                <w:rFonts w:ascii="Arial" w:hAnsi="Arial" w:cs="Arial"/>
                <w:b/>
                <w:lang w:val="en-AU"/>
              </w:rPr>
              <w:t>ument</w:t>
            </w:r>
            <w:r w:rsidRPr="005D74D1">
              <w:rPr>
                <w:rFonts w:ascii="Arial" w:hAnsi="Arial" w:cs="Arial"/>
                <w:b/>
                <w:lang w:val="en-AU"/>
              </w:rPr>
              <w:t xml:space="preserve"> status:</w:t>
            </w:r>
          </w:p>
        </w:tc>
        <w:tc>
          <w:tcPr>
            <w:tcW w:w="7528" w:type="dxa"/>
            <w:gridSpan w:val="3"/>
            <w:tcMar>
              <w:top w:w="29" w:type="dxa"/>
              <w:left w:w="0" w:type="dxa"/>
              <w:bottom w:w="29" w:type="dxa"/>
              <w:right w:w="0" w:type="dxa"/>
            </w:tcMar>
            <w:hideMark/>
          </w:tcPr>
          <w:p w14:paraId="2607A437" w14:textId="5CE93FFF" w:rsidR="005E43B2" w:rsidRPr="005D74D1" w:rsidRDefault="00127F63" w:rsidP="004311D5">
            <w:pPr>
              <w:pStyle w:val="Details"/>
              <w:rPr>
                <w:rFonts w:ascii="Arial" w:hAnsi="Arial" w:cs="Arial"/>
                <w:lang w:val="en-AU"/>
              </w:rPr>
            </w:pPr>
            <w:r w:rsidRPr="005D74D1">
              <w:rPr>
                <w:rFonts w:ascii="Arial" w:hAnsi="Arial" w:cs="Arial"/>
                <w:lang w:val="en-AU"/>
              </w:rPr>
              <w:t>Final</w:t>
            </w:r>
          </w:p>
        </w:tc>
      </w:tr>
    </w:tbl>
    <w:p w14:paraId="6F170BAD" w14:textId="77777777" w:rsidR="005E43B2" w:rsidRPr="005D74D1" w:rsidRDefault="005E43B2" w:rsidP="005E43B2">
      <w:pPr>
        <w:pStyle w:val="DocumentSubject"/>
        <w:rPr>
          <w:rFonts w:ascii="Arial" w:hAnsi="Arial" w:cs="Arial"/>
        </w:rPr>
      </w:pPr>
      <w:r w:rsidRPr="005D74D1">
        <w:rPr>
          <w:rFonts w:ascii="Arial" w:hAnsi="Arial" w:cs="Arial"/>
        </w:rPr>
        <w:t>Document history and status</w:t>
      </w:r>
    </w:p>
    <w:tbl>
      <w:tblPr>
        <w:tblStyle w:val="TableGrid"/>
        <w:tblW w:w="5000" w:type="pct"/>
        <w:tblLook w:val="04A0" w:firstRow="1" w:lastRow="0" w:firstColumn="1" w:lastColumn="0" w:noHBand="0" w:noVBand="1"/>
      </w:tblPr>
      <w:tblGrid>
        <w:gridCol w:w="995"/>
        <w:gridCol w:w="1046"/>
        <w:gridCol w:w="1946"/>
        <w:gridCol w:w="1209"/>
        <w:gridCol w:w="1254"/>
        <w:gridCol w:w="1279"/>
        <w:gridCol w:w="1287"/>
      </w:tblGrid>
      <w:tr w:rsidR="00345137" w:rsidRPr="005D74D1" w14:paraId="5BDC243B" w14:textId="77777777" w:rsidTr="00445C24">
        <w:tc>
          <w:tcPr>
            <w:tcW w:w="995" w:type="dxa"/>
            <w:tcBorders>
              <w:top w:val="single" w:sz="4" w:space="0" w:color="231EDC" w:themeColor="accent1"/>
              <w:left w:val="single" w:sz="4" w:space="0" w:color="231EDC" w:themeColor="accent1"/>
              <w:bottom w:val="single" w:sz="2" w:space="0" w:color="E6E6E6"/>
              <w:right w:val="single" w:sz="4" w:space="0" w:color="E6E6E6"/>
            </w:tcBorders>
            <w:shd w:val="clear" w:color="auto" w:fill="231EDC" w:themeFill="accent1"/>
          </w:tcPr>
          <w:p w14:paraId="6227CF0D" w14:textId="77777777" w:rsidR="005E43B2" w:rsidRPr="005D74D1" w:rsidRDefault="007C34A8">
            <w:pPr>
              <w:pStyle w:val="TableHeadingWhite"/>
              <w:rPr>
                <w:rFonts w:cs="Arial"/>
                <w:lang w:val="en-AU"/>
              </w:rPr>
            </w:pPr>
            <w:r w:rsidRPr="005D74D1">
              <w:rPr>
                <w:rFonts w:cs="Arial"/>
                <w:lang w:val="en-AU"/>
              </w:rPr>
              <w:t>Version</w:t>
            </w:r>
          </w:p>
        </w:tc>
        <w:tc>
          <w:tcPr>
            <w:tcW w:w="1046" w:type="dxa"/>
            <w:tcBorders>
              <w:top w:val="single" w:sz="4" w:space="0" w:color="231EDC" w:themeColor="accent1"/>
              <w:left w:val="single" w:sz="4" w:space="0" w:color="E6E6E6"/>
              <w:bottom w:val="single" w:sz="2" w:space="0" w:color="E6E6E6"/>
              <w:right w:val="single" w:sz="4" w:space="0" w:color="E6E6E6"/>
            </w:tcBorders>
            <w:shd w:val="clear" w:color="auto" w:fill="231EDC" w:themeFill="accent1"/>
          </w:tcPr>
          <w:p w14:paraId="2C3F1272" w14:textId="77777777" w:rsidR="005E43B2" w:rsidRPr="005D74D1" w:rsidRDefault="005E43B2">
            <w:pPr>
              <w:pStyle w:val="TableHeadingWhite"/>
              <w:rPr>
                <w:rFonts w:cs="Arial"/>
                <w:lang w:val="en-AU"/>
              </w:rPr>
            </w:pPr>
            <w:r w:rsidRPr="005D74D1">
              <w:rPr>
                <w:rFonts w:cs="Arial"/>
                <w:lang w:val="en-AU"/>
              </w:rPr>
              <w:t>Date</w:t>
            </w:r>
          </w:p>
        </w:tc>
        <w:tc>
          <w:tcPr>
            <w:tcW w:w="1946" w:type="dxa"/>
            <w:tcBorders>
              <w:top w:val="single" w:sz="4" w:space="0" w:color="231EDC" w:themeColor="accent1"/>
              <w:left w:val="single" w:sz="4" w:space="0" w:color="E6E6E6"/>
              <w:bottom w:val="single" w:sz="2" w:space="0" w:color="E6E6E6"/>
              <w:right w:val="single" w:sz="4" w:space="0" w:color="E6E6E6"/>
            </w:tcBorders>
            <w:shd w:val="clear" w:color="auto" w:fill="231EDC" w:themeFill="accent1"/>
          </w:tcPr>
          <w:p w14:paraId="0AB36866" w14:textId="77777777" w:rsidR="005E43B2" w:rsidRPr="005D74D1" w:rsidRDefault="005E43B2">
            <w:pPr>
              <w:pStyle w:val="TableHeadingWhite"/>
              <w:rPr>
                <w:rFonts w:cs="Arial"/>
                <w:lang w:val="en-AU"/>
              </w:rPr>
            </w:pPr>
            <w:r w:rsidRPr="005D74D1">
              <w:rPr>
                <w:rFonts w:cs="Arial"/>
                <w:lang w:val="en-AU"/>
              </w:rPr>
              <w:t>Description</w:t>
            </w:r>
          </w:p>
        </w:tc>
        <w:tc>
          <w:tcPr>
            <w:tcW w:w="1209" w:type="dxa"/>
            <w:tcBorders>
              <w:top w:val="single" w:sz="4" w:space="0" w:color="231EDC" w:themeColor="accent1"/>
              <w:left w:val="single" w:sz="4" w:space="0" w:color="E6E6E6"/>
              <w:bottom w:val="single" w:sz="2" w:space="0" w:color="E6E6E6"/>
              <w:right w:val="single" w:sz="4" w:space="0" w:color="E6E6E6"/>
            </w:tcBorders>
            <w:shd w:val="clear" w:color="auto" w:fill="231EDC" w:themeFill="accent1"/>
          </w:tcPr>
          <w:p w14:paraId="1FB8C163" w14:textId="77777777" w:rsidR="005E43B2" w:rsidRPr="005D74D1" w:rsidRDefault="005E43B2">
            <w:pPr>
              <w:pStyle w:val="TableHeadingWhite"/>
              <w:rPr>
                <w:rFonts w:cs="Arial"/>
                <w:lang w:val="en-AU"/>
              </w:rPr>
            </w:pPr>
            <w:r w:rsidRPr="005D74D1">
              <w:rPr>
                <w:rFonts w:cs="Arial"/>
                <w:lang w:val="en-AU"/>
              </w:rPr>
              <w:t>Author</w:t>
            </w:r>
          </w:p>
        </w:tc>
        <w:tc>
          <w:tcPr>
            <w:tcW w:w="1254" w:type="dxa"/>
            <w:tcBorders>
              <w:top w:val="single" w:sz="4" w:space="0" w:color="231EDC" w:themeColor="accent1"/>
              <w:left w:val="single" w:sz="4" w:space="0" w:color="E6E6E6"/>
              <w:bottom w:val="single" w:sz="2" w:space="0" w:color="E6E6E6"/>
              <w:right w:val="single" w:sz="4" w:space="0" w:color="E6E6E6"/>
            </w:tcBorders>
            <w:shd w:val="clear" w:color="auto" w:fill="231EDC" w:themeFill="accent1"/>
          </w:tcPr>
          <w:p w14:paraId="0DDFAC83" w14:textId="77777777" w:rsidR="005E43B2" w:rsidRPr="005D74D1" w:rsidRDefault="005E43B2">
            <w:pPr>
              <w:pStyle w:val="TableHeadingWhite"/>
              <w:rPr>
                <w:rFonts w:cs="Arial"/>
                <w:lang w:val="en-AU"/>
              </w:rPr>
            </w:pPr>
            <w:r w:rsidRPr="005D74D1">
              <w:rPr>
                <w:rFonts w:cs="Arial"/>
                <w:lang w:val="en-AU"/>
              </w:rPr>
              <w:t>Checked</w:t>
            </w:r>
          </w:p>
        </w:tc>
        <w:tc>
          <w:tcPr>
            <w:tcW w:w="1279" w:type="dxa"/>
            <w:tcBorders>
              <w:top w:val="single" w:sz="4" w:space="0" w:color="231EDC" w:themeColor="accent1"/>
              <w:left w:val="single" w:sz="4" w:space="0" w:color="E6E6E6"/>
              <w:bottom w:val="single" w:sz="2" w:space="0" w:color="E6E6E6"/>
              <w:right w:val="single" w:sz="4" w:space="0" w:color="E6E6E6"/>
            </w:tcBorders>
            <w:shd w:val="clear" w:color="auto" w:fill="231EDC" w:themeFill="accent1"/>
          </w:tcPr>
          <w:p w14:paraId="58E9E43F" w14:textId="77777777" w:rsidR="005E43B2" w:rsidRPr="005D74D1" w:rsidRDefault="005E43B2">
            <w:pPr>
              <w:pStyle w:val="TableHeadingWhite"/>
              <w:rPr>
                <w:rFonts w:cs="Arial"/>
                <w:lang w:val="en-AU"/>
              </w:rPr>
            </w:pPr>
            <w:r w:rsidRPr="005D74D1">
              <w:rPr>
                <w:rFonts w:cs="Arial"/>
                <w:lang w:val="en-AU"/>
              </w:rPr>
              <w:t xml:space="preserve">Reviewed </w:t>
            </w:r>
          </w:p>
        </w:tc>
        <w:tc>
          <w:tcPr>
            <w:tcW w:w="1287" w:type="dxa"/>
            <w:tcBorders>
              <w:top w:val="single" w:sz="4" w:space="0" w:color="231EDC" w:themeColor="accent1"/>
              <w:left w:val="single" w:sz="4" w:space="0" w:color="E6E6E6"/>
              <w:bottom w:val="single" w:sz="2" w:space="0" w:color="E6E6E6"/>
              <w:right w:val="single" w:sz="4" w:space="0" w:color="231EDC" w:themeColor="accent1"/>
            </w:tcBorders>
            <w:shd w:val="clear" w:color="auto" w:fill="231EDC" w:themeFill="accent1"/>
          </w:tcPr>
          <w:p w14:paraId="1FE629BE" w14:textId="77777777" w:rsidR="005E43B2" w:rsidRPr="005D74D1" w:rsidRDefault="005E43B2">
            <w:pPr>
              <w:pStyle w:val="TableHeadingWhite"/>
              <w:rPr>
                <w:rFonts w:cs="Arial"/>
                <w:lang w:val="en-AU"/>
              </w:rPr>
            </w:pPr>
            <w:r w:rsidRPr="005D74D1">
              <w:rPr>
                <w:rFonts w:cs="Arial"/>
                <w:lang w:val="en-AU"/>
              </w:rPr>
              <w:t>Approved</w:t>
            </w:r>
          </w:p>
        </w:tc>
      </w:tr>
      <w:tr w:rsidR="00345137" w:rsidRPr="005D74D1" w14:paraId="426E2F62" w14:textId="77777777" w:rsidTr="00445C24">
        <w:tc>
          <w:tcPr>
            <w:tcW w:w="995" w:type="dxa"/>
            <w:tcBorders>
              <w:top w:val="single" w:sz="2" w:space="0" w:color="E6E6E6"/>
              <w:left w:val="single" w:sz="2" w:space="0" w:color="E6E6E6"/>
              <w:bottom w:val="single" w:sz="2" w:space="0" w:color="E6E6E6"/>
              <w:right w:val="single" w:sz="2" w:space="0" w:color="E6E6E6"/>
            </w:tcBorders>
          </w:tcPr>
          <w:p w14:paraId="2766CCD8" w14:textId="66A8DB17" w:rsidR="005E43B2" w:rsidRPr="005D74D1" w:rsidRDefault="00963116">
            <w:pPr>
              <w:pStyle w:val="TableText"/>
              <w:rPr>
                <w:rFonts w:cs="Arial"/>
                <w:lang w:val="en-AU"/>
              </w:rPr>
            </w:pPr>
            <w:r w:rsidRPr="005D74D1">
              <w:rPr>
                <w:rFonts w:cs="Arial"/>
                <w:lang w:val="en-AU"/>
              </w:rPr>
              <w:t>V1</w:t>
            </w:r>
          </w:p>
        </w:tc>
        <w:tc>
          <w:tcPr>
            <w:tcW w:w="1046" w:type="dxa"/>
            <w:tcBorders>
              <w:top w:val="single" w:sz="2" w:space="0" w:color="E6E6E6"/>
              <w:left w:val="single" w:sz="2" w:space="0" w:color="E6E6E6"/>
              <w:bottom w:val="single" w:sz="2" w:space="0" w:color="E6E6E6"/>
              <w:right w:val="single" w:sz="2" w:space="0" w:color="E6E6E6"/>
            </w:tcBorders>
          </w:tcPr>
          <w:p w14:paraId="2DCD330B" w14:textId="4D118FD1" w:rsidR="005E43B2" w:rsidRPr="005D74D1" w:rsidRDefault="00345137">
            <w:pPr>
              <w:pStyle w:val="TableText"/>
              <w:rPr>
                <w:rFonts w:cs="Arial"/>
                <w:lang w:val="en-AU"/>
              </w:rPr>
            </w:pPr>
            <w:r w:rsidRPr="005D74D1">
              <w:rPr>
                <w:rFonts w:cs="Arial"/>
                <w:lang w:val="en-AU"/>
              </w:rPr>
              <w:t>07/10/24</w:t>
            </w:r>
          </w:p>
        </w:tc>
        <w:tc>
          <w:tcPr>
            <w:tcW w:w="1946" w:type="dxa"/>
            <w:tcBorders>
              <w:top w:val="single" w:sz="2" w:space="0" w:color="E6E6E6"/>
              <w:left w:val="single" w:sz="2" w:space="0" w:color="E6E6E6"/>
              <w:bottom w:val="single" w:sz="2" w:space="0" w:color="E6E6E6"/>
              <w:right w:val="single" w:sz="2" w:space="0" w:color="E6E6E6"/>
            </w:tcBorders>
          </w:tcPr>
          <w:p w14:paraId="342BE5CB" w14:textId="55C1082A" w:rsidR="005E43B2" w:rsidRPr="005D74D1" w:rsidRDefault="00963116">
            <w:pPr>
              <w:pStyle w:val="TableText"/>
              <w:rPr>
                <w:rFonts w:cs="Arial"/>
                <w:lang w:val="en-AU"/>
              </w:rPr>
            </w:pPr>
            <w:r w:rsidRPr="005D74D1">
              <w:rPr>
                <w:rFonts w:cs="Arial"/>
                <w:lang w:val="en-AU"/>
              </w:rPr>
              <w:t>Draft V1</w:t>
            </w:r>
          </w:p>
        </w:tc>
        <w:tc>
          <w:tcPr>
            <w:tcW w:w="1209" w:type="dxa"/>
            <w:tcBorders>
              <w:top w:val="single" w:sz="2" w:space="0" w:color="E6E6E6"/>
              <w:left w:val="single" w:sz="2" w:space="0" w:color="E6E6E6"/>
              <w:bottom w:val="single" w:sz="2" w:space="0" w:color="E6E6E6"/>
              <w:right w:val="single" w:sz="2" w:space="0" w:color="E6E6E6"/>
            </w:tcBorders>
          </w:tcPr>
          <w:p w14:paraId="131B6A73" w14:textId="3618F2AA" w:rsidR="005E43B2" w:rsidRPr="005D74D1" w:rsidRDefault="00963116">
            <w:pPr>
              <w:pStyle w:val="TableText"/>
              <w:rPr>
                <w:rFonts w:cs="Arial"/>
                <w:lang w:val="en-AU"/>
              </w:rPr>
            </w:pPr>
            <w:r w:rsidRPr="005D74D1">
              <w:rPr>
                <w:rFonts w:cs="Arial"/>
                <w:lang w:val="en-AU"/>
              </w:rPr>
              <w:t>B</w:t>
            </w:r>
            <w:r w:rsidR="00345137" w:rsidRPr="005D74D1">
              <w:rPr>
                <w:rFonts w:cs="Arial"/>
                <w:lang w:val="en-AU"/>
              </w:rPr>
              <w:t>C</w:t>
            </w:r>
          </w:p>
        </w:tc>
        <w:tc>
          <w:tcPr>
            <w:tcW w:w="1254" w:type="dxa"/>
            <w:tcBorders>
              <w:top w:val="single" w:sz="2" w:space="0" w:color="E6E6E6"/>
              <w:left w:val="single" w:sz="2" w:space="0" w:color="E6E6E6"/>
              <w:bottom w:val="single" w:sz="2" w:space="0" w:color="E6E6E6"/>
              <w:right w:val="single" w:sz="2" w:space="0" w:color="E6E6E6"/>
            </w:tcBorders>
          </w:tcPr>
          <w:p w14:paraId="1DCF7F1E" w14:textId="76223A26" w:rsidR="005E43B2" w:rsidRPr="005D74D1" w:rsidRDefault="00345137">
            <w:pPr>
              <w:pStyle w:val="TableText"/>
              <w:rPr>
                <w:rFonts w:cs="Arial"/>
                <w:lang w:val="en-AU"/>
              </w:rPr>
            </w:pPr>
            <w:r w:rsidRPr="005D74D1">
              <w:rPr>
                <w:rFonts w:cs="Arial"/>
                <w:lang w:val="en-AU"/>
              </w:rPr>
              <w:t>ES</w:t>
            </w:r>
          </w:p>
        </w:tc>
        <w:tc>
          <w:tcPr>
            <w:tcW w:w="1279" w:type="dxa"/>
            <w:tcBorders>
              <w:top w:val="single" w:sz="2" w:space="0" w:color="E6E6E6"/>
              <w:left w:val="single" w:sz="2" w:space="0" w:color="E6E6E6"/>
              <w:bottom w:val="single" w:sz="2" w:space="0" w:color="E6E6E6"/>
              <w:right w:val="single" w:sz="2" w:space="0" w:color="E6E6E6"/>
            </w:tcBorders>
          </w:tcPr>
          <w:p w14:paraId="3C4C645C" w14:textId="1A1DAE35" w:rsidR="005E43B2" w:rsidRPr="005D74D1" w:rsidRDefault="00345137">
            <w:pPr>
              <w:pStyle w:val="TableText"/>
              <w:rPr>
                <w:rFonts w:cs="Arial"/>
                <w:lang w:val="en-AU"/>
              </w:rPr>
            </w:pPr>
            <w:r w:rsidRPr="005D74D1">
              <w:rPr>
                <w:rFonts w:cs="Arial"/>
                <w:lang w:val="en-AU"/>
              </w:rPr>
              <w:t>ES</w:t>
            </w:r>
          </w:p>
        </w:tc>
        <w:tc>
          <w:tcPr>
            <w:tcW w:w="1287" w:type="dxa"/>
            <w:tcBorders>
              <w:top w:val="single" w:sz="2" w:space="0" w:color="E6E6E6"/>
              <w:left w:val="single" w:sz="2" w:space="0" w:color="E6E6E6"/>
              <w:bottom w:val="single" w:sz="2" w:space="0" w:color="E6E6E6"/>
              <w:right w:val="single" w:sz="2" w:space="0" w:color="E6E6E6"/>
            </w:tcBorders>
          </w:tcPr>
          <w:p w14:paraId="59B2FBAE" w14:textId="7FB0D807" w:rsidR="005E43B2" w:rsidRPr="005D74D1" w:rsidRDefault="00345137">
            <w:pPr>
              <w:pStyle w:val="TableText"/>
              <w:rPr>
                <w:rFonts w:cs="Arial"/>
                <w:lang w:val="en-AU"/>
              </w:rPr>
            </w:pPr>
            <w:r w:rsidRPr="005D74D1">
              <w:rPr>
                <w:rFonts w:cs="Arial"/>
                <w:lang w:val="en-AU"/>
              </w:rPr>
              <w:t>ES</w:t>
            </w:r>
          </w:p>
        </w:tc>
      </w:tr>
      <w:tr w:rsidR="00445C24" w:rsidRPr="005D74D1" w14:paraId="7E19F870" w14:textId="77777777" w:rsidTr="00445C24">
        <w:tc>
          <w:tcPr>
            <w:tcW w:w="995" w:type="dxa"/>
            <w:tcBorders>
              <w:top w:val="single" w:sz="2" w:space="0" w:color="E6E6E6"/>
              <w:left w:val="single" w:sz="2" w:space="0" w:color="E6E6E6"/>
              <w:bottom w:val="single" w:sz="2" w:space="0" w:color="E6E6E6"/>
              <w:right w:val="single" w:sz="2" w:space="0" w:color="E6E6E6"/>
            </w:tcBorders>
          </w:tcPr>
          <w:p w14:paraId="181C8F08" w14:textId="29D97B13" w:rsidR="00445C24" w:rsidRPr="005D74D1" w:rsidRDefault="00445C24" w:rsidP="00445C24">
            <w:pPr>
              <w:pStyle w:val="TableText"/>
              <w:rPr>
                <w:rFonts w:cs="Arial"/>
                <w:lang w:val="en-AU"/>
              </w:rPr>
            </w:pPr>
            <w:r w:rsidRPr="005D74D1">
              <w:rPr>
                <w:rFonts w:cs="Arial"/>
                <w:lang w:val="en-AU"/>
              </w:rPr>
              <w:t>V2</w:t>
            </w:r>
          </w:p>
        </w:tc>
        <w:tc>
          <w:tcPr>
            <w:tcW w:w="1046" w:type="dxa"/>
            <w:tcBorders>
              <w:top w:val="single" w:sz="2" w:space="0" w:color="E6E6E6"/>
              <w:left w:val="single" w:sz="2" w:space="0" w:color="E6E6E6"/>
              <w:bottom w:val="single" w:sz="2" w:space="0" w:color="E6E6E6"/>
              <w:right w:val="single" w:sz="2" w:space="0" w:color="E6E6E6"/>
            </w:tcBorders>
          </w:tcPr>
          <w:p w14:paraId="1AA7E3E0" w14:textId="2E7F8DD4" w:rsidR="00445C24" w:rsidRPr="005D74D1" w:rsidRDefault="00445C24" w:rsidP="00445C24">
            <w:pPr>
              <w:pStyle w:val="TableText"/>
              <w:rPr>
                <w:rFonts w:cs="Arial"/>
                <w:lang w:val="en-AU"/>
              </w:rPr>
            </w:pPr>
            <w:r w:rsidRPr="005D74D1">
              <w:rPr>
                <w:rFonts w:cs="Arial"/>
                <w:lang w:val="en-AU"/>
              </w:rPr>
              <w:t>11/10/24</w:t>
            </w:r>
          </w:p>
        </w:tc>
        <w:tc>
          <w:tcPr>
            <w:tcW w:w="1946" w:type="dxa"/>
            <w:tcBorders>
              <w:top w:val="single" w:sz="2" w:space="0" w:color="E6E6E6"/>
              <w:left w:val="single" w:sz="2" w:space="0" w:color="E6E6E6"/>
              <w:bottom w:val="single" w:sz="2" w:space="0" w:color="E6E6E6"/>
              <w:right w:val="single" w:sz="2" w:space="0" w:color="E6E6E6"/>
            </w:tcBorders>
          </w:tcPr>
          <w:p w14:paraId="35DDC42B" w14:textId="52F09B04" w:rsidR="00445C24" w:rsidRPr="005D74D1" w:rsidRDefault="00445C24" w:rsidP="00445C24">
            <w:pPr>
              <w:pStyle w:val="TableText"/>
              <w:rPr>
                <w:rFonts w:cs="Arial"/>
                <w:lang w:val="en-AU"/>
              </w:rPr>
            </w:pPr>
            <w:r w:rsidRPr="005D74D1">
              <w:rPr>
                <w:rFonts w:cs="Arial"/>
                <w:lang w:val="en-AU"/>
              </w:rPr>
              <w:t>Draft V2</w:t>
            </w:r>
          </w:p>
        </w:tc>
        <w:tc>
          <w:tcPr>
            <w:tcW w:w="1209" w:type="dxa"/>
            <w:tcBorders>
              <w:top w:val="single" w:sz="2" w:space="0" w:color="E6E6E6"/>
              <w:left w:val="single" w:sz="2" w:space="0" w:color="E6E6E6"/>
              <w:bottom w:val="single" w:sz="2" w:space="0" w:color="E6E6E6"/>
              <w:right w:val="single" w:sz="2" w:space="0" w:color="E6E6E6"/>
            </w:tcBorders>
          </w:tcPr>
          <w:p w14:paraId="17BB7D84" w14:textId="01F594E9" w:rsidR="00445C24" w:rsidRPr="005D74D1" w:rsidRDefault="00445C24" w:rsidP="00445C24">
            <w:pPr>
              <w:pStyle w:val="TableText"/>
              <w:rPr>
                <w:rFonts w:cs="Arial"/>
                <w:lang w:val="en-AU"/>
              </w:rPr>
            </w:pPr>
            <w:r w:rsidRPr="005D74D1">
              <w:rPr>
                <w:rFonts w:cs="Arial"/>
                <w:lang w:val="en-AU"/>
              </w:rPr>
              <w:t>BC</w:t>
            </w:r>
            <w:r w:rsidR="00372E70" w:rsidRPr="005D74D1">
              <w:rPr>
                <w:rFonts w:cs="Arial"/>
                <w:lang w:val="en-AU"/>
              </w:rPr>
              <w:t xml:space="preserve"> &amp; CL</w:t>
            </w:r>
          </w:p>
        </w:tc>
        <w:tc>
          <w:tcPr>
            <w:tcW w:w="1254" w:type="dxa"/>
            <w:tcBorders>
              <w:top w:val="single" w:sz="2" w:space="0" w:color="E6E6E6"/>
              <w:left w:val="single" w:sz="2" w:space="0" w:color="E6E6E6"/>
              <w:bottom w:val="single" w:sz="2" w:space="0" w:color="E6E6E6"/>
              <w:right w:val="single" w:sz="2" w:space="0" w:color="E6E6E6"/>
            </w:tcBorders>
          </w:tcPr>
          <w:p w14:paraId="0ECAE6E8" w14:textId="2FCC528C" w:rsidR="00445C24" w:rsidRPr="005D74D1" w:rsidRDefault="00372E70" w:rsidP="00445C24">
            <w:pPr>
              <w:pStyle w:val="TableText"/>
              <w:rPr>
                <w:rFonts w:cs="Arial"/>
                <w:lang w:val="en-AU"/>
              </w:rPr>
            </w:pPr>
            <w:r w:rsidRPr="005D74D1">
              <w:rPr>
                <w:rFonts w:cs="Arial"/>
                <w:lang w:val="en-AU"/>
              </w:rPr>
              <w:t xml:space="preserve">BC &amp; </w:t>
            </w:r>
            <w:r w:rsidR="00445C24" w:rsidRPr="005D74D1">
              <w:rPr>
                <w:rFonts w:cs="Arial"/>
                <w:lang w:val="en-AU"/>
              </w:rPr>
              <w:t>ES</w:t>
            </w:r>
          </w:p>
        </w:tc>
        <w:tc>
          <w:tcPr>
            <w:tcW w:w="1279" w:type="dxa"/>
            <w:tcBorders>
              <w:top w:val="single" w:sz="2" w:space="0" w:color="E6E6E6"/>
              <w:left w:val="single" w:sz="2" w:space="0" w:color="E6E6E6"/>
              <w:bottom w:val="single" w:sz="2" w:space="0" w:color="E6E6E6"/>
              <w:right w:val="single" w:sz="2" w:space="0" w:color="E6E6E6"/>
            </w:tcBorders>
          </w:tcPr>
          <w:p w14:paraId="1908FD5E" w14:textId="6A43966D" w:rsidR="00445C24" w:rsidRPr="005D74D1" w:rsidRDefault="00445C24" w:rsidP="00445C24">
            <w:pPr>
              <w:pStyle w:val="TableText"/>
              <w:rPr>
                <w:rFonts w:cs="Arial"/>
                <w:lang w:val="en-AU"/>
              </w:rPr>
            </w:pPr>
            <w:r w:rsidRPr="005D74D1">
              <w:rPr>
                <w:rFonts w:cs="Arial"/>
                <w:lang w:val="en-AU"/>
              </w:rPr>
              <w:t>ES</w:t>
            </w:r>
          </w:p>
        </w:tc>
        <w:tc>
          <w:tcPr>
            <w:tcW w:w="1287" w:type="dxa"/>
            <w:tcBorders>
              <w:top w:val="single" w:sz="2" w:space="0" w:color="E6E6E6"/>
              <w:left w:val="single" w:sz="2" w:space="0" w:color="E6E6E6"/>
              <w:bottom w:val="single" w:sz="2" w:space="0" w:color="E6E6E6"/>
              <w:right w:val="single" w:sz="2" w:space="0" w:color="E6E6E6"/>
            </w:tcBorders>
          </w:tcPr>
          <w:p w14:paraId="08ECC3A3" w14:textId="3DEEC929" w:rsidR="00445C24" w:rsidRPr="005D74D1" w:rsidRDefault="00445C24" w:rsidP="00445C24">
            <w:pPr>
              <w:pStyle w:val="TableText"/>
              <w:rPr>
                <w:rFonts w:cs="Arial"/>
                <w:lang w:val="en-AU"/>
              </w:rPr>
            </w:pPr>
            <w:r w:rsidRPr="005D74D1">
              <w:rPr>
                <w:rFonts w:cs="Arial"/>
                <w:lang w:val="en-AU"/>
              </w:rPr>
              <w:t>ES</w:t>
            </w:r>
          </w:p>
        </w:tc>
      </w:tr>
      <w:tr w:rsidR="00445C24" w:rsidRPr="005D74D1" w14:paraId="2486DCB9" w14:textId="77777777" w:rsidTr="00445C24">
        <w:tc>
          <w:tcPr>
            <w:tcW w:w="995" w:type="dxa"/>
            <w:tcBorders>
              <w:top w:val="single" w:sz="2" w:space="0" w:color="E6E6E6"/>
              <w:left w:val="single" w:sz="2" w:space="0" w:color="E6E6E6"/>
              <w:bottom w:val="single" w:sz="2" w:space="0" w:color="E6E6E6"/>
              <w:right w:val="single" w:sz="2" w:space="0" w:color="E6E6E6"/>
            </w:tcBorders>
          </w:tcPr>
          <w:p w14:paraId="455CD1AE" w14:textId="7B94E0FF" w:rsidR="00445C24" w:rsidRPr="005D74D1" w:rsidRDefault="000544EA" w:rsidP="00445C24">
            <w:pPr>
              <w:pStyle w:val="TableText"/>
              <w:rPr>
                <w:rFonts w:cs="Arial"/>
                <w:lang w:val="en-AU"/>
              </w:rPr>
            </w:pPr>
            <w:r w:rsidRPr="005D74D1">
              <w:rPr>
                <w:rFonts w:cs="Arial"/>
                <w:lang w:val="en-AU"/>
              </w:rPr>
              <w:t>Final</w:t>
            </w:r>
          </w:p>
        </w:tc>
        <w:tc>
          <w:tcPr>
            <w:tcW w:w="1046" w:type="dxa"/>
            <w:tcBorders>
              <w:top w:val="single" w:sz="2" w:space="0" w:color="E6E6E6"/>
              <w:left w:val="single" w:sz="2" w:space="0" w:color="E6E6E6"/>
              <w:bottom w:val="single" w:sz="2" w:space="0" w:color="E6E6E6"/>
              <w:right w:val="single" w:sz="2" w:space="0" w:color="E6E6E6"/>
            </w:tcBorders>
          </w:tcPr>
          <w:p w14:paraId="14E4D6C2" w14:textId="1EB9259E" w:rsidR="00445C24" w:rsidRPr="005D74D1" w:rsidRDefault="007D2DF3" w:rsidP="00445C24">
            <w:pPr>
              <w:pStyle w:val="TableText"/>
              <w:rPr>
                <w:rFonts w:cs="Arial"/>
                <w:lang w:val="en-AU"/>
              </w:rPr>
            </w:pPr>
            <w:r w:rsidRPr="005D74D1">
              <w:rPr>
                <w:rFonts w:cs="Arial"/>
              </w:rPr>
              <w:t>29/11/24</w:t>
            </w:r>
          </w:p>
        </w:tc>
        <w:tc>
          <w:tcPr>
            <w:tcW w:w="1946" w:type="dxa"/>
            <w:tcBorders>
              <w:top w:val="single" w:sz="2" w:space="0" w:color="E6E6E6"/>
              <w:left w:val="single" w:sz="2" w:space="0" w:color="E6E6E6"/>
              <w:bottom w:val="single" w:sz="2" w:space="0" w:color="E6E6E6"/>
              <w:right w:val="single" w:sz="2" w:space="0" w:color="E6E6E6"/>
            </w:tcBorders>
          </w:tcPr>
          <w:p w14:paraId="2A0F7C16" w14:textId="2254A8E5" w:rsidR="00445C24" w:rsidRPr="005D74D1" w:rsidRDefault="004F4C41" w:rsidP="00445C24">
            <w:pPr>
              <w:pStyle w:val="TableText"/>
              <w:rPr>
                <w:rFonts w:cs="Arial"/>
                <w:lang w:val="en-AU"/>
              </w:rPr>
            </w:pPr>
            <w:r w:rsidRPr="005D74D1">
              <w:rPr>
                <w:rFonts w:cs="Arial"/>
                <w:lang w:val="en-AU"/>
              </w:rPr>
              <w:t>Final</w:t>
            </w:r>
          </w:p>
        </w:tc>
        <w:tc>
          <w:tcPr>
            <w:tcW w:w="1209" w:type="dxa"/>
            <w:tcBorders>
              <w:top w:val="single" w:sz="2" w:space="0" w:color="E6E6E6"/>
              <w:left w:val="single" w:sz="2" w:space="0" w:color="E6E6E6"/>
              <w:bottom w:val="single" w:sz="2" w:space="0" w:color="E6E6E6"/>
              <w:right w:val="single" w:sz="2" w:space="0" w:color="E6E6E6"/>
            </w:tcBorders>
          </w:tcPr>
          <w:p w14:paraId="2F1826E5" w14:textId="165529D7" w:rsidR="00445C24" w:rsidRPr="005D74D1" w:rsidRDefault="004F4C41" w:rsidP="00445C24">
            <w:pPr>
              <w:pStyle w:val="TableText"/>
              <w:rPr>
                <w:rFonts w:cs="Arial"/>
                <w:lang w:val="en-AU"/>
              </w:rPr>
            </w:pPr>
            <w:r w:rsidRPr="005D74D1">
              <w:rPr>
                <w:rFonts w:cs="Arial"/>
                <w:lang w:val="en-AU"/>
              </w:rPr>
              <w:t>BC &amp; CL</w:t>
            </w:r>
          </w:p>
        </w:tc>
        <w:tc>
          <w:tcPr>
            <w:tcW w:w="1254" w:type="dxa"/>
            <w:tcBorders>
              <w:top w:val="single" w:sz="2" w:space="0" w:color="E6E6E6"/>
              <w:left w:val="single" w:sz="2" w:space="0" w:color="E6E6E6"/>
              <w:bottom w:val="single" w:sz="2" w:space="0" w:color="E6E6E6"/>
              <w:right w:val="single" w:sz="2" w:space="0" w:color="E6E6E6"/>
            </w:tcBorders>
          </w:tcPr>
          <w:p w14:paraId="4C98DCEF" w14:textId="34E25C2D" w:rsidR="00445C24" w:rsidRPr="005D74D1" w:rsidRDefault="004F4C41" w:rsidP="00445C24">
            <w:pPr>
              <w:pStyle w:val="TableText"/>
              <w:rPr>
                <w:rFonts w:cs="Arial"/>
                <w:lang w:val="en-AU"/>
              </w:rPr>
            </w:pPr>
            <w:r w:rsidRPr="005D74D1">
              <w:rPr>
                <w:rFonts w:cs="Arial"/>
                <w:lang w:val="en-AU"/>
              </w:rPr>
              <w:t>BC &amp; ES</w:t>
            </w:r>
          </w:p>
        </w:tc>
        <w:tc>
          <w:tcPr>
            <w:tcW w:w="1279" w:type="dxa"/>
            <w:tcBorders>
              <w:top w:val="single" w:sz="2" w:space="0" w:color="E6E6E6"/>
              <w:left w:val="single" w:sz="2" w:space="0" w:color="E6E6E6"/>
              <w:bottom w:val="single" w:sz="2" w:space="0" w:color="E6E6E6"/>
              <w:right w:val="single" w:sz="2" w:space="0" w:color="E6E6E6"/>
            </w:tcBorders>
          </w:tcPr>
          <w:p w14:paraId="1F608A14" w14:textId="7C450E50" w:rsidR="00445C24" w:rsidRPr="005D74D1" w:rsidRDefault="004F4C41" w:rsidP="00445C24">
            <w:pPr>
              <w:pStyle w:val="TableText"/>
              <w:rPr>
                <w:rFonts w:cs="Arial"/>
                <w:lang w:val="en-AU"/>
              </w:rPr>
            </w:pPr>
            <w:r w:rsidRPr="005D74D1">
              <w:rPr>
                <w:rFonts w:cs="Arial"/>
                <w:lang w:val="en-AU"/>
              </w:rPr>
              <w:t>ES</w:t>
            </w:r>
          </w:p>
        </w:tc>
        <w:tc>
          <w:tcPr>
            <w:tcW w:w="1287" w:type="dxa"/>
            <w:tcBorders>
              <w:top w:val="single" w:sz="2" w:space="0" w:color="E6E6E6"/>
              <w:left w:val="single" w:sz="2" w:space="0" w:color="E6E6E6"/>
              <w:bottom w:val="single" w:sz="2" w:space="0" w:color="E6E6E6"/>
              <w:right w:val="single" w:sz="2" w:space="0" w:color="E6E6E6"/>
            </w:tcBorders>
          </w:tcPr>
          <w:p w14:paraId="559DDF28" w14:textId="09D99CD4" w:rsidR="00445C24" w:rsidRPr="005D74D1" w:rsidRDefault="004F4C41" w:rsidP="00445C24">
            <w:pPr>
              <w:pStyle w:val="TableText"/>
              <w:rPr>
                <w:rFonts w:cs="Arial"/>
                <w:lang w:val="en-AU"/>
              </w:rPr>
            </w:pPr>
            <w:r w:rsidRPr="005D74D1">
              <w:rPr>
                <w:rFonts w:cs="Arial"/>
                <w:lang w:val="en-AU"/>
              </w:rPr>
              <w:t>ES</w:t>
            </w:r>
          </w:p>
        </w:tc>
      </w:tr>
    </w:tbl>
    <w:p w14:paraId="64CE5ADB" w14:textId="77777777" w:rsidR="005E43B2" w:rsidRPr="005D74D1" w:rsidRDefault="005E43B2" w:rsidP="005E43B2">
      <w:pPr>
        <w:pStyle w:val="DocumentSubject"/>
        <w:rPr>
          <w:rFonts w:ascii="Arial" w:hAnsi="Arial" w:cs="Arial"/>
        </w:rPr>
      </w:pPr>
      <w:r w:rsidRPr="005D74D1">
        <w:rPr>
          <w:rFonts w:ascii="Arial" w:hAnsi="Arial" w:cs="Arial"/>
        </w:rPr>
        <w:t>Distribution of copies</w:t>
      </w:r>
    </w:p>
    <w:tbl>
      <w:tblPr>
        <w:tblStyle w:val="TableGrid"/>
        <w:tblW w:w="5000" w:type="pct"/>
        <w:tblLook w:val="04A0" w:firstRow="1" w:lastRow="0" w:firstColumn="1" w:lastColumn="0" w:noHBand="0" w:noVBand="1"/>
        <w:tblCaption w:val="Legal Entity"/>
      </w:tblPr>
      <w:tblGrid>
        <w:gridCol w:w="1007"/>
        <w:gridCol w:w="1823"/>
        <w:gridCol w:w="1418"/>
        <w:gridCol w:w="1134"/>
        <w:gridCol w:w="3634"/>
      </w:tblGrid>
      <w:tr w:rsidR="005E43B2" w:rsidRPr="005D74D1" w14:paraId="244CA5D1" w14:textId="77777777">
        <w:tc>
          <w:tcPr>
            <w:tcW w:w="1007" w:type="dxa"/>
            <w:tcBorders>
              <w:top w:val="single" w:sz="4" w:space="0" w:color="231EDC" w:themeColor="accent1"/>
              <w:left w:val="single" w:sz="4" w:space="0" w:color="231EDC" w:themeColor="accent1"/>
              <w:bottom w:val="single" w:sz="2" w:space="0" w:color="E6E6E6"/>
              <w:right w:val="single" w:sz="4" w:space="0" w:color="E6E6E6"/>
            </w:tcBorders>
            <w:shd w:val="clear" w:color="auto" w:fill="231EDC" w:themeFill="accent1"/>
          </w:tcPr>
          <w:p w14:paraId="5B805F7F" w14:textId="77777777" w:rsidR="005E43B2" w:rsidRPr="005D74D1" w:rsidRDefault="007C34A8">
            <w:pPr>
              <w:pStyle w:val="TableHeadingWhite"/>
              <w:rPr>
                <w:rFonts w:cs="Arial"/>
                <w:lang w:val="en-AU"/>
              </w:rPr>
            </w:pPr>
            <w:r w:rsidRPr="005D74D1">
              <w:rPr>
                <w:rFonts w:cs="Arial"/>
                <w:lang w:val="en-AU"/>
              </w:rPr>
              <w:t>Version</w:t>
            </w:r>
          </w:p>
        </w:tc>
        <w:tc>
          <w:tcPr>
            <w:tcW w:w="1823" w:type="dxa"/>
            <w:tcBorders>
              <w:top w:val="single" w:sz="4" w:space="0" w:color="231EDC" w:themeColor="accent1"/>
              <w:left w:val="single" w:sz="4" w:space="0" w:color="E6E6E6"/>
              <w:bottom w:val="single" w:sz="2" w:space="0" w:color="E6E6E6"/>
              <w:right w:val="single" w:sz="4" w:space="0" w:color="E6E6E6"/>
            </w:tcBorders>
            <w:shd w:val="clear" w:color="auto" w:fill="231EDC" w:themeFill="accent1"/>
          </w:tcPr>
          <w:p w14:paraId="66DC601A" w14:textId="77777777" w:rsidR="005E43B2" w:rsidRPr="005D74D1" w:rsidRDefault="005E43B2">
            <w:pPr>
              <w:pStyle w:val="TableHeadingWhite"/>
              <w:rPr>
                <w:rFonts w:cs="Arial"/>
                <w:lang w:val="en-AU"/>
              </w:rPr>
            </w:pPr>
            <w:r w:rsidRPr="005D74D1">
              <w:rPr>
                <w:rFonts w:cs="Arial"/>
                <w:lang w:val="en-AU"/>
              </w:rPr>
              <w:t>Issue approved</w:t>
            </w:r>
          </w:p>
        </w:tc>
        <w:tc>
          <w:tcPr>
            <w:tcW w:w="1418" w:type="dxa"/>
            <w:tcBorders>
              <w:top w:val="single" w:sz="4" w:space="0" w:color="231EDC" w:themeColor="accent1"/>
              <w:left w:val="single" w:sz="4" w:space="0" w:color="E6E6E6"/>
              <w:bottom w:val="single" w:sz="2" w:space="0" w:color="E6E6E6"/>
              <w:right w:val="single" w:sz="4" w:space="0" w:color="E6E6E6"/>
            </w:tcBorders>
            <w:shd w:val="clear" w:color="auto" w:fill="231EDC" w:themeFill="accent1"/>
          </w:tcPr>
          <w:p w14:paraId="2F5FC4E6" w14:textId="77777777" w:rsidR="005E43B2" w:rsidRPr="005D74D1" w:rsidRDefault="005E43B2">
            <w:pPr>
              <w:pStyle w:val="TableHeadingWhite"/>
              <w:rPr>
                <w:rFonts w:cs="Arial"/>
                <w:lang w:val="en-AU"/>
              </w:rPr>
            </w:pPr>
            <w:r w:rsidRPr="005D74D1">
              <w:rPr>
                <w:rFonts w:cs="Arial"/>
                <w:lang w:val="en-AU"/>
              </w:rPr>
              <w:t>Date issued</w:t>
            </w:r>
          </w:p>
        </w:tc>
        <w:tc>
          <w:tcPr>
            <w:tcW w:w="1134" w:type="dxa"/>
            <w:tcBorders>
              <w:top w:val="single" w:sz="4" w:space="0" w:color="231EDC" w:themeColor="accent1"/>
              <w:left w:val="single" w:sz="4" w:space="0" w:color="E6E6E6"/>
              <w:bottom w:val="single" w:sz="2" w:space="0" w:color="E6E6E6"/>
              <w:right w:val="single" w:sz="4" w:space="0" w:color="E6E6E6"/>
            </w:tcBorders>
            <w:shd w:val="clear" w:color="auto" w:fill="231EDC" w:themeFill="accent1"/>
          </w:tcPr>
          <w:p w14:paraId="08118446" w14:textId="77777777" w:rsidR="005E43B2" w:rsidRPr="005D74D1" w:rsidRDefault="005E43B2">
            <w:pPr>
              <w:pStyle w:val="TableHeadingWhite"/>
              <w:rPr>
                <w:rFonts w:cs="Arial"/>
                <w:lang w:val="en-AU"/>
              </w:rPr>
            </w:pPr>
            <w:r w:rsidRPr="005D74D1">
              <w:rPr>
                <w:rFonts w:cs="Arial"/>
                <w:lang w:val="en-AU"/>
              </w:rPr>
              <w:t>Issued to</w:t>
            </w:r>
          </w:p>
        </w:tc>
        <w:tc>
          <w:tcPr>
            <w:tcW w:w="3634" w:type="dxa"/>
            <w:tcBorders>
              <w:top w:val="single" w:sz="4" w:space="0" w:color="231EDC" w:themeColor="accent1"/>
              <w:left w:val="single" w:sz="4" w:space="0" w:color="E6E6E6"/>
              <w:bottom w:val="single" w:sz="2" w:space="0" w:color="E6E6E6"/>
              <w:right w:val="single" w:sz="4" w:space="0" w:color="231EDC" w:themeColor="accent1"/>
            </w:tcBorders>
            <w:shd w:val="clear" w:color="auto" w:fill="231EDC" w:themeFill="accent1"/>
          </w:tcPr>
          <w:p w14:paraId="230C274E" w14:textId="77777777" w:rsidR="005E43B2" w:rsidRPr="005D74D1" w:rsidRDefault="005E43B2">
            <w:pPr>
              <w:pStyle w:val="TableHeadingWhite"/>
              <w:rPr>
                <w:rFonts w:cs="Arial"/>
                <w:lang w:val="en-AU"/>
              </w:rPr>
            </w:pPr>
            <w:r w:rsidRPr="005D74D1">
              <w:rPr>
                <w:rFonts w:cs="Arial"/>
                <w:lang w:val="en-AU"/>
              </w:rPr>
              <w:t>Comments</w:t>
            </w:r>
          </w:p>
        </w:tc>
      </w:tr>
      <w:tr w:rsidR="005E43B2" w:rsidRPr="005D74D1" w14:paraId="774869F9" w14:textId="77777777">
        <w:tc>
          <w:tcPr>
            <w:tcW w:w="1007" w:type="dxa"/>
            <w:tcBorders>
              <w:top w:val="single" w:sz="2" w:space="0" w:color="E6E6E6"/>
              <w:left w:val="single" w:sz="2" w:space="0" w:color="E6E6E6"/>
              <w:bottom w:val="single" w:sz="2" w:space="0" w:color="E6E6E6"/>
              <w:right w:val="single" w:sz="2" w:space="0" w:color="E6E6E6"/>
            </w:tcBorders>
          </w:tcPr>
          <w:p w14:paraId="2B820B88" w14:textId="6FA8903D" w:rsidR="005E43B2" w:rsidRPr="005D74D1" w:rsidRDefault="00963116">
            <w:pPr>
              <w:pStyle w:val="TableText"/>
              <w:rPr>
                <w:rFonts w:cs="Arial"/>
                <w:lang w:val="en-AU"/>
              </w:rPr>
            </w:pPr>
            <w:r w:rsidRPr="005D74D1">
              <w:rPr>
                <w:rFonts w:cs="Arial"/>
                <w:lang w:val="en-AU"/>
              </w:rPr>
              <w:t>V1</w:t>
            </w:r>
          </w:p>
        </w:tc>
        <w:tc>
          <w:tcPr>
            <w:tcW w:w="1823" w:type="dxa"/>
            <w:tcBorders>
              <w:top w:val="single" w:sz="2" w:space="0" w:color="E6E6E6"/>
              <w:left w:val="single" w:sz="2" w:space="0" w:color="E6E6E6"/>
              <w:bottom w:val="single" w:sz="2" w:space="0" w:color="E6E6E6"/>
              <w:right w:val="single" w:sz="2" w:space="0" w:color="E6E6E6"/>
            </w:tcBorders>
          </w:tcPr>
          <w:p w14:paraId="37013A9F" w14:textId="3B32DA3A" w:rsidR="005E43B2" w:rsidRPr="005D74D1" w:rsidRDefault="00345137">
            <w:pPr>
              <w:pStyle w:val="TableText"/>
              <w:rPr>
                <w:rFonts w:cs="Arial"/>
                <w:lang w:val="en-AU"/>
              </w:rPr>
            </w:pPr>
            <w:r w:rsidRPr="005D74D1">
              <w:rPr>
                <w:rFonts w:cs="Arial"/>
                <w:lang w:val="en-AU"/>
              </w:rPr>
              <w:t>Draft</w:t>
            </w:r>
          </w:p>
        </w:tc>
        <w:tc>
          <w:tcPr>
            <w:tcW w:w="1418" w:type="dxa"/>
            <w:tcBorders>
              <w:top w:val="single" w:sz="2" w:space="0" w:color="E6E6E6"/>
              <w:left w:val="single" w:sz="2" w:space="0" w:color="E6E6E6"/>
              <w:bottom w:val="single" w:sz="2" w:space="0" w:color="E6E6E6"/>
              <w:right w:val="single" w:sz="2" w:space="0" w:color="E6E6E6"/>
            </w:tcBorders>
          </w:tcPr>
          <w:p w14:paraId="4532B3E9" w14:textId="28EAB26C" w:rsidR="005E43B2" w:rsidRPr="005D74D1" w:rsidRDefault="00345137">
            <w:pPr>
              <w:pStyle w:val="TableText"/>
              <w:rPr>
                <w:rFonts w:cs="Arial"/>
                <w:lang w:val="en-AU"/>
              </w:rPr>
            </w:pPr>
            <w:r w:rsidRPr="005D74D1">
              <w:rPr>
                <w:rFonts w:cs="Arial"/>
                <w:lang w:val="en-AU"/>
              </w:rPr>
              <w:t>07/10/24</w:t>
            </w:r>
          </w:p>
        </w:tc>
        <w:tc>
          <w:tcPr>
            <w:tcW w:w="1134" w:type="dxa"/>
            <w:tcBorders>
              <w:top w:val="single" w:sz="2" w:space="0" w:color="E6E6E6"/>
              <w:left w:val="single" w:sz="2" w:space="0" w:color="E6E6E6"/>
              <w:bottom w:val="single" w:sz="2" w:space="0" w:color="E6E6E6"/>
              <w:right w:val="single" w:sz="2" w:space="0" w:color="E6E6E6"/>
            </w:tcBorders>
          </w:tcPr>
          <w:p w14:paraId="452CDCCB" w14:textId="782A7720" w:rsidR="005E43B2" w:rsidRPr="005D74D1" w:rsidRDefault="008B6B6A">
            <w:pPr>
              <w:pStyle w:val="TableText"/>
              <w:rPr>
                <w:rFonts w:cs="Arial"/>
                <w:lang w:val="en-AU"/>
              </w:rPr>
            </w:pPr>
            <w:r w:rsidRPr="005D74D1">
              <w:rPr>
                <w:rFonts w:cs="Arial"/>
                <w:lang w:val="en-AU"/>
              </w:rPr>
              <w:t>DEECA</w:t>
            </w:r>
          </w:p>
        </w:tc>
        <w:tc>
          <w:tcPr>
            <w:tcW w:w="3634" w:type="dxa"/>
            <w:tcBorders>
              <w:top w:val="single" w:sz="2" w:space="0" w:color="E6E6E6"/>
              <w:left w:val="single" w:sz="2" w:space="0" w:color="E6E6E6"/>
              <w:bottom w:val="single" w:sz="2" w:space="0" w:color="E6E6E6"/>
              <w:right w:val="single" w:sz="2" w:space="0" w:color="E6E6E6"/>
            </w:tcBorders>
          </w:tcPr>
          <w:p w14:paraId="651F27D8" w14:textId="07A757BD" w:rsidR="005E43B2" w:rsidRPr="005D74D1" w:rsidRDefault="008B6B6A">
            <w:pPr>
              <w:pStyle w:val="TableText"/>
              <w:rPr>
                <w:rFonts w:cs="Arial"/>
                <w:lang w:val="en-AU"/>
              </w:rPr>
            </w:pPr>
            <w:r w:rsidRPr="005D74D1">
              <w:rPr>
                <w:rFonts w:cs="Arial"/>
                <w:lang w:val="en-AU"/>
              </w:rPr>
              <w:t xml:space="preserve">For review </w:t>
            </w:r>
          </w:p>
        </w:tc>
      </w:tr>
      <w:tr w:rsidR="00445C24" w:rsidRPr="005D74D1" w14:paraId="7F7A6FF1" w14:textId="77777777">
        <w:tc>
          <w:tcPr>
            <w:tcW w:w="1007" w:type="dxa"/>
            <w:tcBorders>
              <w:top w:val="single" w:sz="2" w:space="0" w:color="E6E6E6"/>
              <w:left w:val="single" w:sz="2" w:space="0" w:color="E6E6E6"/>
              <w:bottom w:val="single" w:sz="2" w:space="0" w:color="E6E6E6"/>
              <w:right w:val="single" w:sz="2" w:space="0" w:color="E6E6E6"/>
            </w:tcBorders>
          </w:tcPr>
          <w:p w14:paraId="301673DD" w14:textId="41BD3AE6" w:rsidR="00445C24" w:rsidRPr="005D74D1" w:rsidRDefault="00445C24" w:rsidP="00445C24">
            <w:pPr>
              <w:pStyle w:val="TableText"/>
              <w:rPr>
                <w:rFonts w:cs="Arial"/>
                <w:lang w:val="en-AU"/>
              </w:rPr>
            </w:pPr>
            <w:r w:rsidRPr="005D74D1">
              <w:rPr>
                <w:rFonts w:cs="Arial"/>
                <w:lang w:val="en-AU"/>
              </w:rPr>
              <w:t>V2</w:t>
            </w:r>
          </w:p>
        </w:tc>
        <w:tc>
          <w:tcPr>
            <w:tcW w:w="1823" w:type="dxa"/>
            <w:tcBorders>
              <w:top w:val="single" w:sz="2" w:space="0" w:color="E6E6E6"/>
              <w:left w:val="single" w:sz="2" w:space="0" w:color="E6E6E6"/>
              <w:bottom w:val="single" w:sz="2" w:space="0" w:color="E6E6E6"/>
              <w:right w:val="single" w:sz="2" w:space="0" w:color="E6E6E6"/>
            </w:tcBorders>
          </w:tcPr>
          <w:p w14:paraId="6867A93E" w14:textId="17AFA5E7" w:rsidR="00445C24" w:rsidRPr="005D74D1" w:rsidRDefault="00445C24" w:rsidP="00445C24">
            <w:pPr>
              <w:pStyle w:val="TableText"/>
              <w:rPr>
                <w:rFonts w:cs="Arial"/>
                <w:lang w:val="en-AU"/>
              </w:rPr>
            </w:pPr>
            <w:r w:rsidRPr="005D74D1">
              <w:rPr>
                <w:rFonts w:cs="Arial"/>
                <w:lang w:val="en-AU"/>
              </w:rPr>
              <w:t>Draft</w:t>
            </w:r>
          </w:p>
        </w:tc>
        <w:tc>
          <w:tcPr>
            <w:tcW w:w="1418" w:type="dxa"/>
            <w:tcBorders>
              <w:top w:val="single" w:sz="2" w:space="0" w:color="E6E6E6"/>
              <w:left w:val="single" w:sz="2" w:space="0" w:color="E6E6E6"/>
              <w:bottom w:val="single" w:sz="2" w:space="0" w:color="E6E6E6"/>
              <w:right w:val="single" w:sz="2" w:space="0" w:color="E6E6E6"/>
            </w:tcBorders>
          </w:tcPr>
          <w:p w14:paraId="6BD4A60F" w14:textId="00307FB4" w:rsidR="00445C24" w:rsidRPr="005D74D1" w:rsidRDefault="00445C24" w:rsidP="00445C24">
            <w:pPr>
              <w:pStyle w:val="TableText"/>
              <w:rPr>
                <w:rFonts w:cs="Arial"/>
                <w:lang w:val="en-AU"/>
              </w:rPr>
            </w:pPr>
            <w:r w:rsidRPr="005D74D1">
              <w:rPr>
                <w:rFonts w:cs="Arial"/>
                <w:lang w:val="en-AU"/>
              </w:rPr>
              <w:t>11/10/24</w:t>
            </w:r>
          </w:p>
        </w:tc>
        <w:tc>
          <w:tcPr>
            <w:tcW w:w="1134" w:type="dxa"/>
            <w:tcBorders>
              <w:top w:val="single" w:sz="2" w:space="0" w:color="E6E6E6"/>
              <w:left w:val="single" w:sz="2" w:space="0" w:color="E6E6E6"/>
              <w:bottom w:val="single" w:sz="2" w:space="0" w:color="E6E6E6"/>
              <w:right w:val="single" w:sz="2" w:space="0" w:color="E6E6E6"/>
            </w:tcBorders>
          </w:tcPr>
          <w:p w14:paraId="57F374ED" w14:textId="657B86CA" w:rsidR="00445C24" w:rsidRPr="005D74D1" w:rsidRDefault="00445C24" w:rsidP="00445C24">
            <w:pPr>
              <w:pStyle w:val="TableText"/>
              <w:rPr>
                <w:rFonts w:cs="Arial"/>
                <w:lang w:val="en-AU"/>
              </w:rPr>
            </w:pPr>
            <w:r w:rsidRPr="005D74D1">
              <w:rPr>
                <w:rFonts w:cs="Arial"/>
                <w:lang w:val="en-AU"/>
              </w:rPr>
              <w:t>DEECA</w:t>
            </w:r>
          </w:p>
        </w:tc>
        <w:tc>
          <w:tcPr>
            <w:tcW w:w="3634" w:type="dxa"/>
            <w:tcBorders>
              <w:top w:val="single" w:sz="2" w:space="0" w:color="E6E6E6"/>
              <w:left w:val="single" w:sz="2" w:space="0" w:color="E6E6E6"/>
              <w:bottom w:val="single" w:sz="2" w:space="0" w:color="E6E6E6"/>
              <w:right w:val="single" w:sz="2" w:space="0" w:color="E6E6E6"/>
            </w:tcBorders>
          </w:tcPr>
          <w:p w14:paraId="31D97C18" w14:textId="1A457EDB" w:rsidR="00445C24" w:rsidRPr="005D74D1" w:rsidRDefault="00445C24" w:rsidP="00445C24">
            <w:pPr>
              <w:pStyle w:val="TableText"/>
              <w:rPr>
                <w:rFonts w:cs="Arial"/>
                <w:lang w:val="en-AU"/>
              </w:rPr>
            </w:pPr>
            <w:r w:rsidRPr="005D74D1">
              <w:rPr>
                <w:rFonts w:cs="Arial"/>
                <w:lang w:val="en-AU"/>
              </w:rPr>
              <w:t xml:space="preserve">For EC PCB Review </w:t>
            </w:r>
          </w:p>
        </w:tc>
      </w:tr>
      <w:tr w:rsidR="00445C24" w:rsidRPr="005D74D1" w14:paraId="1FBB0D76" w14:textId="77777777">
        <w:tc>
          <w:tcPr>
            <w:tcW w:w="1007" w:type="dxa"/>
            <w:tcBorders>
              <w:top w:val="single" w:sz="2" w:space="0" w:color="E6E6E6"/>
              <w:left w:val="single" w:sz="2" w:space="0" w:color="E6E6E6"/>
              <w:bottom w:val="single" w:sz="2" w:space="0" w:color="E6E6E6"/>
              <w:right w:val="single" w:sz="2" w:space="0" w:color="E6E6E6"/>
            </w:tcBorders>
          </w:tcPr>
          <w:p w14:paraId="17257ED8" w14:textId="7FB40465" w:rsidR="00445C24" w:rsidRPr="005D74D1" w:rsidRDefault="004F4C41" w:rsidP="00445C24">
            <w:pPr>
              <w:pStyle w:val="TableText"/>
              <w:rPr>
                <w:rFonts w:cs="Arial"/>
                <w:lang w:val="en-AU"/>
              </w:rPr>
            </w:pPr>
            <w:r w:rsidRPr="005D74D1">
              <w:rPr>
                <w:rFonts w:cs="Arial"/>
                <w:lang w:val="en-AU"/>
              </w:rPr>
              <w:t>Final</w:t>
            </w:r>
          </w:p>
        </w:tc>
        <w:tc>
          <w:tcPr>
            <w:tcW w:w="1823" w:type="dxa"/>
            <w:tcBorders>
              <w:top w:val="single" w:sz="2" w:space="0" w:color="E6E6E6"/>
              <w:left w:val="single" w:sz="2" w:space="0" w:color="E6E6E6"/>
              <w:bottom w:val="single" w:sz="2" w:space="0" w:color="E6E6E6"/>
              <w:right w:val="single" w:sz="2" w:space="0" w:color="E6E6E6"/>
            </w:tcBorders>
          </w:tcPr>
          <w:p w14:paraId="147FD58D" w14:textId="3DA20EE9" w:rsidR="00445C24" w:rsidRPr="005D74D1" w:rsidRDefault="00212443" w:rsidP="00445C24">
            <w:pPr>
              <w:pStyle w:val="TableText"/>
              <w:rPr>
                <w:rFonts w:cs="Arial"/>
                <w:lang w:val="en-AU"/>
              </w:rPr>
            </w:pPr>
            <w:r w:rsidRPr="005D74D1">
              <w:rPr>
                <w:rFonts w:cs="Arial"/>
                <w:lang w:val="en-AU"/>
              </w:rPr>
              <w:t>Final</w:t>
            </w:r>
          </w:p>
        </w:tc>
        <w:tc>
          <w:tcPr>
            <w:tcW w:w="1418" w:type="dxa"/>
            <w:tcBorders>
              <w:top w:val="single" w:sz="2" w:space="0" w:color="E6E6E6"/>
              <w:left w:val="single" w:sz="2" w:space="0" w:color="E6E6E6"/>
              <w:bottom w:val="single" w:sz="2" w:space="0" w:color="E6E6E6"/>
              <w:right w:val="single" w:sz="2" w:space="0" w:color="E6E6E6"/>
            </w:tcBorders>
          </w:tcPr>
          <w:p w14:paraId="073034BA" w14:textId="57FD28D9" w:rsidR="00445C24" w:rsidRPr="005D74D1" w:rsidRDefault="007D2DF3" w:rsidP="00445C24">
            <w:pPr>
              <w:pStyle w:val="TableText"/>
              <w:rPr>
                <w:rFonts w:cs="Arial"/>
                <w:lang w:val="en-AU"/>
              </w:rPr>
            </w:pPr>
            <w:r w:rsidRPr="005D74D1">
              <w:rPr>
                <w:rFonts w:cs="Arial"/>
              </w:rPr>
              <w:t>29/11/24</w:t>
            </w:r>
          </w:p>
        </w:tc>
        <w:tc>
          <w:tcPr>
            <w:tcW w:w="1134" w:type="dxa"/>
            <w:tcBorders>
              <w:top w:val="single" w:sz="2" w:space="0" w:color="E6E6E6"/>
              <w:left w:val="single" w:sz="2" w:space="0" w:color="E6E6E6"/>
              <w:bottom w:val="single" w:sz="2" w:space="0" w:color="E6E6E6"/>
              <w:right w:val="single" w:sz="2" w:space="0" w:color="E6E6E6"/>
            </w:tcBorders>
          </w:tcPr>
          <w:p w14:paraId="5F638761" w14:textId="25F21EBD" w:rsidR="00445C24" w:rsidRPr="005D74D1" w:rsidRDefault="00212443" w:rsidP="00445C24">
            <w:pPr>
              <w:pStyle w:val="TableText"/>
              <w:rPr>
                <w:rFonts w:cs="Arial"/>
                <w:lang w:val="en-AU"/>
              </w:rPr>
            </w:pPr>
            <w:r w:rsidRPr="005D74D1">
              <w:rPr>
                <w:rFonts w:cs="Arial"/>
                <w:lang w:val="en-AU"/>
              </w:rPr>
              <w:t>DEECA</w:t>
            </w:r>
          </w:p>
        </w:tc>
        <w:tc>
          <w:tcPr>
            <w:tcW w:w="3634" w:type="dxa"/>
            <w:tcBorders>
              <w:top w:val="single" w:sz="2" w:space="0" w:color="E6E6E6"/>
              <w:left w:val="single" w:sz="2" w:space="0" w:color="E6E6E6"/>
              <w:bottom w:val="single" w:sz="2" w:space="0" w:color="E6E6E6"/>
              <w:right w:val="single" w:sz="2" w:space="0" w:color="E6E6E6"/>
            </w:tcBorders>
          </w:tcPr>
          <w:p w14:paraId="084D7CD8" w14:textId="00D0B283" w:rsidR="00445C24" w:rsidRPr="005D74D1" w:rsidRDefault="00212443" w:rsidP="00445C24">
            <w:pPr>
              <w:pStyle w:val="TableText"/>
              <w:rPr>
                <w:rFonts w:cs="Arial"/>
                <w:lang w:val="en-AU"/>
              </w:rPr>
            </w:pPr>
            <w:r w:rsidRPr="005D74D1">
              <w:rPr>
                <w:rFonts w:cs="Arial"/>
                <w:lang w:val="en-AU"/>
              </w:rPr>
              <w:t>Incorporat</w:t>
            </w:r>
            <w:r w:rsidR="000604D0" w:rsidRPr="005D74D1">
              <w:rPr>
                <w:rFonts w:cs="Arial"/>
                <w:lang w:val="en-AU"/>
              </w:rPr>
              <w:t>ed</w:t>
            </w:r>
            <w:r w:rsidRPr="005D74D1">
              <w:rPr>
                <w:rFonts w:cs="Arial"/>
                <w:lang w:val="en-AU"/>
              </w:rPr>
              <w:t xml:space="preserve"> updates from </w:t>
            </w:r>
            <w:r w:rsidR="00990A5D" w:rsidRPr="005D74D1">
              <w:rPr>
                <w:rFonts w:cs="Arial"/>
                <w:lang w:val="en-AU"/>
              </w:rPr>
              <w:t xml:space="preserve">EC PCB </w:t>
            </w:r>
            <w:r w:rsidRPr="005D74D1">
              <w:rPr>
                <w:rFonts w:cs="Arial"/>
                <w:lang w:val="en-AU"/>
              </w:rPr>
              <w:t>review</w:t>
            </w:r>
          </w:p>
        </w:tc>
      </w:tr>
    </w:tbl>
    <w:tbl>
      <w:tblPr>
        <w:tblStyle w:val="TableGrid"/>
        <w:tblpPr w:leftFromText="181" w:rightFromText="181" w:horzAnchor="margin" w:tblpYSpec="bottom"/>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3" w:type="dxa"/>
          <w:right w:w="0" w:type="dxa"/>
        </w:tblCellMar>
        <w:tblLook w:val="04A0" w:firstRow="1" w:lastRow="0" w:firstColumn="1" w:lastColumn="0" w:noHBand="0" w:noVBand="1"/>
        <w:tblCaption w:val="Legal Entity"/>
      </w:tblPr>
      <w:tblGrid>
        <w:gridCol w:w="5464"/>
        <w:gridCol w:w="3562"/>
      </w:tblGrid>
      <w:tr w:rsidR="005E43B2" w:rsidRPr="005D74D1" w14:paraId="551AF4B8" w14:textId="77777777">
        <w:trPr>
          <w:trHeight w:val="284"/>
        </w:trPr>
        <w:tc>
          <w:tcPr>
            <w:tcW w:w="3027" w:type="pct"/>
            <w:tcBorders>
              <w:top w:val="single" w:sz="4" w:space="0" w:color="231EDC" w:themeColor="accent1"/>
            </w:tcBorders>
            <w:tcMar>
              <w:top w:w="113" w:type="dxa"/>
              <w:left w:w="0" w:type="dxa"/>
              <w:right w:w="113" w:type="dxa"/>
            </w:tcMar>
          </w:tcPr>
          <w:bookmarkStart w:id="2" w:name="LegalEntity" w:displacedByCustomXml="next"/>
          <w:sdt>
            <w:sdtPr>
              <w:rPr>
                <w:rFonts w:ascii="Arial" w:hAnsi="Arial" w:cs="Arial"/>
                <w:b/>
              </w:rPr>
              <w:alias w:val="[Legal entity]"/>
              <w:tag w:val="[Legal entity]"/>
              <w:id w:val="129451759"/>
              <w:placeholder>
                <w:docPart w:val="7691FCBF74FF4CF79569198AAA7F7F94"/>
              </w:placeholder>
              <w:dataBinding w:xpath="/*[local-name()='Entity']/*[local-name()='Name']" w:storeItemID="{EE3ABECF-B324-4CC2-ABE2-C2EE62CAA5EE}"/>
              <w:text/>
            </w:sdtPr>
            <w:sdtContent>
              <w:p w14:paraId="66003B09" w14:textId="270DBE01" w:rsidR="005E43B2" w:rsidRPr="00A134A7" w:rsidRDefault="00963A13" w:rsidP="0048173A">
                <w:pPr>
                  <w:pStyle w:val="Details"/>
                  <w:rPr>
                    <w:rFonts w:ascii="Arial" w:hAnsi="Arial" w:cs="Arial"/>
                    <w:b/>
                    <w:bCs/>
                    <w:lang w:val="en-AU"/>
                  </w:rPr>
                </w:pPr>
                <w:r w:rsidRPr="00A134A7">
                  <w:rPr>
                    <w:rFonts w:ascii="Arial" w:hAnsi="Arial" w:cs="Arial"/>
                    <w:b/>
                    <w:bCs/>
                  </w:rPr>
                  <w:t xml:space="preserve">Jacobs Group Australia </w:t>
                </w:r>
              </w:p>
            </w:sdtContent>
          </w:sdt>
        </w:tc>
        <w:tc>
          <w:tcPr>
            <w:tcW w:w="1973" w:type="pct"/>
            <w:tcBorders>
              <w:top w:val="single" w:sz="4" w:space="0" w:color="231EDC" w:themeColor="accent1"/>
            </w:tcBorders>
            <w:tcMar>
              <w:top w:w="113" w:type="dxa"/>
              <w:left w:w="0" w:type="dxa"/>
              <w:right w:w="113" w:type="dxa"/>
            </w:tcMar>
          </w:tcPr>
          <w:p w14:paraId="31E5B9F0" w14:textId="77777777" w:rsidR="005E43B2" w:rsidRPr="00A134A7" w:rsidRDefault="005E43B2" w:rsidP="0048173A">
            <w:pPr>
              <w:pStyle w:val="Details"/>
              <w:rPr>
                <w:rFonts w:ascii="Arial" w:hAnsi="Arial" w:cs="Arial"/>
                <w:lang w:val="en-AU"/>
              </w:rPr>
            </w:pPr>
          </w:p>
        </w:tc>
      </w:tr>
      <w:tr w:rsidR="005E43B2" w:rsidRPr="005D74D1" w14:paraId="6C0EB52C" w14:textId="77777777">
        <w:tc>
          <w:tcPr>
            <w:tcW w:w="3027" w:type="pct"/>
            <w:tcMar>
              <w:left w:w="0" w:type="dxa"/>
              <w:bottom w:w="113" w:type="dxa"/>
              <w:right w:w="113" w:type="dxa"/>
            </w:tcMar>
          </w:tcPr>
          <w:p w14:paraId="062B0A18" w14:textId="41874B82" w:rsidR="005E43B2" w:rsidRPr="00A134A7" w:rsidRDefault="005E43B2" w:rsidP="0048173A">
            <w:pPr>
              <w:pStyle w:val="Details"/>
              <w:rPr>
                <w:rFonts w:ascii="Arial" w:hAnsi="Arial" w:cs="Arial"/>
                <w:lang w:val="en-AU"/>
              </w:rPr>
            </w:pPr>
          </w:p>
        </w:tc>
        <w:tc>
          <w:tcPr>
            <w:tcW w:w="1973" w:type="pct"/>
            <w:tcMar>
              <w:left w:w="0" w:type="dxa"/>
              <w:right w:w="113" w:type="dxa"/>
            </w:tcMar>
          </w:tcPr>
          <w:p w14:paraId="6E5272E5" w14:textId="6F0F85A7" w:rsidR="005E43B2" w:rsidRPr="00A134A7" w:rsidRDefault="005E43B2" w:rsidP="0048173A">
            <w:pPr>
              <w:pStyle w:val="Details"/>
              <w:rPr>
                <w:rFonts w:ascii="Arial" w:hAnsi="Arial" w:cs="Arial"/>
                <w:lang w:val="en-AU"/>
              </w:rPr>
            </w:pPr>
          </w:p>
        </w:tc>
      </w:tr>
      <w:tr w:rsidR="005E43B2" w:rsidRPr="005D74D1" w14:paraId="2501856C" w14:textId="77777777">
        <w:trPr>
          <w:trHeight w:val="245"/>
        </w:trPr>
        <w:tc>
          <w:tcPr>
            <w:tcW w:w="5000" w:type="pct"/>
            <w:gridSpan w:val="2"/>
            <w:tcBorders>
              <w:top w:val="single" w:sz="4" w:space="0" w:color="231EDC" w:themeColor="accent1"/>
            </w:tcBorders>
            <w:tcMar>
              <w:left w:w="0" w:type="dxa"/>
              <w:right w:w="113" w:type="dxa"/>
            </w:tcMar>
          </w:tcPr>
          <w:p w14:paraId="0B494E1A" w14:textId="0C40AAFE" w:rsidR="005E43B2" w:rsidRPr="00A134A7" w:rsidRDefault="005E43B2">
            <w:pPr>
              <w:pStyle w:val="Disclaimer"/>
              <w:rPr>
                <w:rFonts w:ascii="Arial" w:hAnsi="Arial" w:cs="Arial"/>
                <w:lang w:val="en-AU"/>
              </w:rPr>
            </w:pPr>
            <w:r w:rsidRPr="00A134A7">
              <w:rPr>
                <w:rFonts w:ascii="Arial" w:hAnsi="Arial" w:cs="Arial"/>
              </w:rPr>
              <w:t xml:space="preserve">Copyright </w:t>
            </w:r>
            <w:sdt>
              <w:sdtPr>
                <w:rPr>
                  <w:rFonts w:ascii="Arial" w:hAnsi="Arial" w:cs="Arial"/>
                </w:rPr>
                <w:alias w:val="[Legal entity]"/>
                <w:tag w:val="[Legal entity]"/>
                <w:id w:val="-1408378300"/>
                <w:placeholder>
                  <w:docPart w:val="71D92B24FE7B494E905F460A92BAC0A6"/>
                </w:placeholder>
                <w:dataBinding w:xpath="/*[local-name()='Entity']/*[local-name()='Name']" w:storeItemID="{EE3ABECF-B324-4CC2-ABE2-C2EE62CAA5EE}"/>
                <w:text/>
              </w:sdtPr>
              <w:sdtContent>
                <w:r w:rsidR="00963A13" w:rsidRPr="00A134A7">
                  <w:rPr>
                    <w:rFonts w:ascii="Arial" w:hAnsi="Arial" w:cs="Arial"/>
                    <w:bCs/>
                  </w:rPr>
                  <w:t xml:space="preserve">Jacobs Group Australia </w:t>
                </w:r>
              </w:sdtContent>
            </w:sdt>
            <w:r w:rsidRPr="00A134A7">
              <w:rPr>
                <w:rFonts w:ascii="Arial" w:hAnsi="Arial" w:cs="Arial"/>
              </w:rPr>
              <w:t xml:space="preserve"> </w:t>
            </w:r>
            <w:r w:rsidR="00692540" w:rsidRPr="00A134A7">
              <w:rPr>
                <w:rFonts w:ascii="Arial" w:hAnsi="Arial" w:cs="Arial"/>
              </w:rPr>
              <w:t>©</w:t>
            </w:r>
            <w:r w:rsidRPr="00A134A7">
              <w:rPr>
                <w:rFonts w:ascii="Arial" w:hAnsi="Arial" w:cs="Arial"/>
              </w:rPr>
              <w:t xml:space="preserve"> </w:t>
            </w:r>
            <w:r w:rsidRPr="00A134A7">
              <w:rPr>
                <w:rFonts w:ascii="Arial" w:hAnsi="Arial" w:cs="Arial"/>
              </w:rPr>
              <w:fldChar w:fldCharType="begin"/>
            </w:r>
            <w:r w:rsidRPr="00A134A7">
              <w:rPr>
                <w:rFonts w:ascii="Arial" w:hAnsi="Arial" w:cs="Arial"/>
              </w:rPr>
              <w:instrText xml:space="preserve"> DATE  \@ "YYYY" </w:instrText>
            </w:r>
            <w:r w:rsidRPr="00A134A7">
              <w:rPr>
                <w:rFonts w:ascii="Arial" w:hAnsi="Arial" w:cs="Arial"/>
              </w:rPr>
              <w:fldChar w:fldCharType="separate"/>
            </w:r>
            <w:r w:rsidR="003870A0">
              <w:rPr>
                <w:rFonts w:ascii="Arial" w:hAnsi="Arial" w:cs="Arial"/>
                <w:noProof/>
              </w:rPr>
              <w:t>2024</w:t>
            </w:r>
            <w:r w:rsidRPr="00A134A7">
              <w:rPr>
                <w:rFonts w:ascii="Arial" w:hAnsi="Arial" w:cs="Arial"/>
              </w:rPr>
              <w:fldChar w:fldCharType="end"/>
            </w:r>
          </w:p>
          <w:p w14:paraId="1645EB54" w14:textId="2427A575" w:rsidR="00E87978" w:rsidRPr="00A134A7" w:rsidRDefault="00E87978" w:rsidP="000E3960">
            <w:pPr>
              <w:pStyle w:val="Disclaimer"/>
              <w:rPr>
                <w:rFonts w:ascii="Arial" w:hAnsi="Arial" w:cs="Arial"/>
                <w:lang w:val="en-AU"/>
              </w:rPr>
            </w:pPr>
            <w:bookmarkStart w:id="3" w:name="_Hlk119586782"/>
            <w:r w:rsidRPr="00A134A7">
              <w:rPr>
                <w:rFonts w:ascii="Arial" w:hAnsi="Arial" w:cs="Arial"/>
              </w:rPr>
              <w:t>All rights reserved. The concepts and information contained in this document are the property of the Jacobs group of companies (</w:t>
            </w:r>
            <w:r w:rsidR="00A423C7" w:rsidRPr="00A134A7">
              <w:rPr>
                <w:rFonts w:ascii="Arial" w:hAnsi="Arial" w:cs="Arial"/>
              </w:rPr>
              <w:t>‘</w:t>
            </w:r>
            <w:r w:rsidRPr="00A134A7">
              <w:rPr>
                <w:rFonts w:ascii="Arial" w:hAnsi="Arial" w:cs="Arial"/>
              </w:rPr>
              <w:t>Jacobs Group</w:t>
            </w:r>
            <w:r w:rsidR="00A423C7" w:rsidRPr="00A134A7">
              <w:rPr>
                <w:rFonts w:ascii="Arial" w:hAnsi="Arial" w:cs="Arial"/>
              </w:rPr>
              <w:t>’</w:t>
            </w:r>
            <w:r w:rsidRPr="00A134A7">
              <w:rPr>
                <w:rFonts w:ascii="Arial" w:hAnsi="Arial" w:cs="Arial"/>
              </w:rPr>
              <w:t>). Use or copying of this document in whole or in part without the written permission of Jacobs Group constitutes an infringement of copyright. Jacobs, the Jacobs logo, and all other Jacobs Group trademarks are the property of Jacobs Group.</w:t>
            </w:r>
          </w:p>
          <w:p w14:paraId="1361AB9E" w14:textId="77777777" w:rsidR="005E43B2" w:rsidRPr="00A134A7" w:rsidRDefault="00E87978">
            <w:pPr>
              <w:pStyle w:val="Disclaimer"/>
              <w:rPr>
                <w:rFonts w:ascii="Arial" w:hAnsi="Arial" w:cs="Arial"/>
                <w:lang w:val="en-AU"/>
              </w:rPr>
            </w:pPr>
            <w:r w:rsidRPr="00A134A7">
              <w:rPr>
                <w:rFonts w:ascii="Arial" w:hAnsi="Arial" w:cs="Arial"/>
              </w:rPr>
              <w:t>NOTICE: This document has been prepared exclusively for the use and benefit of Jacobs Group client. Jacobs Group accepts no liability or responsibility for any use or reliance upon this document by any third party.</w:t>
            </w:r>
            <w:bookmarkEnd w:id="3"/>
          </w:p>
        </w:tc>
      </w:tr>
      <w:bookmarkEnd w:id="2"/>
    </w:tbl>
    <w:p w14:paraId="46683C7A" w14:textId="77777777" w:rsidR="00D25838" w:rsidRPr="005D74D1" w:rsidRDefault="00D25838" w:rsidP="00D10539">
      <w:pPr>
        <w:tabs>
          <w:tab w:val="left" w:pos="6000"/>
        </w:tabs>
        <w:rPr>
          <w:rFonts w:cs="Arial"/>
        </w:rPr>
        <w:sectPr w:rsidR="00D25838" w:rsidRPr="005D74D1" w:rsidSect="00ED5407">
          <w:headerReference w:type="even" r:id="rId25"/>
          <w:headerReference w:type="default" r:id="rId26"/>
          <w:footerReference w:type="even" r:id="rId27"/>
          <w:footerReference w:type="default" r:id="rId28"/>
          <w:headerReference w:type="first" r:id="rId29"/>
          <w:footerReference w:type="first" r:id="rId30"/>
          <w:pgSz w:w="11906" w:h="16838" w:code="9"/>
          <w:pgMar w:top="2302" w:right="1440" w:bottom="1134" w:left="1440" w:header="936" w:footer="0" w:gutter="0"/>
          <w:pgNumType w:fmt="lowerRoman"/>
          <w:cols w:space="720"/>
          <w:docGrid w:linePitch="360"/>
        </w:sectPr>
      </w:pPr>
    </w:p>
    <w:p w14:paraId="27E4EFA9" w14:textId="3071C9C5" w:rsidR="0044500E" w:rsidRPr="005D74D1" w:rsidRDefault="0044500E" w:rsidP="00E13B7E">
      <w:pPr>
        <w:pStyle w:val="Headingunnumbered1"/>
        <w:rPr>
          <w:rFonts w:cs="Arial"/>
        </w:rPr>
      </w:pPr>
      <w:bookmarkStart w:id="4" w:name="_Toc70933333"/>
      <w:bookmarkStart w:id="5" w:name="_Toc89265638"/>
      <w:bookmarkStart w:id="6" w:name="_Toc89265661"/>
      <w:bookmarkStart w:id="7" w:name="_Toc89455706"/>
      <w:bookmarkStart w:id="8" w:name="_Toc90318222"/>
      <w:bookmarkStart w:id="9" w:name="_Toc147329300"/>
      <w:bookmarkStart w:id="10" w:name="_Toc183777344"/>
      <w:bookmarkStart w:id="11" w:name="_Toc41573217"/>
      <w:r w:rsidRPr="005D74D1">
        <w:rPr>
          <w:rFonts w:cs="Arial"/>
        </w:rPr>
        <w:lastRenderedPageBreak/>
        <w:t xml:space="preserve">Executive </w:t>
      </w:r>
      <w:r w:rsidR="00A41E1B" w:rsidRPr="005D74D1">
        <w:rPr>
          <w:rFonts w:cs="Arial"/>
        </w:rPr>
        <w:t>s</w:t>
      </w:r>
      <w:r w:rsidRPr="005D74D1">
        <w:rPr>
          <w:rFonts w:cs="Arial"/>
        </w:rPr>
        <w:t>ummary</w:t>
      </w:r>
      <w:bookmarkEnd w:id="4"/>
      <w:bookmarkEnd w:id="5"/>
      <w:bookmarkEnd w:id="6"/>
      <w:bookmarkEnd w:id="7"/>
      <w:bookmarkEnd w:id="8"/>
      <w:bookmarkEnd w:id="9"/>
      <w:bookmarkEnd w:id="10"/>
    </w:p>
    <w:p w14:paraId="034A52EE" w14:textId="339BA84B" w:rsidR="008343AB" w:rsidRPr="005D74D1" w:rsidRDefault="007E3392" w:rsidP="007C5142">
      <w:pPr>
        <w:pStyle w:val="BodyText"/>
        <w:rPr>
          <w:rFonts w:cs="Arial"/>
          <w:b/>
          <w:bCs/>
          <w:sz w:val="24"/>
          <w:szCs w:val="24"/>
        </w:rPr>
      </w:pPr>
      <w:bookmarkStart w:id="12" w:name="_Toc147329301"/>
      <w:r w:rsidRPr="005D74D1">
        <w:rPr>
          <w:rFonts w:cs="Arial"/>
          <w:b/>
          <w:bCs/>
          <w:sz w:val="24"/>
          <w:szCs w:val="24"/>
        </w:rPr>
        <w:t>Background</w:t>
      </w:r>
      <w:r w:rsidR="002410AC" w:rsidRPr="005D74D1">
        <w:rPr>
          <w:rFonts w:cs="Arial"/>
          <w:b/>
          <w:bCs/>
          <w:sz w:val="24"/>
          <w:szCs w:val="24"/>
        </w:rPr>
        <w:t xml:space="preserve"> to the Environmental Contribution</w:t>
      </w:r>
      <w:bookmarkEnd w:id="12"/>
    </w:p>
    <w:p w14:paraId="263C8728" w14:textId="77777777" w:rsidR="00A50E7D" w:rsidRPr="005D74D1" w:rsidRDefault="005E4A14" w:rsidP="006513C1">
      <w:pPr>
        <w:pStyle w:val="BodyText"/>
        <w:rPr>
          <w:rFonts w:cs="Arial"/>
        </w:rPr>
      </w:pPr>
      <w:r w:rsidRPr="005D74D1">
        <w:rPr>
          <w:rFonts w:cs="Arial"/>
        </w:rPr>
        <w:t>T</w:t>
      </w:r>
      <w:r w:rsidR="005A6256" w:rsidRPr="005D74D1">
        <w:rPr>
          <w:rFonts w:cs="Arial"/>
        </w:rPr>
        <w:t xml:space="preserve">he Environmental Contribution (EC) </w:t>
      </w:r>
      <w:r w:rsidRPr="005D74D1">
        <w:rPr>
          <w:rFonts w:cs="Arial"/>
        </w:rPr>
        <w:t xml:space="preserve">is </w:t>
      </w:r>
      <w:r w:rsidR="00DB1A6A" w:rsidRPr="005D74D1">
        <w:rPr>
          <w:rFonts w:cs="Arial"/>
        </w:rPr>
        <w:t xml:space="preserve">a </w:t>
      </w:r>
      <w:r w:rsidR="0009456B" w:rsidRPr="005D74D1">
        <w:rPr>
          <w:rFonts w:cs="Arial"/>
        </w:rPr>
        <w:t xml:space="preserve">key mechanism for the Victorian Government and </w:t>
      </w:r>
      <w:r w:rsidR="00DB1A6A" w:rsidRPr="005D74D1">
        <w:rPr>
          <w:rFonts w:cs="Arial"/>
        </w:rPr>
        <w:t>the</w:t>
      </w:r>
      <w:r w:rsidR="0009456B" w:rsidRPr="005D74D1">
        <w:rPr>
          <w:rFonts w:cs="Arial"/>
        </w:rPr>
        <w:t xml:space="preserve"> broader community to deliver</w:t>
      </w:r>
      <w:r w:rsidR="0009456B" w:rsidRPr="005D74D1" w:rsidDel="0009456B">
        <w:rPr>
          <w:rFonts w:cs="Arial"/>
        </w:rPr>
        <w:t xml:space="preserve"> </w:t>
      </w:r>
      <w:r w:rsidR="000C3584" w:rsidRPr="005D74D1">
        <w:rPr>
          <w:rFonts w:cs="Arial"/>
        </w:rPr>
        <w:t xml:space="preserve">outcomes for the public good </w:t>
      </w:r>
      <w:r w:rsidR="005A6256" w:rsidRPr="005D74D1">
        <w:rPr>
          <w:rFonts w:cs="Arial"/>
        </w:rPr>
        <w:t xml:space="preserve">that promote the sustainable management of water and address adverse water-related environmental impacts. </w:t>
      </w:r>
      <w:r w:rsidRPr="005D74D1">
        <w:rPr>
          <w:rFonts w:cs="Arial"/>
        </w:rPr>
        <w:t>The EC is funded through contributions from Victoria’s 18 water corporations under an Order made by the Minister for Water.</w:t>
      </w:r>
    </w:p>
    <w:p w14:paraId="424E6BFA" w14:textId="77777777" w:rsidR="00A50E7D" w:rsidRPr="005D74D1" w:rsidRDefault="00CA582D" w:rsidP="008E0214">
      <w:pPr>
        <w:pStyle w:val="BodyText"/>
        <w:rPr>
          <w:rFonts w:cs="Arial"/>
        </w:rPr>
      </w:pPr>
      <w:r w:rsidRPr="005D74D1">
        <w:rPr>
          <w:rFonts w:cs="Arial"/>
        </w:rPr>
        <w:t>The</w:t>
      </w:r>
      <w:r w:rsidR="005A6256" w:rsidRPr="005D74D1">
        <w:rPr>
          <w:rFonts w:cs="Arial"/>
        </w:rPr>
        <w:t xml:space="preserve"> fifth </w:t>
      </w:r>
      <w:r w:rsidR="00D470D0" w:rsidRPr="005D74D1">
        <w:rPr>
          <w:rFonts w:cs="Arial"/>
        </w:rPr>
        <w:t>4</w:t>
      </w:r>
      <w:r w:rsidR="005A6256" w:rsidRPr="005D74D1">
        <w:rPr>
          <w:rFonts w:cs="Arial"/>
        </w:rPr>
        <w:t xml:space="preserve">-year tranche (EC5) commenced on 1 July 2020 </w:t>
      </w:r>
      <w:r w:rsidR="006E2D09" w:rsidRPr="005D74D1">
        <w:rPr>
          <w:rFonts w:cs="Arial"/>
        </w:rPr>
        <w:t>and raise</w:t>
      </w:r>
      <w:r w:rsidR="00C2310B" w:rsidRPr="005D74D1">
        <w:rPr>
          <w:rFonts w:cs="Arial"/>
        </w:rPr>
        <w:t>d</w:t>
      </w:r>
      <w:r w:rsidR="006E2D09" w:rsidRPr="005D74D1">
        <w:rPr>
          <w:rFonts w:cs="Arial"/>
        </w:rPr>
        <w:t xml:space="preserve"> </w:t>
      </w:r>
      <w:r w:rsidR="005B345D" w:rsidRPr="005D74D1">
        <w:rPr>
          <w:rFonts w:cs="Arial"/>
        </w:rPr>
        <w:t>$</w:t>
      </w:r>
      <w:r w:rsidR="005A6256" w:rsidRPr="005D74D1">
        <w:rPr>
          <w:rFonts w:cs="Arial"/>
        </w:rPr>
        <w:t>6</w:t>
      </w:r>
      <w:r w:rsidR="00F214CA" w:rsidRPr="005D74D1">
        <w:rPr>
          <w:rFonts w:cs="Arial"/>
        </w:rPr>
        <w:t>93.9</w:t>
      </w:r>
      <w:r w:rsidR="005A6256" w:rsidRPr="005D74D1">
        <w:rPr>
          <w:rFonts w:cs="Arial"/>
        </w:rPr>
        <w:t xml:space="preserve"> million </w:t>
      </w:r>
      <w:r w:rsidR="00857DB5" w:rsidRPr="005D74D1">
        <w:rPr>
          <w:rFonts w:cs="Arial"/>
        </w:rPr>
        <w:t xml:space="preserve">to </w:t>
      </w:r>
      <w:r w:rsidR="00667262" w:rsidRPr="005D74D1">
        <w:rPr>
          <w:rFonts w:cs="Arial"/>
        </w:rPr>
        <w:t xml:space="preserve">fund initiatives aligned with </w:t>
      </w:r>
      <w:r w:rsidR="006A19DF" w:rsidRPr="005D74D1">
        <w:rPr>
          <w:rFonts w:cs="Arial"/>
        </w:rPr>
        <w:t xml:space="preserve">the </w:t>
      </w:r>
      <w:r w:rsidR="00667262" w:rsidRPr="005D74D1">
        <w:rPr>
          <w:rFonts w:cs="Arial"/>
        </w:rPr>
        <w:t xml:space="preserve">delivery of the </w:t>
      </w:r>
      <w:r w:rsidR="00572392" w:rsidRPr="005D74D1">
        <w:rPr>
          <w:rFonts w:cs="Arial"/>
        </w:rPr>
        <w:t xml:space="preserve">Victorian </w:t>
      </w:r>
      <w:r w:rsidR="00667262" w:rsidRPr="005D74D1">
        <w:rPr>
          <w:rFonts w:cs="Arial"/>
        </w:rPr>
        <w:t xml:space="preserve">Government’s </w:t>
      </w:r>
      <w:r w:rsidR="00572392" w:rsidRPr="005D74D1">
        <w:rPr>
          <w:rFonts w:cs="Arial"/>
        </w:rPr>
        <w:t xml:space="preserve">overarching </w:t>
      </w:r>
      <w:r w:rsidR="00667262" w:rsidRPr="005D74D1">
        <w:rPr>
          <w:rFonts w:cs="Arial"/>
        </w:rPr>
        <w:t xml:space="preserve">water plan </w:t>
      </w:r>
      <w:r w:rsidR="00572392" w:rsidRPr="005D74D1">
        <w:rPr>
          <w:rFonts w:cs="Arial"/>
        </w:rPr>
        <w:t xml:space="preserve">released in 2016 – </w:t>
      </w:r>
      <w:r w:rsidR="00667262" w:rsidRPr="005D74D1">
        <w:rPr>
          <w:rFonts w:cs="Arial"/>
          <w:i/>
        </w:rPr>
        <w:t>Water for Victoria</w:t>
      </w:r>
      <w:r w:rsidR="00667262" w:rsidRPr="005D74D1">
        <w:rPr>
          <w:rFonts w:cs="Arial"/>
        </w:rPr>
        <w:t xml:space="preserve">. EC5 has also </w:t>
      </w:r>
      <w:r w:rsidR="00E4105A" w:rsidRPr="005D74D1">
        <w:rPr>
          <w:rFonts w:cs="Arial"/>
        </w:rPr>
        <w:t xml:space="preserve">been </w:t>
      </w:r>
      <w:r w:rsidR="00667262" w:rsidRPr="005D74D1">
        <w:rPr>
          <w:rFonts w:cs="Arial"/>
        </w:rPr>
        <w:t xml:space="preserve">aligned with </w:t>
      </w:r>
      <w:r w:rsidR="00572392" w:rsidRPr="005D74D1">
        <w:rPr>
          <w:rFonts w:cs="Arial"/>
        </w:rPr>
        <w:t>Victorian water polic</w:t>
      </w:r>
      <w:r w:rsidR="00E4105A" w:rsidRPr="005D74D1">
        <w:rPr>
          <w:rFonts w:cs="Arial"/>
        </w:rPr>
        <w:t>ies and strategies</w:t>
      </w:r>
      <w:r w:rsidR="00572392" w:rsidRPr="005D74D1">
        <w:rPr>
          <w:rFonts w:cs="Arial"/>
        </w:rPr>
        <w:t xml:space="preserve"> that ha</w:t>
      </w:r>
      <w:r w:rsidR="00E4105A" w:rsidRPr="005D74D1">
        <w:rPr>
          <w:rFonts w:cs="Arial"/>
        </w:rPr>
        <w:t>ve</w:t>
      </w:r>
      <w:r w:rsidR="00572392" w:rsidRPr="005D74D1">
        <w:rPr>
          <w:rFonts w:cs="Arial"/>
        </w:rPr>
        <w:t xml:space="preserve"> been developed since </w:t>
      </w:r>
      <w:r w:rsidR="00572392" w:rsidRPr="005D74D1">
        <w:rPr>
          <w:rFonts w:cs="Arial"/>
          <w:i/>
          <w:iCs/>
        </w:rPr>
        <w:t>Water for Victoria</w:t>
      </w:r>
      <w:r w:rsidR="00E4105A" w:rsidRPr="005D74D1">
        <w:rPr>
          <w:rFonts w:cs="Arial"/>
        </w:rPr>
        <w:t>, including</w:t>
      </w:r>
      <w:r w:rsidR="00667262" w:rsidRPr="005D74D1">
        <w:rPr>
          <w:rFonts w:cs="Arial"/>
        </w:rPr>
        <w:t xml:space="preserve"> </w:t>
      </w:r>
      <w:r w:rsidR="00667262" w:rsidRPr="005D74D1">
        <w:rPr>
          <w:rFonts w:cs="Arial"/>
          <w:i/>
          <w:iCs/>
        </w:rPr>
        <w:t>Water is Life: Traditional Owner Access to Water Roadmap (2022)</w:t>
      </w:r>
      <w:r w:rsidR="00667262" w:rsidRPr="005D74D1">
        <w:rPr>
          <w:rFonts w:cs="Arial"/>
        </w:rPr>
        <w:t xml:space="preserve">, and the </w:t>
      </w:r>
      <w:r w:rsidR="00667262" w:rsidRPr="005D74D1">
        <w:rPr>
          <w:rFonts w:cs="Arial"/>
          <w:i/>
          <w:iCs/>
        </w:rPr>
        <w:t xml:space="preserve">Central and Gippsland Region Sustainable Water Strategy </w:t>
      </w:r>
      <w:r w:rsidR="00B373B9" w:rsidRPr="005D74D1">
        <w:rPr>
          <w:rFonts w:cs="Arial"/>
          <w:i/>
          <w:iCs/>
        </w:rPr>
        <w:t>2022 (</w:t>
      </w:r>
      <w:r w:rsidR="00B373B9" w:rsidRPr="005D74D1">
        <w:rPr>
          <w:rFonts w:cs="Arial"/>
        </w:rPr>
        <w:t>CGRSWS</w:t>
      </w:r>
      <w:r w:rsidR="00B373B9" w:rsidRPr="005D74D1">
        <w:rPr>
          <w:rFonts w:cs="Arial"/>
          <w:i/>
          <w:iCs/>
        </w:rPr>
        <w:t>)</w:t>
      </w:r>
      <w:r w:rsidR="00667262" w:rsidRPr="005D74D1">
        <w:rPr>
          <w:rFonts w:cs="Arial"/>
        </w:rPr>
        <w:t>.</w:t>
      </w:r>
      <w:r w:rsidR="00F06A5F" w:rsidRPr="005D74D1">
        <w:rPr>
          <w:rFonts w:cs="Arial"/>
        </w:rPr>
        <w:t xml:space="preserve"> EC5 </w:t>
      </w:r>
      <w:r w:rsidR="00E4105A" w:rsidRPr="005D74D1">
        <w:rPr>
          <w:rFonts w:cs="Arial"/>
        </w:rPr>
        <w:t>comprises</w:t>
      </w:r>
      <w:r w:rsidR="00F06A5F" w:rsidRPr="005D74D1">
        <w:rPr>
          <w:rFonts w:cs="Arial"/>
        </w:rPr>
        <w:t xml:space="preserve"> </w:t>
      </w:r>
      <w:r w:rsidR="00400F41" w:rsidRPr="005D74D1">
        <w:rPr>
          <w:rFonts w:cs="Arial"/>
        </w:rPr>
        <w:t>14</w:t>
      </w:r>
      <w:r w:rsidR="005A6256" w:rsidRPr="005D74D1">
        <w:rPr>
          <w:rFonts w:cs="Arial"/>
        </w:rPr>
        <w:t xml:space="preserve"> initiatives</w:t>
      </w:r>
      <w:r w:rsidR="00F06A5F" w:rsidRPr="005D74D1">
        <w:rPr>
          <w:rFonts w:cs="Arial"/>
        </w:rPr>
        <w:t xml:space="preserve">, </w:t>
      </w:r>
      <w:r w:rsidR="00D95083" w:rsidRPr="005D74D1">
        <w:rPr>
          <w:rFonts w:cs="Arial"/>
        </w:rPr>
        <w:t>delivered as 38 projects</w:t>
      </w:r>
      <w:r w:rsidR="00E4105A" w:rsidRPr="005D74D1">
        <w:rPr>
          <w:rFonts w:cs="Arial"/>
        </w:rPr>
        <w:t>. M</w:t>
      </w:r>
      <w:r w:rsidR="00493133" w:rsidRPr="005D74D1">
        <w:rPr>
          <w:rFonts w:cs="Arial"/>
        </w:rPr>
        <w:t xml:space="preserve">any of the initiatives build on work </w:t>
      </w:r>
      <w:r w:rsidR="00B00994" w:rsidRPr="005D74D1">
        <w:rPr>
          <w:rFonts w:cs="Arial"/>
        </w:rPr>
        <w:t xml:space="preserve">completed </w:t>
      </w:r>
      <w:r w:rsidR="00493133" w:rsidRPr="005D74D1">
        <w:rPr>
          <w:rFonts w:cs="Arial"/>
        </w:rPr>
        <w:t>in earlier EC tranches.</w:t>
      </w:r>
    </w:p>
    <w:p w14:paraId="16E72A37" w14:textId="6029E54C" w:rsidR="00963A13" w:rsidRPr="005D74D1" w:rsidRDefault="005C5947" w:rsidP="007C5142">
      <w:pPr>
        <w:pStyle w:val="BodyText"/>
        <w:rPr>
          <w:rFonts w:cs="Arial"/>
          <w:b/>
          <w:bCs/>
          <w:sz w:val="24"/>
          <w:szCs w:val="24"/>
        </w:rPr>
      </w:pPr>
      <w:bookmarkStart w:id="13" w:name="_Toc147329302"/>
      <w:r w:rsidRPr="005D74D1">
        <w:rPr>
          <w:rFonts w:cs="Arial"/>
          <w:b/>
          <w:bCs/>
          <w:sz w:val="24"/>
          <w:szCs w:val="24"/>
        </w:rPr>
        <w:t>E</w:t>
      </w:r>
      <w:r w:rsidR="002410AC" w:rsidRPr="005D74D1">
        <w:rPr>
          <w:rFonts w:cs="Arial"/>
          <w:b/>
          <w:bCs/>
          <w:sz w:val="24"/>
          <w:szCs w:val="24"/>
        </w:rPr>
        <w:t>valuation</w:t>
      </w:r>
      <w:r w:rsidRPr="005D74D1">
        <w:rPr>
          <w:rFonts w:cs="Arial"/>
          <w:b/>
          <w:bCs/>
          <w:sz w:val="24"/>
          <w:szCs w:val="24"/>
        </w:rPr>
        <w:t xml:space="preserve"> purpose and approach</w:t>
      </w:r>
      <w:bookmarkEnd w:id="13"/>
    </w:p>
    <w:p w14:paraId="45F0FC68" w14:textId="67C7A2C9" w:rsidR="00A50E7D" w:rsidRPr="005D74D1" w:rsidRDefault="005C5947" w:rsidP="00FE449E">
      <w:pPr>
        <w:pStyle w:val="BodyText"/>
        <w:rPr>
          <w:rFonts w:cs="Arial"/>
        </w:rPr>
      </w:pPr>
      <w:r w:rsidRPr="005D74D1">
        <w:rPr>
          <w:rFonts w:cs="Arial"/>
        </w:rPr>
        <w:t xml:space="preserve">The purpose and approach </w:t>
      </w:r>
      <w:r w:rsidR="006E7038" w:rsidRPr="005D74D1">
        <w:rPr>
          <w:rFonts w:cs="Arial"/>
        </w:rPr>
        <w:t>for the two-phase</w:t>
      </w:r>
      <w:r w:rsidR="006C1E10" w:rsidRPr="005D74D1">
        <w:rPr>
          <w:rFonts w:cs="Arial"/>
        </w:rPr>
        <w:t>d</w:t>
      </w:r>
      <w:r w:rsidR="006E7038" w:rsidRPr="005D74D1">
        <w:rPr>
          <w:rFonts w:cs="Arial"/>
        </w:rPr>
        <w:t xml:space="preserve"> EC5 evaluation </w:t>
      </w:r>
      <w:r w:rsidRPr="005D74D1">
        <w:rPr>
          <w:rFonts w:cs="Arial"/>
        </w:rPr>
        <w:t>is summarised in</w:t>
      </w:r>
      <w:r w:rsidR="004746B6" w:rsidRPr="005D74D1">
        <w:rPr>
          <w:rFonts w:cs="Arial"/>
        </w:rPr>
        <w:t xml:space="preserve"> Figure E1</w:t>
      </w:r>
      <w:r w:rsidRPr="005D74D1">
        <w:rPr>
          <w:rFonts w:cs="Arial"/>
        </w:rPr>
        <w:t xml:space="preserve">. </w:t>
      </w:r>
      <w:r w:rsidR="00B00994" w:rsidRPr="005D74D1">
        <w:rPr>
          <w:rFonts w:cs="Arial"/>
        </w:rPr>
        <w:t xml:space="preserve">The </w:t>
      </w:r>
      <w:r w:rsidR="00615878" w:rsidRPr="005D74D1">
        <w:rPr>
          <w:rFonts w:cs="Arial"/>
        </w:rPr>
        <w:t>E</w:t>
      </w:r>
      <w:r w:rsidR="00993022" w:rsidRPr="005D74D1">
        <w:rPr>
          <w:rFonts w:cs="Arial"/>
        </w:rPr>
        <w:t>nd-</w:t>
      </w:r>
      <w:r w:rsidR="00615878" w:rsidRPr="005D74D1">
        <w:rPr>
          <w:rFonts w:cs="Arial"/>
        </w:rPr>
        <w:t>O</w:t>
      </w:r>
      <w:r w:rsidR="00993022" w:rsidRPr="005D74D1">
        <w:rPr>
          <w:rFonts w:cs="Arial"/>
        </w:rPr>
        <w:t>f-</w:t>
      </w:r>
      <w:r w:rsidR="00615878" w:rsidRPr="005D74D1">
        <w:rPr>
          <w:rFonts w:cs="Arial"/>
        </w:rPr>
        <w:t>Tr</w:t>
      </w:r>
      <w:r w:rsidR="00993022" w:rsidRPr="005D74D1">
        <w:rPr>
          <w:rFonts w:cs="Arial"/>
        </w:rPr>
        <w:t>anche</w:t>
      </w:r>
      <w:r w:rsidR="00B00994" w:rsidRPr="005D74D1">
        <w:rPr>
          <w:rFonts w:cs="Arial"/>
        </w:rPr>
        <w:t xml:space="preserve"> evaluation</w:t>
      </w:r>
      <w:r w:rsidR="00F82AE3" w:rsidRPr="005D74D1">
        <w:rPr>
          <w:rFonts w:cs="Arial"/>
        </w:rPr>
        <w:t xml:space="preserve"> </w:t>
      </w:r>
      <w:r w:rsidR="006C1E10" w:rsidRPr="005D74D1">
        <w:rPr>
          <w:rFonts w:cs="Arial"/>
        </w:rPr>
        <w:t>(this report)</w:t>
      </w:r>
      <w:r w:rsidR="00F82AE3" w:rsidRPr="005D74D1">
        <w:rPr>
          <w:rFonts w:cs="Arial"/>
        </w:rPr>
        <w:t xml:space="preserve"> </w:t>
      </w:r>
      <w:r w:rsidR="0040533F" w:rsidRPr="005D74D1">
        <w:rPr>
          <w:rFonts w:cs="Arial"/>
        </w:rPr>
        <w:t>details the</w:t>
      </w:r>
      <w:r w:rsidR="001962D8" w:rsidRPr="005D74D1">
        <w:rPr>
          <w:rFonts w:cs="Arial"/>
        </w:rPr>
        <w:t xml:space="preserve"> achievement</w:t>
      </w:r>
      <w:r w:rsidR="00071DCC" w:rsidRPr="005D74D1">
        <w:rPr>
          <w:rFonts w:cs="Arial"/>
        </w:rPr>
        <w:t xml:space="preserve">s and lessons </w:t>
      </w:r>
      <w:r w:rsidR="00754DBC" w:rsidRPr="005D74D1">
        <w:rPr>
          <w:rFonts w:cs="Arial"/>
        </w:rPr>
        <w:t>from</w:t>
      </w:r>
      <w:r w:rsidR="001962D8" w:rsidRPr="005D74D1">
        <w:rPr>
          <w:rFonts w:cs="Arial"/>
        </w:rPr>
        <w:t xml:space="preserve"> </w:t>
      </w:r>
      <w:r w:rsidR="00754DBC" w:rsidRPr="005D74D1">
        <w:rPr>
          <w:rFonts w:cs="Arial"/>
        </w:rPr>
        <w:t xml:space="preserve">the </w:t>
      </w:r>
      <w:r w:rsidR="00D470D0" w:rsidRPr="005D74D1">
        <w:rPr>
          <w:rFonts w:cs="Arial"/>
        </w:rPr>
        <w:t>4</w:t>
      </w:r>
      <w:r w:rsidR="00754DBC" w:rsidRPr="005D74D1">
        <w:rPr>
          <w:rFonts w:cs="Arial"/>
        </w:rPr>
        <w:t xml:space="preserve"> years of </w:t>
      </w:r>
      <w:r w:rsidR="001962D8" w:rsidRPr="005D74D1">
        <w:rPr>
          <w:rFonts w:cs="Arial"/>
        </w:rPr>
        <w:t xml:space="preserve">the EC5 </w:t>
      </w:r>
      <w:r w:rsidR="0017362C" w:rsidRPr="005D74D1">
        <w:rPr>
          <w:rFonts w:cs="Arial"/>
        </w:rPr>
        <w:t xml:space="preserve">initiatives (and </w:t>
      </w:r>
      <w:r w:rsidR="00B17EA0" w:rsidRPr="005D74D1">
        <w:rPr>
          <w:rFonts w:cs="Arial"/>
        </w:rPr>
        <w:t>constituting</w:t>
      </w:r>
      <w:r w:rsidR="0017362C" w:rsidRPr="005D74D1">
        <w:rPr>
          <w:rFonts w:cs="Arial"/>
        </w:rPr>
        <w:t xml:space="preserve"> </w:t>
      </w:r>
      <w:r w:rsidR="001962D8" w:rsidRPr="005D74D1">
        <w:rPr>
          <w:rFonts w:cs="Arial"/>
        </w:rPr>
        <w:t>projects</w:t>
      </w:r>
      <w:r w:rsidR="0017362C" w:rsidRPr="005D74D1">
        <w:rPr>
          <w:rFonts w:cs="Arial"/>
        </w:rPr>
        <w:t>)</w:t>
      </w:r>
      <w:r w:rsidR="00330F18" w:rsidRPr="005D74D1">
        <w:rPr>
          <w:rFonts w:cs="Arial"/>
        </w:rPr>
        <w:t xml:space="preserve">, fulfilling the requirement of Section 196 of the </w:t>
      </w:r>
      <w:r w:rsidR="00330F18" w:rsidRPr="005D74D1">
        <w:rPr>
          <w:rFonts w:cs="Arial"/>
          <w:i/>
          <w:iCs/>
        </w:rPr>
        <w:t>Water Industry Act 1994</w:t>
      </w:r>
      <w:r w:rsidR="00330F18" w:rsidRPr="005D74D1">
        <w:rPr>
          <w:rFonts w:cs="Arial"/>
        </w:rPr>
        <w:t xml:space="preserve"> and EC governance requirements</w:t>
      </w:r>
      <w:r w:rsidR="00955E78" w:rsidRPr="005D74D1">
        <w:rPr>
          <w:rFonts w:cs="Arial"/>
        </w:rPr>
        <w:t xml:space="preserve">. </w:t>
      </w:r>
      <w:r w:rsidR="004468EE" w:rsidRPr="005D74D1">
        <w:rPr>
          <w:rFonts w:cs="Arial"/>
        </w:rPr>
        <w:t>Th</w:t>
      </w:r>
      <w:r w:rsidR="00B6760F" w:rsidRPr="005D74D1">
        <w:rPr>
          <w:rFonts w:cs="Arial"/>
        </w:rPr>
        <w:t>is evaluation is focused on the dual purposes of</w:t>
      </w:r>
      <w:r w:rsidR="00C2310B" w:rsidRPr="005D74D1">
        <w:rPr>
          <w:rFonts w:cs="Arial"/>
        </w:rPr>
        <w:t xml:space="preserve"> accountability and </w:t>
      </w:r>
      <w:r w:rsidR="00893352" w:rsidRPr="005D74D1">
        <w:rPr>
          <w:rFonts w:cs="Arial"/>
        </w:rPr>
        <w:t xml:space="preserve">continual </w:t>
      </w:r>
      <w:r w:rsidR="00C2310B" w:rsidRPr="005D74D1">
        <w:rPr>
          <w:rFonts w:cs="Arial"/>
        </w:rPr>
        <w:t>improvement. This report</w:t>
      </w:r>
      <w:r w:rsidR="004468EE" w:rsidRPr="005D74D1">
        <w:rPr>
          <w:rFonts w:cs="Arial"/>
        </w:rPr>
        <w:t xml:space="preserve"> </w:t>
      </w:r>
      <w:r w:rsidR="00EB119F" w:rsidRPr="005D74D1">
        <w:rPr>
          <w:rFonts w:cs="Arial"/>
        </w:rPr>
        <w:t>document</w:t>
      </w:r>
      <w:r w:rsidR="00C2310B" w:rsidRPr="005D74D1">
        <w:rPr>
          <w:rFonts w:cs="Arial"/>
        </w:rPr>
        <w:t>s</w:t>
      </w:r>
      <w:r w:rsidR="00EB119F" w:rsidRPr="005D74D1">
        <w:rPr>
          <w:rFonts w:cs="Arial"/>
        </w:rPr>
        <w:t xml:space="preserve"> and reflect</w:t>
      </w:r>
      <w:r w:rsidR="00B6760F" w:rsidRPr="005D74D1">
        <w:rPr>
          <w:rFonts w:cs="Arial"/>
        </w:rPr>
        <w:t>s</w:t>
      </w:r>
      <w:r w:rsidR="00EB119F" w:rsidRPr="005D74D1">
        <w:rPr>
          <w:rFonts w:cs="Arial"/>
        </w:rPr>
        <w:t xml:space="preserve"> on the </w:t>
      </w:r>
      <w:r w:rsidR="00CB4580" w:rsidRPr="005D74D1">
        <w:rPr>
          <w:rFonts w:cs="Arial"/>
        </w:rPr>
        <w:t>achievements, challenges</w:t>
      </w:r>
      <w:r w:rsidR="00140664" w:rsidRPr="005D74D1">
        <w:rPr>
          <w:rFonts w:cs="Arial"/>
        </w:rPr>
        <w:t>,</w:t>
      </w:r>
      <w:r w:rsidR="00CB4580" w:rsidRPr="005D74D1">
        <w:rPr>
          <w:rFonts w:cs="Arial"/>
        </w:rPr>
        <w:t xml:space="preserve"> and lessons from </w:t>
      </w:r>
      <w:r w:rsidR="0084304D" w:rsidRPr="005D74D1">
        <w:rPr>
          <w:rFonts w:cs="Arial"/>
        </w:rPr>
        <w:t xml:space="preserve">delivery of EC5 </w:t>
      </w:r>
      <w:r w:rsidR="00C2310B" w:rsidRPr="005D74D1">
        <w:rPr>
          <w:rFonts w:cs="Arial"/>
        </w:rPr>
        <w:t>through analysis of</w:t>
      </w:r>
      <w:r w:rsidR="00D51963" w:rsidRPr="005D74D1">
        <w:rPr>
          <w:rFonts w:cs="Arial"/>
        </w:rPr>
        <w:t xml:space="preserve"> the impacts, effectiveness, efficiency, appropriateness</w:t>
      </w:r>
      <w:r w:rsidR="00140664" w:rsidRPr="005D74D1">
        <w:rPr>
          <w:rFonts w:cs="Arial"/>
        </w:rPr>
        <w:t>,</w:t>
      </w:r>
      <w:r w:rsidR="00D51963" w:rsidRPr="005D74D1">
        <w:rPr>
          <w:rFonts w:cs="Arial"/>
        </w:rPr>
        <w:t xml:space="preserve"> and legacy of </w:t>
      </w:r>
      <w:r w:rsidR="00D83D1D" w:rsidRPr="005D74D1">
        <w:rPr>
          <w:rFonts w:cs="Arial"/>
        </w:rPr>
        <w:t>EC5</w:t>
      </w:r>
      <w:r w:rsidR="00B00994" w:rsidRPr="005D74D1">
        <w:rPr>
          <w:rFonts w:cs="Arial"/>
        </w:rPr>
        <w:t xml:space="preserve">. It also documents </w:t>
      </w:r>
      <w:r w:rsidR="00B14E06" w:rsidRPr="005D74D1">
        <w:rPr>
          <w:rFonts w:cs="Arial"/>
        </w:rPr>
        <w:t>key</w:t>
      </w:r>
      <w:r w:rsidR="00C87CC4" w:rsidRPr="005D74D1">
        <w:rPr>
          <w:rFonts w:cs="Arial"/>
        </w:rPr>
        <w:t xml:space="preserve"> lessons, </w:t>
      </w:r>
      <w:r w:rsidR="00A7033A" w:rsidRPr="005D74D1">
        <w:rPr>
          <w:rFonts w:cs="Arial"/>
        </w:rPr>
        <w:t>opportunities,</w:t>
      </w:r>
      <w:r w:rsidR="00C87CC4" w:rsidRPr="005D74D1">
        <w:rPr>
          <w:rFonts w:cs="Arial"/>
        </w:rPr>
        <w:t xml:space="preserve"> and future priorities for the EC.</w:t>
      </w:r>
    </w:p>
    <w:p w14:paraId="169AF9B3" w14:textId="67F1E527" w:rsidR="005C49F4" w:rsidRPr="005D74D1" w:rsidRDefault="005C49F4" w:rsidP="00B41148">
      <w:pPr>
        <w:pStyle w:val="BodyText"/>
        <w:rPr>
          <w:rFonts w:cs="Arial"/>
        </w:rPr>
      </w:pPr>
      <w:bookmarkStart w:id="14" w:name="_Ref147326373"/>
      <w:r w:rsidRPr="00422D3B">
        <w:rPr>
          <w:rFonts w:cs="Arial"/>
          <w:noProof/>
        </w:rPr>
        <w:drawing>
          <wp:inline distT="0" distB="0" distL="0" distR="0" wp14:anchorId="65434C9C" wp14:editId="5E3976B1">
            <wp:extent cx="6142105" cy="3619500"/>
            <wp:effectExtent l="0" t="0" r="0" b="0"/>
            <wp:docPr id="2141378615" name="Picture 2141378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1">
                      <a:extLst>
                        <a:ext uri="{28A0092B-C50C-407E-A947-70E740481C1C}">
                          <a14:useLocalDpi xmlns:a14="http://schemas.microsoft.com/office/drawing/2010/main" val="0"/>
                        </a:ext>
                      </a:extLst>
                    </a:blip>
                    <a:srcRect l="3221" r="3231"/>
                    <a:stretch/>
                  </pic:blipFill>
                  <pic:spPr bwMode="auto">
                    <a:xfrm>
                      <a:off x="0" y="0"/>
                      <a:ext cx="6154511" cy="3626811"/>
                    </a:xfrm>
                    <a:prstGeom prst="rect">
                      <a:avLst/>
                    </a:prstGeom>
                    <a:noFill/>
                    <a:ln>
                      <a:noFill/>
                    </a:ln>
                    <a:extLst>
                      <a:ext uri="{53640926-AAD7-44D8-BBD7-CCE9431645EC}">
                        <a14:shadowObscured xmlns:a14="http://schemas.microsoft.com/office/drawing/2010/main"/>
                      </a:ext>
                    </a:extLst>
                  </pic:spPr>
                </pic:pic>
              </a:graphicData>
            </a:graphic>
          </wp:inline>
        </w:drawing>
      </w:r>
    </w:p>
    <w:p w14:paraId="1B05D9B0" w14:textId="12199773" w:rsidR="00AE084A" w:rsidRPr="005D74D1" w:rsidRDefault="00055208" w:rsidP="006C469F">
      <w:pPr>
        <w:pStyle w:val="Figure"/>
        <w:rPr>
          <w:rFonts w:cs="Arial"/>
        </w:rPr>
      </w:pPr>
      <w:r w:rsidRPr="005D74D1">
        <w:rPr>
          <w:rFonts w:cs="Arial"/>
        </w:rPr>
        <w:t>Figure</w:t>
      </w:r>
      <w:bookmarkEnd w:id="14"/>
      <w:r w:rsidR="007C5142" w:rsidRPr="005D74D1">
        <w:rPr>
          <w:rFonts w:cs="Arial"/>
        </w:rPr>
        <w:t xml:space="preserve"> </w:t>
      </w:r>
      <w:r w:rsidR="008A7232" w:rsidRPr="005D74D1">
        <w:rPr>
          <w:rFonts w:cs="Arial"/>
        </w:rPr>
        <w:t xml:space="preserve">E </w:t>
      </w:r>
      <w:r w:rsidRPr="005D74D1">
        <w:rPr>
          <w:rFonts w:cs="Arial"/>
        </w:rPr>
        <w:fldChar w:fldCharType="begin"/>
      </w:r>
      <w:r w:rsidRPr="005D74D1">
        <w:rPr>
          <w:rFonts w:cs="Arial"/>
        </w:rPr>
        <w:instrText xml:space="preserve"> SEQ Figure_E \* ARABIC </w:instrText>
      </w:r>
      <w:r w:rsidRPr="005D74D1">
        <w:rPr>
          <w:rFonts w:cs="Arial"/>
        </w:rPr>
        <w:fldChar w:fldCharType="separate"/>
      </w:r>
      <w:r w:rsidR="003870A0">
        <w:rPr>
          <w:rFonts w:cs="Arial"/>
          <w:noProof/>
        </w:rPr>
        <w:t>1</w:t>
      </w:r>
      <w:r w:rsidRPr="005D74D1">
        <w:rPr>
          <w:rFonts w:cs="Arial"/>
        </w:rPr>
        <w:fldChar w:fldCharType="end"/>
      </w:r>
      <w:r w:rsidR="008A7232" w:rsidRPr="005D74D1">
        <w:rPr>
          <w:rFonts w:cs="Arial"/>
        </w:rPr>
        <w:t>.</w:t>
      </w:r>
      <w:r w:rsidR="008722F0" w:rsidRPr="005D74D1">
        <w:rPr>
          <w:rFonts w:cs="Arial"/>
        </w:rPr>
        <w:t xml:space="preserve">Summary of the EC5 evaluation </w:t>
      </w:r>
      <w:r w:rsidR="006B7BB5" w:rsidRPr="005D74D1">
        <w:rPr>
          <w:rFonts w:cs="Arial"/>
        </w:rPr>
        <w:t xml:space="preserve">purpose and </w:t>
      </w:r>
      <w:r w:rsidR="008722F0" w:rsidRPr="005D74D1">
        <w:rPr>
          <w:rFonts w:cs="Arial"/>
        </w:rPr>
        <w:t>approach</w:t>
      </w:r>
    </w:p>
    <w:p w14:paraId="490FD4E3" w14:textId="11CA2E96" w:rsidR="00735E07" w:rsidRPr="005D74D1" w:rsidRDefault="00963A13" w:rsidP="007C5142">
      <w:pPr>
        <w:pStyle w:val="BodyText"/>
        <w:rPr>
          <w:rFonts w:cs="Arial"/>
          <w:b/>
          <w:bCs/>
          <w:sz w:val="24"/>
          <w:szCs w:val="24"/>
        </w:rPr>
      </w:pPr>
      <w:bookmarkStart w:id="15" w:name="_Toc147329304"/>
      <w:r w:rsidRPr="005D74D1">
        <w:rPr>
          <w:rFonts w:cs="Arial"/>
          <w:b/>
          <w:bCs/>
          <w:sz w:val="24"/>
          <w:szCs w:val="24"/>
        </w:rPr>
        <w:lastRenderedPageBreak/>
        <w:t xml:space="preserve">Summary of </w:t>
      </w:r>
      <w:r w:rsidR="008C74FE" w:rsidRPr="005D74D1">
        <w:rPr>
          <w:rFonts w:cs="Arial"/>
          <w:b/>
          <w:bCs/>
          <w:sz w:val="24"/>
          <w:szCs w:val="24"/>
        </w:rPr>
        <w:t>e</w:t>
      </w:r>
      <w:r w:rsidRPr="005D74D1">
        <w:rPr>
          <w:rFonts w:cs="Arial"/>
          <w:b/>
          <w:bCs/>
          <w:sz w:val="24"/>
          <w:szCs w:val="24"/>
        </w:rPr>
        <w:t xml:space="preserve">valuation </w:t>
      </w:r>
      <w:r w:rsidR="008C74FE" w:rsidRPr="005D74D1">
        <w:rPr>
          <w:rFonts w:cs="Arial"/>
          <w:b/>
          <w:bCs/>
          <w:sz w:val="24"/>
          <w:szCs w:val="24"/>
        </w:rPr>
        <w:t>f</w:t>
      </w:r>
      <w:r w:rsidRPr="005D74D1">
        <w:rPr>
          <w:rFonts w:cs="Arial"/>
          <w:b/>
          <w:bCs/>
          <w:sz w:val="24"/>
          <w:szCs w:val="24"/>
        </w:rPr>
        <w:t>indings</w:t>
      </w:r>
      <w:bookmarkEnd w:id="15"/>
    </w:p>
    <w:p w14:paraId="3B22CE52" w14:textId="31B78945" w:rsidR="0077359D" w:rsidRPr="005D74D1" w:rsidRDefault="009A5D33" w:rsidP="006513C1">
      <w:pPr>
        <w:pStyle w:val="BodyText"/>
        <w:rPr>
          <w:rFonts w:cs="Arial"/>
        </w:rPr>
      </w:pPr>
      <w:bookmarkStart w:id="16" w:name="_Hlk147307169"/>
      <w:r w:rsidRPr="005D74D1">
        <w:rPr>
          <w:rFonts w:cs="Arial"/>
        </w:rPr>
        <w:t>Over t</w:t>
      </w:r>
      <w:r w:rsidR="0077359D" w:rsidRPr="005D74D1">
        <w:rPr>
          <w:rFonts w:cs="Arial"/>
        </w:rPr>
        <w:t xml:space="preserve">he </w:t>
      </w:r>
      <w:r w:rsidR="00F54056" w:rsidRPr="005D74D1">
        <w:rPr>
          <w:rFonts w:cs="Arial"/>
        </w:rPr>
        <w:t>4</w:t>
      </w:r>
      <w:r w:rsidR="00DB43BD" w:rsidRPr="005D74D1">
        <w:rPr>
          <w:rFonts w:cs="Arial"/>
        </w:rPr>
        <w:t xml:space="preserve"> </w:t>
      </w:r>
      <w:r w:rsidR="0077359D" w:rsidRPr="005D74D1">
        <w:rPr>
          <w:rFonts w:cs="Arial"/>
        </w:rPr>
        <w:t>years of EC</w:t>
      </w:r>
      <w:r w:rsidRPr="005D74D1">
        <w:rPr>
          <w:rFonts w:cs="Arial"/>
        </w:rPr>
        <w:t>5</w:t>
      </w:r>
      <w:r w:rsidR="004A4CAD" w:rsidRPr="005D74D1">
        <w:rPr>
          <w:rFonts w:cs="Arial"/>
        </w:rPr>
        <w:t>,</w:t>
      </w:r>
      <w:r w:rsidR="0077359D" w:rsidRPr="005D74D1">
        <w:rPr>
          <w:rFonts w:cs="Arial"/>
        </w:rPr>
        <w:t xml:space="preserve"> a </w:t>
      </w:r>
      <w:r w:rsidRPr="005D74D1">
        <w:rPr>
          <w:rFonts w:cs="Arial"/>
        </w:rPr>
        <w:t xml:space="preserve">broad </w:t>
      </w:r>
      <w:r w:rsidR="0077359D" w:rsidRPr="005D74D1">
        <w:rPr>
          <w:rFonts w:cs="Arial"/>
        </w:rPr>
        <w:t>range of positive outcomes for the environment, communities</w:t>
      </w:r>
      <w:r w:rsidR="000A5254" w:rsidRPr="005D74D1">
        <w:rPr>
          <w:rFonts w:cs="Arial"/>
        </w:rPr>
        <w:t>,</w:t>
      </w:r>
      <w:r w:rsidR="0077359D" w:rsidRPr="005D74D1">
        <w:rPr>
          <w:rFonts w:cs="Arial"/>
        </w:rPr>
        <w:t xml:space="preserve"> and industries throughout Victoria</w:t>
      </w:r>
      <w:r w:rsidRPr="005D74D1">
        <w:rPr>
          <w:rFonts w:cs="Arial"/>
        </w:rPr>
        <w:t xml:space="preserve"> have been achieved</w:t>
      </w:r>
      <w:r w:rsidR="0077359D" w:rsidRPr="005D74D1">
        <w:rPr>
          <w:rFonts w:cs="Arial"/>
        </w:rPr>
        <w:t xml:space="preserve">. </w:t>
      </w:r>
      <w:r w:rsidRPr="005D74D1">
        <w:rPr>
          <w:rFonts w:cs="Arial"/>
        </w:rPr>
        <w:t>A key driver of these achievements was the way in which EC</w:t>
      </w:r>
      <w:r w:rsidR="001458CB" w:rsidRPr="005D74D1">
        <w:rPr>
          <w:rFonts w:cs="Arial"/>
        </w:rPr>
        <w:t>5</w:t>
      </w:r>
      <w:r w:rsidRPr="005D74D1">
        <w:rPr>
          <w:rFonts w:cs="Arial"/>
        </w:rPr>
        <w:t xml:space="preserve"> </w:t>
      </w:r>
      <w:r w:rsidR="00B87486" w:rsidRPr="005D74D1">
        <w:rPr>
          <w:rFonts w:cs="Arial"/>
        </w:rPr>
        <w:t>initiatives</w:t>
      </w:r>
      <w:r w:rsidRPr="005D74D1">
        <w:rPr>
          <w:rFonts w:cs="Arial"/>
        </w:rPr>
        <w:t xml:space="preserve"> </w:t>
      </w:r>
      <w:r w:rsidR="00B87486" w:rsidRPr="005D74D1">
        <w:rPr>
          <w:rFonts w:cs="Arial"/>
        </w:rPr>
        <w:t>either built on or extended</w:t>
      </w:r>
      <w:r w:rsidR="0077359D" w:rsidRPr="005D74D1">
        <w:rPr>
          <w:rFonts w:cs="Arial"/>
        </w:rPr>
        <w:t xml:space="preserve"> work started in EC4 or earlier tranches</w:t>
      </w:r>
      <w:r w:rsidR="001A4854" w:rsidRPr="005D74D1">
        <w:rPr>
          <w:rFonts w:cs="Arial"/>
        </w:rPr>
        <w:t xml:space="preserve">. </w:t>
      </w:r>
      <w:bookmarkEnd w:id="16"/>
      <w:r w:rsidR="0077359D" w:rsidRPr="005D74D1">
        <w:rPr>
          <w:rFonts w:cs="Arial"/>
        </w:rPr>
        <w:t xml:space="preserve">Key findings </w:t>
      </w:r>
      <w:r w:rsidR="002A7A25" w:rsidRPr="005D74D1">
        <w:rPr>
          <w:rFonts w:cs="Arial"/>
        </w:rPr>
        <w:t>against</w:t>
      </w:r>
      <w:r w:rsidR="0077359D" w:rsidRPr="005D74D1">
        <w:rPr>
          <w:rFonts w:cs="Arial"/>
        </w:rPr>
        <w:t xml:space="preserve"> the evaluation domains are summarised in </w:t>
      </w:r>
      <w:r w:rsidR="007A71C8" w:rsidRPr="005D74D1">
        <w:rPr>
          <w:rFonts w:cs="Arial"/>
        </w:rPr>
        <w:t>Table</w:t>
      </w:r>
      <w:r w:rsidR="007C5142" w:rsidRPr="005D74D1">
        <w:rPr>
          <w:rFonts w:cs="Arial"/>
        </w:rPr>
        <w:t xml:space="preserve"> E1</w:t>
      </w:r>
      <w:r w:rsidR="0077359D" w:rsidRPr="005D74D1">
        <w:rPr>
          <w:rFonts w:cs="Arial"/>
        </w:rPr>
        <w:t>.</w:t>
      </w:r>
    </w:p>
    <w:p w14:paraId="1322908C" w14:textId="1839497D" w:rsidR="007C3044" w:rsidRPr="005D74D1" w:rsidRDefault="007C3044" w:rsidP="006C469F">
      <w:pPr>
        <w:pStyle w:val="Table"/>
        <w:rPr>
          <w:rFonts w:cs="Arial"/>
        </w:rPr>
      </w:pPr>
      <w:bookmarkStart w:id="17" w:name="tab1"/>
      <w:bookmarkEnd w:id="17"/>
      <w:r w:rsidRPr="005D74D1">
        <w:rPr>
          <w:rFonts w:cs="Arial"/>
        </w:rPr>
        <w:t>Table</w:t>
      </w:r>
      <w:r w:rsidR="008A7232" w:rsidRPr="005D74D1">
        <w:rPr>
          <w:rFonts w:cs="Arial"/>
        </w:rPr>
        <w:t xml:space="preserve"> E </w:t>
      </w:r>
      <w:r w:rsidRPr="005D74D1">
        <w:rPr>
          <w:rFonts w:cs="Arial"/>
        </w:rPr>
        <w:fldChar w:fldCharType="begin"/>
      </w:r>
      <w:r w:rsidRPr="005D74D1">
        <w:rPr>
          <w:rFonts w:cs="Arial"/>
        </w:rPr>
        <w:instrText xml:space="preserve"> SEQ Table_E_ \* ARABIC </w:instrText>
      </w:r>
      <w:r w:rsidRPr="005D74D1">
        <w:rPr>
          <w:rFonts w:cs="Arial"/>
        </w:rPr>
        <w:fldChar w:fldCharType="separate"/>
      </w:r>
      <w:r w:rsidR="003870A0">
        <w:rPr>
          <w:rFonts w:cs="Arial"/>
          <w:noProof/>
        </w:rPr>
        <w:t>1</w:t>
      </w:r>
      <w:r w:rsidRPr="005D74D1">
        <w:rPr>
          <w:rFonts w:cs="Arial"/>
        </w:rPr>
        <w:fldChar w:fldCharType="end"/>
      </w:r>
      <w:r w:rsidR="008A7232" w:rsidRPr="005D74D1">
        <w:rPr>
          <w:rFonts w:cs="Arial"/>
        </w:rPr>
        <w:t>.</w:t>
      </w:r>
      <w:r w:rsidRPr="005D74D1">
        <w:rPr>
          <w:rFonts w:cs="Arial"/>
        </w:rPr>
        <w:t>Summary findings against each</w:t>
      </w:r>
      <w:r w:rsidR="007A71C8" w:rsidRPr="005D74D1">
        <w:rPr>
          <w:rFonts w:cs="Arial"/>
        </w:rPr>
        <w:t xml:space="preserve"> evaluation</w:t>
      </w:r>
      <w:r w:rsidR="009A4CC1" w:rsidRPr="005D74D1">
        <w:rPr>
          <w:rFonts w:cs="Arial"/>
        </w:rPr>
        <w:t xml:space="preserve"> domain</w:t>
      </w:r>
    </w:p>
    <w:tbl>
      <w:tblPr>
        <w:tblStyle w:val="JacobsTable1accentprimarythemes"/>
        <w:tblW w:w="5000" w:type="pct"/>
        <w:tblBorders>
          <w:top w:val="single" w:sz="4" w:space="0" w:color="231EDC" w:themeColor="accent1"/>
          <w:left w:val="single" w:sz="4" w:space="0" w:color="231EDC" w:themeColor="accent1"/>
          <w:bottom w:val="single" w:sz="4" w:space="0" w:color="231EDC" w:themeColor="accent1"/>
          <w:right w:val="single" w:sz="4" w:space="0" w:color="231EDC" w:themeColor="accent1"/>
          <w:insideH w:val="single" w:sz="4" w:space="0" w:color="231EDC" w:themeColor="accent1"/>
          <w:insideV w:val="single" w:sz="4" w:space="0" w:color="231EDC" w:themeColor="accent1"/>
        </w:tblBorders>
        <w:tblLook w:val="04A0" w:firstRow="1" w:lastRow="0" w:firstColumn="1" w:lastColumn="0" w:noHBand="0" w:noVBand="1"/>
      </w:tblPr>
      <w:tblGrid>
        <w:gridCol w:w="1806"/>
        <w:gridCol w:w="7822"/>
      </w:tblGrid>
      <w:tr w:rsidR="00C52960" w:rsidRPr="005D74D1" w14:paraId="7C233EA8" w14:textId="77777777" w:rsidTr="00140664">
        <w:trPr>
          <w:cnfStyle w:val="100000000000" w:firstRow="1" w:lastRow="0" w:firstColumn="0" w:lastColumn="0" w:oddVBand="0" w:evenVBand="0" w:oddHBand="0" w:evenHBand="0" w:firstRowFirstColumn="0" w:firstRowLastColumn="0" w:lastRowFirstColumn="0" w:lastRowLastColumn="0"/>
          <w:trHeight w:val="478"/>
          <w:tblHeader/>
        </w:trPr>
        <w:tc>
          <w:tcPr>
            <w:cnfStyle w:val="001000000000" w:firstRow="0" w:lastRow="0" w:firstColumn="1" w:lastColumn="0" w:oddVBand="0" w:evenVBand="0" w:oddHBand="0" w:evenHBand="0" w:firstRowFirstColumn="0" w:firstRowLastColumn="0" w:lastRowFirstColumn="0" w:lastRowLastColumn="0"/>
            <w:tcW w:w="932" w:type="pct"/>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301012B8" w14:textId="2B93DDB5" w:rsidR="007C3044" w:rsidRPr="00A134A7" w:rsidRDefault="00A85EDD" w:rsidP="00140664">
            <w:pPr>
              <w:pStyle w:val="TableHeadingWhite"/>
              <w:jc w:val="center"/>
              <w:rPr>
                <w:rFonts w:cs="Arial"/>
                <w:sz w:val="20"/>
                <w:lang w:val="en-AU"/>
              </w:rPr>
            </w:pPr>
            <w:r w:rsidRPr="005D74D1">
              <w:rPr>
                <w:rFonts w:cs="Arial"/>
              </w:rPr>
              <w:t>Evaluation Domain</w:t>
            </w:r>
          </w:p>
        </w:tc>
        <w:tc>
          <w:tcPr>
            <w:tcW w:w="4068"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3AAD7BC" w14:textId="77777777" w:rsidR="007C3044" w:rsidRPr="00A134A7" w:rsidRDefault="007C3044" w:rsidP="00357C58">
            <w:pPr>
              <w:pStyle w:val="TableHeadingWhite"/>
              <w:cnfStyle w:val="100000000000" w:firstRow="1" w:lastRow="0" w:firstColumn="0" w:lastColumn="0" w:oddVBand="0" w:evenVBand="0" w:oddHBand="0" w:evenHBand="0" w:firstRowFirstColumn="0" w:firstRowLastColumn="0" w:lastRowFirstColumn="0" w:lastRowLastColumn="0"/>
              <w:rPr>
                <w:rFonts w:cs="Arial"/>
                <w:sz w:val="20"/>
                <w:lang w:val="en-AU"/>
              </w:rPr>
            </w:pPr>
            <w:r w:rsidRPr="005D74D1">
              <w:rPr>
                <w:rFonts w:cs="Arial"/>
              </w:rPr>
              <w:t>Findings summary</w:t>
            </w:r>
          </w:p>
        </w:tc>
      </w:tr>
      <w:tr w:rsidR="00C52960" w:rsidRPr="005D74D1" w14:paraId="26B89891" w14:textId="77777777" w:rsidTr="00140664">
        <w:trPr>
          <w:trHeight w:val="404"/>
        </w:trPr>
        <w:tc>
          <w:tcPr>
            <w:cnfStyle w:val="001000000000" w:firstRow="0" w:lastRow="0" w:firstColumn="1" w:lastColumn="0" w:oddVBand="0" w:evenVBand="0" w:oddHBand="0" w:evenHBand="0" w:firstRowFirstColumn="0" w:firstRowLastColumn="0" w:lastRowFirstColumn="0" w:lastRowLastColumn="0"/>
            <w:tcW w:w="932" w:type="pct"/>
            <w:tcBorders>
              <w:top w:val="none" w:sz="0" w:space="0" w:color="auto"/>
              <w:left w:val="none" w:sz="0" w:space="0" w:color="auto"/>
              <w:bottom w:val="none" w:sz="0" w:space="0" w:color="auto"/>
              <w:right w:val="none" w:sz="0" w:space="0" w:color="auto"/>
            </w:tcBorders>
            <w:shd w:val="clear" w:color="auto" w:fill="auto"/>
            <w:vAlign w:val="center"/>
          </w:tcPr>
          <w:p w14:paraId="6F279A81" w14:textId="1950B974" w:rsidR="00F216D2" w:rsidRPr="00A134A7" w:rsidRDefault="00F216D2" w:rsidP="00140664">
            <w:pPr>
              <w:pStyle w:val="TableText"/>
              <w:jc w:val="center"/>
              <w:rPr>
                <w:rFonts w:cs="Arial"/>
                <w:b/>
                <w:bCs/>
                <w:lang w:val="en-AU"/>
              </w:rPr>
            </w:pPr>
            <w:r w:rsidRPr="005D74D1">
              <w:rPr>
                <w:rFonts w:cs="Arial"/>
                <w:b/>
                <w:bCs/>
              </w:rPr>
              <w:t>Impact</w:t>
            </w:r>
          </w:p>
          <w:p w14:paraId="2A55F303" w14:textId="49317A12" w:rsidR="00F216D2" w:rsidRPr="00A134A7" w:rsidRDefault="00F216D2" w:rsidP="00140664">
            <w:pPr>
              <w:pStyle w:val="BodyText"/>
              <w:jc w:val="center"/>
              <w:rPr>
                <w:rFonts w:cs="Arial"/>
                <w:lang w:val="en-AU"/>
              </w:rPr>
            </w:pPr>
            <w:r w:rsidRPr="00422D3B">
              <w:rPr>
                <w:rFonts w:cs="Arial"/>
                <w:noProof/>
              </w:rPr>
              <w:drawing>
                <wp:inline distT="0" distB="0" distL="0" distR="0" wp14:anchorId="7227D868" wp14:editId="1A5C2D71">
                  <wp:extent cx="590550" cy="590550"/>
                  <wp:effectExtent l="0" t="0" r="0" b="0"/>
                  <wp:docPr id="16" name="Graphic 16" descr="Splash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6" descr="Splash1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590550" cy="590550"/>
                          </a:xfrm>
                          <a:prstGeom prst="rect">
                            <a:avLst/>
                          </a:prstGeom>
                        </pic:spPr>
                      </pic:pic>
                    </a:graphicData>
                  </a:graphic>
                </wp:inline>
              </w:drawing>
            </w:r>
          </w:p>
        </w:tc>
        <w:tc>
          <w:tcPr>
            <w:tcW w:w="4068" w:type="pct"/>
            <w:shd w:val="clear" w:color="auto" w:fill="auto"/>
          </w:tcPr>
          <w:p w14:paraId="440BB986" w14:textId="0AAE3228" w:rsidR="00F216D2" w:rsidRPr="005D74D1" w:rsidRDefault="00F216D2" w:rsidP="008A7232">
            <w:pPr>
              <w:pStyle w:val="TableText"/>
              <w:cnfStyle w:val="000000000000" w:firstRow="0" w:lastRow="0" w:firstColumn="0" w:lastColumn="0" w:oddVBand="0" w:evenVBand="0" w:oddHBand="0" w:evenHBand="0" w:firstRowFirstColumn="0" w:firstRowLastColumn="0" w:lastRowFirstColumn="0" w:lastRowLastColumn="0"/>
              <w:rPr>
                <w:rFonts w:cs="Arial"/>
                <w:bCs/>
                <w:lang w:val="en-AU"/>
              </w:rPr>
            </w:pPr>
            <w:r w:rsidRPr="005D74D1">
              <w:rPr>
                <w:rFonts w:cs="Arial"/>
                <w:bCs/>
                <w:lang w:val="en-AU"/>
              </w:rPr>
              <w:t>Key findings for each of the EC5 long</w:t>
            </w:r>
            <w:r w:rsidR="00FA61C4" w:rsidRPr="005D74D1">
              <w:rPr>
                <w:rFonts w:cs="Arial"/>
                <w:bCs/>
                <w:lang w:val="en-AU"/>
              </w:rPr>
              <w:t>-</w:t>
            </w:r>
            <w:r w:rsidRPr="005D74D1">
              <w:rPr>
                <w:rFonts w:cs="Arial"/>
                <w:bCs/>
                <w:lang w:val="en-AU"/>
              </w:rPr>
              <w:t xml:space="preserve">term outcomes </w:t>
            </w:r>
            <w:r w:rsidR="00896F19" w:rsidRPr="005D74D1">
              <w:rPr>
                <w:rFonts w:cs="Arial"/>
                <w:bCs/>
                <w:lang w:val="en-AU"/>
              </w:rPr>
              <w:t>are</w:t>
            </w:r>
            <w:r w:rsidRPr="005D74D1">
              <w:rPr>
                <w:rFonts w:cs="Arial"/>
                <w:bCs/>
                <w:lang w:val="en-AU"/>
              </w:rPr>
              <w:t>:</w:t>
            </w:r>
          </w:p>
          <w:p w14:paraId="7D90A36B" w14:textId="77777777" w:rsidR="00A50E7D" w:rsidRPr="005D74D1" w:rsidRDefault="00F216D2" w:rsidP="00FD4C11">
            <w:pPr>
              <w:pStyle w:val="TableBullet"/>
              <w:cnfStyle w:val="000000000000" w:firstRow="0" w:lastRow="0" w:firstColumn="0" w:lastColumn="0" w:oddVBand="0" w:evenVBand="0" w:oddHBand="0" w:evenHBand="0" w:firstRowFirstColumn="0" w:firstRowLastColumn="0" w:lastRowFirstColumn="0" w:lastRowLastColumn="0"/>
              <w:rPr>
                <w:rFonts w:cs="Arial"/>
                <w:lang w:val="en-AU"/>
              </w:rPr>
            </w:pPr>
            <w:r w:rsidRPr="005D74D1">
              <w:rPr>
                <w:rFonts w:cs="Arial"/>
                <w:b/>
                <w:bCs/>
                <w:lang w:val="en-AU"/>
              </w:rPr>
              <w:t>Water Security:</w:t>
            </w:r>
            <w:r w:rsidRPr="005D74D1">
              <w:rPr>
                <w:rFonts w:cs="Arial"/>
                <w:lang w:val="en-AU"/>
              </w:rPr>
              <w:t xml:space="preserve"> The development of the CGRSWS</w:t>
            </w:r>
            <w:r w:rsidR="00B373B9" w:rsidRPr="005D74D1">
              <w:rPr>
                <w:rFonts w:cs="Arial"/>
                <w:lang w:val="en-AU"/>
              </w:rPr>
              <w:t xml:space="preserve"> </w:t>
            </w:r>
            <w:r w:rsidRPr="005D74D1">
              <w:rPr>
                <w:rFonts w:cs="Arial"/>
                <w:lang w:val="en-AU"/>
              </w:rPr>
              <w:t xml:space="preserve">and associated implementation was a key achievement of EC5. </w:t>
            </w:r>
            <w:r w:rsidR="00CD55D6" w:rsidRPr="00422D3B">
              <w:rPr>
                <w:rFonts w:cs="Arial"/>
                <w:lang w:val="en-AU"/>
              </w:rPr>
              <w:t xml:space="preserve">By taking a 50-year view of the water needs of urban users, rural users, Traditional Owners, and the environment, the </w:t>
            </w:r>
            <w:r w:rsidR="00CD55D6" w:rsidRPr="005D74D1">
              <w:rPr>
                <w:rFonts w:cs="Arial"/>
                <w:lang w:val="en-AU"/>
              </w:rPr>
              <w:t>CGRSWS</w:t>
            </w:r>
            <w:r w:rsidR="007313CA" w:rsidRPr="005D74D1">
              <w:rPr>
                <w:rFonts w:cs="Arial"/>
                <w:lang w:val="en-AU"/>
              </w:rPr>
              <w:t xml:space="preserve"> </w:t>
            </w:r>
            <w:r w:rsidR="00CD55D6" w:rsidRPr="00422D3B">
              <w:rPr>
                <w:rFonts w:cs="Arial"/>
                <w:lang w:val="en-AU"/>
              </w:rPr>
              <w:t>provide</w:t>
            </w:r>
            <w:r w:rsidR="00541FFB" w:rsidRPr="005D74D1">
              <w:rPr>
                <w:rFonts w:cs="Arial"/>
                <w:lang w:val="en-AU"/>
              </w:rPr>
              <w:t>d</w:t>
            </w:r>
            <w:r w:rsidR="00CD55D6" w:rsidRPr="00422D3B">
              <w:rPr>
                <w:rFonts w:cs="Arial"/>
                <w:lang w:val="en-AU"/>
              </w:rPr>
              <w:t xml:space="preserve"> a balanced approach to </w:t>
            </w:r>
            <w:r w:rsidR="008F354F" w:rsidRPr="005D74D1">
              <w:rPr>
                <w:rFonts w:cs="Arial"/>
                <w:lang w:val="en-AU"/>
              </w:rPr>
              <w:t xml:space="preserve">increasing </w:t>
            </w:r>
            <w:r w:rsidR="00AB4341" w:rsidRPr="005D74D1">
              <w:rPr>
                <w:rFonts w:cs="Arial"/>
                <w:lang w:val="en-AU"/>
              </w:rPr>
              <w:t xml:space="preserve">water </w:t>
            </w:r>
            <w:r w:rsidR="008F354F" w:rsidRPr="005D74D1">
              <w:rPr>
                <w:rFonts w:cs="Arial"/>
                <w:lang w:val="en-AU"/>
              </w:rPr>
              <w:t>supply and sharing</w:t>
            </w:r>
            <w:r w:rsidR="00CD55D6" w:rsidRPr="00422D3B">
              <w:rPr>
                <w:rFonts w:cs="Arial"/>
                <w:lang w:val="en-AU"/>
              </w:rPr>
              <w:t xml:space="preserve"> water resources into the future that has been integral in minimising conflicts between affected parties while achieving beneficial</w:t>
            </w:r>
            <w:r w:rsidR="00E8687E" w:rsidRPr="005D74D1">
              <w:rPr>
                <w:rFonts w:cs="Arial"/>
                <w:lang w:val="en-AU"/>
              </w:rPr>
              <w:t xml:space="preserve"> outcomes </w:t>
            </w:r>
            <w:r w:rsidR="00A958FE" w:rsidRPr="005D74D1">
              <w:rPr>
                <w:rFonts w:cs="Arial"/>
                <w:lang w:val="en-AU"/>
              </w:rPr>
              <w:t>for</w:t>
            </w:r>
            <w:r w:rsidR="00AF7EBA" w:rsidRPr="005D74D1">
              <w:rPr>
                <w:rFonts w:cs="Arial"/>
                <w:lang w:val="en-AU"/>
              </w:rPr>
              <w:t xml:space="preserve"> climate change and population growth</w:t>
            </w:r>
            <w:r w:rsidR="00CD55D6" w:rsidRPr="00422D3B">
              <w:rPr>
                <w:rFonts w:cs="Arial"/>
                <w:lang w:val="en-AU"/>
              </w:rPr>
              <w:t>.</w:t>
            </w:r>
            <w:r w:rsidRPr="00A134A7">
              <w:rPr>
                <w:rFonts w:cs="Arial"/>
                <w:sz w:val="19"/>
                <w:szCs w:val="19"/>
                <w:lang w:val="en-AU" w:eastAsia="en-AU"/>
              </w:rPr>
              <w:t xml:space="preserve"> </w:t>
            </w:r>
            <w:r w:rsidRPr="005D74D1">
              <w:rPr>
                <w:rFonts w:cs="Arial"/>
                <w:lang w:val="en-AU"/>
              </w:rPr>
              <w:t>A range of on</w:t>
            </w:r>
            <w:r w:rsidR="005022D8" w:rsidRPr="005D74D1">
              <w:rPr>
                <w:rFonts w:cs="Arial"/>
                <w:lang w:val="en-AU"/>
              </w:rPr>
              <w:t>-</w:t>
            </w:r>
            <w:r w:rsidRPr="005D74D1">
              <w:rPr>
                <w:rFonts w:cs="Arial"/>
                <w:lang w:val="en-AU"/>
              </w:rPr>
              <w:t xml:space="preserve">ground works, designs, and planning for uptake of </w:t>
            </w:r>
            <w:r w:rsidR="00A006BD" w:rsidRPr="005D74D1">
              <w:rPr>
                <w:rFonts w:cs="Arial"/>
                <w:lang w:val="en-AU"/>
              </w:rPr>
              <w:t xml:space="preserve">manufactured </w:t>
            </w:r>
            <w:r w:rsidRPr="005D74D1">
              <w:rPr>
                <w:rFonts w:cs="Arial"/>
                <w:lang w:val="en-AU"/>
              </w:rPr>
              <w:t xml:space="preserve">water supplies </w:t>
            </w:r>
            <w:r w:rsidR="004A26B7" w:rsidRPr="005D74D1">
              <w:rPr>
                <w:rFonts w:cs="Arial"/>
                <w:lang w:val="en-AU"/>
              </w:rPr>
              <w:t>through an Integrated Water Management (IWM) approach</w:t>
            </w:r>
            <w:r w:rsidR="002B47BE" w:rsidRPr="005D74D1">
              <w:rPr>
                <w:rFonts w:cs="Arial"/>
                <w:lang w:val="en-AU"/>
              </w:rPr>
              <w:t xml:space="preserve"> </w:t>
            </w:r>
            <w:r w:rsidRPr="005D74D1">
              <w:rPr>
                <w:rFonts w:cs="Arial"/>
                <w:lang w:val="en-AU"/>
              </w:rPr>
              <w:t xml:space="preserve">were delivered, representing a shift from primarily policy and planning (in EC4) toward implementation. </w:t>
            </w:r>
            <w:r w:rsidR="7E8B55F8" w:rsidRPr="005D74D1">
              <w:rPr>
                <w:rFonts w:cs="Arial"/>
                <w:lang w:val="en-AU"/>
              </w:rPr>
              <w:t xml:space="preserve">A suite of reviews, planning processes, reform and technology improvement </w:t>
            </w:r>
            <w:r w:rsidR="2513F288" w:rsidRPr="005D74D1">
              <w:rPr>
                <w:rFonts w:cs="Arial"/>
                <w:lang w:val="en-AU"/>
              </w:rPr>
              <w:t xml:space="preserve">activities </w:t>
            </w:r>
            <w:r w:rsidR="3AE2AC98" w:rsidRPr="005D74D1">
              <w:rPr>
                <w:rFonts w:cs="Arial"/>
                <w:lang w:val="en-AU"/>
              </w:rPr>
              <w:t xml:space="preserve">has supported progress toward </w:t>
            </w:r>
            <w:r w:rsidR="2513F288" w:rsidRPr="005D74D1">
              <w:rPr>
                <w:rFonts w:cs="Arial"/>
                <w:lang w:val="en-AU"/>
              </w:rPr>
              <w:t>reduc</w:t>
            </w:r>
            <w:r w:rsidR="3AE2AC98" w:rsidRPr="005D74D1">
              <w:rPr>
                <w:rFonts w:cs="Arial"/>
                <w:lang w:val="en-AU"/>
              </w:rPr>
              <w:t>ing</w:t>
            </w:r>
            <w:r w:rsidR="7E8B55F8" w:rsidRPr="005D74D1">
              <w:rPr>
                <w:rFonts w:cs="Arial"/>
                <w:lang w:val="en-AU"/>
              </w:rPr>
              <w:t xml:space="preserve"> pressure on the </w:t>
            </w:r>
            <w:r w:rsidR="168E5CD5" w:rsidRPr="005D74D1">
              <w:rPr>
                <w:rFonts w:cs="Arial"/>
                <w:lang w:val="en-AU"/>
              </w:rPr>
              <w:t>w</w:t>
            </w:r>
            <w:r w:rsidR="7E8B55F8" w:rsidRPr="005D74D1">
              <w:rPr>
                <w:rFonts w:cs="Arial"/>
                <w:lang w:val="en-AU"/>
              </w:rPr>
              <w:t xml:space="preserve">ater </w:t>
            </w:r>
            <w:r w:rsidR="168E5CD5" w:rsidRPr="005D74D1">
              <w:rPr>
                <w:rFonts w:cs="Arial"/>
                <w:lang w:val="en-AU"/>
              </w:rPr>
              <w:t>g</w:t>
            </w:r>
            <w:r w:rsidR="7E8B55F8" w:rsidRPr="005D74D1">
              <w:rPr>
                <w:rFonts w:cs="Arial"/>
                <w:lang w:val="en-AU"/>
              </w:rPr>
              <w:t>rid, improv</w:t>
            </w:r>
            <w:r w:rsidR="3AE2AC98" w:rsidRPr="005D74D1">
              <w:rPr>
                <w:rFonts w:cs="Arial"/>
                <w:lang w:val="en-AU"/>
              </w:rPr>
              <w:t>ing</w:t>
            </w:r>
            <w:r w:rsidR="7E8B55F8" w:rsidRPr="005D74D1">
              <w:rPr>
                <w:rFonts w:cs="Arial"/>
                <w:lang w:val="en-AU"/>
              </w:rPr>
              <w:t xml:space="preserve"> functioning of water markets, and enhan</w:t>
            </w:r>
            <w:r w:rsidR="3AE2AC98" w:rsidRPr="005D74D1">
              <w:rPr>
                <w:rFonts w:cs="Arial"/>
                <w:lang w:val="en-AU"/>
              </w:rPr>
              <w:t>cing</w:t>
            </w:r>
            <w:r w:rsidR="7E8B55F8" w:rsidRPr="005D74D1">
              <w:rPr>
                <w:rFonts w:cs="Arial"/>
                <w:lang w:val="en-AU"/>
              </w:rPr>
              <w:t xml:space="preserve"> the water entitlement </w:t>
            </w:r>
            <w:r w:rsidR="296AF937" w:rsidRPr="005D74D1">
              <w:rPr>
                <w:rFonts w:cs="Arial"/>
                <w:lang w:val="en-AU"/>
              </w:rPr>
              <w:t>framework</w:t>
            </w:r>
            <w:r w:rsidR="7E8B55F8" w:rsidRPr="005D74D1">
              <w:rPr>
                <w:rFonts w:cs="Arial"/>
                <w:lang w:val="en-AU"/>
              </w:rPr>
              <w:t>.</w:t>
            </w:r>
          </w:p>
          <w:p w14:paraId="6308765D" w14:textId="7DD407D0" w:rsidR="00643386" w:rsidRPr="005D74D1" w:rsidRDefault="7E8B55F8" w:rsidP="1053CA9E">
            <w:pPr>
              <w:pStyle w:val="TableBullet"/>
              <w:cnfStyle w:val="000000000000" w:firstRow="0" w:lastRow="0" w:firstColumn="0" w:lastColumn="0" w:oddVBand="0" w:evenVBand="0" w:oddHBand="0" w:evenHBand="0" w:firstRowFirstColumn="0" w:firstRowLastColumn="0" w:lastRowFirstColumn="0" w:lastRowLastColumn="0"/>
              <w:rPr>
                <w:rFonts w:cs="Arial"/>
                <w:lang w:val="en-AU"/>
              </w:rPr>
            </w:pPr>
            <w:r w:rsidRPr="005D74D1">
              <w:rPr>
                <w:rFonts w:cs="Arial"/>
                <w:b/>
                <w:bCs/>
                <w:lang w:val="en-AU"/>
              </w:rPr>
              <w:t>Water Efficiency:</w:t>
            </w:r>
            <w:r w:rsidRPr="005D74D1">
              <w:rPr>
                <w:rFonts w:cs="Arial"/>
                <w:lang w:val="en-AU"/>
              </w:rPr>
              <w:t xml:space="preserve"> Water efficiency outcomes were delivered to multiple facets of the Victorian community</w:t>
            </w:r>
            <w:r w:rsidR="296AF937" w:rsidRPr="005D74D1">
              <w:rPr>
                <w:rFonts w:cs="Arial"/>
                <w:lang w:val="en-AU"/>
              </w:rPr>
              <w:t>,</w:t>
            </w:r>
            <w:r w:rsidRPr="005D74D1">
              <w:rPr>
                <w:rFonts w:cs="Arial"/>
                <w:lang w:val="en-AU"/>
              </w:rPr>
              <w:t xml:space="preserve"> including schools, urban households, irrigators</w:t>
            </w:r>
            <w:r w:rsidR="00F45E82" w:rsidRPr="005D74D1">
              <w:rPr>
                <w:rFonts w:cs="Arial"/>
                <w:lang w:val="en-AU"/>
              </w:rPr>
              <w:t>,</w:t>
            </w:r>
            <w:r w:rsidRPr="005D74D1">
              <w:rPr>
                <w:rFonts w:cs="Arial"/>
                <w:lang w:val="en-AU"/>
              </w:rPr>
              <w:t xml:space="preserve"> and regional communities. </w:t>
            </w:r>
            <w:r w:rsidR="005D1FE5" w:rsidRPr="005D74D1">
              <w:rPr>
                <w:rFonts w:cs="Arial"/>
                <w:lang w:val="en-AU"/>
              </w:rPr>
              <w:t xml:space="preserve">The Community </w:t>
            </w:r>
            <w:r w:rsidR="007D4E31" w:rsidRPr="005D74D1">
              <w:rPr>
                <w:rFonts w:cs="Arial"/>
                <w:lang w:val="en-AU"/>
              </w:rPr>
              <w:t xml:space="preserve">Rebate Program </w:t>
            </w:r>
            <w:r w:rsidR="0086076F" w:rsidRPr="005D74D1">
              <w:rPr>
                <w:rFonts w:cs="Arial"/>
                <w:lang w:val="en-AU"/>
              </w:rPr>
              <w:t>(CRP)</w:t>
            </w:r>
            <w:r w:rsidR="007D4E31" w:rsidRPr="005D74D1">
              <w:rPr>
                <w:rFonts w:cs="Arial"/>
                <w:lang w:val="en-AU"/>
              </w:rPr>
              <w:t xml:space="preserve"> and Community Housing Retrofit Program</w:t>
            </w:r>
            <w:r w:rsidR="0086076F" w:rsidRPr="005D74D1">
              <w:rPr>
                <w:rFonts w:cs="Arial"/>
                <w:lang w:val="en-AU"/>
              </w:rPr>
              <w:t xml:space="preserve"> (CHRP)</w:t>
            </w:r>
            <w:r w:rsidRPr="005D74D1">
              <w:rPr>
                <w:rFonts w:cs="Arial"/>
                <w:lang w:val="en-AU"/>
              </w:rPr>
              <w:t xml:space="preserve"> saved </w:t>
            </w:r>
            <w:r w:rsidR="0005799E" w:rsidRPr="005D74D1">
              <w:rPr>
                <w:rFonts w:cs="Arial"/>
                <w:lang w:val="en-AU"/>
              </w:rPr>
              <w:t>0.</w:t>
            </w:r>
            <w:r w:rsidR="00AF4C9F" w:rsidRPr="005D74D1">
              <w:rPr>
                <w:rFonts w:cs="Arial"/>
                <w:lang w:val="en-AU"/>
              </w:rPr>
              <w:t>298</w:t>
            </w:r>
            <w:r w:rsidRPr="005D74D1">
              <w:rPr>
                <w:rFonts w:cs="Arial"/>
                <w:lang w:val="en-AU"/>
              </w:rPr>
              <w:t xml:space="preserve"> </w:t>
            </w:r>
            <w:r w:rsidR="0005799E" w:rsidRPr="005D74D1">
              <w:rPr>
                <w:rFonts w:cs="Arial"/>
                <w:lang w:val="en-AU"/>
              </w:rPr>
              <w:t>G</w:t>
            </w:r>
            <w:r w:rsidRPr="005D74D1">
              <w:rPr>
                <w:rFonts w:cs="Arial"/>
                <w:lang w:val="en-AU"/>
              </w:rPr>
              <w:t>L/yr in households</w:t>
            </w:r>
            <w:r w:rsidR="00877A8F" w:rsidRPr="005D74D1">
              <w:rPr>
                <w:rFonts w:cs="Arial"/>
                <w:lang w:val="en-AU"/>
              </w:rPr>
              <w:t xml:space="preserve"> and emergency community housing properties. </w:t>
            </w:r>
            <w:r w:rsidR="00F470D4" w:rsidRPr="005D74D1">
              <w:rPr>
                <w:rFonts w:cs="Arial"/>
                <w:lang w:val="en-AU"/>
              </w:rPr>
              <w:t xml:space="preserve">The </w:t>
            </w:r>
            <w:r w:rsidR="00877BB8" w:rsidRPr="005D74D1">
              <w:rPr>
                <w:rFonts w:cs="Arial"/>
                <w:lang w:val="en-AU"/>
              </w:rPr>
              <w:t>Schools Water Efficiency Program</w:t>
            </w:r>
            <w:r w:rsidR="000720D2" w:rsidRPr="005D74D1">
              <w:rPr>
                <w:rFonts w:cs="Arial"/>
                <w:lang w:val="en-AU"/>
              </w:rPr>
              <w:t xml:space="preserve"> (SWEP)</w:t>
            </w:r>
            <w:r w:rsidRPr="005D74D1">
              <w:rPr>
                <w:rFonts w:cs="Arial"/>
                <w:lang w:val="en-AU"/>
              </w:rPr>
              <w:t xml:space="preserve"> </w:t>
            </w:r>
            <w:r w:rsidR="00FE196A" w:rsidRPr="005D74D1">
              <w:rPr>
                <w:rFonts w:cs="Arial"/>
                <w:lang w:val="en-AU"/>
              </w:rPr>
              <w:t xml:space="preserve">saved </w:t>
            </w:r>
            <w:r w:rsidRPr="005D74D1">
              <w:rPr>
                <w:rFonts w:cs="Arial"/>
                <w:lang w:val="en-AU"/>
              </w:rPr>
              <w:t>1.</w:t>
            </w:r>
            <w:r w:rsidR="00156B2E" w:rsidRPr="005D74D1">
              <w:rPr>
                <w:rFonts w:cs="Arial"/>
                <w:lang w:val="en-AU"/>
              </w:rPr>
              <w:t>9</w:t>
            </w:r>
            <w:r w:rsidR="000A25AE" w:rsidRPr="005D74D1">
              <w:rPr>
                <w:rFonts w:cs="Arial"/>
                <w:lang w:val="en-AU"/>
              </w:rPr>
              <w:t> </w:t>
            </w:r>
            <w:r w:rsidRPr="005D74D1">
              <w:rPr>
                <w:rFonts w:cs="Arial"/>
                <w:lang w:val="en-AU"/>
              </w:rPr>
              <w:t>GL</w:t>
            </w:r>
            <w:r w:rsidR="00C36F7F" w:rsidRPr="005D74D1">
              <w:rPr>
                <w:rFonts w:cs="Arial"/>
                <w:lang w:val="en-AU"/>
              </w:rPr>
              <w:t xml:space="preserve"> over the investment period</w:t>
            </w:r>
            <w:r w:rsidRPr="005D74D1">
              <w:rPr>
                <w:rFonts w:cs="Arial"/>
                <w:lang w:val="en-AU"/>
              </w:rPr>
              <w:t xml:space="preserve">. </w:t>
            </w:r>
            <w:r w:rsidR="00EB4407" w:rsidRPr="005D74D1">
              <w:rPr>
                <w:rFonts w:cs="Arial"/>
                <w:lang w:val="en-AU"/>
              </w:rPr>
              <w:t xml:space="preserve">Investments in residential behaviour change initiatives contributed to the Smart Water Advice portal, providing water saving tips to households and businesses, </w:t>
            </w:r>
            <w:r w:rsidR="00817227" w:rsidRPr="005D74D1">
              <w:rPr>
                <w:rFonts w:cs="Arial"/>
                <w:lang w:val="en-AU"/>
              </w:rPr>
              <w:t>updating</w:t>
            </w:r>
            <w:r w:rsidR="00EB4407" w:rsidRPr="005D74D1">
              <w:rPr>
                <w:rFonts w:cs="Arial"/>
                <w:lang w:val="en-AU"/>
              </w:rPr>
              <w:t xml:space="preserve"> Target 155 to Target 150, and Victoria’s contribution to the Commonwealth’s </w:t>
            </w:r>
            <w:r w:rsidR="00817227" w:rsidRPr="005D74D1">
              <w:rPr>
                <w:rFonts w:cs="Arial"/>
                <w:lang w:val="en-AU"/>
              </w:rPr>
              <w:t>Water E</w:t>
            </w:r>
            <w:r w:rsidR="00817227" w:rsidRPr="00422D3B">
              <w:rPr>
                <w:rFonts w:cs="Arial"/>
                <w:lang w:val="en-AU"/>
              </w:rPr>
              <w:t>f</w:t>
            </w:r>
            <w:r w:rsidR="00817227" w:rsidRPr="005D74D1">
              <w:rPr>
                <w:rFonts w:cs="Arial"/>
                <w:lang w:val="en-AU"/>
              </w:rPr>
              <w:t>ficiency Labelling Standards (</w:t>
            </w:r>
            <w:r w:rsidR="00EB4407" w:rsidRPr="005D74D1">
              <w:rPr>
                <w:rFonts w:cs="Arial"/>
                <w:lang w:val="en-AU"/>
              </w:rPr>
              <w:t>WELS</w:t>
            </w:r>
            <w:r w:rsidR="00817227" w:rsidRPr="005D74D1">
              <w:rPr>
                <w:rFonts w:cs="Arial"/>
                <w:lang w:val="en-AU"/>
              </w:rPr>
              <w:t>)</w:t>
            </w:r>
            <w:r w:rsidR="00EB4407" w:rsidRPr="005D74D1">
              <w:rPr>
                <w:rFonts w:cs="Arial"/>
                <w:lang w:val="en-AU"/>
              </w:rPr>
              <w:t xml:space="preserve"> scheme, which resulted in 4</w:t>
            </w:r>
            <w:r w:rsidR="000A25AE" w:rsidRPr="005D74D1">
              <w:rPr>
                <w:rFonts w:cs="Arial"/>
                <w:lang w:val="en-AU"/>
              </w:rPr>
              <w:t> </w:t>
            </w:r>
            <w:r w:rsidR="00EB4407" w:rsidRPr="005D74D1">
              <w:rPr>
                <w:rFonts w:cs="Arial"/>
                <w:lang w:val="en-AU"/>
              </w:rPr>
              <w:t>GL of water savings</w:t>
            </w:r>
            <w:r w:rsidR="00A75439" w:rsidRPr="005D74D1">
              <w:rPr>
                <w:rFonts w:cs="Arial"/>
                <w:lang w:val="en-AU"/>
              </w:rPr>
              <w:t xml:space="preserve"> over the period</w:t>
            </w:r>
            <w:r w:rsidR="00EB4407" w:rsidRPr="005D74D1">
              <w:rPr>
                <w:rFonts w:cs="Arial"/>
                <w:lang w:val="en-AU"/>
              </w:rPr>
              <w:t xml:space="preserve">. </w:t>
            </w:r>
            <w:r w:rsidRPr="005D74D1">
              <w:rPr>
                <w:rFonts w:cs="Arial"/>
                <w:lang w:val="en-AU"/>
              </w:rPr>
              <w:t xml:space="preserve">Irrigators are more prepared for a future with reduced water availability, and </w:t>
            </w:r>
            <w:r w:rsidR="3F2FF795" w:rsidRPr="005D74D1">
              <w:rPr>
                <w:rFonts w:cs="Arial"/>
                <w:lang w:val="en-AU"/>
              </w:rPr>
              <w:t>i</w:t>
            </w:r>
            <w:r w:rsidRPr="005D74D1">
              <w:rPr>
                <w:rFonts w:cs="Arial"/>
                <w:lang w:val="en-AU"/>
              </w:rPr>
              <w:t xml:space="preserve">rrigation losses are on track to be reduced by </w:t>
            </w:r>
            <w:r w:rsidR="00660EF4" w:rsidRPr="005D74D1">
              <w:rPr>
                <w:rFonts w:cs="Arial"/>
                <w:lang w:val="en-AU"/>
              </w:rPr>
              <w:t>up to</w:t>
            </w:r>
            <w:r w:rsidRPr="005D74D1">
              <w:rPr>
                <w:rFonts w:cs="Arial"/>
                <w:lang w:val="en-AU"/>
              </w:rPr>
              <w:t>10.3</w:t>
            </w:r>
            <w:r w:rsidR="000A25AE" w:rsidRPr="005D74D1">
              <w:rPr>
                <w:rFonts w:cs="Arial"/>
                <w:lang w:val="en-AU"/>
              </w:rPr>
              <w:t> </w:t>
            </w:r>
            <w:r w:rsidRPr="005D74D1">
              <w:rPr>
                <w:rFonts w:cs="Arial"/>
                <w:lang w:val="en-AU"/>
              </w:rPr>
              <w:t>GL annually</w:t>
            </w:r>
            <w:r w:rsidR="00660EF4" w:rsidRPr="005D74D1">
              <w:rPr>
                <w:rFonts w:cs="Arial"/>
                <w:lang w:val="en-AU"/>
              </w:rPr>
              <w:t xml:space="preserve"> under the Macalister Irrigation District Modernisation Phase 2 Project</w:t>
            </w:r>
            <w:r w:rsidR="001C0806" w:rsidRPr="005D74D1">
              <w:rPr>
                <w:rFonts w:cs="Arial"/>
                <w:lang w:val="en-AU"/>
              </w:rPr>
              <w:t xml:space="preserve"> </w:t>
            </w:r>
            <w:r w:rsidR="00EC12AB" w:rsidRPr="005D74D1">
              <w:rPr>
                <w:rFonts w:cs="Arial"/>
                <w:lang w:val="en-AU"/>
              </w:rPr>
              <w:t>(upon project completion in EC6). A modern risk-based compliance and enforcement framework was implemented to manage unauthorised take</w:t>
            </w:r>
            <w:r w:rsidR="00D26983" w:rsidRPr="005D74D1">
              <w:rPr>
                <w:rFonts w:cs="Arial"/>
                <w:lang w:val="en-AU"/>
              </w:rPr>
              <w:t xml:space="preserve"> of water</w:t>
            </w:r>
            <w:r w:rsidR="00EC12AB" w:rsidRPr="005D74D1">
              <w:rPr>
                <w:rFonts w:cs="Arial"/>
                <w:lang w:val="en-AU"/>
              </w:rPr>
              <w:t>.</w:t>
            </w:r>
          </w:p>
          <w:p w14:paraId="0BA89072" w14:textId="77777777" w:rsidR="00A50E7D" w:rsidRPr="005D74D1" w:rsidRDefault="7E8B55F8">
            <w:pPr>
              <w:pStyle w:val="TableBullet"/>
              <w:cnfStyle w:val="000000000000" w:firstRow="0" w:lastRow="0" w:firstColumn="0" w:lastColumn="0" w:oddVBand="0" w:evenVBand="0" w:oddHBand="0" w:evenHBand="0" w:firstRowFirstColumn="0" w:firstRowLastColumn="0" w:lastRowFirstColumn="0" w:lastRowLastColumn="0"/>
              <w:rPr>
                <w:rFonts w:cs="Arial"/>
                <w:lang w:val="en-AU"/>
              </w:rPr>
            </w:pPr>
            <w:r w:rsidRPr="005D74D1">
              <w:rPr>
                <w:rFonts w:cs="Arial"/>
                <w:b/>
                <w:bCs/>
                <w:lang w:val="en-AU"/>
              </w:rPr>
              <w:t>Waterway and Catchment Health:</w:t>
            </w:r>
            <w:r w:rsidRPr="005D74D1">
              <w:rPr>
                <w:rFonts w:cs="Arial"/>
                <w:lang w:val="en-AU"/>
              </w:rPr>
              <w:t xml:space="preserve"> </w:t>
            </w:r>
            <w:r w:rsidR="007551B5" w:rsidRPr="005D74D1">
              <w:rPr>
                <w:rFonts w:cs="Arial"/>
                <w:lang w:val="en-AU"/>
              </w:rPr>
              <w:t xml:space="preserve">Strong progress was made in improving </w:t>
            </w:r>
            <w:r w:rsidR="007C5524" w:rsidRPr="005D74D1">
              <w:rPr>
                <w:rFonts w:cs="Arial"/>
                <w:lang w:val="en-AU"/>
              </w:rPr>
              <w:t xml:space="preserve">the </w:t>
            </w:r>
            <w:r w:rsidR="007551B5" w:rsidRPr="005D74D1">
              <w:rPr>
                <w:rFonts w:cs="Arial"/>
                <w:lang w:val="en-AU"/>
              </w:rPr>
              <w:t xml:space="preserve">health of waterways and catchments throughout Victoria, with the continuation and extension of several long-term projects. EC5 enabled a suite of 52 IWM projects, including stormwater harvesting, recycled water and rainwater harvesting projects which – when completed – will result in significant stormwater pollution reduction. Over 46,764 ha of place-based on-ground catchment stewardship projects were delivered, along with 35,465 ha of waterway vegetation improvement works across priority sites, continuation and expansion of the Flagship Waterway projects, the Jan Juc daylighting project, and commitment to deliver 88 projects from </w:t>
            </w:r>
            <w:r w:rsidR="008C5ABC" w:rsidRPr="00A134A7">
              <w:rPr>
                <w:rFonts w:cs="Arial"/>
                <w:i/>
                <w:iCs/>
                <w:lang w:val="en-AU"/>
              </w:rPr>
              <w:t>Burndap Birrarung burndap umarkoo</w:t>
            </w:r>
            <w:r w:rsidR="008C5ABC" w:rsidRPr="00A134A7">
              <w:rPr>
                <w:rFonts w:cs="Arial"/>
                <w:lang w:val="en-AU"/>
              </w:rPr>
              <w:t>, the Yarra Strategic Plan (YSP)</w:t>
            </w:r>
            <w:r w:rsidR="007551B5" w:rsidRPr="005D74D1">
              <w:rPr>
                <w:rFonts w:cs="Arial"/>
                <w:lang w:val="en-AU"/>
              </w:rPr>
              <w:t>, focused on protecting and enhancing Birrarung (the Yarra River) and its parklands. Over 3,212 GL of water for the environment was delivered to 161 rivers and wetlands sites in 2023</w:t>
            </w:r>
            <w:r w:rsidR="00643386" w:rsidRPr="005D74D1">
              <w:rPr>
                <w:rFonts w:cs="Arial"/>
                <w:lang w:val="en-AU"/>
              </w:rPr>
              <w:t>-</w:t>
            </w:r>
            <w:r w:rsidR="007551B5" w:rsidRPr="005D74D1">
              <w:rPr>
                <w:rFonts w:cs="Arial"/>
                <w:lang w:val="en-AU"/>
              </w:rPr>
              <w:t>24, 154 sites in 2022</w:t>
            </w:r>
            <w:r w:rsidR="00643386" w:rsidRPr="005D74D1">
              <w:rPr>
                <w:rFonts w:cs="Arial"/>
                <w:lang w:val="en-AU"/>
              </w:rPr>
              <w:t>-</w:t>
            </w:r>
            <w:r w:rsidR="007551B5" w:rsidRPr="005D74D1">
              <w:rPr>
                <w:rFonts w:cs="Arial"/>
                <w:lang w:val="en-AU"/>
              </w:rPr>
              <w:t>23, 170 sites in 2021</w:t>
            </w:r>
            <w:r w:rsidR="00643386" w:rsidRPr="005D74D1">
              <w:rPr>
                <w:rFonts w:cs="Arial"/>
                <w:lang w:val="en-AU"/>
              </w:rPr>
              <w:t>-</w:t>
            </w:r>
            <w:r w:rsidR="007551B5" w:rsidRPr="005D74D1">
              <w:rPr>
                <w:rFonts w:cs="Arial"/>
                <w:lang w:val="en-AU"/>
              </w:rPr>
              <w:t>22, and 225 sites in 2020</w:t>
            </w:r>
            <w:r w:rsidR="00643386" w:rsidRPr="005D74D1">
              <w:rPr>
                <w:rFonts w:cs="Arial"/>
                <w:lang w:val="en-AU"/>
              </w:rPr>
              <w:t>-</w:t>
            </w:r>
            <w:r w:rsidR="007551B5" w:rsidRPr="005D74D1">
              <w:rPr>
                <w:rFonts w:cs="Arial"/>
                <w:lang w:val="en-AU"/>
              </w:rPr>
              <w:t>21. While environmental outcomes generally take time to accrue following investment in waterway health projects, monitoring programs are beginning to show long-term positive environmental changes associated with works from EC5 and earlier tranches, building a strong evidence base.</w:t>
            </w:r>
          </w:p>
          <w:p w14:paraId="1540F8F6" w14:textId="1366B037" w:rsidR="00F216D2" w:rsidRPr="005D74D1" w:rsidRDefault="7E8B55F8" w:rsidP="1053CA9E">
            <w:pPr>
              <w:pStyle w:val="TableBullet"/>
              <w:cnfStyle w:val="000000000000" w:firstRow="0" w:lastRow="0" w:firstColumn="0" w:lastColumn="0" w:oddVBand="0" w:evenVBand="0" w:oddHBand="0" w:evenHBand="0" w:firstRowFirstColumn="0" w:firstRowLastColumn="0" w:lastRowFirstColumn="0" w:lastRowLastColumn="0"/>
              <w:rPr>
                <w:rFonts w:cs="Arial"/>
                <w:lang w:val="en-AU"/>
              </w:rPr>
            </w:pPr>
            <w:r w:rsidRPr="005D74D1">
              <w:rPr>
                <w:rFonts w:cs="Arial"/>
                <w:b/>
                <w:bCs/>
                <w:lang w:val="en-AU"/>
              </w:rPr>
              <w:lastRenderedPageBreak/>
              <w:t>Traditional Owner Priorities:</w:t>
            </w:r>
            <w:r w:rsidRPr="005D74D1">
              <w:rPr>
                <w:rFonts w:cs="Arial"/>
                <w:lang w:val="en-AU"/>
              </w:rPr>
              <w:t xml:space="preserve"> Over EC5, frameworks and strategies have been delivered to help account for and include Traditional Owners</w:t>
            </w:r>
            <w:r w:rsidR="570CB946" w:rsidRPr="005D74D1">
              <w:rPr>
                <w:rFonts w:cs="Arial"/>
                <w:lang w:val="en-AU"/>
              </w:rPr>
              <w:t>’ priorities in water resource management</w:t>
            </w:r>
            <w:r w:rsidRPr="005D74D1">
              <w:rPr>
                <w:rFonts w:cs="Arial"/>
                <w:lang w:val="en-AU"/>
              </w:rPr>
              <w:t>. The publication of</w:t>
            </w:r>
            <w:r w:rsidR="00CB195D" w:rsidRPr="005D74D1">
              <w:rPr>
                <w:rFonts w:cs="Arial"/>
                <w:lang w:val="en-AU"/>
              </w:rPr>
              <w:t xml:space="preserve"> both</w:t>
            </w:r>
            <w:r w:rsidRPr="005D74D1">
              <w:rPr>
                <w:rFonts w:cs="Arial"/>
                <w:lang w:val="en-AU"/>
              </w:rPr>
              <w:t xml:space="preserve"> </w:t>
            </w:r>
            <w:r w:rsidRPr="005D74D1">
              <w:rPr>
                <w:rFonts w:cs="Arial"/>
                <w:i/>
                <w:iCs/>
                <w:lang w:val="en-AU"/>
              </w:rPr>
              <w:t>‘Water is Life’</w:t>
            </w:r>
            <w:r w:rsidR="4DF3B9BC" w:rsidRPr="005D74D1">
              <w:rPr>
                <w:rFonts w:cs="Arial"/>
                <w:i/>
                <w:iCs/>
                <w:lang w:val="en-AU"/>
              </w:rPr>
              <w:t>: Traditional Owner Access to Water Roadmap</w:t>
            </w:r>
            <w:r w:rsidRPr="005D74D1">
              <w:rPr>
                <w:rFonts w:cs="Arial"/>
                <w:lang w:val="en-AU"/>
              </w:rPr>
              <w:t xml:space="preserve"> </w:t>
            </w:r>
            <w:r w:rsidR="56FAEED9" w:rsidRPr="005D74D1">
              <w:rPr>
                <w:rFonts w:cs="Arial"/>
                <w:lang w:val="en-AU"/>
              </w:rPr>
              <w:t xml:space="preserve">and </w:t>
            </w:r>
            <w:r w:rsidR="16635C4B" w:rsidRPr="005D74D1">
              <w:rPr>
                <w:rFonts w:cs="Arial"/>
                <w:lang w:val="en-AU"/>
              </w:rPr>
              <w:t>the</w:t>
            </w:r>
            <w:r w:rsidRPr="005D74D1">
              <w:rPr>
                <w:rFonts w:cs="Arial"/>
                <w:i/>
                <w:iCs/>
                <w:lang w:val="en-AU"/>
              </w:rPr>
              <w:t xml:space="preserve"> </w:t>
            </w:r>
            <w:r w:rsidR="00993F1D" w:rsidRPr="005D74D1">
              <w:rPr>
                <w:rFonts w:cs="Arial"/>
                <w:lang w:val="en-AU"/>
              </w:rPr>
              <w:t>CGRSWS</w:t>
            </w:r>
            <w:r w:rsidR="16635C4B" w:rsidRPr="005D74D1">
              <w:rPr>
                <w:rFonts w:cs="Arial"/>
                <w:lang w:val="en-AU"/>
              </w:rPr>
              <w:t xml:space="preserve"> </w:t>
            </w:r>
            <w:r w:rsidR="00CB195D" w:rsidRPr="005D74D1">
              <w:rPr>
                <w:rFonts w:cs="Arial"/>
                <w:lang w:val="en-AU"/>
              </w:rPr>
              <w:t xml:space="preserve">in 2022 </w:t>
            </w:r>
            <w:r w:rsidR="009923AD" w:rsidRPr="005D74D1">
              <w:rPr>
                <w:rFonts w:cs="Arial"/>
                <w:lang w:val="en-AU"/>
              </w:rPr>
              <w:t>were</w:t>
            </w:r>
            <w:r w:rsidRPr="005D74D1">
              <w:rPr>
                <w:rFonts w:cs="Arial"/>
                <w:lang w:val="en-AU"/>
              </w:rPr>
              <w:t xml:space="preserve"> key achievement</w:t>
            </w:r>
            <w:r w:rsidR="009923AD" w:rsidRPr="005D74D1">
              <w:rPr>
                <w:rFonts w:cs="Arial"/>
                <w:lang w:val="en-AU"/>
              </w:rPr>
              <w:t>s</w:t>
            </w:r>
            <w:r w:rsidRPr="005D74D1">
              <w:rPr>
                <w:rFonts w:cs="Arial"/>
                <w:lang w:val="en-AU"/>
              </w:rPr>
              <w:t xml:space="preserve"> of EC5</w:t>
            </w:r>
            <w:r w:rsidR="008B0EDC" w:rsidRPr="005D74D1">
              <w:rPr>
                <w:rFonts w:cs="Arial"/>
                <w:lang w:val="en-AU"/>
              </w:rPr>
              <w:t>; they</w:t>
            </w:r>
            <w:r w:rsidRPr="005D74D1">
              <w:rPr>
                <w:rFonts w:cs="Arial"/>
                <w:lang w:val="en-AU"/>
              </w:rPr>
              <w:t xml:space="preserve"> represent a policy shift </w:t>
            </w:r>
            <w:r w:rsidR="1DF8DC70" w:rsidRPr="005D74D1">
              <w:rPr>
                <w:rFonts w:cs="Arial"/>
                <w:lang w:val="en-AU"/>
              </w:rPr>
              <w:t>that</w:t>
            </w:r>
            <w:r w:rsidRPr="005D74D1">
              <w:rPr>
                <w:rFonts w:cs="Arial"/>
                <w:lang w:val="en-AU"/>
              </w:rPr>
              <w:t xml:space="preserve"> provides new guidance and policy direction </w:t>
            </w:r>
            <w:r w:rsidR="001A3785" w:rsidRPr="005D74D1">
              <w:rPr>
                <w:rFonts w:cs="Arial"/>
                <w:lang w:val="en-AU"/>
              </w:rPr>
              <w:t>for the inclusion of Traditional Owners in the management of Victoria’s water resources</w:t>
            </w:r>
            <w:r w:rsidRPr="005D74D1">
              <w:rPr>
                <w:rFonts w:cs="Arial"/>
                <w:lang w:val="en-AU"/>
              </w:rPr>
              <w:t xml:space="preserve">. </w:t>
            </w:r>
            <w:r w:rsidR="6DF94193" w:rsidRPr="005D74D1">
              <w:rPr>
                <w:rFonts w:cs="Arial"/>
                <w:lang w:val="en-AU"/>
              </w:rPr>
              <w:t xml:space="preserve">However, there remains significant work to be done to successfully implement the actions from </w:t>
            </w:r>
            <w:r w:rsidR="6DF94193" w:rsidRPr="005D74D1">
              <w:rPr>
                <w:rFonts w:cs="Arial"/>
                <w:i/>
                <w:iCs/>
                <w:lang w:val="en-AU"/>
              </w:rPr>
              <w:t>Water is Life</w:t>
            </w:r>
            <w:r w:rsidR="34BCC32A" w:rsidRPr="005D74D1">
              <w:rPr>
                <w:rFonts w:cs="Arial"/>
                <w:lang w:val="en-AU"/>
              </w:rPr>
              <w:t xml:space="preserve"> and the </w:t>
            </w:r>
            <w:r w:rsidR="00993F1D" w:rsidRPr="005D74D1">
              <w:rPr>
                <w:rFonts w:cs="Arial"/>
                <w:lang w:val="en-AU"/>
              </w:rPr>
              <w:t>CGRSWS</w:t>
            </w:r>
            <w:r w:rsidR="6DF94193" w:rsidRPr="005D74D1">
              <w:rPr>
                <w:rFonts w:cs="Arial"/>
                <w:lang w:val="en-AU"/>
              </w:rPr>
              <w:t xml:space="preserve">, and meaningfully </w:t>
            </w:r>
            <w:r w:rsidR="00CE3367" w:rsidRPr="005D74D1">
              <w:rPr>
                <w:rFonts w:cs="Arial"/>
                <w:lang w:val="en-AU"/>
              </w:rPr>
              <w:t>embed Traditional Owner involvement, values</w:t>
            </w:r>
            <w:r w:rsidR="006C5028" w:rsidRPr="005D74D1">
              <w:rPr>
                <w:rFonts w:cs="Arial"/>
                <w:lang w:val="en-AU"/>
              </w:rPr>
              <w:t>,</w:t>
            </w:r>
            <w:r w:rsidR="00CE3367" w:rsidRPr="005D74D1">
              <w:rPr>
                <w:rFonts w:cs="Arial"/>
                <w:lang w:val="en-AU"/>
              </w:rPr>
              <w:t xml:space="preserve"> and principles of self-determination throughout EC projects and the broader Victorian Water sector</w:t>
            </w:r>
            <w:r w:rsidRPr="005D74D1">
              <w:rPr>
                <w:rFonts w:cs="Arial"/>
                <w:lang w:val="en-AU"/>
              </w:rPr>
              <w:t>.</w:t>
            </w:r>
          </w:p>
          <w:p w14:paraId="789BC217" w14:textId="480E74BC" w:rsidR="00F216D2" w:rsidRPr="005D74D1" w:rsidRDefault="7E8B55F8" w:rsidP="005D4432">
            <w:pPr>
              <w:pStyle w:val="TableBullet"/>
              <w:cnfStyle w:val="000000000000" w:firstRow="0" w:lastRow="0" w:firstColumn="0" w:lastColumn="0" w:oddVBand="0" w:evenVBand="0" w:oddHBand="0" w:evenHBand="0" w:firstRowFirstColumn="0" w:firstRowLastColumn="0" w:lastRowFirstColumn="0" w:lastRowLastColumn="0"/>
              <w:rPr>
                <w:rFonts w:cs="Arial"/>
                <w:lang w:val="en-AU"/>
              </w:rPr>
            </w:pPr>
            <w:r w:rsidRPr="005D74D1">
              <w:rPr>
                <w:rFonts w:cs="Arial"/>
                <w:b/>
                <w:bCs/>
                <w:lang w:val="en-AU"/>
              </w:rPr>
              <w:t xml:space="preserve">Inclusive </w:t>
            </w:r>
            <w:r w:rsidR="12B9B5C4" w:rsidRPr="005D74D1">
              <w:rPr>
                <w:rFonts w:cs="Arial"/>
                <w:b/>
                <w:bCs/>
                <w:lang w:val="en-AU"/>
              </w:rPr>
              <w:t>M</w:t>
            </w:r>
            <w:r w:rsidRPr="005D74D1">
              <w:rPr>
                <w:rFonts w:cs="Arial"/>
                <w:b/>
                <w:bCs/>
                <w:lang w:val="en-AU"/>
              </w:rPr>
              <w:t>anagement:</w:t>
            </w:r>
            <w:r w:rsidRPr="005D74D1">
              <w:rPr>
                <w:rFonts w:cs="Arial"/>
                <w:lang w:val="en-AU"/>
              </w:rPr>
              <w:t xml:space="preserve"> The EC5 </w:t>
            </w:r>
            <w:r w:rsidR="11F4A1DC" w:rsidRPr="005D74D1">
              <w:rPr>
                <w:rFonts w:cs="Arial"/>
                <w:lang w:val="en-AU"/>
              </w:rPr>
              <w:t>project</w:t>
            </w:r>
            <w:r w:rsidRPr="005D74D1">
              <w:rPr>
                <w:rFonts w:cs="Arial"/>
                <w:lang w:val="en-AU"/>
              </w:rPr>
              <w:t xml:space="preserve">s were inclusive of social and community values, with 87% of the </w:t>
            </w:r>
            <w:r w:rsidR="11F4A1DC" w:rsidRPr="005D74D1">
              <w:rPr>
                <w:rFonts w:cs="Arial"/>
                <w:lang w:val="en-AU"/>
              </w:rPr>
              <w:t>project</w:t>
            </w:r>
            <w:r w:rsidRPr="005D74D1">
              <w:rPr>
                <w:rFonts w:cs="Arial"/>
                <w:lang w:val="en-AU"/>
              </w:rPr>
              <w:t>s reporting that they are increasing community participation and inclusion of community values in water management. New technology platforms and communications products were developed for improved community and sector access to information.</w:t>
            </w:r>
            <w:r w:rsidR="001818D4" w:rsidRPr="005D74D1">
              <w:rPr>
                <w:rFonts w:cs="Arial"/>
                <w:lang w:val="en-AU"/>
              </w:rPr>
              <w:t xml:space="preserve"> Some priorities shifted throughout EC5 due to COVID-19 disruption and flood recovery works.</w:t>
            </w:r>
          </w:p>
          <w:p w14:paraId="0A71EC90" w14:textId="65D93C87" w:rsidR="00F216D2" w:rsidRPr="005D74D1" w:rsidRDefault="7E8B55F8" w:rsidP="005D4432">
            <w:pPr>
              <w:pStyle w:val="TableBullet"/>
              <w:cnfStyle w:val="000000000000" w:firstRow="0" w:lastRow="0" w:firstColumn="0" w:lastColumn="0" w:oddVBand="0" w:evenVBand="0" w:oddHBand="0" w:evenHBand="0" w:firstRowFirstColumn="0" w:firstRowLastColumn="0" w:lastRowFirstColumn="0" w:lastRowLastColumn="0"/>
              <w:rPr>
                <w:rFonts w:cs="Arial"/>
                <w:lang w:val="en-AU"/>
              </w:rPr>
            </w:pPr>
            <w:r w:rsidRPr="005D74D1">
              <w:rPr>
                <w:rFonts w:cs="Arial"/>
                <w:b/>
                <w:bCs/>
                <w:lang w:val="en-AU"/>
              </w:rPr>
              <w:t>Water Governance:</w:t>
            </w:r>
            <w:r w:rsidRPr="005D74D1">
              <w:rPr>
                <w:rFonts w:cs="Arial"/>
                <w:lang w:val="en-AU"/>
              </w:rPr>
              <w:t xml:space="preserve"> Many of the </w:t>
            </w:r>
            <w:r w:rsidR="11F4A1DC" w:rsidRPr="005D74D1">
              <w:rPr>
                <w:rFonts w:cs="Arial"/>
                <w:lang w:val="en-AU"/>
              </w:rPr>
              <w:t>project</w:t>
            </w:r>
            <w:r w:rsidRPr="005D74D1">
              <w:rPr>
                <w:rFonts w:cs="Arial"/>
                <w:lang w:val="en-AU"/>
              </w:rPr>
              <w:t>s contributed to meeting the needs of customers and the community, through improved water planning, access to information and inclusion in water planning and decision</w:t>
            </w:r>
            <w:r w:rsidR="5D334F2C" w:rsidRPr="005D74D1">
              <w:rPr>
                <w:rFonts w:cs="Arial"/>
                <w:lang w:val="en-AU"/>
              </w:rPr>
              <w:t>-</w:t>
            </w:r>
            <w:r w:rsidRPr="005D74D1">
              <w:rPr>
                <w:rFonts w:cs="Arial"/>
                <w:lang w:val="en-AU"/>
              </w:rPr>
              <w:t>making. Flood risks were reduced</w:t>
            </w:r>
            <w:r w:rsidR="37EF668F" w:rsidRPr="005D74D1">
              <w:rPr>
                <w:rFonts w:cs="Arial"/>
                <w:lang w:val="en-AU"/>
              </w:rPr>
              <w:t>,</w:t>
            </w:r>
            <w:r w:rsidRPr="005D74D1">
              <w:rPr>
                <w:rFonts w:cs="Arial"/>
                <w:lang w:val="en-AU"/>
              </w:rPr>
              <w:t xml:space="preserve"> as well as the risks posed by the </w:t>
            </w:r>
            <w:r w:rsidRPr="005D74D1" w:rsidDel="008B0EDC">
              <w:rPr>
                <w:rFonts w:cs="Arial"/>
                <w:lang w:val="en-AU"/>
              </w:rPr>
              <w:t>three</w:t>
            </w:r>
            <w:r w:rsidRPr="005D74D1">
              <w:rPr>
                <w:rFonts w:cs="Arial"/>
                <w:lang w:val="en-AU"/>
              </w:rPr>
              <w:t xml:space="preserve"> highest</w:t>
            </w:r>
            <w:r w:rsidR="001257F8" w:rsidRPr="005D74D1">
              <w:rPr>
                <w:rFonts w:cs="Arial"/>
                <w:lang w:val="en-AU"/>
              </w:rPr>
              <w:t>-</w:t>
            </w:r>
            <w:r w:rsidRPr="005D74D1">
              <w:rPr>
                <w:rFonts w:cs="Arial"/>
                <w:lang w:val="en-AU"/>
              </w:rPr>
              <w:t xml:space="preserve">risk </w:t>
            </w:r>
            <w:r w:rsidR="000A5B88" w:rsidRPr="005D74D1">
              <w:rPr>
                <w:rFonts w:cs="Arial"/>
                <w:lang w:val="en-AU"/>
              </w:rPr>
              <w:t>l</w:t>
            </w:r>
            <w:r w:rsidRPr="005D74D1">
              <w:rPr>
                <w:rFonts w:cs="Arial"/>
                <w:lang w:val="en-AU"/>
              </w:rPr>
              <w:t xml:space="preserve">ocal </w:t>
            </w:r>
            <w:r w:rsidR="000A5B88" w:rsidRPr="005D74D1">
              <w:rPr>
                <w:rFonts w:cs="Arial"/>
                <w:lang w:val="en-AU"/>
              </w:rPr>
              <w:t>g</w:t>
            </w:r>
            <w:r w:rsidRPr="005D74D1">
              <w:rPr>
                <w:rFonts w:cs="Arial"/>
                <w:lang w:val="en-AU"/>
              </w:rPr>
              <w:t xml:space="preserve">overnment </w:t>
            </w:r>
            <w:r w:rsidR="002B389C" w:rsidRPr="005D74D1">
              <w:rPr>
                <w:rFonts w:cs="Arial"/>
                <w:lang w:val="en-AU"/>
              </w:rPr>
              <w:t>authority</w:t>
            </w:r>
            <w:r w:rsidRPr="005D74D1">
              <w:rPr>
                <w:rFonts w:cs="Arial"/>
                <w:lang w:val="en-AU"/>
              </w:rPr>
              <w:t xml:space="preserve"> owned small dams. </w:t>
            </w:r>
            <w:r w:rsidR="008B55DB" w:rsidRPr="005D74D1">
              <w:rPr>
                <w:rFonts w:cs="Arial"/>
                <w:lang w:val="en-AU"/>
              </w:rPr>
              <w:t xml:space="preserve">Climate change was embedded into water sector planning and decision-making through the development of </w:t>
            </w:r>
            <w:r w:rsidR="008B55DB" w:rsidRPr="005D74D1">
              <w:rPr>
                <w:rFonts w:cs="Arial"/>
                <w:i/>
                <w:iCs/>
                <w:lang w:val="en-AU"/>
              </w:rPr>
              <w:t>Guidelines for Assessing the Impact of Climate Change on Water Availability in Victoria</w:t>
            </w:r>
            <w:r w:rsidR="008B55DB" w:rsidRPr="005D74D1">
              <w:rPr>
                <w:rFonts w:cs="Arial"/>
                <w:lang w:val="en-AU"/>
              </w:rPr>
              <w:t>, which have been widely adopted across the Victorian water sector</w:t>
            </w:r>
            <w:r w:rsidR="00D203DD" w:rsidRPr="005D74D1">
              <w:rPr>
                <w:rFonts w:cs="Arial"/>
                <w:lang w:val="en-AU"/>
              </w:rPr>
              <w:t>.</w:t>
            </w:r>
          </w:p>
          <w:p w14:paraId="4F8CFBB2" w14:textId="2A42F5B7" w:rsidR="00F216D2" w:rsidRPr="005D74D1" w:rsidRDefault="00F216D2" w:rsidP="00706380">
            <w:pPr>
              <w:pStyle w:val="TableText"/>
              <w:cnfStyle w:val="000000000000" w:firstRow="0" w:lastRow="0" w:firstColumn="0" w:lastColumn="0" w:oddVBand="0" w:evenVBand="0" w:oddHBand="0" w:evenHBand="0" w:firstRowFirstColumn="0" w:firstRowLastColumn="0" w:lastRowFirstColumn="0" w:lastRowLastColumn="0"/>
              <w:rPr>
                <w:rFonts w:cs="Arial"/>
                <w:lang w:val="en-AU"/>
              </w:rPr>
            </w:pPr>
            <w:r w:rsidRPr="005D74D1">
              <w:rPr>
                <w:rFonts w:cs="Arial"/>
                <w:b/>
                <w:bCs/>
                <w:lang w:val="en-AU"/>
              </w:rPr>
              <w:t xml:space="preserve">Ongoing Foundational </w:t>
            </w:r>
            <w:r w:rsidR="003E5867" w:rsidRPr="005D74D1">
              <w:rPr>
                <w:rFonts w:cs="Arial"/>
                <w:b/>
                <w:bCs/>
                <w:lang w:val="en-AU"/>
              </w:rPr>
              <w:t>Work</w:t>
            </w:r>
            <w:r w:rsidRPr="005D74D1">
              <w:rPr>
                <w:rFonts w:cs="Arial"/>
                <w:b/>
                <w:bCs/>
                <w:lang w:val="en-AU"/>
              </w:rPr>
              <w:t>:</w:t>
            </w:r>
            <w:r w:rsidRPr="005D74D1">
              <w:rPr>
                <w:rFonts w:cs="Arial"/>
                <w:lang w:val="en-AU"/>
              </w:rPr>
              <w:t xml:space="preserve"> </w:t>
            </w:r>
            <w:r w:rsidR="00C32F1C" w:rsidRPr="005D74D1">
              <w:rPr>
                <w:rFonts w:cs="Arial"/>
                <w:lang w:val="en-AU"/>
              </w:rPr>
              <w:t xml:space="preserve">Ongoing surface water and groundwater monitoring and modelling projects continued to build the foundational knowledge base of continuous and comprehensive water monitoring data and information which is used for planning and decision-making across the Victorian water sector. Many of the other EC5 projects noted the use of the EC to fund business-as-usual works that </w:t>
            </w:r>
            <w:r w:rsidR="00AE3E04" w:rsidRPr="005D74D1">
              <w:rPr>
                <w:rFonts w:cs="Arial"/>
                <w:lang w:val="en-AU"/>
              </w:rPr>
              <w:t>were</w:t>
            </w:r>
            <w:r w:rsidR="00C32F1C" w:rsidRPr="005D74D1">
              <w:rPr>
                <w:rFonts w:cs="Arial"/>
                <w:lang w:val="en-AU"/>
              </w:rPr>
              <w:t xml:space="preserve"> critical to the project teams achieving their standard objectives and ongoing obligations. Along with benefits of EC funding supporting a range of short and long-term projects, several emerging risks associated with the EC increasingly funding ongoing, business-as-usual activities were noted.</w:t>
            </w:r>
          </w:p>
          <w:p w14:paraId="2D9776E2" w14:textId="76A9E90F" w:rsidR="00F216D2" w:rsidRPr="005D74D1" w:rsidRDefault="00F216D2" w:rsidP="00706380">
            <w:pPr>
              <w:pStyle w:val="TableText"/>
              <w:cnfStyle w:val="000000000000" w:firstRow="0" w:lastRow="0" w:firstColumn="0" w:lastColumn="0" w:oddVBand="0" w:evenVBand="0" w:oddHBand="0" w:evenHBand="0" w:firstRowFirstColumn="0" w:firstRowLastColumn="0" w:lastRowFirstColumn="0" w:lastRowLastColumn="0"/>
              <w:rPr>
                <w:rFonts w:cs="Arial"/>
                <w:lang w:val="en-AU"/>
              </w:rPr>
            </w:pPr>
            <w:r w:rsidRPr="005D74D1">
              <w:rPr>
                <w:rFonts w:cs="Arial"/>
                <w:b/>
                <w:bCs/>
                <w:lang w:val="en-AU"/>
              </w:rPr>
              <w:t>Unintended Outcomes:</w:t>
            </w:r>
            <w:r w:rsidRPr="005D74D1">
              <w:rPr>
                <w:rFonts w:cs="Arial"/>
                <w:lang w:val="en-AU"/>
              </w:rPr>
              <w:t xml:space="preserve"> </w:t>
            </w:r>
            <w:r w:rsidR="007E27EB" w:rsidRPr="005D74D1">
              <w:rPr>
                <w:rFonts w:cs="Arial"/>
                <w:lang w:val="en-AU"/>
              </w:rPr>
              <w:t>U</w:t>
            </w:r>
            <w:r w:rsidRPr="005D74D1">
              <w:rPr>
                <w:rFonts w:cs="Arial"/>
                <w:lang w:val="en-AU"/>
              </w:rPr>
              <w:t xml:space="preserve">nintended outcomes </w:t>
            </w:r>
            <w:r w:rsidR="00C32F1C" w:rsidRPr="005D74D1">
              <w:rPr>
                <w:rFonts w:cs="Arial"/>
                <w:lang w:val="en-AU"/>
              </w:rPr>
              <w:t xml:space="preserve">were </w:t>
            </w:r>
            <w:r w:rsidR="00D62FF0" w:rsidRPr="005D74D1">
              <w:rPr>
                <w:rFonts w:cs="Arial"/>
                <w:lang w:val="en-AU"/>
              </w:rPr>
              <w:t>observed</w:t>
            </w:r>
            <w:r w:rsidR="007E27EB" w:rsidRPr="005D74D1">
              <w:rPr>
                <w:rFonts w:cs="Arial"/>
                <w:lang w:val="en-AU"/>
              </w:rPr>
              <w:t xml:space="preserve"> by 67% of projects</w:t>
            </w:r>
            <w:r w:rsidRPr="005D74D1">
              <w:rPr>
                <w:rFonts w:cs="Arial"/>
                <w:lang w:val="en-AU"/>
              </w:rPr>
              <w:t xml:space="preserve">. </w:t>
            </w:r>
            <w:r w:rsidR="00655107" w:rsidRPr="005D74D1">
              <w:rPr>
                <w:rFonts w:cs="Arial"/>
                <w:lang w:val="en-AU"/>
              </w:rPr>
              <w:t>All</w:t>
            </w:r>
            <w:r w:rsidRPr="005D74D1">
              <w:rPr>
                <w:rFonts w:cs="Arial"/>
                <w:lang w:val="en-AU"/>
              </w:rPr>
              <w:t xml:space="preserve"> unintended outcomes </w:t>
            </w:r>
            <w:r w:rsidR="00655107" w:rsidRPr="005D74D1">
              <w:rPr>
                <w:rFonts w:cs="Arial"/>
                <w:lang w:val="en-AU"/>
              </w:rPr>
              <w:t>reported were</w:t>
            </w:r>
            <w:r w:rsidRPr="005D74D1">
              <w:rPr>
                <w:rFonts w:cs="Arial"/>
                <w:lang w:val="en-AU"/>
              </w:rPr>
              <w:t xml:space="preserve"> positive and included unexpected benefits of building relationships with organisations and groups outside DEECA, deeper partnerships and collaboration with Traditional Owners, and unintended benefits resulting from flexibility and changing policy</w:t>
            </w:r>
            <w:r w:rsidR="00A50E7D" w:rsidRPr="005D74D1">
              <w:rPr>
                <w:rFonts w:cs="Arial"/>
                <w:lang w:val="en-AU"/>
              </w:rPr>
              <w:t xml:space="preserve"> </w:t>
            </w:r>
            <w:r w:rsidRPr="005D74D1">
              <w:rPr>
                <w:rFonts w:cs="Arial"/>
                <w:lang w:val="en-AU"/>
              </w:rPr>
              <w:t xml:space="preserve">directions. </w:t>
            </w:r>
          </w:p>
        </w:tc>
      </w:tr>
      <w:tr w:rsidR="001C32F2" w:rsidRPr="005D74D1" w14:paraId="5CCB67BE" w14:textId="77777777" w:rsidTr="00140664">
        <w:trPr>
          <w:cnfStyle w:val="000000010000" w:firstRow="0" w:lastRow="0" w:firstColumn="0" w:lastColumn="0" w:oddVBand="0" w:evenVBand="0" w:oddHBand="0" w:evenHBand="1"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93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center"/>
          </w:tcPr>
          <w:p w14:paraId="4821D8AA" w14:textId="77777777" w:rsidR="00A50E7D" w:rsidRPr="005D74D1" w:rsidRDefault="005B7BAB" w:rsidP="00140664">
            <w:pPr>
              <w:pStyle w:val="TableText"/>
              <w:jc w:val="center"/>
              <w:rPr>
                <w:rStyle w:val="BodyTextChar"/>
                <w:rFonts w:cs="Arial"/>
                <w:b/>
                <w:bCs/>
                <w:sz w:val="20"/>
                <w:lang w:val="en-AU"/>
              </w:rPr>
            </w:pPr>
            <w:r w:rsidRPr="005D74D1">
              <w:rPr>
                <w:rFonts w:cs="Arial"/>
                <w:b/>
                <w:bCs/>
              </w:rPr>
              <w:lastRenderedPageBreak/>
              <w:t>Effectiveness</w:t>
            </w:r>
          </w:p>
          <w:p w14:paraId="07D22A12" w14:textId="4CC1F6B2" w:rsidR="005B7BAB" w:rsidRPr="00A134A7" w:rsidRDefault="005B7BAB" w:rsidP="00140664">
            <w:pPr>
              <w:pStyle w:val="BodyText"/>
              <w:jc w:val="center"/>
              <w:rPr>
                <w:rFonts w:cs="Arial"/>
                <w:lang w:val="en-AU"/>
              </w:rPr>
            </w:pPr>
            <w:r w:rsidRPr="00422D3B">
              <w:rPr>
                <w:rFonts w:cs="Arial"/>
                <w:noProof/>
              </w:rPr>
              <w:drawing>
                <wp:inline distT="0" distB="0" distL="0" distR="0" wp14:anchorId="5E601EA7" wp14:editId="2884E647">
                  <wp:extent cx="552450" cy="552450"/>
                  <wp:effectExtent l="0" t="0" r="0" b="0"/>
                  <wp:docPr id="2090305100" name="Graphic 2090305100" descr="Bullsey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descr="Bullseye with solid fill"/>
                          <pic:cNvPicPr/>
                        </pic:nvPicPr>
                        <pic:blipFill>
                          <a:blip r:embed="rId34">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552450" cy="552450"/>
                          </a:xfrm>
                          <a:prstGeom prst="rect">
                            <a:avLst/>
                          </a:prstGeom>
                        </pic:spPr>
                      </pic:pic>
                    </a:graphicData>
                  </a:graphic>
                </wp:inline>
              </w:drawing>
            </w:r>
          </w:p>
        </w:tc>
        <w:tc>
          <w:tcPr>
            <w:tcW w:w="4068"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784AD6DC" w14:textId="77777777" w:rsidR="00A50E7D" w:rsidRPr="005D74D1" w:rsidRDefault="007405FC" w:rsidP="00140EC7">
            <w:pPr>
              <w:pStyle w:val="TableText"/>
              <w:cnfStyle w:val="000000010000" w:firstRow="0" w:lastRow="0" w:firstColumn="0" w:lastColumn="0" w:oddVBand="0" w:evenVBand="0" w:oddHBand="0" w:evenHBand="1" w:firstRowFirstColumn="0" w:firstRowLastColumn="0" w:lastRowFirstColumn="0" w:lastRowLastColumn="0"/>
              <w:rPr>
                <w:rFonts w:cs="Arial"/>
                <w:lang w:val="en-AU"/>
              </w:rPr>
            </w:pPr>
            <w:r w:rsidRPr="005D74D1">
              <w:rPr>
                <w:rFonts w:cs="Arial"/>
                <w:b/>
                <w:bCs/>
                <w:lang w:val="en-AU"/>
              </w:rPr>
              <w:t>Delivery Effectiveness:</w:t>
            </w:r>
            <w:r w:rsidRPr="005D74D1">
              <w:rPr>
                <w:rFonts w:cs="Arial"/>
                <w:lang w:val="en-AU"/>
              </w:rPr>
              <w:t xml:space="preserve"> The EC is well-designed and well-run, with supportive governance structures and appropriate accountability and reporting requirements. Four-year funding cycles and flexibility in funding at the project level enabled teams to respond to changing contexts and shift priorities as needed. However, there are opportunities for embedding further flexibility and arrangements to promote planning of long-term projects and better support Traditional Owners. There were complexities associated with aligning the timing and reporting requirements of multiple funding sources, and delivery challenges associated with team capacity and staff turnover.</w:t>
            </w:r>
          </w:p>
          <w:p w14:paraId="1B6BD7FD" w14:textId="1294FA16" w:rsidR="007405FC" w:rsidRPr="005D74D1" w:rsidRDefault="007405FC" w:rsidP="00140EC7">
            <w:pPr>
              <w:pStyle w:val="TableText"/>
              <w:cnfStyle w:val="000000010000" w:firstRow="0" w:lastRow="0" w:firstColumn="0" w:lastColumn="0" w:oddVBand="0" w:evenVBand="0" w:oddHBand="0" w:evenHBand="1" w:firstRowFirstColumn="0" w:firstRowLastColumn="0" w:lastRowFirstColumn="0" w:lastRowLastColumn="0"/>
              <w:rPr>
                <w:rFonts w:cs="Arial"/>
                <w:lang w:val="en-AU"/>
              </w:rPr>
            </w:pPr>
            <w:r w:rsidRPr="005D74D1">
              <w:rPr>
                <w:rFonts w:cs="Arial"/>
                <w:b/>
                <w:bCs/>
                <w:lang w:val="en-AU"/>
              </w:rPr>
              <w:t>Adapting to Changing Contexts:</w:t>
            </w:r>
            <w:r w:rsidRPr="005D74D1">
              <w:rPr>
                <w:rFonts w:cs="Arial"/>
                <w:lang w:val="en-AU"/>
              </w:rPr>
              <w:t xml:space="preserve"> EC5 showed a high level of adaptability and flexibility to manage the effects of external influences, including the COVID-19 pandemic, flood and bushfire events. </w:t>
            </w:r>
            <w:r w:rsidR="00140EC7" w:rsidRPr="005D74D1">
              <w:rPr>
                <w:rFonts w:cs="Arial"/>
                <w:lang w:val="en-AU"/>
              </w:rPr>
              <w:br/>
            </w:r>
            <w:r w:rsidRPr="005D74D1">
              <w:rPr>
                <w:rFonts w:cs="Arial"/>
                <w:lang w:val="en-AU" w:eastAsia="en-AU"/>
              </w:rPr>
              <w:t xml:space="preserve">While some delays and changes to workplans were required, the projects were able to adapt. There is a need to ensure that </w:t>
            </w:r>
            <w:r w:rsidRPr="005D74D1">
              <w:rPr>
                <w:rFonts w:cs="Arial"/>
                <w:lang w:val="en-AU"/>
              </w:rPr>
              <w:t>knowledge is retained and lessons learned are actioned from previous events to enable preparedness for future unexpected / emergency events.</w:t>
            </w:r>
          </w:p>
          <w:p w14:paraId="24A4AE9C" w14:textId="6AAFAC7A" w:rsidR="005B7BAB" w:rsidRPr="00A134A7" w:rsidRDefault="007405FC" w:rsidP="00140EC7">
            <w:pPr>
              <w:pStyle w:val="TableText"/>
              <w:cnfStyle w:val="000000010000" w:firstRow="0" w:lastRow="0" w:firstColumn="0" w:lastColumn="0" w:oddVBand="0" w:evenVBand="0" w:oddHBand="0" w:evenHBand="1" w:firstRowFirstColumn="0" w:firstRowLastColumn="0" w:lastRowFirstColumn="0" w:lastRowLastColumn="0"/>
              <w:rPr>
                <w:rFonts w:cs="Arial"/>
                <w:b/>
                <w:bCs/>
                <w:lang w:val="en-AU"/>
              </w:rPr>
            </w:pPr>
            <w:r w:rsidRPr="005D74D1">
              <w:rPr>
                <w:rFonts w:cs="Arial"/>
                <w:b/>
                <w:bCs/>
                <w:lang w:val="en-AU"/>
              </w:rPr>
              <w:lastRenderedPageBreak/>
              <w:t>Partnerships and Collaboration:</w:t>
            </w:r>
            <w:r w:rsidRPr="005D74D1">
              <w:rPr>
                <w:rFonts w:cs="Arial"/>
                <w:lang w:val="en-AU"/>
              </w:rPr>
              <w:t xml:space="preserve"> The EC5 projects were highly collaborative and recognised the importance of partnerships in effective delivery. Over 1,300 partnerships were fostered throughout the 38 EC5 projects, with a broad range of stakeholders. </w:t>
            </w:r>
            <w:r w:rsidR="00725731" w:rsidRPr="005D74D1">
              <w:rPr>
                <w:rFonts w:cs="Arial"/>
                <w:lang w:val="en-AU"/>
              </w:rPr>
              <w:t xml:space="preserve">These </w:t>
            </w:r>
            <w:r w:rsidRPr="005D74D1">
              <w:rPr>
                <w:rFonts w:cs="Arial"/>
                <w:lang w:val="en-AU"/>
              </w:rPr>
              <w:t>wer</w:t>
            </w:r>
            <w:r w:rsidR="00682C7D" w:rsidRPr="005D74D1">
              <w:rPr>
                <w:rFonts w:cs="Arial"/>
                <w:lang w:val="en-AU"/>
              </w:rPr>
              <w:t>e valuable</w:t>
            </w:r>
            <w:r w:rsidR="000F364C" w:rsidRPr="005D74D1">
              <w:rPr>
                <w:rFonts w:cs="Arial"/>
                <w:lang w:val="en-AU"/>
              </w:rPr>
              <w:t xml:space="preserve"> in achieving the project outcomes, as reported by 95% of </w:t>
            </w:r>
            <w:r w:rsidR="00A24F06" w:rsidRPr="005D74D1">
              <w:rPr>
                <w:rFonts w:cs="Arial"/>
                <w:lang w:val="en-AU"/>
              </w:rPr>
              <w:t>projects.</w:t>
            </w:r>
          </w:p>
        </w:tc>
      </w:tr>
      <w:tr w:rsidR="00D17E75" w:rsidRPr="005D74D1" w14:paraId="51FE7D7C" w14:textId="77777777" w:rsidTr="00140664">
        <w:trPr>
          <w:trHeight w:val="447"/>
        </w:trPr>
        <w:tc>
          <w:tcPr>
            <w:cnfStyle w:val="001000000000" w:firstRow="0" w:lastRow="0" w:firstColumn="1" w:lastColumn="0" w:oddVBand="0" w:evenVBand="0" w:oddHBand="0" w:evenHBand="0" w:firstRowFirstColumn="0" w:firstRowLastColumn="0" w:lastRowFirstColumn="0" w:lastRowLastColumn="0"/>
            <w:tcW w:w="932" w:type="pct"/>
            <w:tcBorders>
              <w:top w:val="none" w:sz="0" w:space="0" w:color="auto"/>
              <w:left w:val="none" w:sz="0" w:space="0" w:color="auto"/>
              <w:bottom w:val="none" w:sz="0" w:space="0" w:color="auto"/>
              <w:right w:val="none" w:sz="0" w:space="0" w:color="auto"/>
            </w:tcBorders>
            <w:shd w:val="clear" w:color="auto" w:fill="auto"/>
            <w:vAlign w:val="center"/>
          </w:tcPr>
          <w:p w14:paraId="12C1ABB3" w14:textId="2AE825FF" w:rsidR="00F216D2" w:rsidRPr="00A134A7" w:rsidRDefault="00F216D2" w:rsidP="00140664">
            <w:pPr>
              <w:pStyle w:val="TableText"/>
              <w:jc w:val="center"/>
              <w:rPr>
                <w:rFonts w:cs="Arial"/>
                <w:b/>
                <w:bCs/>
                <w:lang w:val="en-AU"/>
              </w:rPr>
            </w:pPr>
            <w:r w:rsidRPr="005D74D1">
              <w:rPr>
                <w:rFonts w:cs="Arial"/>
                <w:b/>
                <w:bCs/>
              </w:rPr>
              <w:lastRenderedPageBreak/>
              <w:t>Appropriateness</w:t>
            </w:r>
          </w:p>
          <w:p w14:paraId="2AE4AE45" w14:textId="77777777" w:rsidR="00F216D2" w:rsidRPr="005D74D1" w:rsidRDefault="00F216D2" w:rsidP="00140664">
            <w:pPr>
              <w:pStyle w:val="BodyText"/>
              <w:jc w:val="center"/>
              <w:rPr>
                <w:rFonts w:cs="Arial"/>
                <w:lang w:val="en-AU"/>
              </w:rPr>
            </w:pPr>
            <w:r w:rsidRPr="00422D3B">
              <w:rPr>
                <w:rFonts w:cs="Arial"/>
                <w:noProof/>
              </w:rPr>
              <w:drawing>
                <wp:inline distT="0" distB="0" distL="0" distR="0" wp14:anchorId="65BE365D" wp14:editId="10DAF9B3">
                  <wp:extent cx="561975" cy="561975"/>
                  <wp:effectExtent l="0" t="0" r="9525" b="0"/>
                  <wp:docPr id="14" name="Graphic 14"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4" descr="Badge Tick1 with solid fill"/>
                          <pic:cNvPicPr/>
                        </pic:nvPicPr>
                        <pic:blipFill>
                          <a:blip r:embed="rId36">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561975" cy="561975"/>
                          </a:xfrm>
                          <a:prstGeom prst="rect">
                            <a:avLst/>
                          </a:prstGeom>
                        </pic:spPr>
                      </pic:pic>
                    </a:graphicData>
                  </a:graphic>
                </wp:inline>
              </w:drawing>
            </w:r>
          </w:p>
        </w:tc>
        <w:tc>
          <w:tcPr>
            <w:tcW w:w="4068" w:type="pct"/>
            <w:shd w:val="clear" w:color="auto" w:fill="auto"/>
          </w:tcPr>
          <w:p w14:paraId="6DF559EB" w14:textId="03C49770" w:rsidR="007405FC" w:rsidRPr="005D74D1" w:rsidRDefault="007405FC" w:rsidP="00140EC7">
            <w:pPr>
              <w:pStyle w:val="TableText"/>
              <w:cnfStyle w:val="000000000000" w:firstRow="0" w:lastRow="0" w:firstColumn="0" w:lastColumn="0" w:oddVBand="0" w:evenVBand="0" w:oddHBand="0" w:evenHBand="0" w:firstRowFirstColumn="0" w:firstRowLastColumn="0" w:lastRowFirstColumn="0" w:lastRowLastColumn="0"/>
              <w:rPr>
                <w:rFonts w:cs="Arial"/>
                <w:lang w:val="en-AU"/>
              </w:rPr>
            </w:pPr>
            <w:r w:rsidRPr="005D74D1">
              <w:rPr>
                <w:rFonts w:cs="Arial"/>
                <w:b/>
                <w:bCs/>
                <w:lang w:val="en-AU"/>
              </w:rPr>
              <w:t>Alignment with the Legislated Objectives and Key Water Management Strategies:</w:t>
            </w:r>
            <w:r w:rsidRPr="005D74D1">
              <w:rPr>
                <w:rFonts w:cs="Arial"/>
                <w:lang w:val="en-AU"/>
              </w:rPr>
              <w:t xml:space="preserve"> EC5 projects showed clear alignment with the legislated objectives with all EC5 projects reporting contributions to one or both legislated objectives of the EC. The projects were guided by key State Government strategies including </w:t>
            </w:r>
            <w:r w:rsidRPr="005D74D1">
              <w:rPr>
                <w:rFonts w:cs="Arial"/>
                <w:i/>
                <w:iCs/>
                <w:lang w:val="en-AU"/>
              </w:rPr>
              <w:t>Water for Victoria (2016),</w:t>
            </w:r>
            <w:r w:rsidRPr="005D74D1">
              <w:rPr>
                <w:rFonts w:cs="Arial"/>
                <w:i/>
                <w:lang w:val="en-AU"/>
              </w:rPr>
              <w:t xml:space="preserve"> </w:t>
            </w:r>
            <w:r w:rsidRPr="005D74D1">
              <w:rPr>
                <w:rFonts w:cs="Arial"/>
                <w:i/>
                <w:iCs/>
                <w:lang w:val="en-AU"/>
              </w:rPr>
              <w:t>Water is Life</w:t>
            </w:r>
            <w:r w:rsidRPr="005D74D1">
              <w:rPr>
                <w:rFonts w:cs="Arial"/>
                <w:i/>
                <w:lang w:val="en-AU"/>
              </w:rPr>
              <w:t xml:space="preserve">: </w:t>
            </w:r>
            <w:r w:rsidRPr="005D74D1">
              <w:rPr>
                <w:rFonts w:cs="Arial"/>
                <w:i/>
                <w:iCs/>
                <w:lang w:val="en-AU"/>
              </w:rPr>
              <w:t>Traditional Owner Access to Water Roadmap (2022)</w:t>
            </w:r>
            <w:r w:rsidRPr="005D74D1">
              <w:rPr>
                <w:rFonts w:cs="Arial"/>
                <w:i/>
                <w:lang w:val="en-AU"/>
              </w:rPr>
              <w:t xml:space="preserve">, and the CGRSWS (2022). </w:t>
            </w:r>
            <w:r w:rsidRPr="005D74D1">
              <w:rPr>
                <w:rFonts w:cs="Arial"/>
                <w:lang w:val="en-AU"/>
              </w:rPr>
              <w:t>Many of the projects adapted as new State Government strategies were published, to ensure continued alignment with key strategic directions.</w:t>
            </w:r>
          </w:p>
          <w:p w14:paraId="33B8C230" w14:textId="65F09618" w:rsidR="00F216D2" w:rsidRPr="005D74D1" w:rsidRDefault="007405FC" w:rsidP="00040C36">
            <w:pPr>
              <w:pStyle w:val="TableText"/>
              <w:cnfStyle w:val="000000000000" w:firstRow="0" w:lastRow="0" w:firstColumn="0" w:lastColumn="0" w:oddVBand="0" w:evenVBand="0" w:oddHBand="0" w:evenHBand="0" w:firstRowFirstColumn="0" w:firstRowLastColumn="0" w:lastRowFirstColumn="0" w:lastRowLastColumn="0"/>
              <w:rPr>
                <w:rFonts w:cs="Arial"/>
                <w:b/>
                <w:bCs/>
                <w:lang w:val="en-AU"/>
              </w:rPr>
            </w:pPr>
            <w:r w:rsidRPr="005D74D1">
              <w:rPr>
                <w:rFonts w:cs="Arial"/>
                <w:b/>
                <w:bCs/>
                <w:lang w:val="en-AU"/>
              </w:rPr>
              <w:t>Monitoring, Evaluation and Improvement:</w:t>
            </w:r>
            <w:r w:rsidRPr="005D74D1">
              <w:rPr>
                <w:rFonts w:cs="Arial"/>
                <w:lang w:val="en-AU"/>
              </w:rPr>
              <w:t xml:space="preserve"> These actions were integrated throughout EC5 to promote delivery effectiveness. </w:t>
            </w:r>
            <w:r w:rsidR="00BF6748" w:rsidRPr="005D74D1">
              <w:rPr>
                <w:rFonts w:cs="Arial"/>
                <w:lang w:val="en-AU"/>
              </w:rPr>
              <w:t>Almost all (92%)</w:t>
            </w:r>
            <w:r w:rsidRPr="005D74D1">
              <w:rPr>
                <w:rFonts w:cs="Arial"/>
                <w:lang w:val="en-AU"/>
              </w:rPr>
              <w:t xml:space="preserve"> projects reported that learning and improvement were effectively incorporated into the project to foster a culture of continual improvement. Some projects reported using independent evaluations, stakeholder feedback, and sharing of lessons to</w:t>
            </w:r>
            <w:r w:rsidR="00BF6748" w:rsidRPr="005D74D1">
              <w:rPr>
                <w:rFonts w:cs="Arial"/>
                <w:lang w:val="en-AU"/>
              </w:rPr>
              <w:t xml:space="preserve"> support</w:t>
            </w:r>
            <w:r w:rsidRPr="005D74D1">
              <w:rPr>
                <w:rFonts w:cs="Arial"/>
                <w:lang w:val="en-AU"/>
              </w:rPr>
              <w:t xml:space="preserve"> improve</w:t>
            </w:r>
            <w:r w:rsidR="00BF6748" w:rsidRPr="005D74D1">
              <w:rPr>
                <w:rFonts w:cs="Arial"/>
                <w:lang w:val="en-AU"/>
              </w:rPr>
              <w:t>ment</w:t>
            </w:r>
            <w:r w:rsidRPr="005D74D1">
              <w:rPr>
                <w:rFonts w:cs="Arial"/>
                <w:lang w:val="en-AU"/>
              </w:rPr>
              <w:t xml:space="preserve">. </w:t>
            </w:r>
            <w:r w:rsidRPr="005D74D1">
              <w:rPr>
                <w:rFonts w:cs="Arial"/>
                <w:lang w:val="en-AU" w:eastAsia="en-AU"/>
              </w:rPr>
              <w:t>The broader EC tranche governance also supported continuous learning through the requirement for each project to develop an evaluation plan and evaluation report, which is used for whole-of-tranche evaluations, and to foster learning for future tranches. Investment in capacity building sessions for the EC5 project teams as part of the EC5 evaluation process has fostered improvement in the effectiveness of the evaluation plans and reports from EC4 to EC5.</w:t>
            </w:r>
          </w:p>
        </w:tc>
      </w:tr>
      <w:tr w:rsidR="00D17E75" w:rsidRPr="005D74D1" w14:paraId="5E9FF6E0" w14:textId="77777777" w:rsidTr="00140664">
        <w:trPr>
          <w:cnfStyle w:val="000000010000" w:firstRow="0" w:lastRow="0" w:firstColumn="0" w:lastColumn="0" w:oddVBand="0" w:evenVBand="0" w:oddHBand="0" w:evenHBand="1"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93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center"/>
          </w:tcPr>
          <w:p w14:paraId="547A0004" w14:textId="77777777" w:rsidR="00A50E7D" w:rsidRPr="00A134A7" w:rsidRDefault="00F216D2" w:rsidP="00140664">
            <w:pPr>
              <w:pStyle w:val="TableText"/>
              <w:jc w:val="center"/>
              <w:rPr>
                <w:rFonts w:cs="Arial"/>
                <w:b/>
                <w:bCs/>
                <w:lang w:val="en-AU"/>
              </w:rPr>
            </w:pPr>
            <w:r w:rsidRPr="005D74D1">
              <w:rPr>
                <w:rFonts w:cs="Arial"/>
                <w:b/>
                <w:bCs/>
              </w:rPr>
              <w:t>Efficiency</w:t>
            </w:r>
          </w:p>
          <w:p w14:paraId="43897EE7" w14:textId="56AD6149" w:rsidR="00F216D2" w:rsidRPr="005D74D1" w:rsidRDefault="00F216D2" w:rsidP="00140664">
            <w:pPr>
              <w:pStyle w:val="BodyText"/>
              <w:jc w:val="center"/>
              <w:rPr>
                <w:rFonts w:cs="Arial"/>
                <w:lang w:val="en-AU"/>
              </w:rPr>
            </w:pPr>
            <w:r w:rsidRPr="00422D3B">
              <w:rPr>
                <w:rFonts w:cs="Arial"/>
                <w:noProof/>
              </w:rPr>
              <w:drawing>
                <wp:inline distT="0" distB="0" distL="0" distR="0" wp14:anchorId="51C5D066" wp14:editId="163A5104">
                  <wp:extent cx="571500" cy="571500"/>
                  <wp:effectExtent l="0" t="0" r="0" b="0"/>
                  <wp:docPr id="18" name="Graphic 18" descr="Regist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Register with solid fill"/>
                          <pic:cNvPicPr/>
                        </pic:nvPicPr>
                        <pic:blipFill>
                          <a:blip r:embed="rId38">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0" y="0"/>
                            <a:ext cx="571500" cy="571500"/>
                          </a:xfrm>
                          <a:prstGeom prst="rect">
                            <a:avLst/>
                          </a:prstGeom>
                        </pic:spPr>
                      </pic:pic>
                    </a:graphicData>
                  </a:graphic>
                </wp:inline>
              </w:drawing>
            </w:r>
          </w:p>
        </w:tc>
        <w:tc>
          <w:tcPr>
            <w:tcW w:w="4068"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395BE734" w14:textId="59BB083C" w:rsidR="00F216D2" w:rsidRPr="005D74D1" w:rsidRDefault="00F216D2" w:rsidP="002B468A">
            <w:pPr>
              <w:pStyle w:val="TableText"/>
              <w:cnfStyle w:val="000000010000" w:firstRow="0" w:lastRow="0" w:firstColumn="0" w:lastColumn="0" w:oddVBand="0" w:evenVBand="0" w:oddHBand="0" w:evenHBand="1" w:firstRowFirstColumn="0" w:firstRowLastColumn="0" w:lastRowFirstColumn="0" w:lastRowLastColumn="0"/>
              <w:rPr>
                <w:rFonts w:cs="Arial"/>
                <w:lang w:val="en-AU"/>
              </w:rPr>
            </w:pPr>
            <w:r w:rsidRPr="005D74D1">
              <w:rPr>
                <w:rFonts w:cs="Arial"/>
                <w:b/>
                <w:bCs/>
                <w:lang w:val="en-AU"/>
              </w:rPr>
              <w:t xml:space="preserve">Efficiency through </w:t>
            </w:r>
            <w:r w:rsidR="00D81E05" w:rsidRPr="005D74D1">
              <w:rPr>
                <w:rFonts w:cs="Arial"/>
                <w:b/>
                <w:bCs/>
                <w:lang w:val="en-AU"/>
              </w:rPr>
              <w:t>Delivery</w:t>
            </w:r>
            <w:r w:rsidRPr="005D74D1">
              <w:rPr>
                <w:rFonts w:cs="Arial"/>
                <w:b/>
                <w:bCs/>
                <w:lang w:val="en-AU"/>
              </w:rPr>
              <w:t>:</w:t>
            </w:r>
            <w:r w:rsidRPr="005D74D1">
              <w:rPr>
                <w:rFonts w:cs="Arial"/>
                <w:lang w:val="en-AU"/>
              </w:rPr>
              <w:t xml:space="preserve"> </w:t>
            </w:r>
            <w:r w:rsidR="00E63500" w:rsidRPr="005D74D1">
              <w:rPr>
                <w:rFonts w:cs="Arial"/>
                <w:lang w:val="en-AU"/>
              </w:rPr>
              <w:t>Many of the projects delivered their work programs on budget and on time, and where there were variances these were justified in project reporting. Reasons for variation from original work plans included escalating prices due to supply chain issues, lack of staff availability and staff turnover, delays due to COVID-19 restrictions, disruptions from the flood and bushfire events, and higher resource requirements for project elements than was initially planned.</w:t>
            </w:r>
          </w:p>
          <w:p w14:paraId="15C19B1F" w14:textId="28967899" w:rsidR="00F216D2" w:rsidRPr="005D74D1" w:rsidRDefault="00F216D2" w:rsidP="002B468A">
            <w:pPr>
              <w:pStyle w:val="TableText"/>
              <w:cnfStyle w:val="000000010000" w:firstRow="0" w:lastRow="0" w:firstColumn="0" w:lastColumn="0" w:oddVBand="0" w:evenVBand="0" w:oddHBand="0" w:evenHBand="1" w:firstRowFirstColumn="0" w:firstRowLastColumn="0" w:lastRowFirstColumn="0" w:lastRowLastColumn="0"/>
              <w:rPr>
                <w:rFonts w:cs="Arial"/>
                <w:lang w:val="en-AU"/>
              </w:rPr>
            </w:pPr>
            <w:r w:rsidRPr="005D74D1">
              <w:rPr>
                <w:rFonts w:cs="Arial"/>
                <w:b/>
                <w:bCs/>
                <w:lang w:val="en-AU"/>
              </w:rPr>
              <w:t xml:space="preserve">Working with </w:t>
            </w:r>
            <w:r w:rsidR="0011058E" w:rsidRPr="005D74D1">
              <w:rPr>
                <w:rFonts w:cs="Arial"/>
                <w:b/>
                <w:bCs/>
                <w:lang w:val="en-AU"/>
              </w:rPr>
              <w:t>Others</w:t>
            </w:r>
            <w:r w:rsidRPr="005D74D1">
              <w:rPr>
                <w:rFonts w:cs="Arial"/>
                <w:b/>
                <w:bCs/>
                <w:lang w:val="en-AU"/>
              </w:rPr>
              <w:t xml:space="preserve"> to </w:t>
            </w:r>
            <w:r w:rsidR="0011058E" w:rsidRPr="005D74D1">
              <w:rPr>
                <w:rFonts w:cs="Arial"/>
                <w:b/>
                <w:bCs/>
                <w:lang w:val="en-AU"/>
              </w:rPr>
              <w:t>Achieve Better Outcomes</w:t>
            </w:r>
            <w:r w:rsidRPr="005D74D1">
              <w:rPr>
                <w:rFonts w:cs="Arial"/>
                <w:b/>
                <w:bCs/>
                <w:lang w:val="en-AU"/>
              </w:rPr>
              <w:t>:</w:t>
            </w:r>
            <w:r w:rsidRPr="005D74D1">
              <w:rPr>
                <w:rFonts w:cs="Arial"/>
                <w:lang w:val="en-AU"/>
              </w:rPr>
              <w:t xml:space="preserve"> </w:t>
            </w:r>
            <w:r w:rsidR="002E01F9" w:rsidRPr="005D74D1">
              <w:rPr>
                <w:rFonts w:cs="Arial"/>
                <w:lang w:val="en-AU"/>
              </w:rPr>
              <w:t>Almost all (</w:t>
            </w:r>
            <w:r w:rsidR="0057491E" w:rsidRPr="005D74D1">
              <w:rPr>
                <w:rFonts w:cs="Arial"/>
                <w:lang w:val="en-AU"/>
              </w:rPr>
              <w:t>89%</w:t>
            </w:r>
            <w:r w:rsidR="002E01F9" w:rsidRPr="005D74D1">
              <w:rPr>
                <w:rFonts w:cs="Arial"/>
                <w:lang w:val="en-AU"/>
              </w:rPr>
              <w:t>)</w:t>
            </w:r>
            <w:r w:rsidR="0057491E" w:rsidRPr="005D74D1">
              <w:rPr>
                <w:rFonts w:cs="Arial"/>
                <w:lang w:val="en-AU"/>
              </w:rPr>
              <w:t xml:space="preserve"> of the project teams agreed that efficiencies were gained through working together with other project teams, and many reported this as a key enabler of successful delivery. The main ways that efficiencies were gained was through knowledge sharing between groups, cost sharing, partnerships and workload sharing and distribution.</w:t>
            </w:r>
          </w:p>
          <w:p w14:paraId="72333E65" w14:textId="422493AB" w:rsidR="00F216D2" w:rsidRPr="00A134A7" w:rsidRDefault="00F216D2" w:rsidP="002B468A">
            <w:pPr>
              <w:pStyle w:val="TableText"/>
              <w:cnfStyle w:val="000000010000" w:firstRow="0" w:lastRow="0" w:firstColumn="0" w:lastColumn="0" w:oddVBand="0" w:evenVBand="0" w:oddHBand="0" w:evenHBand="1" w:firstRowFirstColumn="0" w:firstRowLastColumn="0" w:lastRowFirstColumn="0" w:lastRowLastColumn="0"/>
              <w:rPr>
                <w:rFonts w:cs="Arial"/>
                <w:lang w:val="en-AU"/>
              </w:rPr>
            </w:pPr>
            <w:r w:rsidRPr="005D74D1">
              <w:rPr>
                <w:rFonts w:cs="Arial"/>
                <w:b/>
                <w:bCs/>
                <w:lang w:val="en-AU"/>
              </w:rPr>
              <w:t xml:space="preserve">Leveraging </w:t>
            </w:r>
            <w:r w:rsidR="001113C0" w:rsidRPr="005D74D1">
              <w:rPr>
                <w:rFonts w:cs="Arial"/>
                <w:b/>
                <w:bCs/>
                <w:lang w:val="en-AU"/>
              </w:rPr>
              <w:t>Additional Funding Sources</w:t>
            </w:r>
            <w:r w:rsidRPr="005D74D1">
              <w:rPr>
                <w:rFonts w:cs="Arial"/>
                <w:b/>
                <w:bCs/>
                <w:lang w:val="en-AU"/>
              </w:rPr>
              <w:t>:</w:t>
            </w:r>
            <w:r w:rsidRPr="005D74D1">
              <w:rPr>
                <w:rFonts w:cs="Arial"/>
                <w:lang w:val="en-AU"/>
              </w:rPr>
              <w:t xml:space="preserve"> </w:t>
            </w:r>
            <w:r w:rsidR="00383294" w:rsidRPr="005D74D1">
              <w:rPr>
                <w:rFonts w:cs="Arial"/>
                <w:lang w:val="en-AU"/>
              </w:rPr>
              <w:t xml:space="preserve">The EC5 $693.85 million investment was augmented by significant co-investment over the tranche. Investment programs were co-funded by a total reported amount of </w:t>
            </w:r>
            <w:r w:rsidR="00383294" w:rsidRPr="005D74D1">
              <w:rPr>
                <w:rFonts w:cs="Arial"/>
              </w:rPr>
              <w:t xml:space="preserve">$347.9 million. This represents $0.50 </w:t>
            </w:r>
            <w:r w:rsidR="00383294" w:rsidRPr="005D74D1">
              <w:rPr>
                <w:rFonts w:cs="Arial"/>
                <w:lang w:val="en-AU"/>
              </w:rPr>
              <w:t xml:space="preserve">in co-investment for every dollar of investment </w:t>
            </w:r>
            <w:r w:rsidR="00383294" w:rsidRPr="005D74D1">
              <w:rPr>
                <w:rFonts w:cs="Arial"/>
              </w:rPr>
              <w:t>from the EC. This is considered a conservative estimate, with many areas also reporting co-investment of funding and other resources that were not quantified in the project evaluations.</w:t>
            </w:r>
          </w:p>
          <w:p w14:paraId="4B0A20FA" w14:textId="2B502FA4" w:rsidR="003B4739" w:rsidRPr="005D74D1" w:rsidRDefault="003B4739" w:rsidP="002B468A">
            <w:pPr>
              <w:pStyle w:val="TableText"/>
              <w:cnfStyle w:val="000000010000" w:firstRow="0" w:lastRow="0" w:firstColumn="0" w:lastColumn="0" w:oddVBand="0" w:evenVBand="0" w:oddHBand="0" w:evenHBand="1" w:firstRowFirstColumn="0" w:firstRowLastColumn="0" w:lastRowFirstColumn="0" w:lastRowLastColumn="0"/>
              <w:rPr>
                <w:rFonts w:cs="Arial"/>
                <w:lang w:val="en-AU"/>
              </w:rPr>
            </w:pPr>
            <w:r w:rsidRPr="005D74D1">
              <w:rPr>
                <w:rFonts w:cs="Arial"/>
                <w:b/>
                <w:bCs/>
                <w:lang w:val="en-AU"/>
              </w:rPr>
              <w:t xml:space="preserve">Options </w:t>
            </w:r>
            <w:r w:rsidR="00E7224F" w:rsidRPr="005D74D1">
              <w:rPr>
                <w:rFonts w:cs="Arial"/>
                <w:b/>
                <w:bCs/>
                <w:lang w:val="en-AU"/>
              </w:rPr>
              <w:t>A</w:t>
            </w:r>
            <w:r w:rsidRPr="005D74D1">
              <w:rPr>
                <w:rFonts w:cs="Arial"/>
                <w:b/>
                <w:bCs/>
                <w:lang w:val="en-AU"/>
              </w:rPr>
              <w:t>ssessments:</w:t>
            </w:r>
            <w:r w:rsidRPr="005D74D1">
              <w:rPr>
                <w:rFonts w:cs="Arial"/>
                <w:lang w:val="en-AU"/>
              </w:rPr>
              <w:t xml:space="preserve"> </w:t>
            </w:r>
            <w:r w:rsidR="00636456" w:rsidRPr="005D74D1">
              <w:rPr>
                <w:rFonts w:cs="Arial"/>
                <w:lang w:val="en-AU"/>
              </w:rPr>
              <w:t>U</w:t>
            </w:r>
            <w:r w:rsidRPr="005D74D1">
              <w:rPr>
                <w:rFonts w:cs="Arial"/>
                <w:lang w:val="en-AU"/>
              </w:rPr>
              <w:t>ndertaking options assessment and/or cost</w:t>
            </w:r>
            <w:r w:rsidR="00C53C13" w:rsidRPr="005D74D1">
              <w:rPr>
                <w:rFonts w:cs="Arial"/>
                <w:lang w:val="en-AU"/>
              </w:rPr>
              <w:t>-</w:t>
            </w:r>
            <w:r w:rsidRPr="005D74D1">
              <w:rPr>
                <w:rFonts w:cs="Arial"/>
                <w:lang w:val="en-AU"/>
              </w:rPr>
              <w:t>benefit analyses to support project decision-making</w:t>
            </w:r>
            <w:r w:rsidR="00636456" w:rsidRPr="005D74D1">
              <w:rPr>
                <w:rFonts w:cs="Arial"/>
                <w:lang w:val="en-AU"/>
              </w:rPr>
              <w:t xml:space="preserve"> was reported </w:t>
            </w:r>
            <w:r w:rsidR="00CE105E" w:rsidRPr="005D74D1">
              <w:rPr>
                <w:rFonts w:cs="Arial"/>
                <w:lang w:val="en-AU"/>
              </w:rPr>
              <w:t>by 79% of projects</w:t>
            </w:r>
            <w:r w:rsidRPr="005D74D1">
              <w:rPr>
                <w:rFonts w:cs="Arial"/>
                <w:lang w:val="en-AU"/>
              </w:rPr>
              <w:t>. These approaches supported efficient delivery through using structured processes to make investment decisions. Examples of analytical approaches that were used include</w:t>
            </w:r>
            <w:r w:rsidR="00EF6C25" w:rsidRPr="005D74D1">
              <w:rPr>
                <w:rFonts w:cs="Arial"/>
                <w:lang w:val="en-AU"/>
              </w:rPr>
              <w:t> </w:t>
            </w:r>
            <w:r w:rsidRPr="005D74D1">
              <w:rPr>
                <w:rFonts w:cs="Arial"/>
                <w:lang w:val="en-AU"/>
              </w:rPr>
              <w:t>options papers, cost</w:t>
            </w:r>
            <w:r w:rsidR="00C53C13" w:rsidRPr="005D74D1">
              <w:rPr>
                <w:rFonts w:cs="Arial"/>
                <w:lang w:val="en-AU"/>
              </w:rPr>
              <w:t>-</w:t>
            </w:r>
            <w:r w:rsidRPr="005D74D1">
              <w:rPr>
                <w:rFonts w:cs="Arial"/>
                <w:lang w:val="en-AU"/>
              </w:rPr>
              <w:t>benefit tools, best cost options analyses, value for money</w:t>
            </w:r>
            <w:r w:rsidR="00EF6C25" w:rsidRPr="005D74D1">
              <w:rPr>
                <w:rFonts w:cs="Arial"/>
                <w:lang w:val="en-AU"/>
              </w:rPr>
              <w:t> </w:t>
            </w:r>
            <w:r w:rsidRPr="005D74D1">
              <w:rPr>
                <w:rFonts w:cs="Arial"/>
                <w:lang w:val="en-AU"/>
              </w:rPr>
              <w:t xml:space="preserve">assessments. </w:t>
            </w:r>
          </w:p>
        </w:tc>
      </w:tr>
      <w:tr w:rsidR="00C52960" w:rsidRPr="005D74D1" w14:paraId="1074F6AC" w14:textId="77777777" w:rsidTr="00140664">
        <w:trPr>
          <w:trHeight w:val="457"/>
        </w:trPr>
        <w:tc>
          <w:tcPr>
            <w:cnfStyle w:val="001000000000" w:firstRow="0" w:lastRow="0" w:firstColumn="1" w:lastColumn="0" w:oddVBand="0" w:evenVBand="0" w:oddHBand="0" w:evenHBand="0" w:firstRowFirstColumn="0" w:firstRowLastColumn="0" w:lastRowFirstColumn="0" w:lastRowLastColumn="0"/>
            <w:tcW w:w="932" w:type="pct"/>
            <w:tcBorders>
              <w:top w:val="none" w:sz="0" w:space="0" w:color="auto"/>
              <w:left w:val="none" w:sz="0" w:space="0" w:color="auto"/>
              <w:bottom w:val="none" w:sz="0" w:space="0" w:color="auto"/>
              <w:right w:val="none" w:sz="0" w:space="0" w:color="auto"/>
            </w:tcBorders>
            <w:shd w:val="clear" w:color="auto" w:fill="auto"/>
            <w:vAlign w:val="center"/>
          </w:tcPr>
          <w:p w14:paraId="21586796" w14:textId="77777777" w:rsidR="00A50E7D" w:rsidRPr="00A134A7" w:rsidRDefault="00F216D2" w:rsidP="00140664">
            <w:pPr>
              <w:pStyle w:val="TableText"/>
              <w:jc w:val="center"/>
              <w:rPr>
                <w:rFonts w:cs="Arial"/>
                <w:b/>
                <w:bCs/>
                <w:lang w:val="en-AU"/>
              </w:rPr>
            </w:pPr>
            <w:r w:rsidRPr="005D74D1">
              <w:rPr>
                <w:rFonts w:cs="Arial"/>
                <w:b/>
                <w:bCs/>
              </w:rPr>
              <w:t>Legacy</w:t>
            </w:r>
          </w:p>
          <w:p w14:paraId="52009B7D" w14:textId="7CF014BC" w:rsidR="00F216D2" w:rsidRPr="005D74D1" w:rsidRDefault="00F216D2" w:rsidP="00140664">
            <w:pPr>
              <w:pStyle w:val="BodyText"/>
              <w:jc w:val="center"/>
              <w:rPr>
                <w:rFonts w:cs="Arial"/>
                <w:lang w:val="en-AU"/>
              </w:rPr>
            </w:pPr>
            <w:r w:rsidRPr="00422D3B">
              <w:rPr>
                <w:rFonts w:cs="Arial"/>
                <w:noProof/>
              </w:rPr>
              <w:drawing>
                <wp:inline distT="0" distB="0" distL="0" distR="0" wp14:anchorId="106ACBD5" wp14:editId="694B1123">
                  <wp:extent cx="485775" cy="485775"/>
                  <wp:effectExtent l="0" t="0" r="0" b="9525"/>
                  <wp:docPr id="2" name="Graphic 2" descr="Hourglass 90%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1" descr="Hourglass 90% with solid fill"/>
                          <pic:cNvPicPr/>
                        </pic:nvPicPr>
                        <pic:blipFill>
                          <a:blip r:embed="rId40">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485775" cy="485775"/>
                          </a:xfrm>
                          <a:prstGeom prst="rect">
                            <a:avLst/>
                          </a:prstGeom>
                        </pic:spPr>
                      </pic:pic>
                    </a:graphicData>
                  </a:graphic>
                </wp:inline>
              </w:drawing>
            </w:r>
          </w:p>
        </w:tc>
        <w:tc>
          <w:tcPr>
            <w:tcW w:w="4068" w:type="pct"/>
            <w:shd w:val="clear" w:color="auto" w:fill="auto"/>
          </w:tcPr>
          <w:p w14:paraId="7887E54F" w14:textId="2C67B6EA" w:rsidR="00F216D2" w:rsidRPr="005D74D1" w:rsidRDefault="00536D19" w:rsidP="002B468A">
            <w:pPr>
              <w:pStyle w:val="TableText"/>
              <w:cnfStyle w:val="000000000000" w:firstRow="0" w:lastRow="0" w:firstColumn="0" w:lastColumn="0" w:oddVBand="0" w:evenVBand="0" w:oddHBand="0" w:evenHBand="0" w:firstRowFirstColumn="0" w:firstRowLastColumn="0" w:lastRowFirstColumn="0" w:lastRowLastColumn="0"/>
              <w:rPr>
                <w:rFonts w:cs="Arial"/>
                <w:lang w:val="en-AU"/>
              </w:rPr>
            </w:pPr>
            <w:r w:rsidRPr="005D74D1">
              <w:rPr>
                <w:rFonts w:cs="Arial"/>
                <w:lang w:val="en-AU"/>
              </w:rPr>
              <w:t>Project</w:t>
            </w:r>
            <w:r w:rsidR="00F216D2" w:rsidRPr="005D74D1">
              <w:rPr>
                <w:rFonts w:cs="Arial"/>
                <w:lang w:val="en-AU"/>
              </w:rPr>
              <w:t xml:space="preserve">s promoted sustained impact through </w:t>
            </w:r>
            <w:r w:rsidR="006B2518" w:rsidRPr="005D74D1">
              <w:rPr>
                <w:rFonts w:cs="Arial"/>
                <w:lang w:val="en-AU"/>
              </w:rPr>
              <w:t>investments</w:t>
            </w:r>
            <w:r w:rsidR="00F216D2" w:rsidRPr="005D74D1">
              <w:rPr>
                <w:rFonts w:cs="Arial"/>
                <w:lang w:val="en-AU"/>
              </w:rPr>
              <w:t xml:space="preserve"> in capacity building, long</w:t>
            </w:r>
            <w:r w:rsidR="00F51ECD" w:rsidRPr="005D74D1">
              <w:rPr>
                <w:rFonts w:cs="Arial"/>
                <w:lang w:val="en-AU"/>
              </w:rPr>
              <w:t>-</w:t>
            </w:r>
            <w:r w:rsidR="00F216D2" w:rsidRPr="005D74D1">
              <w:rPr>
                <w:rFonts w:cs="Arial"/>
                <w:lang w:val="en-AU"/>
              </w:rPr>
              <w:t>term partnerships and collaborations, enduring reforms and policy changes, new technology and reporting platforms</w:t>
            </w:r>
            <w:r w:rsidR="00146DAB" w:rsidRPr="005D74D1">
              <w:rPr>
                <w:rFonts w:cs="Arial"/>
                <w:lang w:val="en-AU"/>
              </w:rPr>
              <w:t>,</w:t>
            </w:r>
            <w:r w:rsidR="00F216D2" w:rsidRPr="005D74D1">
              <w:rPr>
                <w:rFonts w:cs="Arial"/>
                <w:lang w:val="en-AU"/>
              </w:rPr>
              <w:t xml:space="preserve"> and the delivery of on-ground </w:t>
            </w:r>
            <w:r w:rsidRPr="005D74D1">
              <w:rPr>
                <w:rFonts w:cs="Arial"/>
                <w:lang w:val="en-AU"/>
              </w:rPr>
              <w:t>project</w:t>
            </w:r>
            <w:r w:rsidR="00F216D2" w:rsidRPr="005D74D1">
              <w:rPr>
                <w:rFonts w:cs="Arial"/>
                <w:lang w:val="en-AU"/>
              </w:rPr>
              <w:t xml:space="preserve">s focused on </w:t>
            </w:r>
            <w:r w:rsidR="00146DAB" w:rsidRPr="005D74D1">
              <w:rPr>
                <w:rFonts w:cs="Arial"/>
                <w:lang w:val="en-AU"/>
              </w:rPr>
              <w:t>creating</w:t>
            </w:r>
            <w:r w:rsidR="00F216D2" w:rsidRPr="005D74D1">
              <w:rPr>
                <w:rFonts w:cs="Arial"/>
                <w:lang w:val="en-AU"/>
              </w:rPr>
              <w:t xml:space="preserve"> long</w:t>
            </w:r>
            <w:r w:rsidR="00146DAB" w:rsidRPr="005D74D1">
              <w:rPr>
                <w:rFonts w:cs="Arial"/>
                <w:lang w:val="en-AU"/>
              </w:rPr>
              <w:t>-</w:t>
            </w:r>
            <w:r w:rsidR="00F216D2" w:rsidRPr="005D74D1">
              <w:rPr>
                <w:rFonts w:cs="Arial"/>
                <w:lang w:val="en-AU"/>
              </w:rPr>
              <w:t>term benefits</w:t>
            </w:r>
            <w:r w:rsidR="000A20CD" w:rsidRPr="005D74D1">
              <w:rPr>
                <w:rFonts w:cs="Arial"/>
                <w:lang w:val="en-AU"/>
              </w:rPr>
              <w:t>.</w:t>
            </w:r>
            <w:r w:rsidR="00F216D2" w:rsidRPr="005D74D1">
              <w:rPr>
                <w:rFonts w:cs="Arial"/>
                <w:lang w:val="en-AU"/>
              </w:rPr>
              <w:t xml:space="preserve"> </w:t>
            </w:r>
          </w:p>
        </w:tc>
      </w:tr>
    </w:tbl>
    <w:p w14:paraId="2B2BAD20" w14:textId="4F6DAC22" w:rsidR="00963A13" w:rsidRPr="005D74D1" w:rsidRDefault="00963A13" w:rsidP="00371AEA">
      <w:pPr>
        <w:pStyle w:val="BodyText"/>
        <w:keepNext/>
        <w:keepLines/>
        <w:rPr>
          <w:rFonts w:cs="Arial"/>
          <w:b/>
          <w:bCs/>
        </w:rPr>
      </w:pPr>
      <w:bookmarkStart w:id="18" w:name="_Toc147329305"/>
      <w:r w:rsidRPr="005D74D1">
        <w:rPr>
          <w:rFonts w:cs="Arial"/>
          <w:b/>
          <w:bCs/>
        </w:rPr>
        <w:lastRenderedPageBreak/>
        <w:t xml:space="preserve">Conclusions and </w:t>
      </w:r>
      <w:r w:rsidR="008C74FE" w:rsidRPr="005D74D1">
        <w:rPr>
          <w:rFonts w:cs="Arial"/>
          <w:b/>
          <w:bCs/>
        </w:rPr>
        <w:t>r</w:t>
      </w:r>
      <w:r w:rsidRPr="005D74D1">
        <w:rPr>
          <w:rFonts w:cs="Arial"/>
          <w:b/>
          <w:bCs/>
        </w:rPr>
        <w:t>ecommendations</w:t>
      </w:r>
      <w:bookmarkEnd w:id="18"/>
    </w:p>
    <w:p w14:paraId="2A078A5D" w14:textId="1BF223C7" w:rsidR="00A50E7D" w:rsidRPr="005D74D1" w:rsidRDefault="003B4739" w:rsidP="00371AEA">
      <w:pPr>
        <w:pStyle w:val="BodyText"/>
        <w:keepNext/>
        <w:keepLines/>
        <w:rPr>
          <w:rFonts w:cs="Arial"/>
        </w:rPr>
      </w:pPr>
      <w:bookmarkStart w:id="19" w:name="_Hlk147307138"/>
      <w:r w:rsidRPr="005D74D1">
        <w:rPr>
          <w:rFonts w:cs="Arial"/>
        </w:rPr>
        <w:t>Delivery of EC5 strongly aligned with, and made considerable progress towards</w:t>
      </w:r>
      <w:r w:rsidR="00767C9B" w:rsidRPr="005D74D1">
        <w:rPr>
          <w:rFonts w:cs="Arial"/>
        </w:rPr>
        <w:t>,</w:t>
      </w:r>
      <w:r w:rsidRPr="005D74D1">
        <w:rPr>
          <w:rFonts w:cs="Arial"/>
        </w:rPr>
        <w:t xml:space="preserve"> the legislated objectives of the EC and key Victorian Government policies and strategies, including </w:t>
      </w:r>
      <w:r w:rsidRPr="005D74D1">
        <w:rPr>
          <w:rFonts w:cs="Arial"/>
          <w:i/>
          <w:iCs/>
        </w:rPr>
        <w:t>Water for Victoria</w:t>
      </w:r>
      <w:r w:rsidRPr="005D74D1">
        <w:rPr>
          <w:rFonts w:cs="Arial"/>
        </w:rPr>
        <w:t xml:space="preserve">, </w:t>
      </w:r>
      <w:r w:rsidRPr="005D74D1">
        <w:rPr>
          <w:rFonts w:cs="Arial"/>
          <w:i/>
          <w:iCs/>
        </w:rPr>
        <w:t>Water is Life</w:t>
      </w:r>
      <w:r w:rsidRPr="005D74D1">
        <w:rPr>
          <w:rFonts w:cs="Arial"/>
        </w:rPr>
        <w:t xml:space="preserve"> and the CGRSWS. As with previous tranches of the EC, EC5 provided critical funding that has driven innovation and best practice in water management, enabled planning and delivery of strategic, long-term projects, and delivered ongoing foundational services to meet the needs of the Victorian water sector, communities</w:t>
      </w:r>
      <w:r w:rsidR="007C6C75" w:rsidRPr="005D74D1">
        <w:rPr>
          <w:rFonts w:cs="Arial"/>
        </w:rPr>
        <w:t>,</w:t>
      </w:r>
      <w:r w:rsidRPr="005D74D1">
        <w:rPr>
          <w:rFonts w:cs="Arial"/>
        </w:rPr>
        <w:t xml:space="preserve"> and industries.</w:t>
      </w:r>
    </w:p>
    <w:p w14:paraId="376BEFF3" w14:textId="62AD4237" w:rsidR="00A50E7D" w:rsidRPr="005D74D1" w:rsidRDefault="003B4739" w:rsidP="003B4739">
      <w:pPr>
        <w:pStyle w:val="BodyText"/>
        <w:rPr>
          <w:rFonts w:cs="Arial"/>
        </w:rPr>
      </w:pPr>
      <w:r w:rsidRPr="005D74D1">
        <w:rPr>
          <w:rFonts w:cs="Arial"/>
        </w:rPr>
        <w:t>The findings from the EC5 End-Of-Tranche evaluation point to the need for future EC tranches to respond to current and emerging challenges associated with sustainable water management and protection of environmental values, and to realise the full benefits of EC5 investments and those in earlier tranches. Recommendations have also been developed to support continuous improvement for the EC into the future and have been framed to be relatively discrete actions to provide flexibility around how and when they are implemented based on available funding and resourcing.</w:t>
      </w:r>
    </w:p>
    <w:bookmarkEnd w:id="19"/>
    <w:p w14:paraId="688CBBD4" w14:textId="782F3EE3" w:rsidR="00882F7E" w:rsidRPr="005D74D1" w:rsidRDefault="00882F7E" w:rsidP="008879D2">
      <w:pPr>
        <w:pStyle w:val="Table"/>
        <w:rPr>
          <w:rFonts w:cs="Arial"/>
        </w:rPr>
      </w:pPr>
      <w:r w:rsidRPr="005D74D1">
        <w:rPr>
          <w:rFonts w:cs="Arial"/>
        </w:rPr>
        <w:t>Table</w:t>
      </w:r>
      <w:r w:rsidR="002A4B46" w:rsidRPr="005D74D1">
        <w:rPr>
          <w:rFonts w:cs="Arial"/>
        </w:rPr>
        <w:t xml:space="preserve"> E </w:t>
      </w:r>
      <w:r w:rsidRPr="005D74D1">
        <w:rPr>
          <w:rFonts w:cs="Arial"/>
        </w:rPr>
        <w:fldChar w:fldCharType="begin"/>
      </w:r>
      <w:r w:rsidRPr="005D74D1">
        <w:rPr>
          <w:rFonts w:cs="Arial"/>
        </w:rPr>
        <w:instrText xml:space="preserve"> SEQ Table_E_ \* ARABIC </w:instrText>
      </w:r>
      <w:r w:rsidRPr="005D74D1">
        <w:rPr>
          <w:rFonts w:cs="Arial"/>
        </w:rPr>
        <w:fldChar w:fldCharType="separate"/>
      </w:r>
      <w:r w:rsidR="003870A0">
        <w:rPr>
          <w:rFonts w:cs="Arial"/>
          <w:noProof/>
        </w:rPr>
        <w:t>2</w:t>
      </w:r>
      <w:r w:rsidRPr="005D74D1">
        <w:rPr>
          <w:rFonts w:cs="Arial"/>
        </w:rPr>
        <w:fldChar w:fldCharType="end"/>
      </w:r>
      <w:r w:rsidR="002A4B46" w:rsidRPr="005D74D1">
        <w:rPr>
          <w:rFonts w:cs="Arial"/>
        </w:rPr>
        <w:t>.</w:t>
      </w:r>
      <w:r w:rsidRPr="005D74D1">
        <w:rPr>
          <w:rFonts w:cs="Arial"/>
        </w:rPr>
        <w:t xml:space="preserve"> Recommendations for </w:t>
      </w:r>
      <w:r w:rsidR="00E8266E" w:rsidRPr="005D74D1">
        <w:rPr>
          <w:rFonts w:cs="Arial"/>
        </w:rPr>
        <w:t xml:space="preserve">continuous </w:t>
      </w:r>
      <w:r w:rsidRPr="005D74D1">
        <w:rPr>
          <w:rFonts w:cs="Arial"/>
        </w:rPr>
        <w:t>im</w:t>
      </w:r>
      <w:r w:rsidR="00E8266E" w:rsidRPr="005D74D1">
        <w:rPr>
          <w:rFonts w:cs="Arial"/>
        </w:rPr>
        <w:t>provement of future tranches</w:t>
      </w:r>
    </w:p>
    <w:tbl>
      <w:tblPr>
        <w:tblStyle w:val="TableGrid"/>
        <w:tblW w:w="5000" w:type="pct"/>
        <w:tblBorders>
          <w:top w:val="single" w:sz="4" w:space="0" w:color="231EDC" w:themeColor="accent1"/>
          <w:left w:val="single" w:sz="4" w:space="0" w:color="231EDC" w:themeColor="accent1"/>
          <w:bottom w:val="single" w:sz="4" w:space="0" w:color="231EDC" w:themeColor="accent1"/>
          <w:right w:val="single" w:sz="4" w:space="0" w:color="231EDC" w:themeColor="accent1"/>
          <w:insideH w:val="single" w:sz="4" w:space="0" w:color="231EDC" w:themeColor="accent1"/>
          <w:insideV w:val="single" w:sz="4" w:space="0" w:color="231EDC" w:themeColor="accent1"/>
        </w:tblBorders>
        <w:tblLook w:val="04A0" w:firstRow="1" w:lastRow="0" w:firstColumn="1" w:lastColumn="0" w:noHBand="0" w:noVBand="1"/>
      </w:tblPr>
      <w:tblGrid>
        <w:gridCol w:w="2515"/>
        <w:gridCol w:w="7113"/>
      </w:tblGrid>
      <w:tr w:rsidR="00B52A7C" w:rsidRPr="005D74D1" w14:paraId="2929895C" w14:textId="77777777" w:rsidTr="00140664">
        <w:trPr>
          <w:tblHeader/>
        </w:trPr>
        <w:tc>
          <w:tcPr>
            <w:tcW w:w="1306" w:type="pct"/>
            <w:shd w:val="clear" w:color="auto" w:fill="231EDC" w:themeFill="accent1"/>
          </w:tcPr>
          <w:p w14:paraId="2FDBE00D" w14:textId="77777777" w:rsidR="00985AE2" w:rsidRPr="00A134A7" w:rsidRDefault="00985AE2" w:rsidP="00A74A80">
            <w:pPr>
              <w:pStyle w:val="TableHeadingWhite"/>
              <w:rPr>
                <w:rFonts w:cs="Arial"/>
                <w:lang w:val="en-AU"/>
              </w:rPr>
            </w:pPr>
            <w:r w:rsidRPr="005D74D1">
              <w:rPr>
                <w:rFonts w:cs="Arial"/>
              </w:rPr>
              <w:t>Recommendation</w:t>
            </w:r>
          </w:p>
        </w:tc>
        <w:tc>
          <w:tcPr>
            <w:tcW w:w="3694" w:type="pct"/>
            <w:shd w:val="clear" w:color="auto" w:fill="231EDC" w:themeFill="accent1"/>
          </w:tcPr>
          <w:p w14:paraId="212F284B" w14:textId="77777777" w:rsidR="00985AE2" w:rsidRPr="00A134A7" w:rsidRDefault="00985AE2" w:rsidP="00A74A80">
            <w:pPr>
              <w:pStyle w:val="TableHeadingWhite"/>
              <w:rPr>
                <w:rFonts w:cs="Arial"/>
                <w:lang w:val="en-AU"/>
              </w:rPr>
            </w:pPr>
            <w:r w:rsidRPr="005D74D1">
              <w:rPr>
                <w:rFonts w:cs="Arial"/>
              </w:rPr>
              <w:t>Rationale and details</w:t>
            </w:r>
          </w:p>
        </w:tc>
      </w:tr>
      <w:tr w:rsidR="003B4739" w:rsidRPr="005D74D1" w14:paraId="12F5AC3B" w14:textId="77777777" w:rsidTr="00140664">
        <w:tc>
          <w:tcPr>
            <w:tcW w:w="1306" w:type="pct"/>
          </w:tcPr>
          <w:p w14:paraId="3987462B" w14:textId="03331783" w:rsidR="003B4739" w:rsidRPr="00A134A7" w:rsidRDefault="003B4739" w:rsidP="00EA7367">
            <w:pPr>
              <w:pStyle w:val="TableNumber"/>
              <w:rPr>
                <w:rFonts w:cs="Arial"/>
                <w:lang w:val="en-AU"/>
              </w:rPr>
            </w:pPr>
            <w:r w:rsidRPr="005D74D1">
              <w:rPr>
                <w:rFonts w:cs="Arial"/>
              </w:rPr>
              <w:t>Continue EC funding into a 6th tranche. Prioritise future investment to build resilience to existing and emerging challenges, and to support benefits realisation from work started in EC5 or earlier tranches.</w:t>
            </w:r>
          </w:p>
        </w:tc>
        <w:tc>
          <w:tcPr>
            <w:tcW w:w="3694" w:type="pct"/>
          </w:tcPr>
          <w:p w14:paraId="28331F37" w14:textId="77777777" w:rsidR="003B4739" w:rsidRPr="005D74D1" w:rsidRDefault="003B4739" w:rsidP="00EA7367">
            <w:pPr>
              <w:pStyle w:val="TableText"/>
              <w:rPr>
                <w:rFonts w:cs="Arial"/>
                <w:lang w:val="en-AU"/>
              </w:rPr>
            </w:pPr>
            <w:r w:rsidRPr="005D74D1">
              <w:rPr>
                <w:rFonts w:cs="Arial"/>
                <w:lang w:val="en-AU"/>
              </w:rPr>
              <w:t xml:space="preserve">Continued investment is required in many areas to maintain the gains made by EC5 and previous tranches of the EC, and to achieve the objectives of </w:t>
            </w:r>
            <w:r w:rsidRPr="005D74D1">
              <w:rPr>
                <w:rFonts w:cs="Arial"/>
                <w:i/>
                <w:iCs/>
                <w:lang w:val="en-AU"/>
              </w:rPr>
              <w:t>Water for Victoria</w:t>
            </w:r>
            <w:r w:rsidRPr="005D74D1">
              <w:rPr>
                <w:rFonts w:cs="Arial"/>
                <w:lang w:val="en-AU"/>
              </w:rPr>
              <w:t xml:space="preserve">, </w:t>
            </w:r>
            <w:r w:rsidRPr="005D74D1">
              <w:rPr>
                <w:rFonts w:cs="Arial"/>
                <w:i/>
                <w:iCs/>
                <w:lang w:val="en-AU"/>
              </w:rPr>
              <w:t>Water is Life</w:t>
            </w:r>
            <w:r w:rsidRPr="005D74D1">
              <w:rPr>
                <w:rFonts w:cs="Arial"/>
                <w:lang w:val="en-AU"/>
              </w:rPr>
              <w:t xml:space="preserve">, the CGRSWS and other key state strategies (for example, the </w:t>
            </w:r>
            <w:r w:rsidRPr="005D74D1">
              <w:rPr>
                <w:rFonts w:cs="Arial"/>
              </w:rPr>
              <w:t>Water Cycle Adaptation Action Plan</w:t>
            </w:r>
            <w:r w:rsidRPr="005D74D1">
              <w:rPr>
                <w:rFonts w:cs="Arial"/>
                <w:lang w:val="en-AU"/>
              </w:rPr>
              <w:t>). Future investment should be directed toward:</w:t>
            </w:r>
          </w:p>
          <w:p w14:paraId="4C41416B" w14:textId="77777777" w:rsidR="003B4739" w:rsidRPr="005D74D1" w:rsidRDefault="003B4739" w:rsidP="003B4739">
            <w:pPr>
              <w:pStyle w:val="TableBullet"/>
              <w:rPr>
                <w:rFonts w:cs="Arial"/>
                <w:lang w:val="en-AU"/>
              </w:rPr>
            </w:pPr>
            <w:r w:rsidRPr="005D74D1">
              <w:rPr>
                <w:rFonts w:cs="Arial"/>
                <w:b/>
                <w:bCs/>
                <w:lang w:val="en-AU"/>
              </w:rPr>
              <w:t xml:space="preserve">Building water security and resilience in the Victorian water sector, communities, and environments to existing and emerging challenges: </w:t>
            </w:r>
            <w:r w:rsidRPr="005D74D1">
              <w:rPr>
                <w:rFonts w:cs="Arial"/>
                <w:lang w:val="en-AU"/>
              </w:rPr>
              <w:t>Key themes for increased focus in EC6 include security of supply and demand managemen</w:t>
            </w:r>
            <w:r w:rsidRPr="00422D3B">
              <w:rPr>
                <w:rFonts w:cs="Arial"/>
                <w:lang w:val="en-AU"/>
              </w:rPr>
              <w:t>t</w:t>
            </w:r>
            <w:r w:rsidRPr="005D74D1">
              <w:rPr>
                <w:rFonts w:cs="Arial"/>
                <w:lang w:val="en-AU"/>
              </w:rPr>
              <w:t>, climate change adaptation, supporting the energy transition, environmental stewardship and values, supporting Traditional Owner self-determination, collaboration and relationships, and the integration of new technologies with water planning and decision-making.</w:t>
            </w:r>
          </w:p>
          <w:p w14:paraId="7E7787CD" w14:textId="2BD2338A" w:rsidR="003B4739" w:rsidRPr="005D74D1" w:rsidRDefault="003B4739" w:rsidP="003B4739">
            <w:pPr>
              <w:pStyle w:val="TableBullet"/>
              <w:rPr>
                <w:rFonts w:cs="Arial"/>
                <w:lang w:val="en-AU"/>
              </w:rPr>
            </w:pPr>
            <w:r w:rsidRPr="005D74D1">
              <w:rPr>
                <w:rFonts w:cs="Arial"/>
                <w:b/>
                <w:bCs/>
                <w:lang w:val="en-AU"/>
              </w:rPr>
              <w:t xml:space="preserve">Continuing ongoing projects to support benefits realisation from work started in EC5 or earlier tranches: </w:t>
            </w:r>
            <w:r w:rsidRPr="005D74D1">
              <w:rPr>
                <w:rFonts w:cs="Arial"/>
                <w:lang w:val="en-AU"/>
              </w:rPr>
              <w:t xml:space="preserve">Many of the EC5 projects are not discrete </w:t>
            </w:r>
            <w:r w:rsidR="00B71FBA" w:rsidRPr="005D74D1">
              <w:rPr>
                <w:rFonts w:cs="Arial"/>
                <w:lang w:val="en-AU"/>
              </w:rPr>
              <w:t>four</w:t>
            </w:r>
            <w:r w:rsidRPr="005D74D1">
              <w:rPr>
                <w:rFonts w:cs="Arial"/>
                <w:lang w:val="en-AU"/>
              </w:rPr>
              <w:t xml:space="preserve">-year </w:t>
            </w:r>
            <w:r w:rsidR="004B1BB7" w:rsidRPr="005D74D1">
              <w:rPr>
                <w:rFonts w:cs="Arial"/>
                <w:lang w:val="en-AU"/>
              </w:rPr>
              <w:t>investments but</w:t>
            </w:r>
            <w:r w:rsidRPr="005D74D1">
              <w:rPr>
                <w:rFonts w:cs="Arial"/>
                <w:lang w:val="en-AU"/>
              </w:rPr>
              <w:t xml:space="preserve"> require funding over longer periods of time to deliver the EC long-term outcomes. This includes long or medium-term projects that are expected to realise benefits over </w:t>
            </w:r>
            <w:r w:rsidR="00B71FBA" w:rsidRPr="005D74D1">
              <w:rPr>
                <w:rFonts w:cs="Arial"/>
                <w:lang w:val="en-AU"/>
              </w:rPr>
              <w:t>two</w:t>
            </w:r>
            <w:r w:rsidRPr="005D74D1">
              <w:rPr>
                <w:rFonts w:cs="Arial"/>
                <w:lang w:val="en-AU"/>
              </w:rPr>
              <w:t xml:space="preserve"> or more EC tranches and ongoing business-as-usual work that is foundational to the functioning of the Victorian water sector.</w:t>
            </w:r>
          </w:p>
          <w:p w14:paraId="159BBEDC" w14:textId="2372E184" w:rsidR="003B4739" w:rsidRPr="00A134A7" w:rsidRDefault="003B4739" w:rsidP="00EA7367">
            <w:pPr>
              <w:pStyle w:val="TableText"/>
              <w:rPr>
                <w:rFonts w:cs="Arial"/>
                <w:lang w:val="en-AU"/>
              </w:rPr>
            </w:pPr>
            <w:r w:rsidRPr="005D74D1">
              <w:rPr>
                <w:rFonts w:cs="Arial"/>
              </w:rPr>
              <w:t xml:space="preserve">Priorities for future funding are outlined in Table E3 below. </w:t>
            </w:r>
          </w:p>
        </w:tc>
      </w:tr>
      <w:tr w:rsidR="003B4739" w:rsidRPr="005D74D1" w14:paraId="2D61C89E" w14:textId="77777777" w:rsidTr="00140664">
        <w:tc>
          <w:tcPr>
            <w:tcW w:w="1306" w:type="pct"/>
          </w:tcPr>
          <w:p w14:paraId="46F54EED" w14:textId="5BACC020" w:rsidR="003B4739" w:rsidRPr="00A134A7" w:rsidRDefault="003B4739" w:rsidP="00EA7367">
            <w:pPr>
              <w:pStyle w:val="TableNumber"/>
              <w:rPr>
                <w:rFonts w:cs="Arial"/>
                <w:lang w:val="en-AU"/>
              </w:rPr>
            </w:pPr>
            <w:r w:rsidRPr="005D74D1">
              <w:rPr>
                <w:rFonts w:cs="Arial"/>
              </w:rPr>
              <w:t>Continue to support the EC’s adaptability to changing conditions and priorities</w:t>
            </w:r>
          </w:p>
        </w:tc>
        <w:tc>
          <w:tcPr>
            <w:tcW w:w="3694" w:type="pct"/>
          </w:tcPr>
          <w:p w14:paraId="4BE1B822" w14:textId="2A305F1A" w:rsidR="003B4739" w:rsidRPr="00A134A7" w:rsidRDefault="003B4739" w:rsidP="00EA7367">
            <w:pPr>
              <w:pStyle w:val="TableText"/>
              <w:rPr>
                <w:rFonts w:cs="Arial"/>
                <w:lang w:val="en-AU"/>
              </w:rPr>
            </w:pPr>
            <w:r w:rsidRPr="005D74D1">
              <w:rPr>
                <w:rFonts w:cs="Arial"/>
              </w:rPr>
              <w:t xml:space="preserve">It is recognised that changing conditions and priorities will emerge throughout each tranche, which can affect the relevance and ability to deliver commitments designed at the funding submission stage. The evaluation found that EC5 projects adapted well to unexpected disruptions (such as the COVID-19 pandemic and extreme weather events), and flexibility in delivery was supported by the EC Project Control Board. New priorities that emerge are managed through maintaining a buffer of unallocated funds that can be directed to these emerging issues. These mechanisms should continue to be supported to provide flexibility in future tranches. </w:t>
            </w:r>
          </w:p>
        </w:tc>
      </w:tr>
      <w:tr w:rsidR="003B4739" w:rsidRPr="005D74D1" w14:paraId="6447A70A" w14:textId="77777777" w:rsidTr="00140664">
        <w:tc>
          <w:tcPr>
            <w:tcW w:w="1306" w:type="pct"/>
          </w:tcPr>
          <w:p w14:paraId="0AF39ED3" w14:textId="242FC1CA" w:rsidR="003B4739" w:rsidRPr="00A134A7" w:rsidRDefault="003B4739" w:rsidP="00EA7367">
            <w:pPr>
              <w:pStyle w:val="TableNumber"/>
              <w:rPr>
                <w:rFonts w:cs="Arial"/>
                <w:lang w:val="en-AU"/>
              </w:rPr>
            </w:pPr>
            <w:r w:rsidRPr="005D74D1">
              <w:rPr>
                <w:rFonts w:cs="Arial"/>
              </w:rPr>
              <w:t>Investigate ways to better align multiple funding sources</w:t>
            </w:r>
          </w:p>
        </w:tc>
        <w:tc>
          <w:tcPr>
            <w:tcW w:w="3694" w:type="pct"/>
          </w:tcPr>
          <w:p w14:paraId="3F20B189" w14:textId="06DF3333" w:rsidR="003B4739" w:rsidRPr="00A134A7" w:rsidRDefault="003B4739" w:rsidP="00EA7367">
            <w:pPr>
              <w:pStyle w:val="TableText"/>
              <w:rPr>
                <w:rFonts w:cs="Arial"/>
                <w:lang w:val="en-AU"/>
              </w:rPr>
            </w:pPr>
            <w:r w:rsidRPr="005D74D1">
              <w:rPr>
                <w:rFonts w:cs="Arial"/>
              </w:rPr>
              <w:t xml:space="preserve">Many projects utilised co-funding from other sources. However, there were challenges with aligning the timing and reporting requirements of multiple funding sources. While the EC is already aligned with other Victorian budget processes, and there is limited opportunity to modify Commonwealth funding processes, there may be other opportunities for the delivery of EC projects to align with other funding sources. Any alignment between funding sources </w:t>
            </w:r>
            <w:r w:rsidRPr="005D74D1">
              <w:rPr>
                <w:rFonts w:cs="Arial"/>
              </w:rPr>
              <w:lastRenderedPageBreak/>
              <w:t xml:space="preserve">could support delivery and reporting efficiencies. Therefore, where possible, potential co-funding opportunities should be identified as early as possible. </w:t>
            </w:r>
          </w:p>
        </w:tc>
      </w:tr>
      <w:tr w:rsidR="003B4739" w:rsidRPr="005D74D1" w14:paraId="43199E9D" w14:textId="77777777" w:rsidTr="00140664">
        <w:tc>
          <w:tcPr>
            <w:tcW w:w="1306" w:type="pct"/>
          </w:tcPr>
          <w:p w14:paraId="5EA3BA9A" w14:textId="17126875" w:rsidR="003B4739" w:rsidRPr="00A134A7" w:rsidRDefault="003B4739" w:rsidP="00EA7367">
            <w:pPr>
              <w:pStyle w:val="TableNumber"/>
              <w:rPr>
                <w:rFonts w:cs="Arial"/>
                <w:lang w:val="en-AU"/>
              </w:rPr>
            </w:pPr>
            <w:r w:rsidRPr="005D74D1">
              <w:rPr>
                <w:rFonts w:cs="Arial"/>
              </w:rPr>
              <w:lastRenderedPageBreak/>
              <w:t>Investigate options for streamlining reporting processes</w:t>
            </w:r>
          </w:p>
        </w:tc>
        <w:tc>
          <w:tcPr>
            <w:tcW w:w="3694" w:type="pct"/>
          </w:tcPr>
          <w:p w14:paraId="4A3A8BFF" w14:textId="7BEE98FB" w:rsidR="003B4739" w:rsidRPr="00A134A7" w:rsidRDefault="003B4739" w:rsidP="00EA7367">
            <w:pPr>
              <w:pStyle w:val="TableText"/>
              <w:rPr>
                <w:rFonts w:cs="Arial"/>
                <w:lang w:val="en-AU"/>
              </w:rPr>
            </w:pPr>
            <w:r w:rsidRPr="005D74D1">
              <w:rPr>
                <w:rFonts w:cs="Arial"/>
              </w:rPr>
              <w:t xml:space="preserve">While the existing governance and reporting structures are functioning well to support effective EC delivery, it would be beneficial to investigate options to reduce duplication and administrative workload through creating more efficient links between regular reporting and evaluation reporting. Opportunities for streamlining reporting between DEECA and partner agencies where there is collaborative work should also be explored. </w:t>
            </w:r>
          </w:p>
        </w:tc>
      </w:tr>
      <w:tr w:rsidR="003B4739" w:rsidRPr="005D74D1" w14:paraId="72A830A3" w14:textId="77777777" w:rsidTr="00140664">
        <w:tc>
          <w:tcPr>
            <w:tcW w:w="1306" w:type="pct"/>
          </w:tcPr>
          <w:p w14:paraId="76CC4C23" w14:textId="001CE1A1" w:rsidR="003B4739" w:rsidRPr="00A134A7" w:rsidRDefault="003B4739" w:rsidP="00EA7367">
            <w:pPr>
              <w:pStyle w:val="TableNumber"/>
              <w:rPr>
                <w:rFonts w:cs="Arial"/>
                <w:lang w:val="en-AU"/>
              </w:rPr>
            </w:pPr>
            <w:r w:rsidRPr="005D74D1">
              <w:rPr>
                <w:rFonts w:cs="Arial"/>
              </w:rPr>
              <w:t>Build in appropriate governance and funding structures to support Traditional Owner involvement</w:t>
            </w:r>
          </w:p>
        </w:tc>
        <w:tc>
          <w:tcPr>
            <w:tcW w:w="3694" w:type="pct"/>
          </w:tcPr>
          <w:p w14:paraId="1691CE68" w14:textId="74B8CC05" w:rsidR="003B4739" w:rsidRPr="00A134A7" w:rsidRDefault="003B4739" w:rsidP="00EA7367">
            <w:pPr>
              <w:pStyle w:val="TableText"/>
              <w:rPr>
                <w:rFonts w:cs="Arial"/>
                <w:lang w:val="en-AU"/>
              </w:rPr>
            </w:pPr>
            <w:r w:rsidRPr="005D74D1">
              <w:rPr>
                <w:rFonts w:cs="Arial"/>
              </w:rPr>
              <w:t>Partnerships with Traditional Owners are of critical importance to the management of Victoria’s water resources. Developing these arrangements will help to support Traditional Owner self-determination. Where they currently exist, such as the CGRSWS Traditional Owner Partnership, they will need to be properly resourced and supported. Governance and funding structures will need to be designed in collaboration with Traditional Owner organisations so they can balance the increased demand for engagement and partnership on a wide range of water-related and other matters. Streamlining funding arrangements, supporting capacity building</w:t>
            </w:r>
            <w:r w:rsidR="009F3E52" w:rsidRPr="005D74D1">
              <w:rPr>
                <w:rFonts w:cs="Arial"/>
              </w:rPr>
              <w:t>,</w:t>
            </w:r>
            <w:r w:rsidRPr="005D74D1">
              <w:rPr>
                <w:rFonts w:cs="Arial"/>
              </w:rPr>
              <w:t xml:space="preserve"> and ensuring there is oversight of broader engagement with Traditional Owners should be key priorities.</w:t>
            </w:r>
          </w:p>
        </w:tc>
      </w:tr>
      <w:tr w:rsidR="003B4739" w:rsidRPr="005D74D1" w14:paraId="4475D6AC" w14:textId="77777777" w:rsidTr="00140664">
        <w:tc>
          <w:tcPr>
            <w:tcW w:w="1306" w:type="pct"/>
          </w:tcPr>
          <w:p w14:paraId="395EDAA5" w14:textId="77777777" w:rsidR="003B4739" w:rsidRPr="00A134A7" w:rsidRDefault="003B4739" w:rsidP="00EA7367">
            <w:pPr>
              <w:pStyle w:val="TableNumber"/>
              <w:rPr>
                <w:rFonts w:cs="Arial"/>
                <w:lang w:val="en-AU"/>
              </w:rPr>
            </w:pPr>
            <w:r w:rsidRPr="005D74D1">
              <w:rPr>
                <w:rFonts w:cs="Arial"/>
              </w:rPr>
              <w:t>Consider economic and social value analyses and /or benefits assessment</w:t>
            </w:r>
          </w:p>
        </w:tc>
        <w:tc>
          <w:tcPr>
            <w:tcW w:w="3694" w:type="pct"/>
          </w:tcPr>
          <w:p w14:paraId="06F6C87B" w14:textId="254030B7" w:rsidR="003B4739" w:rsidRPr="00A134A7" w:rsidRDefault="003B4739" w:rsidP="00EA7367">
            <w:pPr>
              <w:pStyle w:val="TableText"/>
              <w:rPr>
                <w:rFonts w:cs="Arial"/>
                <w:lang w:val="en-AU"/>
              </w:rPr>
            </w:pPr>
            <w:r w:rsidRPr="005D74D1">
              <w:rPr>
                <w:rFonts w:cs="Arial"/>
              </w:rPr>
              <w:t>There are challenges with articulating the benefits of some projects and the collective benefits of the EC, particularly for ongoing business-as-usual work, maintenance works, and broad policy or planning projects. There is an opportunity to better articulate the benefits of the EC through economic and social values analyses, and/or narratives around how the benefits of delivered projects are realised by Victorian communities, environments</w:t>
            </w:r>
            <w:r w:rsidR="009F3E52" w:rsidRPr="005D74D1">
              <w:rPr>
                <w:rFonts w:cs="Arial"/>
              </w:rPr>
              <w:t>,</w:t>
            </w:r>
            <w:r w:rsidRPr="005D74D1">
              <w:rPr>
                <w:rFonts w:cs="Arial"/>
              </w:rPr>
              <w:t xml:space="preserve"> and industries. </w:t>
            </w:r>
          </w:p>
        </w:tc>
      </w:tr>
      <w:tr w:rsidR="002A738B" w:rsidRPr="005D74D1" w14:paraId="603F3483" w14:textId="77777777" w:rsidTr="00140664">
        <w:tc>
          <w:tcPr>
            <w:tcW w:w="1306" w:type="pct"/>
          </w:tcPr>
          <w:p w14:paraId="769D1E70" w14:textId="1D3C6A3B" w:rsidR="002A738B" w:rsidRPr="00A134A7" w:rsidRDefault="002A738B" w:rsidP="00EA7367">
            <w:pPr>
              <w:pStyle w:val="TableNumber"/>
              <w:rPr>
                <w:rFonts w:cs="Arial"/>
                <w:lang w:val="en-AU"/>
              </w:rPr>
            </w:pPr>
            <w:r w:rsidRPr="005D74D1">
              <w:rPr>
                <w:rFonts w:cs="Arial"/>
              </w:rPr>
              <w:t xml:space="preserve">Consider </w:t>
            </w:r>
            <w:r w:rsidR="00430C4D" w:rsidRPr="005D74D1">
              <w:rPr>
                <w:rFonts w:cs="Arial"/>
              </w:rPr>
              <w:t xml:space="preserve">the opportunities and potential </w:t>
            </w:r>
            <w:r w:rsidRPr="005D74D1">
              <w:rPr>
                <w:rFonts w:cs="Arial"/>
              </w:rPr>
              <w:t xml:space="preserve">risks associated with EC funding being used for ongoing </w:t>
            </w:r>
            <w:r w:rsidR="001643C6" w:rsidRPr="005D74D1">
              <w:rPr>
                <w:rFonts w:cs="Arial"/>
              </w:rPr>
              <w:t>business-as-usual</w:t>
            </w:r>
            <w:r w:rsidRPr="005D74D1">
              <w:rPr>
                <w:rFonts w:cs="Arial"/>
              </w:rPr>
              <w:t xml:space="preserve"> activities, and </w:t>
            </w:r>
            <w:r w:rsidR="00AA4435" w:rsidRPr="005D74D1">
              <w:rPr>
                <w:rFonts w:cs="Arial"/>
              </w:rPr>
              <w:t>build in</w:t>
            </w:r>
            <w:r w:rsidRPr="005D74D1">
              <w:rPr>
                <w:rFonts w:cs="Arial"/>
              </w:rPr>
              <w:t xml:space="preserve"> mitigation measures to future tranches</w:t>
            </w:r>
          </w:p>
        </w:tc>
        <w:tc>
          <w:tcPr>
            <w:tcW w:w="3694" w:type="pct"/>
          </w:tcPr>
          <w:p w14:paraId="175F67A1" w14:textId="08A8F4EC" w:rsidR="002A738B" w:rsidRPr="005D74D1" w:rsidRDefault="002A738B" w:rsidP="00EA7367">
            <w:pPr>
              <w:pStyle w:val="TableText"/>
              <w:rPr>
                <w:rFonts w:cs="Arial"/>
                <w:lang w:val="en-AU"/>
              </w:rPr>
            </w:pPr>
            <w:r w:rsidRPr="005D74D1">
              <w:rPr>
                <w:rFonts w:cs="Arial"/>
              </w:rPr>
              <w:t xml:space="preserve">It is acknowledged that there are a range of </w:t>
            </w:r>
            <w:r w:rsidR="00E75745" w:rsidRPr="005D74D1">
              <w:rPr>
                <w:rFonts w:cs="Arial"/>
              </w:rPr>
              <w:t xml:space="preserve">opportunities and </w:t>
            </w:r>
            <w:r w:rsidRPr="005D74D1">
              <w:rPr>
                <w:rFonts w:cs="Arial"/>
              </w:rPr>
              <w:t>benefits of EC funding supporting both short</w:t>
            </w:r>
            <w:r w:rsidR="00A61E74" w:rsidRPr="005D74D1">
              <w:rPr>
                <w:rFonts w:cs="Arial"/>
              </w:rPr>
              <w:t>-</w:t>
            </w:r>
            <w:r w:rsidRPr="005D74D1">
              <w:rPr>
                <w:rFonts w:cs="Arial"/>
              </w:rPr>
              <w:t xml:space="preserve"> and long-term projects</w:t>
            </w:r>
            <w:r w:rsidR="2F51B491" w:rsidRPr="005D74D1">
              <w:rPr>
                <w:rFonts w:cs="Arial"/>
              </w:rPr>
              <w:t>.</w:t>
            </w:r>
            <w:r w:rsidRPr="005D74D1">
              <w:rPr>
                <w:rFonts w:cs="Arial"/>
              </w:rPr>
              <w:t xml:space="preserve"> </w:t>
            </w:r>
            <w:r w:rsidR="00E75745" w:rsidRPr="005D74D1">
              <w:rPr>
                <w:rFonts w:cs="Arial"/>
              </w:rPr>
              <w:t>There is a need to reflect on potential</w:t>
            </w:r>
            <w:r w:rsidRPr="005D74D1">
              <w:rPr>
                <w:rFonts w:cs="Arial"/>
              </w:rPr>
              <w:t xml:space="preserve"> risks </w:t>
            </w:r>
            <w:r w:rsidR="001E2F4F" w:rsidRPr="005D74D1">
              <w:rPr>
                <w:rFonts w:cs="Arial"/>
              </w:rPr>
              <w:t>that could emerge if the</w:t>
            </w:r>
            <w:r w:rsidRPr="005D74D1">
              <w:rPr>
                <w:rFonts w:cs="Arial"/>
              </w:rPr>
              <w:t xml:space="preserve"> EC </w:t>
            </w:r>
            <w:r w:rsidR="001E2F4F" w:rsidRPr="005D74D1">
              <w:rPr>
                <w:rFonts w:cs="Arial"/>
              </w:rPr>
              <w:t>is</w:t>
            </w:r>
            <w:r w:rsidRPr="005D74D1">
              <w:rPr>
                <w:rFonts w:cs="Arial"/>
              </w:rPr>
              <w:t xml:space="preserve"> increasingly used for ongoing, </w:t>
            </w:r>
            <w:r w:rsidR="001643C6" w:rsidRPr="005D74D1">
              <w:rPr>
                <w:rFonts w:cs="Arial"/>
              </w:rPr>
              <w:t>business-as-usual</w:t>
            </w:r>
            <w:r w:rsidRPr="005D74D1">
              <w:rPr>
                <w:rFonts w:cs="Arial"/>
              </w:rPr>
              <w:t xml:space="preserve"> activities</w:t>
            </w:r>
            <w:r w:rsidR="0084159B" w:rsidRPr="005D74D1">
              <w:rPr>
                <w:rFonts w:cs="Arial"/>
              </w:rPr>
              <w:t>, such as</w:t>
            </w:r>
            <w:r w:rsidRPr="005D74D1">
              <w:rPr>
                <w:rFonts w:cs="Arial"/>
              </w:rPr>
              <w:t>:</w:t>
            </w:r>
          </w:p>
          <w:p w14:paraId="238A46D5" w14:textId="77777777" w:rsidR="00A50E7D" w:rsidRPr="005D74D1" w:rsidRDefault="414C51F0" w:rsidP="002A738B">
            <w:pPr>
              <w:pStyle w:val="TableBullet"/>
              <w:rPr>
                <w:rFonts w:cs="Arial"/>
                <w:lang w:val="en-AU"/>
              </w:rPr>
            </w:pPr>
            <w:r w:rsidRPr="005D74D1">
              <w:rPr>
                <w:rFonts w:cs="Arial"/>
                <w:lang w:val="en-AU"/>
              </w:rPr>
              <w:t>Potential for reduced ability to innovate and implement new projects in response to changing demand and priorities.</w:t>
            </w:r>
          </w:p>
          <w:p w14:paraId="132D4081" w14:textId="2737D244" w:rsidR="002A738B" w:rsidRPr="005D74D1" w:rsidRDefault="414C51F0" w:rsidP="002A738B">
            <w:pPr>
              <w:pStyle w:val="TableBullet"/>
              <w:rPr>
                <w:rFonts w:cs="Arial"/>
                <w:lang w:val="en-AU"/>
              </w:rPr>
            </w:pPr>
            <w:r w:rsidRPr="005D74D1">
              <w:rPr>
                <w:rFonts w:cs="Arial"/>
                <w:lang w:val="en-AU"/>
              </w:rPr>
              <w:t>Risks to the delivery of critical business</w:t>
            </w:r>
            <w:r w:rsidR="1F90117D" w:rsidRPr="005D74D1">
              <w:rPr>
                <w:rFonts w:cs="Arial"/>
                <w:lang w:val="en-AU"/>
              </w:rPr>
              <w:t>-</w:t>
            </w:r>
            <w:r w:rsidRPr="005D74D1">
              <w:rPr>
                <w:rFonts w:cs="Arial"/>
                <w:lang w:val="en-AU"/>
              </w:rPr>
              <w:t>as</w:t>
            </w:r>
            <w:r w:rsidR="1F90117D" w:rsidRPr="005D74D1">
              <w:rPr>
                <w:rFonts w:cs="Arial"/>
                <w:lang w:val="en-AU"/>
              </w:rPr>
              <w:t>-</w:t>
            </w:r>
            <w:r w:rsidRPr="005D74D1">
              <w:rPr>
                <w:rFonts w:cs="Arial"/>
                <w:lang w:val="en-AU"/>
              </w:rPr>
              <w:t>usual DEECA activities if funding pool from EC were to decrease.</w:t>
            </w:r>
          </w:p>
          <w:p w14:paraId="35E69471" w14:textId="5F92A646" w:rsidR="00F20F3E" w:rsidRPr="005D74D1" w:rsidRDefault="414C51F0" w:rsidP="00F20F3E">
            <w:pPr>
              <w:pStyle w:val="TableBullet"/>
              <w:rPr>
                <w:rFonts w:cs="Arial"/>
                <w:lang w:val="en-AU"/>
              </w:rPr>
            </w:pPr>
            <w:r w:rsidRPr="00A134A7">
              <w:rPr>
                <w:rFonts w:cs="Arial"/>
                <w:lang w:val="en-AU"/>
              </w:rPr>
              <w:t>Difficulty in providing immediate visible project outcomes and benefits of ongoing business</w:t>
            </w:r>
            <w:r w:rsidR="1F90117D" w:rsidRPr="00A134A7">
              <w:rPr>
                <w:rFonts w:cs="Arial"/>
                <w:lang w:val="en-AU"/>
              </w:rPr>
              <w:t>-</w:t>
            </w:r>
            <w:r w:rsidRPr="00A134A7">
              <w:rPr>
                <w:rFonts w:cs="Arial"/>
                <w:lang w:val="en-AU"/>
              </w:rPr>
              <w:t>as</w:t>
            </w:r>
            <w:r w:rsidR="1F90117D" w:rsidRPr="00A134A7">
              <w:rPr>
                <w:rFonts w:cs="Arial"/>
                <w:lang w:val="en-AU"/>
              </w:rPr>
              <w:t>-</w:t>
            </w:r>
            <w:r w:rsidRPr="00A134A7">
              <w:rPr>
                <w:rFonts w:cs="Arial"/>
                <w:lang w:val="en-AU"/>
              </w:rPr>
              <w:t xml:space="preserve">usual work, </w:t>
            </w:r>
            <w:r w:rsidR="0084159B" w:rsidRPr="00A134A7">
              <w:rPr>
                <w:rFonts w:cs="Arial"/>
                <w:lang w:val="en-AU"/>
              </w:rPr>
              <w:t xml:space="preserve">which could </w:t>
            </w:r>
            <w:r w:rsidRPr="00A134A7">
              <w:rPr>
                <w:rFonts w:cs="Arial"/>
                <w:lang w:val="en-AU"/>
              </w:rPr>
              <w:t>lead to poor community perception</w:t>
            </w:r>
            <w:r w:rsidR="284A2879" w:rsidRPr="00A134A7">
              <w:rPr>
                <w:rFonts w:cs="Arial"/>
                <w:lang w:val="en-AU"/>
              </w:rPr>
              <w:t>.</w:t>
            </w:r>
          </w:p>
          <w:p w14:paraId="04A59B30" w14:textId="7C21268E" w:rsidR="002A738B" w:rsidRPr="005D74D1" w:rsidRDefault="002A738B" w:rsidP="00EA7367">
            <w:pPr>
              <w:pStyle w:val="TableText"/>
              <w:rPr>
                <w:rFonts w:cs="Arial"/>
                <w:lang w:val="en-AU"/>
              </w:rPr>
            </w:pPr>
            <w:r w:rsidRPr="005D74D1">
              <w:rPr>
                <w:rFonts w:cs="Arial"/>
                <w:lang w:val="en-AU"/>
              </w:rPr>
              <w:t xml:space="preserve">Design of future EC tranches should consider these </w:t>
            </w:r>
            <w:r w:rsidR="0084159B" w:rsidRPr="005D74D1">
              <w:rPr>
                <w:rFonts w:cs="Arial"/>
                <w:lang w:val="en-AU"/>
              </w:rPr>
              <w:t xml:space="preserve">potential </w:t>
            </w:r>
            <w:r w:rsidRPr="005D74D1">
              <w:rPr>
                <w:rFonts w:cs="Arial"/>
                <w:lang w:val="en-AU"/>
              </w:rPr>
              <w:t>risks</w:t>
            </w:r>
            <w:r w:rsidR="0084159B" w:rsidRPr="005D74D1">
              <w:rPr>
                <w:rFonts w:cs="Arial"/>
                <w:lang w:val="en-AU"/>
              </w:rPr>
              <w:t>, along with the opportunities,</w:t>
            </w:r>
            <w:r w:rsidRPr="005D74D1">
              <w:rPr>
                <w:rFonts w:cs="Arial"/>
                <w:lang w:val="en-AU"/>
              </w:rPr>
              <w:t xml:space="preserve"> and </w:t>
            </w:r>
            <w:r w:rsidR="00AA4435" w:rsidRPr="005D74D1">
              <w:rPr>
                <w:rFonts w:cs="Arial"/>
                <w:lang w:val="en-AU"/>
              </w:rPr>
              <w:t>build in</w:t>
            </w:r>
            <w:r w:rsidRPr="005D74D1">
              <w:rPr>
                <w:rFonts w:cs="Arial"/>
                <w:lang w:val="en-AU"/>
              </w:rPr>
              <w:t xml:space="preserve"> mitigation measures if required.</w:t>
            </w:r>
          </w:p>
        </w:tc>
      </w:tr>
    </w:tbl>
    <w:p w14:paraId="25ABB45E" w14:textId="288F620E" w:rsidR="00BB36B5" w:rsidRPr="005D74D1" w:rsidRDefault="00BB36B5" w:rsidP="007C5142">
      <w:pPr>
        <w:pStyle w:val="BodyText"/>
        <w:rPr>
          <w:rFonts w:cs="Arial"/>
          <w:b/>
          <w:bCs/>
          <w:sz w:val="24"/>
          <w:szCs w:val="24"/>
        </w:rPr>
      </w:pPr>
      <w:bookmarkStart w:id="20" w:name="_Toc147329306"/>
      <w:r w:rsidRPr="005D74D1">
        <w:rPr>
          <w:rFonts w:cs="Arial"/>
          <w:b/>
          <w:bCs/>
          <w:sz w:val="24"/>
          <w:szCs w:val="24"/>
        </w:rPr>
        <w:t>Priorities for investment in EC6 and into the future</w:t>
      </w:r>
      <w:bookmarkEnd w:id="20"/>
    </w:p>
    <w:p w14:paraId="47333AD0" w14:textId="4B4B94F0" w:rsidR="00BB36B5" w:rsidRPr="005D74D1" w:rsidRDefault="00BB36B5" w:rsidP="00BB36B5">
      <w:pPr>
        <w:pStyle w:val="BodyText"/>
        <w:rPr>
          <w:rFonts w:cs="Arial"/>
        </w:rPr>
      </w:pPr>
      <w:r w:rsidRPr="005D74D1">
        <w:rPr>
          <w:rFonts w:cs="Arial"/>
        </w:rPr>
        <w:t xml:space="preserve">Continued investment is required to </w:t>
      </w:r>
      <w:r w:rsidR="00486C1E" w:rsidRPr="005D74D1">
        <w:rPr>
          <w:rFonts w:cs="Arial"/>
        </w:rPr>
        <w:t xml:space="preserve">respond to existing and emerging challenges and to </w:t>
      </w:r>
      <w:r w:rsidRPr="005D74D1">
        <w:rPr>
          <w:rFonts w:cs="Arial"/>
        </w:rPr>
        <w:t xml:space="preserve">maintain and build upon the significant progress made toward </w:t>
      </w:r>
      <w:r w:rsidR="00E20433" w:rsidRPr="005D74D1">
        <w:rPr>
          <w:rFonts w:cs="Arial"/>
        </w:rPr>
        <w:t xml:space="preserve">improving </w:t>
      </w:r>
      <w:r w:rsidRPr="005D74D1">
        <w:rPr>
          <w:rFonts w:cs="Arial"/>
        </w:rPr>
        <w:t xml:space="preserve">water security, water efficiency, waterway and catchment health, </w:t>
      </w:r>
      <w:r w:rsidR="00F573BE" w:rsidRPr="005D74D1">
        <w:rPr>
          <w:rFonts w:cs="Arial"/>
        </w:rPr>
        <w:t xml:space="preserve">inclusion of </w:t>
      </w:r>
      <w:r w:rsidRPr="005D74D1">
        <w:rPr>
          <w:rFonts w:cs="Arial"/>
        </w:rPr>
        <w:t>Traditional Owner priorities, inclusive management, and water governance throughout Victoria. Key priorities are summarised in</w:t>
      </w:r>
      <w:r w:rsidR="00303755" w:rsidRPr="005D74D1">
        <w:rPr>
          <w:rFonts w:cs="Arial"/>
        </w:rPr>
        <w:t xml:space="preserve"> Table </w:t>
      </w:r>
      <w:r w:rsidR="007C5142" w:rsidRPr="005D74D1">
        <w:rPr>
          <w:rFonts w:cs="Arial"/>
        </w:rPr>
        <w:t>E3</w:t>
      </w:r>
      <w:r w:rsidRPr="005D74D1">
        <w:rPr>
          <w:rFonts w:cs="Arial"/>
        </w:rPr>
        <w:t xml:space="preserve"> and have been categorised into:</w:t>
      </w:r>
    </w:p>
    <w:p w14:paraId="6E2D4CA6" w14:textId="77777777" w:rsidR="00A50E7D" w:rsidRPr="005D74D1" w:rsidRDefault="00172BD9" w:rsidP="002A738B">
      <w:pPr>
        <w:pStyle w:val="BulletLevel1"/>
        <w:rPr>
          <w:rFonts w:cs="Arial"/>
          <w:lang w:val="en-AU"/>
        </w:rPr>
      </w:pPr>
      <w:r w:rsidRPr="005D74D1">
        <w:rPr>
          <w:rFonts w:cs="Arial"/>
          <w:b/>
          <w:lang w:val="en-AU"/>
        </w:rPr>
        <w:t xml:space="preserve">Response to </w:t>
      </w:r>
      <w:r w:rsidR="005356F9" w:rsidRPr="005D74D1">
        <w:rPr>
          <w:rFonts w:cs="Arial"/>
          <w:b/>
          <w:lang w:val="en-AU"/>
        </w:rPr>
        <w:t xml:space="preserve">existing and </w:t>
      </w:r>
      <w:r w:rsidR="00CD2037" w:rsidRPr="005D74D1">
        <w:rPr>
          <w:rFonts w:cs="Arial"/>
          <w:b/>
          <w:lang w:val="en-AU"/>
        </w:rPr>
        <w:t>emerging challenges:</w:t>
      </w:r>
      <w:r w:rsidR="00CD2037" w:rsidRPr="005D74D1">
        <w:rPr>
          <w:rFonts w:cs="Arial"/>
          <w:lang w:val="en-AU"/>
        </w:rPr>
        <w:t xml:space="preserve"> </w:t>
      </w:r>
      <w:r w:rsidR="005356F9" w:rsidRPr="005D74D1">
        <w:rPr>
          <w:rFonts w:cs="Arial"/>
          <w:lang w:val="en-AU"/>
        </w:rPr>
        <w:t xml:space="preserve">Increased investment in projects </w:t>
      </w:r>
      <w:r w:rsidR="00262E54" w:rsidRPr="005D74D1">
        <w:rPr>
          <w:rFonts w:cs="Arial"/>
          <w:lang w:val="en-AU"/>
        </w:rPr>
        <w:t xml:space="preserve">to </w:t>
      </w:r>
      <w:r w:rsidR="002301ED" w:rsidRPr="005D74D1">
        <w:rPr>
          <w:rFonts w:cs="Arial"/>
          <w:lang w:val="en-AU"/>
        </w:rPr>
        <w:t xml:space="preserve">respond and build </w:t>
      </w:r>
      <w:r w:rsidRPr="005D74D1">
        <w:rPr>
          <w:rFonts w:cs="Arial"/>
          <w:lang w:val="en-AU"/>
        </w:rPr>
        <w:t>resilience in the Victorian water sector, communities, and environments to existing and emerging challenges.</w:t>
      </w:r>
    </w:p>
    <w:p w14:paraId="42996B21" w14:textId="70F12535" w:rsidR="00172BD9" w:rsidRPr="005D74D1" w:rsidRDefault="001E3B6A" w:rsidP="002A738B">
      <w:pPr>
        <w:pStyle w:val="BulletLevel1"/>
        <w:rPr>
          <w:rFonts w:cs="Arial"/>
          <w:lang w:val="en-AU"/>
        </w:rPr>
      </w:pPr>
      <w:r w:rsidRPr="005D74D1">
        <w:rPr>
          <w:rFonts w:cs="Arial"/>
          <w:b/>
          <w:lang w:val="en-AU"/>
        </w:rPr>
        <w:t xml:space="preserve">Realising the full benefits from </w:t>
      </w:r>
      <w:r w:rsidR="00806D81" w:rsidRPr="005D74D1">
        <w:rPr>
          <w:rFonts w:cs="Arial"/>
          <w:b/>
          <w:lang w:val="en-AU"/>
        </w:rPr>
        <w:t>current and prior</w:t>
      </w:r>
      <w:r w:rsidRPr="005D74D1">
        <w:rPr>
          <w:rFonts w:cs="Arial"/>
          <w:b/>
          <w:lang w:val="en-AU"/>
        </w:rPr>
        <w:t xml:space="preserve"> investment:</w:t>
      </w:r>
      <w:r w:rsidRPr="005D74D1">
        <w:rPr>
          <w:rFonts w:cs="Arial"/>
          <w:lang w:val="en-AU"/>
        </w:rPr>
        <w:t xml:space="preserve"> </w:t>
      </w:r>
      <w:r w:rsidR="00172BD9" w:rsidRPr="005D74D1">
        <w:rPr>
          <w:rFonts w:cs="Arial"/>
          <w:lang w:val="en-AU"/>
        </w:rPr>
        <w:t xml:space="preserve">Continuation of ongoing projects to </w:t>
      </w:r>
      <w:r w:rsidR="00806D81" w:rsidRPr="005D74D1">
        <w:rPr>
          <w:rFonts w:cs="Arial"/>
          <w:lang w:val="en-AU"/>
        </w:rPr>
        <w:t>support</w:t>
      </w:r>
      <w:r w:rsidR="00172BD9" w:rsidRPr="005D74D1">
        <w:rPr>
          <w:rFonts w:cs="Arial"/>
          <w:lang w:val="en-AU"/>
        </w:rPr>
        <w:t xml:space="preserve"> benefits </w:t>
      </w:r>
      <w:r w:rsidR="00806D81" w:rsidRPr="005D74D1">
        <w:rPr>
          <w:rFonts w:cs="Arial"/>
          <w:lang w:val="en-AU"/>
        </w:rPr>
        <w:t>realisation from</w:t>
      </w:r>
      <w:r w:rsidR="00172BD9" w:rsidRPr="005D74D1">
        <w:rPr>
          <w:rFonts w:cs="Arial"/>
          <w:lang w:val="en-AU"/>
        </w:rPr>
        <w:t xml:space="preserve"> work started in EC5 or earlier tranches.</w:t>
      </w:r>
    </w:p>
    <w:p w14:paraId="6B0BFF44" w14:textId="34B6061B" w:rsidR="00BB36B5" w:rsidRPr="005D74D1" w:rsidRDefault="00BB36B5" w:rsidP="00357C58">
      <w:pPr>
        <w:pStyle w:val="Table"/>
        <w:rPr>
          <w:rFonts w:cs="Arial"/>
        </w:rPr>
      </w:pPr>
      <w:bookmarkStart w:id="21" w:name="tab3"/>
      <w:bookmarkEnd w:id="21"/>
      <w:r w:rsidRPr="005D74D1">
        <w:rPr>
          <w:rFonts w:cs="Arial"/>
        </w:rPr>
        <w:lastRenderedPageBreak/>
        <w:t>Table</w:t>
      </w:r>
      <w:r w:rsidR="002A4B46" w:rsidRPr="005D74D1">
        <w:rPr>
          <w:rFonts w:cs="Arial"/>
        </w:rPr>
        <w:t xml:space="preserve"> E </w:t>
      </w:r>
      <w:r w:rsidRPr="005D74D1">
        <w:rPr>
          <w:rFonts w:cs="Arial"/>
        </w:rPr>
        <w:fldChar w:fldCharType="begin"/>
      </w:r>
      <w:r w:rsidRPr="005D74D1">
        <w:rPr>
          <w:rFonts w:cs="Arial"/>
        </w:rPr>
        <w:instrText xml:space="preserve"> SEQ Table_E_ \* ARABIC </w:instrText>
      </w:r>
      <w:r w:rsidRPr="005D74D1">
        <w:rPr>
          <w:rFonts w:cs="Arial"/>
        </w:rPr>
        <w:fldChar w:fldCharType="separate"/>
      </w:r>
      <w:r w:rsidR="003870A0">
        <w:rPr>
          <w:rFonts w:cs="Arial"/>
          <w:noProof/>
        </w:rPr>
        <w:t>3</w:t>
      </w:r>
      <w:r w:rsidRPr="005D74D1">
        <w:rPr>
          <w:rFonts w:cs="Arial"/>
        </w:rPr>
        <w:fldChar w:fldCharType="end"/>
      </w:r>
      <w:r w:rsidR="002A4B46" w:rsidRPr="005D74D1">
        <w:rPr>
          <w:rFonts w:cs="Arial"/>
        </w:rPr>
        <w:t>.</w:t>
      </w:r>
      <w:r w:rsidRPr="005D74D1">
        <w:rPr>
          <w:rFonts w:cs="Arial"/>
        </w:rPr>
        <w:t xml:space="preserve"> </w:t>
      </w:r>
      <w:r w:rsidR="00806D81" w:rsidRPr="005D74D1">
        <w:rPr>
          <w:rFonts w:cs="Arial"/>
        </w:rPr>
        <w:t>Summary of p</w:t>
      </w:r>
      <w:r w:rsidRPr="005D74D1">
        <w:rPr>
          <w:rFonts w:cs="Arial"/>
        </w:rPr>
        <w:t xml:space="preserve">riority areas for future investment </w:t>
      </w:r>
    </w:p>
    <w:tbl>
      <w:tblPr>
        <w:tblStyle w:val="TableGrid"/>
        <w:tblW w:w="5000" w:type="pct"/>
        <w:tblBorders>
          <w:top w:val="single" w:sz="4" w:space="0" w:color="231EDC" w:themeColor="accent1"/>
          <w:left w:val="single" w:sz="4" w:space="0" w:color="231EDC" w:themeColor="accent1"/>
          <w:bottom w:val="single" w:sz="4" w:space="0" w:color="231EDC" w:themeColor="accent1"/>
          <w:right w:val="single" w:sz="4" w:space="0" w:color="231EDC" w:themeColor="accent1"/>
          <w:insideH w:val="single" w:sz="4" w:space="0" w:color="231EDC" w:themeColor="accent1"/>
          <w:insideV w:val="single" w:sz="4" w:space="0" w:color="231EDC" w:themeColor="accent1"/>
        </w:tblBorders>
        <w:tblLook w:val="0480" w:firstRow="0" w:lastRow="0" w:firstColumn="1" w:lastColumn="0" w:noHBand="0" w:noVBand="1"/>
      </w:tblPr>
      <w:tblGrid>
        <w:gridCol w:w="1795"/>
        <w:gridCol w:w="7833"/>
      </w:tblGrid>
      <w:tr w:rsidR="00BB36B5" w:rsidRPr="005D74D1" w14:paraId="26381C27" w14:textId="77777777" w:rsidTr="00140664">
        <w:trPr>
          <w:trHeight w:val="485"/>
          <w:tblHeader/>
        </w:trPr>
        <w:tc>
          <w:tcPr>
            <w:tcW w:w="932" w:type="pct"/>
            <w:shd w:val="clear" w:color="auto" w:fill="231EDC" w:themeFill="accent1"/>
            <w:vAlign w:val="center"/>
          </w:tcPr>
          <w:p w14:paraId="464CBD2A" w14:textId="07AF1CE8" w:rsidR="00BB36B5" w:rsidRPr="00A134A7" w:rsidRDefault="006F230B" w:rsidP="00FF6203">
            <w:pPr>
              <w:pStyle w:val="TableHeadingWhite"/>
              <w:rPr>
                <w:rFonts w:cs="Arial"/>
                <w:lang w:val="en-AU"/>
              </w:rPr>
            </w:pPr>
            <w:r w:rsidRPr="005D74D1">
              <w:rPr>
                <w:rFonts w:cs="Arial"/>
              </w:rPr>
              <w:t>Category</w:t>
            </w:r>
          </w:p>
        </w:tc>
        <w:tc>
          <w:tcPr>
            <w:tcW w:w="4068" w:type="pct"/>
            <w:shd w:val="clear" w:color="auto" w:fill="231EDC" w:themeFill="accent1"/>
            <w:vAlign w:val="center"/>
          </w:tcPr>
          <w:p w14:paraId="0901D43F" w14:textId="25917DEA" w:rsidR="00BB36B5" w:rsidRPr="00A134A7" w:rsidRDefault="00BB36B5" w:rsidP="002A738B">
            <w:pPr>
              <w:pStyle w:val="TableHeadingWhite"/>
              <w:rPr>
                <w:rFonts w:cs="Arial"/>
                <w:lang w:val="en-AU"/>
              </w:rPr>
            </w:pPr>
            <w:r w:rsidRPr="005D74D1">
              <w:rPr>
                <w:rFonts w:cs="Arial"/>
              </w:rPr>
              <w:t>Priority areas for future investment</w:t>
            </w:r>
          </w:p>
        </w:tc>
      </w:tr>
      <w:tr w:rsidR="00BB36B5" w:rsidRPr="005D74D1" w14:paraId="6DD9E45F" w14:textId="77777777" w:rsidTr="00140664">
        <w:trPr>
          <w:trHeight w:val="485"/>
        </w:trPr>
        <w:tc>
          <w:tcPr>
            <w:tcW w:w="932" w:type="pct"/>
            <w:shd w:val="clear" w:color="auto" w:fill="auto"/>
          </w:tcPr>
          <w:p w14:paraId="519CBE89" w14:textId="42751C4C" w:rsidR="00BB36B5" w:rsidRPr="005D74D1" w:rsidRDefault="005356F9" w:rsidP="00FF6203">
            <w:pPr>
              <w:pStyle w:val="TableText"/>
              <w:rPr>
                <w:rFonts w:cs="Arial"/>
                <w:lang w:val="en-AU"/>
              </w:rPr>
            </w:pPr>
            <w:r w:rsidRPr="005D74D1">
              <w:rPr>
                <w:rFonts w:cs="Arial"/>
              </w:rPr>
              <w:t xml:space="preserve">Response to </w:t>
            </w:r>
            <w:r w:rsidR="002301ED" w:rsidRPr="005D74D1">
              <w:rPr>
                <w:rFonts w:cs="Arial"/>
              </w:rPr>
              <w:t xml:space="preserve">existing and </w:t>
            </w:r>
            <w:r w:rsidRPr="005D74D1">
              <w:rPr>
                <w:rFonts w:cs="Arial"/>
              </w:rPr>
              <w:t>emerging challenges</w:t>
            </w:r>
          </w:p>
        </w:tc>
        <w:tc>
          <w:tcPr>
            <w:tcW w:w="4068" w:type="pct"/>
            <w:shd w:val="clear" w:color="auto" w:fill="auto"/>
          </w:tcPr>
          <w:p w14:paraId="05467AB8" w14:textId="5AD5B942" w:rsidR="00BB36B5" w:rsidRPr="005D74D1" w:rsidRDefault="00C75B06" w:rsidP="002A738B">
            <w:pPr>
              <w:pStyle w:val="TableBullet"/>
              <w:rPr>
                <w:rFonts w:cs="Arial"/>
                <w:lang w:val="en-AU"/>
              </w:rPr>
            </w:pPr>
            <w:r w:rsidRPr="005D74D1">
              <w:rPr>
                <w:rFonts w:cs="Arial"/>
                <w:b/>
                <w:bCs/>
                <w:lang w:val="en-AU"/>
              </w:rPr>
              <w:t>Adapting to c</w:t>
            </w:r>
            <w:r w:rsidR="0AC7661F" w:rsidRPr="005D74D1">
              <w:rPr>
                <w:rFonts w:cs="Arial"/>
                <w:b/>
                <w:bCs/>
                <w:lang w:val="en-AU"/>
              </w:rPr>
              <w:t xml:space="preserve">limate change: </w:t>
            </w:r>
            <w:r w:rsidR="0AC7661F" w:rsidRPr="005D74D1">
              <w:rPr>
                <w:rFonts w:cs="Arial"/>
                <w:lang w:val="en-AU"/>
              </w:rPr>
              <w:t xml:space="preserve">There is a </w:t>
            </w:r>
            <w:r w:rsidR="0AC7661F" w:rsidRPr="00A134A7">
              <w:rPr>
                <w:rFonts w:cs="Arial"/>
                <w:lang w:val="en-AU"/>
              </w:rPr>
              <w:t>need</w:t>
            </w:r>
            <w:r w:rsidR="0AC7661F" w:rsidRPr="005D74D1">
              <w:rPr>
                <w:rFonts w:cs="Arial"/>
                <w:lang w:val="en-AU"/>
              </w:rPr>
              <w:t xml:space="preserve"> to increasingly integrate adaptive planning into water sector decision</w:t>
            </w:r>
            <w:r w:rsidR="2221216E" w:rsidRPr="005D74D1">
              <w:rPr>
                <w:rFonts w:cs="Arial"/>
                <w:lang w:val="en-AU"/>
              </w:rPr>
              <w:t>-</w:t>
            </w:r>
            <w:r w:rsidR="0AC7661F" w:rsidRPr="005D74D1">
              <w:rPr>
                <w:rFonts w:cs="Arial"/>
                <w:lang w:val="en-AU"/>
              </w:rPr>
              <w:t xml:space="preserve">making to support resilience to future weather </w:t>
            </w:r>
            <w:r w:rsidR="0AC7661F" w:rsidRPr="00A134A7">
              <w:rPr>
                <w:rFonts w:cs="Arial"/>
                <w:lang w:val="en-AU"/>
              </w:rPr>
              <w:t>conditions</w:t>
            </w:r>
            <w:r w:rsidR="0AC7661F" w:rsidRPr="005D74D1">
              <w:rPr>
                <w:rFonts w:cs="Arial"/>
                <w:lang w:val="en-AU"/>
              </w:rPr>
              <w:t xml:space="preserve"> (</w:t>
            </w:r>
            <w:r w:rsidR="00C33843" w:rsidRPr="005D74D1">
              <w:rPr>
                <w:rFonts w:cs="Arial"/>
                <w:lang w:val="en-AU"/>
              </w:rPr>
              <w:t>for example,</w:t>
            </w:r>
            <w:r w:rsidR="0AC7661F" w:rsidRPr="005D74D1">
              <w:rPr>
                <w:rFonts w:cs="Arial"/>
                <w:lang w:val="en-AU"/>
              </w:rPr>
              <w:t xml:space="preserve"> floods, fires</w:t>
            </w:r>
            <w:r w:rsidR="00757C59" w:rsidRPr="005D74D1">
              <w:rPr>
                <w:rFonts w:cs="Arial"/>
                <w:lang w:val="en-AU"/>
              </w:rPr>
              <w:t>,</w:t>
            </w:r>
            <w:r w:rsidR="0AC7661F" w:rsidRPr="005D74D1">
              <w:rPr>
                <w:rFonts w:cs="Arial"/>
                <w:lang w:val="en-AU"/>
              </w:rPr>
              <w:t xml:space="preserve"> and droughts). There is also the need to continue to develop better understanding of how to meet Victoria’s water sector objectives </w:t>
            </w:r>
            <w:r w:rsidR="0021015B" w:rsidRPr="005D74D1">
              <w:rPr>
                <w:rFonts w:cs="Arial"/>
                <w:lang w:val="en-AU"/>
              </w:rPr>
              <w:t>in</w:t>
            </w:r>
            <w:r w:rsidR="0AC7661F" w:rsidRPr="005D74D1">
              <w:rPr>
                <w:rFonts w:cs="Arial"/>
                <w:lang w:val="en-AU"/>
              </w:rPr>
              <w:t xml:space="preserve"> a drying climate, integrate the latest knowledge into water resource plans and strategies, and build capacity in climate change adaptation and mitigation principles.</w:t>
            </w:r>
          </w:p>
          <w:p w14:paraId="7BDE9C5D" w14:textId="1B8D2DDD" w:rsidR="00BB36B5" w:rsidRPr="005D74D1" w:rsidRDefault="0AC7661F" w:rsidP="005571C2">
            <w:pPr>
              <w:pStyle w:val="TableBullet"/>
              <w:rPr>
                <w:rFonts w:cs="Arial"/>
                <w:lang w:val="en-AU"/>
              </w:rPr>
            </w:pPr>
            <w:r w:rsidRPr="005D74D1">
              <w:rPr>
                <w:rFonts w:cs="Arial"/>
                <w:b/>
                <w:bCs/>
                <w:lang w:val="en-AU"/>
              </w:rPr>
              <w:t>Building resilience</w:t>
            </w:r>
            <w:r w:rsidRPr="005D74D1">
              <w:rPr>
                <w:rFonts w:cs="Arial"/>
                <w:lang w:val="en-AU"/>
              </w:rPr>
              <w:t>: There needs to be an increased focus on proactive resilience to identify emerging trends as they arise, and act quickly.</w:t>
            </w:r>
          </w:p>
          <w:p w14:paraId="26218C7B" w14:textId="198D788C" w:rsidR="00BB36B5" w:rsidRPr="005D74D1" w:rsidRDefault="0AC7661F" w:rsidP="002A738B">
            <w:pPr>
              <w:pStyle w:val="TableBullet"/>
              <w:rPr>
                <w:rFonts w:cs="Arial"/>
                <w:lang w:val="en-AU"/>
              </w:rPr>
            </w:pPr>
            <w:r w:rsidRPr="005D74D1">
              <w:rPr>
                <w:rFonts w:cs="Arial"/>
                <w:b/>
                <w:bCs/>
                <w:lang w:val="en-AU"/>
              </w:rPr>
              <w:t xml:space="preserve">Supporting </w:t>
            </w:r>
            <w:r w:rsidR="00C75B06" w:rsidRPr="005D74D1">
              <w:rPr>
                <w:rFonts w:cs="Arial"/>
                <w:b/>
                <w:bCs/>
                <w:lang w:val="en-AU"/>
              </w:rPr>
              <w:t xml:space="preserve">the </w:t>
            </w:r>
            <w:r w:rsidRPr="005D74D1">
              <w:rPr>
                <w:rFonts w:cs="Arial"/>
                <w:b/>
                <w:bCs/>
                <w:lang w:val="en-AU"/>
              </w:rPr>
              <w:t>energy transition:</w:t>
            </w:r>
            <w:r w:rsidRPr="005D74D1">
              <w:rPr>
                <w:rFonts w:cs="Arial"/>
                <w:lang w:val="en-AU"/>
              </w:rPr>
              <w:t xml:space="preserve"> Water access is pivotal to Victoria’s energy transition to net zero emissions as emerging energy technologies, including large-scale hydrogen and pumped hydro projects, require water to operate. Investment is required to support decision</w:t>
            </w:r>
            <w:r w:rsidR="00C53C13" w:rsidRPr="005D74D1">
              <w:rPr>
                <w:rFonts w:cs="Arial"/>
                <w:lang w:val="en-AU"/>
              </w:rPr>
              <w:t>-</w:t>
            </w:r>
            <w:r w:rsidRPr="005D74D1">
              <w:rPr>
                <w:rFonts w:cs="Arial"/>
                <w:lang w:val="en-AU"/>
              </w:rPr>
              <w:t>makers, investors, secure the upstream supply chain and contribute towards Victoria meeting its net zero targets.</w:t>
            </w:r>
          </w:p>
          <w:p w14:paraId="3C905CBB" w14:textId="3A0FFCC4" w:rsidR="00A50E7D" w:rsidRPr="005D74D1" w:rsidRDefault="0AC7661F" w:rsidP="002A738B">
            <w:pPr>
              <w:pStyle w:val="TableBullet"/>
              <w:rPr>
                <w:rFonts w:cs="Arial"/>
                <w:lang w:val="en-AU"/>
              </w:rPr>
            </w:pPr>
            <w:r w:rsidRPr="005D74D1">
              <w:rPr>
                <w:rFonts w:cs="Arial"/>
                <w:b/>
                <w:bCs/>
                <w:lang w:val="en-AU"/>
              </w:rPr>
              <w:t>Supporting Traditional Owner self-determination and access to water:</w:t>
            </w:r>
            <w:r w:rsidRPr="005D74D1">
              <w:rPr>
                <w:rFonts w:cs="Arial"/>
                <w:lang w:val="en-AU"/>
              </w:rPr>
              <w:t xml:space="preserve"> Investment in implementation of the actions from </w:t>
            </w:r>
            <w:r w:rsidRPr="005D74D1">
              <w:rPr>
                <w:rFonts w:cs="Arial"/>
                <w:i/>
                <w:iCs/>
                <w:lang w:val="en-AU"/>
              </w:rPr>
              <w:t>Water is Life</w:t>
            </w:r>
            <w:r w:rsidRPr="005D74D1">
              <w:rPr>
                <w:rFonts w:cs="Arial"/>
                <w:lang w:val="en-AU"/>
              </w:rPr>
              <w:t xml:space="preserve"> is required to increase Traditional Owner roles and resources in water and waterway management and improve Traditional Owner access to water</w:t>
            </w:r>
            <w:r w:rsidR="49F6625F" w:rsidRPr="005D74D1">
              <w:rPr>
                <w:rFonts w:cs="Arial"/>
                <w:lang w:val="en-AU"/>
              </w:rPr>
              <w:t xml:space="preserve"> for self-determined purposes</w:t>
            </w:r>
            <w:r w:rsidRPr="005D74D1">
              <w:rPr>
                <w:rFonts w:cs="Arial"/>
                <w:lang w:val="en-AU"/>
              </w:rPr>
              <w:t>. Considerable effort is still required to address barriers, change legislative and regulatory settings, and achieve a step-change in the return of water to Traditional Owners.</w:t>
            </w:r>
          </w:p>
          <w:p w14:paraId="32D0F0FE" w14:textId="77777777" w:rsidR="00A50E7D" w:rsidRPr="005D74D1" w:rsidRDefault="00C75B06" w:rsidP="002A738B">
            <w:pPr>
              <w:pStyle w:val="TableBullet"/>
              <w:rPr>
                <w:rFonts w:cs="Arial"/>
                <w:lang w:val="en-AU"/>
              </w:rPr>
            </w:pPr>
            <w:r w:rsidRPr="005D74D1">
              <w:rPr>
                <w:rFonts w:cs="Arial"/>
                <w:b/>
                <w:bCs/>
                <w:lang w:val="en-AU"/>
              </w:rPr>
              <w:t xml:space="preserve">Delivering the </w:t>
            </w:r>
            <w:r w:rsidR="0AC7661F" w:rsidRPr="005D74D1">
              <w:rPr>
                <w:rFonts w:cs="Arial"/>
                <w:b/>
                <w:bCs/>
                <w:lang w:val="en-AU"/>
              </w:rPr>
              <w:t>Long</w:t>
            </w:r>
            <w:r w:rsidR="371AB0F4" w:rsidRPr="005D74D1">
              <w:rPr>
                <w:rFonts w:cs="Arial"/>
                <w:b/>
                <w:bCs/>
                <w:lang w:val="en-AU"/>
              </w:rPr>
              <w:t>-</w:t>
            </w:r>
            <w:r w:rsidR="0AC7661F" w:rsidRPr="005D74D1">
              <w:rPr>
                <w:rFonts w:cs="Arial"/>
                <w:b/>
                <w:bCs/>
                <w:lang w:val="en-AU"/>
              </w:rPr>
              <w:t>Term Water Resource Assessment:</w:t>
            </w:r>
            <w:r w:rsidR="0AC7661F" w:rsidRPr="005D74D1">
              <w:rPr>
                <w:rFonts w:cs="Arial"/>
                <w:lang w:val="en-AU"/>
              </w:rPr>
              <w:t xml:space="preserve"> The Long</w:t>
            </w:r>
            <w:r w:rsidR="371AB0F4" w:rsidRPr="005D74D1">
              <w:rPr>
                <w:rFonts w:cs="Arial"/>
                <w:lang w:val="en-AU"/>
              </w:rPr>
              <w:t>-</w:t>
            </w:r>
            <w:r w:rsidR="0AC7661F" w:rsidRPr="005D74D1">
              <w:rPr>
                <w:rFonts w:cs="Arial"/>
                <w:lang w:val="en-AU"/>
              </w:rPr>
              <w:t>Term Water Resource Assessment for Northern Victoria is due to commence in 2025 building on lessons learnt in the Southern Victorian assessment.</w:t>
            </w:r>
          </w:p>
          <w:p w14:paraId="198515B9" w14:textId="52200E49" w:rsidR="00BB36B5" w:rsidRPr="005D74D1" w:rsidRDefault="00C75B06" w:rsidP="002A738B">
            <w:pPr>
              <w:pStyle w:val="TableBullet"/>
              <w:rPr>
                <w:rFonts w:cs="Arial"/>
                <w:lang w:val="en-AU"/>
              </w:rPr>
            </w:pPr>
            <w:r w:rsidRPr="005D74D1">
              <w:rPr>
                <w:rFonts w:cs="Arial"/>
                <w:b/>
                <w:bCs/>
                <w:lang w:val="en-AU"/>
              </w:rPr>
              <w:t>Integrating</w:t>
            </w:r>
            <w:r w:rsidR="0AC7661F" w:rsidRPr="005D74D1">
              <w:rPr>
                <w:rFonts w:cs="Arial"/>
                <w:b/>
                <w:bCs/>
                <w:lang w:val="en-AU"/>
              </w:rPr>
              <w:t xml:space="preserve"> new technology solutions:</w:t>
            </w:r>
            <w:r w:rsidR="0AC7661F" w:rsidRPr="005D74D1">
              <w:rPr>
                <w:rFonts w:cs="Arial"/>
                <w:lang w:val="en-AU"/>
              </w:rPr>
              <w:t xml:space="preserve"> Increased investment in new technologies and platforms to provide opportunities for distribution of information and data informed decision</w:t>
            </w:r>
            <w:r w:rsidR="2221216E" w:rsidRPr="005D74D1">
              <w:rPr>
                <w:rFonts w:cs="Arial"/>
                <w:lang w:val="en-AU"/>
              </w:rPr>
              <w:t>-</w:t>
            </w:r>
            <w:r w:rsidR="0AC7661F" w:rsidRPr="005D74D1">
              <w:rPr>
                <w:rFonts w:cs="Arial"/>
                <w:lang w:val="en-AU"/>
              </w:rPr>
              <w:t>making. In part, this will involve continuation of new technology platforms delivered in EC5, as well as investigation of emerging applications. There is also an increasing need to manage associated cyber security risks and threats.</w:t>
            </w:r>
          </w:p>
          <w:p w14:paraId="219F0D9C" w14:textId="31BD3739" w:rsidR="00841F91" w:rsidRPr="005D74D1" w:rsidRDefault="0625E96E" w:rsidP="002503EF">
            <w:pPr>
              <w:pStyle w:val="TableBullet"/>
              <w:rPr>
                <w:rFonts w:cs="Arial"/>
                <w:lang w:val="en-AU"/>
              </w:rPr>
            </w:pPr>
            <w:r w:rsidRPr="005D74D1">
              <w:rPr>
                <w:rFonts w:cs="Arial"/>
                <w:b/>
                <w:bCs/>
                <w:lang w:val="en-AU"/>
              </w:rPr>
              <w:t>Secur</w:t>
            </w:r>
            <w:r w:rsidR="00C75B06" w:rsidRPr="005D74D1">
              <w:rPr>
                <w:rFonts w:cs="Arial"/>
                <w:b/>
                <w:bCs/>
                <w:lang w:val="en-AU"/>
              </w:rPr>
              <w:t>ing</w:t>
            </w:r>
            <w:r w:rsidRPr="005D74D1">
              <w:rPr>
                <w:rFonts w:cs="Arial"/>
                <w:b/>
                <w:bCs/>
                <w:lang w:val="en-AU"/>
              </w:rPr>
              <w:t xml:space="preserve"> Water Supplies: </w:t>
            </w:r>
            <w:r w:rsidR="16B14373" w:rsidRPr="005D74D1">
              <w:rPr>
                <w:rFonts w:cs="Arial"/>
                <w:lang w:val="en-AU"/>
              </w:rPr>
              <w:t xml:space="preserve">Building on the achievements in EC5, </w:t>
            </w:r>
            <w:r w:rsidR="39436FE8" w:rsidRPr="005D74D1">
              <w:rPr>
                <w:rFonts w:cs="Arial"/>
                <w:lang w:val="en-AU"/>
              </w:rPr>
              <w:t>look to build secure water supplies into the future by</w:t>
            </w:r>
            <w:r w:rsidR="1F22CAE0" w:rsidRPr="005D74D1">
              <w:rPr>
                <w:rFonts w:cs="Arial"/>
                <w:lang w:val="en-AU"/>
              </w:rPr>
              <w:t xml:space="preserve"> providing opportunities to </w:t>
            </w:r>
            <w:r w:rsidR="22DE8153" w:rsidRPr="005D74D1">
              <w:rPr>
                <w:rFonts w:cs="Arial"/>
                <w:lang w:val="en-AU"/>
              </w:rPr>
              <w:t>continue to improve water efficiency,</w:t>
            </w:r>
            <w:r w:rsidR="1F22CAE0" w:rsidRPr="005D74D1">
              <w:rPr>
                <w:rFonts w:cs="Arial"/>
                <w:lang w:val="en-AU"/>
              </w:rPr>
              <w:t xml:space="preserve"> transition to </w:t>
            </w:r>
            <w:r w:rsidR="4C33492C" w:rsidRPr="005D74D1">
              <w:rPr>
                <w:rFonts w:cs="Arial"/>
                <w:lang w:val="en-AU"/>
              </w:rPr>
              <w:t>a greater use of</w:t>
            </w:r>
            <w:r w:rsidR="00D17ACC" w:rsidRPr="005D74D1">
              <w:rPr>
                <w:rFonts w:cs="Arial"/>
                <w:lang w:val="en-AU"/>
              </w:rPr>
              <w:t xml:space="preserve"> </w:t>
            </w:r>
            <w:r w:rsidR="1F22CAE0" w:rsidRPr="005D74D1">
              <w:rPr>
                <w:rFonts w:cs="Arial"/>
                <w:lang w:val="en-AU"/>
              </w:rPr>
              <w:t xml:space="preserve">manufactured water, reduce reliance </w:t>
            </w:r>
            <w:r w:rsidR="4E0C5A6E" w:rsidRPr="005D74D1">
              <w:rPr>
                <w:rFonts w:cs="Arial"/>
                <w:lang w:val="en-AU"/>
              </w:rPr>
              <w:t>o</w:t>
            </w:r>
            <w:r w:rsidR="1F22CAE0" w:rsidRPr="005D74D1">
              <w:rPr>
                <w:rFonts w:cs="Arial"/>
                <w:lang w:val="en-AU"/>
              </w:rPr>
              <w:t>n river water and plan and implement augmentations</w:t>
            </w:r>
            <w:r w:rsidR="4E0C5A6E" w:rsidRPr="005D74D1">
              <w:rPr>
                <w:rFonts w:cs="Arial"/>
                <w:lang w:val="en-AU"/>
              </w:rPr>
              <w:t xml:space="preserve"> to meet water needs as the population grows</w:t>
            </w:r>
            <w:r w:rsidR="6FEE4D94" w:rsidRPr="005D74D1">
              <w:rPr>
                <w:rFonts w:cs="Arial"/>
                <w:lang w:val="en-AU"/>
              </w:rPr>
              <w:t xml:space="preserve"> </w:t>
            </w:r>
            <w:r w:rsidR="7F005D31" w:rsidRPr="005D74D1">
              <w:rPr>
                <w:rFonts w:cs="Arial"/>
                <w:lang w:val="en-AU"/>
              </w:rPr>
              <w:t xml:space="preserve">and the </w:t>
            </w:r>
            <w:r w:rsidR="6FEE4D94" w:rsidRPr="005D74D1">
              <w:rPr>
                <w:rFonts w:cs="Arial"/>
                <w:lang w:val="en-AU"/>
              </w:rPr>
              <w:t xml:space="preserve">climate changes. </w:t>
            </w:r>
            <w:r w:rsidR="38894171" w:rsidRPr="005D74D1">
              <w:rPr>
                <w:rFonts w:cs="Arial"/>
                <w:lang w:val="en-AU"/>
              </w:rPr>
              <w:t>In the future, p</w:t>
            </w:r>
            <w:r w:rsidR="7F005D31" w:rsidRPr="005D74D1">
              <w:rPr>
                <w:rFonts w:cs="Arial"/>
                <w:lang w:val="en-AU"/>
              </w:rPr>
              <w:t xml:space="preserve">lanning approaches that </w:t>
            </w:r>
            <w:r w:rsidR="38894171" w:rsidRPr="005D74D1">
              <w:rPr>
                <w:rFonts w:cs="Arial"/>
                <w:lang w:val="en-AU"/>
              </w:rPr>
              <w:t xml:space="preserve">focus on readiness planning </w:t>
            </w:r>
            <w:r w:rsidR="20F2ACC4" w:rsidRPr="005D74D1">
              <w:rPr>
                <w:rFonts w:cs="Arial"/>
                <w:lang w:val="en-AU"/>
              </w:rPr>
              <w:t xml:space="preserve">to </w:t>
            </w:r>
            <w:r w:rsidR="2014018E" w:rsidRPr="005D74D1">
              <w:rPr>
                <w:rFonts w:cs="Arial"/>
                <w:lang w:val="en-AU"/>
              </w:rPr>
              <w:t>reduce pressure on the</w:t>
            </w:r>
            <w:r w:rsidR="7F005D31" w:rsidRPr="005D74D1">
              <w:rPr>
                <w:rFonts w:cs="Arial"/>
                <w:lang w:val="en-AU"/>
              </w:rPr>
              <w:t xml:space="preserve"> water grid</w:t>
            </w:r>
            <w:r w:rsidR="5D440156" w:rsidRPr="005D74D1">
              <w:rPr>
                <w:rFonts w:cs="Arial"/>
                <w:lang w:val="en-AU"/>
              </w:rPr>
              <w:t xml:space="preserve"> will be key to securing water for all our needs. </w:t>
            </w:r>
          </w:p>
        </w:tc>
      </w:tr>
      <w:tr w:rsidR="00BB36B5" w:rsidRPr="005D74D1" w14:paraId="1DE667EC" w14:textId="77777777" w:rsidTr="00140664">
        <w:trPr>
          <w:trHeight w:val="485"/>
        </w:trPr>
        <w:tc>
          <w:tcPr>
            <w:tcW w:w="932" w:type="pct"/>
            <w:shd w:val="clear" w:color="auto" w:fill="auto"/>
          </w:tcPr>
          <w:p w14:paraId="5B1B1462" w14:textId="08E0723A" w:rsidR="00BB36B5" w:rsidRPr="005D74D1" w:rsidRDefault="002301ED" w:rsidP="00FF6203">
            <w:pPr>
              <w:pStyle w:val="TableText"/>
              <w:rPr>
                <w:rFonts w:cs="Arial"/>
                <w:lang w:val="en-AU"/>
              </w:rPr>
            </w:pPr>
            <w:r w:rsidRPr="005D74D1">
              <w:rPr>
                <w:rFonts w:cs="Arial"/>
              </w:rPr>
              <w:t>Realising the full benefits from existing investment</w:t>
            </w:r>
          </w:p>
        </w:tc>
        <w:tc>
          <w:tcPr>
            <w:tcW w:w="4068" w:type="pct"/>
            <w:shd w:val="clear" w:color="auto" w:fill="auto"/>
          </w:tcPr>
          <w:p w14:paraId="31CFCA7B" w14:textId="6CC159D9" w:rsidR="002301ED" w:rsidRPr="005D74D1" w:rsidRDefault="002301ED" w:rsidP="00FF6203">
            <w:pPr>
              <w:pStyle w:val="TableText"/>
              <w:rPr>
                <w:rFonts w:cs="Arial"/>
                <w:lang w:val="en-AU"/>
              </w:rPr>
            </w:pPr>
            <w:r w:rsidRPr="005D74D1">
              <w:rPr>
                <w:rFonts w:cs="Arial"/>
                <w:lang w:val="en-AU"/>
              </w:rPr>
              <w:t>Medium</w:t>
            </w:r>
            <w:r w:rsidR="00C42AC6" w:rsidRPr="005D74D1">
              <w:rPr>
                <w:rFonts w:cs="Arial"/>
                <w:lang w:val="en-AU"/>
              </w:rPr>
              <w:t>-</w:t>
            </w:r>
            <w:r w:rsidRPr="005D74D1">
              <w:rPr>
                <w:rFonts w:cs="Arial"/>
                <w:lang w:val="en-AU"/>
              </w:rPr>
              <w:t xml:space="preserve"> and long</w:t>
            </w:r>
            <w:r w:rsidR="00C42AC6" w:rsidRPr="005D74D1">
              <w:rPr>
                <w:rFonts w:cs="Arial"/>
                <w:lang w:val="en-AU"/>
              </w:rPr>
              <w:t>-</w:t>
            </w:r>
            <w:r w:rsidRPr="005D74D1">
              <w:rPr>
                <w:rFonts w:cs="Arial"/>
                <w:lang w:val="en-AU"/>
              </w:rPr>
              <w:t xml:space="preserve">term projects that </w:t>
            </w:r>
            <w:r w:rsidR="007F6E15" w:rsidRPr="005D74D1">
              <w:rPr>
                <w:rFonts w:cs="Arial"/>
                <w:lang w:val="en-AU"/>
              </w:rPr>
              <w:t xml:space="preserve">depend on funding over </w:t>
            </w:r>
            <w:r w:rsidR="001938CB" w:rsidRPr="005D74D1">
              <w:rPr>
                <w:rFonts w:cs="Arial"/>
                <w:lang w:val="en-AU"/>
              </w:rPr>
              <w:t>two</w:t>
            </w:r>
            <w:r w:rsidR="007F6E15" w:rsidRPr="005D74D1">
              <w:rPr>
                <w:rFonts w:cs="Arial"/>
                <w:lang w:val="en-AU"/>
              </w:rPr>
              <w:t xml:space="preserve"> or more EC</w:t>
            </w:r>
            <w:r w:rsidR="00FF6203" w:rsidRPr="005D74D1">
              <w:rPr>
                <w:rFonts w:cs="Arial"/>
                <w:lang w:val="en-AU"/>
              </w:rPr>
              <w:t> </w:t>
            </w:r>
            <w:r w:rsidR="007F6E15" w:rsidRPr="005D74D1">
              <w:rPr>
                <w:rFonts w:cs="Arial"/>
                <w:lang w:val="en-AU"/>
              </w:rPr>
              <w:t>tranches:</w:t>
            </w:r>
          </w:p>
          <w:p w14:paraId="38E9E7D1" w14:textId="56CB8D60" w:rsidR="00BB36B5" w:rsidRPr="005D74D1" w:rsidRDefault="0AC7661F" w:rsidP="002A738B">
            <w:pPr>
              <w:pStyle w:val="TableBullet"/>
              <w:rPr>
                <w:rFonts w:cs="Arial"/>
                <w:lang w:val="en-AU"/>
              </w:rPr>
            </w:pPr>
            <w:r w:rsidRPr="005D74D1">
              <w:rPr>
                <w:rFonts w:cs="Arial"/>
                <w:b/>
                <w:bCs/>
                <w:lang w:val="en-AU"/>
              </w:rPr>
              <w:t xml:space="preserve">Water </w:t>
            </w:r>
            <w:r w:rsidR="65295F2C" w:rsidRPr="005D74D1">
              <w:rPr>
                <w:rFonts w:cs="Arial"/>
                <w:b/>
                <w:bCs/>
                <w:lang w:val="en-AU"/>
              </w:rPr>
              <w:t>r</w:t>
            </w:r>
            <w:r w:rsidRPr="005D74D1">
              <w:rPr>
                <w:rFonts w:cs="Arial"/>
                <w:b/>
                <w:bCs/>
                <w:lang w:val="en-AU"/>
              </w:rPr>
              <w:t>eforms:</w:t>
            </w:r>
            <w:r w:rsidRPr="005D74D1">
              <w:rPr>
                <w:rFonts w:cs="Arial"/>
                <w:lang w:val="en-AU"/>
              </w:rPr>
              <w:t xml:space="preserve"> Continued work on the suite of water market reforms and improvements to frameworks and policies for water sharing, management, accountability</w:t>
            </w:r>
            <w:r w:rsidR="00343473" w:rsidRPr="005D74D1">
              <w:rPr>
                <w:rFonts w:cs="Arial"/>
                <w:lang w:val="en-AU"/>
              </w:rPr>
              <w:t>,</w:t>
            </w:r>
            <w:r w:rsidRPr="005D74D1">
              <w:rPr>
                <w:rFonts w:cs="Arial"/>
                <w:lang w:val="en-AU"/>
              </w:rPr>
              <w:t xml:space="preserve"> and transparency.</w:t>
            </w:r>
          </w:p>
          <w:p w14:paraId="006F0C34" w14:textId="79418AFF" w:rsidR="00BB36B5" w:rsidRPr="005D74D1" w:rsidRDefault="0AC7661F" w:rsidP="002A738B">
            <w:pPr>
              <w:pStyle w:val="TableBullet"/>
              <w:rPr>
                <w:rFonts w:cs="Arial"/>
                <w:lang w:val="en-AU"/>
              </w:rPr>
            </w:pPr>
            <w:r w:rsidRPr="005D74D1">
              <w:rPr>
                <w:rFonts w:cs="Arial"/>
                <w:b/>
                <w:bCs/>
                <w:lang w:val="en-AU"/>
              </w:rPr>
              <w:t>Water Resources Planning and delivery of actions:</w:t>
            </w:r>
            <w:r w:rsidRPr="005D74D1">
              <w:rPr>
                <w:rFonts w:cs="Arial"/>
                <w:lang w:val="en-AU"/>
              </w:rPr>
              <w:t xml:space="preserve"> Continued implementation of water portfolio priorities YSP, the </w:t>
            </w:r>
            <w:r w:rsidRPr="005D74D1">
              <w:rPr>
                <w:rFonts w:cs="Arial"/>
                <w:i/>
                <w:iCs/>
                <w:lang w:val="en-AU"/>
              </w:rPr>
              <w:t>Waterways of the West and Rivers of the Barwon (Barre Warre Yulluk) Action Plans</w:t>
            </w:r>
            <w:r w:rsidRPr="005D74D1">
              <w:rPr>
                <w:rFonts w:cs="Arial"/>
                <w:lang w:val="en-AU"/>
              </w:rPr>
              <w:t xml:space="preserve"> and development of new </w:t>
            </w:r>
            <w:r w:rsidR="69B5CF7B" w:rsidRPr="005D74D1">
              <w:rPr>
                <w:rFonts w:cs="Arial"/>
                <w:lang w:val="en-AU"/>
              </w:rPr>
              <w:t>SWS</w:t>
            </w:r>
            <w:r w:rsidRPr="005D74D1">
              <w:rPr>
                <w:rFonts w:cs="Arial"/>
                <w:lang w:val="en-AU"/>
              </w:rPr>
              <w:t xml:space="preserve"> in the West</w:t>
            </w:r>
            <w:r w:rsidR="3E9BE3F5" w:rsidRPr="005D74D1">
              <w:rPr>
                <w:rFonts w:cs="Arial"/>
                <w:lang w:val="en-AU"/>
              </w:rPr>
              <w:t>ern</w:t>
            </w:r>
            <w:r w:rsidRPr="005D74D1">
              <w:rPr>
                <w:rFonts w:cs="Arial"/>
                <w:lang w:val="en-AU"/>
              </w:rPr>
              <w:t xml:space="preserve"> and Northern Regions.</w:t>
            </w:r>
          </w:p>
          <w:p w14:paraId="401B41B9" w14:textId="77777777" w:rsidR="00A50E7D" w:rsidRPr="005D74D1" w:rsidRDefault="0AC7661F" w:rsidP="002A738B">
            <w:pPr>
              <w:pStyle w:val="TableBullet"/>
              <w:rPr>
                <w:rFonts w:cs="Arial"/>
                <w:lang w:val="en-AU"/>
              </w:rPr>
            </w:pPr>
            <w:r w:rsidRPr="005D74D1">
              <w:rPr>
                <w:rFonts w:cs="Arial"/>
                <w:b/>
                <w:bCs/>
                <w:lang w:val="en-AU"/>
              </w:rPr>
              <w:t xml:space="preserve">Waterway </w:t>
            </w:r>
            <w:r w:rsidR="65295F2C" w:rsidRPr="005D74D1">
              <w:rPr>
                <w:rFonts w:cs="Arial"/>
                <w:b/>
                <w:bCs/>
                <w:lang w:val="en-AU"/>
              </w:rPr>
              <w:t>h</w:t>
            </w:r>
            <w:r w:rsidRPr="005D74D1">
              <w:rPr>
                <w:rFonts w:cs="Arial"/>
                <w:b/>
                <w:bCs/>
                <w:lang w:val="en-AU"/>
              </w:rPr>
              <w:t>ealth:</w:t>
            </w:r>
            <w:r w:rsidRPr="005D74D1">
              <w:rPr>
                <w:rFonts w:cs="Arial"/>
                <w:lang w:val="en-AU"/>
              </w:rPr>
              <w:t xml:space="preserve"> Long</w:t>
            </w:r>
            <w:r w:rsidR="1BC1B3DC" w:rsidRPr="005D74D1">
              <w:rPr>
                <w:rFonts w:cs="Arial"/>
                <w:lang w:val="en-AU"/>
              </w:rPr>
              <w:t>-</w:t>
            </w:r>
            <w:r w:rsidRPr="005D74D1">
              <w:rPr>
                <w:rFonts w:cs="Arial"/>
                <w:lang w:val="en-AU"/>
              </w:rPr>
              <w:t>term investment is required to protect Victoria’s waterways and deliver long</w:t>
            </w:r>
            <w:r w:rsidR="1BC1B3DC" w:rsidRPr="005D74D1">
              <w:rPr>
                <w:rFonts w:cs="Arial"/>
                <w:lang w:val="en-AU"/>
              </w:rPr>
              <w:t>-</w:t>
            </w:r>
            <w:r w:rsidRPr="005D74D1">
              <w:rPr>
                <w:rFonts w:cs="Arial"/>
                <w:lang w:val="en-AU"/>
              </w:rPr>
              <w:t xml:space="preserve">term environmental outcomes. Stable, ongoing funding allows for projects to be planned </w:t>
            </w:r>
            <w:r w:rsidR="00C52C99" w:rsidRPr="005D74D1">
              <w:rPr>
                <w:rFonts w:cs="Arial"/>
                <w:lang w:val="en-AU"/>
              </w:rPr>
              <w:t>for</w:t>
            </w:r>
            <w:r w:rsidRPr="005D74D1">
              <w:rPr>
                <w:rFonts w:cs="Arial"/>
                <w:lang w:val="en-AU"/>
              </w:rPr>
              <w:t xml:space="preserve"> the timelines necessary to implement meaningful change for waterway health, such as the 10-year flagships program.</w:t>
            </w:r>
          </w:p>
          <w:p w14:paraId="6543A558" w14:textId="77777777" w:rsidR="00A50E7D" w:rsidRPr="005D74D1" w:rsidRDefault="0AC7661F" w:rsidP="002A738B">
            <w:pPr>
              <w:pStyle w:val="TableBullet"/>
              <w:rPr>
                <w:rFonts w:cs="Arial"/>
                <w:lang w:val="en-AU"/>
              </w:rPr>
            </w:pPr>
            <w:r w:rsidRPr="005D74D1">
              <w:rPr>
                <w:rFonts w:cs="Arial"/>
                <w:b/>
                <w:bCs/>
                <w:lang w:val="en-AU"/>
              </w:rPr>
              <w:t>Collaboration and partnerships:</w:t>
            </w:r>
            <w:r w:rsidRPr="005D74D1">
              <w:rPr>
                <w:rFonts w:cs="Arial"/>
                <w:lang w:val="en-AU"/>
              </w:rPr>
              <w:t xml:space="preserve"> Continuing and building upon existing work to foster a collaborative approach to water management, including strengthening </w:t>
            </w:r>
            <w:r w:rsidRPr="005D74D1">
              <w:rPr>
                <w:rFonts w:cs="Arial"/>
                <w:lang w:val="en-AU"/>
              </w:rPr>
              <w:lastRenderedPageBreak/>
              <w:t>partnerships across water sector agencies</w:t>
            </w:r>
            <w:r w:rsidR="3B740F9C" w:rsidRPr="005D74D1">
              <w:rPr>
                <w:rFonts w:cs="Arial"/>
                <w:lang w:val="en-AU"/>
              </w:rPr>
              <w:t xml:space="preserve">, Traditional </w:t>
            </w:r>
            <w:r w:rsidR="1D935534" w:rsidRPr="005D74D1">
              <w:rPr>
                <w:rFonts w:cs="Arial"/>
                <w:lang w:val="en-AU"/>
              </w:rPr>
              <w:t>O</w:t>
            </w:r>
            <w:r w:rsidR="3B740F9C" w:rsidRPr="005D74D1">
              <w:rPr>
                <w:rFonts w:cs="Arial"/>
                <w:lang w:val="en-AU"/>
              </w:rPr>
              <w:t>wners</w:t>
            </w:r>
            <w:r w:rsidRPr="005D74D1">
              <w:rPr>
                <w:rFonts w:cs="Arial"/>
                <w:lang w:val="en-AU"/>
              </w:rPr>
              <w:t xml:space="preserve"> and between the water sector and Victoria’s communities</w:t>
            </w:r>
            <w:r w:rsidR="27E04715" w:rsidRPr="005D74D1">
              <w:rPr>
                <w:rFonts w:cs="Arial"/>
                <w:lang w:val="en-AU"/>
              </w:rPr>
              <w:t xml:space="preserve"> to</w:t>
            </w:r>
            <w:r w:rsidRPr="005D74D1">
              <w:rPr>
                <w:rFonts w:cs="Arial"/>
                <w:lang w:val="en-AU"/>
              </w:rPr>
              <w:t xml:space="preserve"> </w:t>
            </w:r>
            <w:r w:rsidR="27E04715" w:rsidRPr="005D74D1">
              <w:rPr>
                <w:rFonts w:cs="Arial"/>
                <w:lang w:val="en-AU"/>
              </w:rPr>
              <w:t xml:space="preserve">ensure </w:t>
            </w:r>
            <w:r w:rsidR="4D7B1D8E" w:rsidRPr="005D74D1">
              <w:rPr>
                <w:rFonts w:cs="Arial"/>
                <w:lang w:val="en-AU"/>
              </w:rPr>
              <w:t xml:space="preserve">water </w:t>
            </w:r>
            <w:r w:rsidR="27E04715" w:rsidRPr="005D74D1">
              <w:rPr>
                <w:rFonts w:cs="Arial"/>
                <w:lang w:val="en-AU"/>
              </w:rPr>
              <w:t xml:space="preserve">security is </w:t>
            </w:r>
            <w:r w:rsidR="294CD972" w:rsidRPr="005D74D1">
              <w:rPr>
                <w:rFonts w:cs="Arial"/>
                <w:lang w:val="en-AU"/>
              </w:rPr>
              <w:t>achieved</w:t>
            </w:r>
            <w:r w:rsidRPr="005D74D1">
              <w:rPr>
                <w:rFonts w:cs="Arial"/>
                <w:lang w:val="en-AU"/>
              </w:rPr>
              <w:t>.</w:t>
            </w:r>
          </w:p>
          <w:p w14:paraId="24738C4D" w14:textId="7BE6EDF4" w:rsidR="747298B1" w:rsidRPr="005D74D1" w:rsidRDefault="747298B1" w:rsidP="185DA824">
            <w:pPr>
              <w:pStyle w:val="TableBullet"/>
              <w:rPr>
                <w:rFonts w:cs="Arial"/>
                <w:lang w:val="en-AU"/>
              </w:rPr>
            </w:pPr>
            <w:r w:rsidRPr="005D74D1">
              <w:rPr>
                <w:rFonts w:cs="Arial"/>
                <w:b/>
                <w:lang w:val="en-AU"/>
              </w:rPr>
              <w:t xml:space="preserve">Traditional Owner priorities: </w:t>
            </w:r>
            <w:r w:rsidRPr="005D74D1">
              <w:rPr>
                <w:rFonts w:cs="Arial"/>
                <w:lang w:val="en-AU"/>
              </w:rPr>
              <w:t xml:space="preserve">Continued investment into the Aboriginal Water Program is necessary to maintain employment of Aboriginal Water Officers and enable continuity of long-term Traditional Owner-led water-related projects and priorities. The continuation of the Aboriginal Water Program is a key enabler and foundation for </w:t>
            </w:r>
            <w:r w:rsidRPr="005D74D1">
              <w:rPr>
                <w:rFonts w:cs="Arial"/>
                <w:i/>
                <w:lang w:val="en-AU"/>
              </w:rPr>
              <w:t>Water is Life</w:t>
            </w:r>
            <w:r w:rsidRPr="005D74D1">
              <w:rPr>
                <w:rFonts w:cs="Arial"/>
                <w:lang w:val="en-AU"/>
              </w:rPr>
              <w:t xml:space="preserve"> implementation.</w:t>
            </w:r>
          </w:p>
          <w:p w14:paraId="44A5AC4D" w14:textId="3037CF7E" w:rsidR="00BB36B5" w:rsidRPr="005D74D1" w:rsidRDefault="0AC7661F" w:rsidP="002A738B">
            <w:pPr>
              <w:pStyle w:val="TableBullet"/>
              <w:rPr>
                <w:rFonts w:cs="Arial"/>
                <w:lang w:val="en-AU"/>
              </w:rPr>
            </w:pPr>
            <w:r w:rsidRPr="005D74D1">
              <w:rPr>
                <w:rFonts w:cs="Arial"/>
                <w:b/>
                <w:bCs/>
                <w:lang w:val="en-AU"/>
              </w:rPr>
              <w:t>Water efficiency:</w:t>
            </w:r>
            <w:r w:rsidRPr="005D74D1">
              <w:rPr>
                <w:rFonts w:cs="Arial"/>
                <w:lang w:val="en-AU"/>
              </w:rPr>
              <w:t xml:space="preserve"> Continued focus on reducing irrigation losses and improving irrigation efficiency through infrastructure investments and extension support to irrigators. Continuation of </w:t>
            </w:r>
            <w:r w:rsidR="00960F84" w:rsidRPr="005D74D1">
              <w:rPr>
                <w:rFonts w:cs="Arial"/>
                <w:lang w:val="en-AU"/>
              </w:rPr>
              <w:t>community, school and household</w:t>
            </w:r>
            <w:r w:rsidR="004D5B45" w:rsidRPr="005D74D1">
              <w:rPr>
                <w:rFonts w:cs="Arial"/>
                <w:lang w:val="en-AU"/>
              </w:rPr>
              <w:t xml:space="preserve"> water efficiency projects</w:t>
            </w:r>
            <w:r w:rsidR="00DD51B9" w:rsidRPr="005D74D1">
              <w:rPr>
                <w:rFonts w:cs="Arial"/>
                <w:lang w:val="en-AU"/>
              </w:rPr>
              <w:t xml:space="preserve"> </w:t>
            </w:r>
            <w:r w:rsidR="003C6ACF" w:rsidRPr="005D74D1">
              <w:rPr>
                <w:rFonts w:cs="Arial"/>
                <w:lang w:val="en-AU"/>
              </w:rPr>
              <w:t>and behaviour change and education initiatives</w:t>
            </w:r>
            <w:r w:rsidRPr="005D74D1">
              <w:rPr>
                <w:rFonts w:cs="Arial"/>
                <w:lang w:val="en-AU"/>
              </w:rPr>
              <w:t>.</w:t>
            </w:r>
          </w:p>
          <w:p w14:paraId="6B1C5F6A" w14:textId="623DB977" w:rsidR="00BB36B5" w:rsidRPr="005D74D1" w:rsidRDefault="0AC7661F" w:rsidP="00EB7508">
            <w:pPr>
              <w:pStyle w:val="TableBullet"/>
              <w:rPr>
                <w:rFonts w:cs="Arial"/>
                <w:lang w:val="en-AU"/>
              </w:rPr>
            </w:pPr>
            <w:r w:rsidRPr="005D74D1">
              <w:rPr>
                <w:rFonts w:cs="Arial"/>
                <w:b/>
                <w:bCs/>
                <w:lang w:val="en-AU"/>
              </w:rPr>
              <w:t xml:space="preserve">Integrated </w:t>
            </w:r>
            <w:r w:rsidR="65295F2C" w:rsidRPr="005D74D1">
              <w:rPr>
                <w:rFonts w:cs="Arial"/>
                <w:b/>
                <w:bCs/>
                <w:lang w:val="en-AU"/>
              </w:rPr>
              <w:t>w</w:t>
            </w:r>
            <w:r w:rsidRPr="005D74D1">
              <w:rPr>
                <w:rFonts w:cs="Arial"/>
                <w:b/>
                <w:bCs/>
                <w:lang w:val="en-AU"/>
              </w:rPr>
              <w:t xml:space="preserve">ater </w:t>
            </w:r>
            <w:r w:rsidR="65295F2C" w:rsidRPr="005D74D1">
              <w:rPr>
                <w:rFonts w:cs="Arial"/>
                <w:b/>
                <w:bCs/>
                <w:lang w:val="en-AU"/>
              </w:rPr>
              <w:t>m</w:t>
            </w:r>
            <w:r w:rsidRPr="005D74D1">
              <w:rPr>
                <w:rFonts w:cs="Arial"/>
                <w:b/>
                <w:bCs/>
                <w:lang w:val="en-AU"/>
              </w:rPr>
              <w:t>anagement:</w:t>
            </w:r>
            <w:r w:rsidRPr="005D74D1">
              <w:rPr>
                <w:rFonts w:cs="Arial"/>
                <w:lang w:val="en-AU"/>
              </w:rPr>
              <w:t xml:space="preserve"> Continuation of mainstreaming the integrated water management approach through the IWM Forums, policy work and supporting grant programs. </w:t>
            </w:r>
            <w:r w:rsidR="00DA4599" w:rsidRPr="005D74D1">
              <w:rPr>
                <w:rFonts w:cs="Arial"/>
                <w:lang w:val="en-AU"/>
              </w:rPr>
              <w:t>Future i</w:t>
            </w:r>
            <w:r w:rsidR="003D5038" w:rsidRPr="005D74D1">
              <w:rPr>
                <w:rFonts w:cs="Arial"/>
                <w:lang w:val="en-AU"/>
              </w:rPr>
              <w:t xml:space="preserve">nvestment in this </w:t>
            </w:r>
            <w:r w:rsidR="00C4072B" w:rsidRPr="005D74D1">
              <w:rPr>
                <w:rFonts w:cs="Arial"/>
                <w:lang w:val="en-AU"/>
              </w:rPr>
              <w:t xml:space="preserve">program </w:t>
            </w:r>
            <w:r w:rsidR="002B7437" w:rsidRPr="005D74D1">
              <w:rPr>
                <w:rFonts w:cs="Arial"/>
                <w:lang w:val="en-AU"/>
              </w:rPr>
              <w:t>build</w:t>
            </w:r>
            <w:r w:rsidR="002B7437" w:rsidRPr="00A134A7">
              <w:rPr>
                <w:rFonts w:cs="Arial"/>
                <w:lang w:val="en-AU"/>
              </w:rPr>
              <w:t>s</w:t>
            </w:r>
            <w:r w:rsidR="00C4072B" w:rsidRPr="005D74D1">
              <w:rPr>
                <w:rFonts w:cs="Arial"/>
                <w:lang w:val="en-AU"/>
              </w:rPr>
              <w:t xml:space="preserve"> industry capacity to better adapt to climate change, </w:t>
            </w:r>
            <w:r w:rsidR="002F4A98" w:rsidRPr="005D74D1">
              <w:rPr>
                <w:rFonts w:cs="Arial"/>
                <w:lang w:val="en-AU"/>
              </w:rPr>
              <w:t xml:space="preserve">build </w:t>
            </w:r>
            <w:r w:rsidR="002B7437" w:rsidRPr="005D74D1">
              <w:rPr>
                <w:rFonts w:cs="Arial"/>
                <w:lang w:val="en-AU"/>
              </w:rPr>
              <w:t>resilience</w:t>
            </w:r>
            <w:r w:rsidR="002F4A98" w:rsidRPr="005D74D1">
              <w:rPr>
                <w:rFonts w:cs="Arial"/>
                <w:lang w:val="en-AU"/>
              </w:rPr>
              <w:t>, secure water supplies</w:t>
            </w:r>
            <w:r w:rsidR="000E61D6" w:rsidRPr="005D74D1">
              <w:rPr>
                <w:rFonts w:cs="Arial"/>
                <w:lang w:val="en-AU"/>
              </w:rPr>
              <w:t>, support the</w:t>
            </w:r>
            <w:r w:rsidR="00310DCE" w:rsidRPr="005D74D1">
              <w:rPr>
                <w:rFonts w:cs="Arial"/>
                <w:lang w:val="en-AU"/>
              </w:rPr>
              <w:t xml:space="preserve"> </w:t>
            </w:r>
            <w:r w:rsidR="00902E08" w:rsidRPr="005D74D1">
              <w:rPr>
                <w:rFonts w:cs="Arial"/>
                <w:lang w:val="en-AU"/>
              </w:rPr>
              <w:t>housing</w:t>
            </w:r>
            <w:r w:rsidR="00EE6093" w:rsidRPr="005D74D1">
              <w:rPr>
                <w:rFonts w:cs="Arial"/>
                <w:lang w:val="en-AU"/>
              </w:rPr>
              <w:t xml:space="preserve"> development </w:t>
            </w:r>
            <w:r w:rsidR="00902E08" w:rsidRPr="005D74D1">
              <w:rPr>
                <w:rFonts w:cs="Arial"/>
                <w:lang w:val="en-AU"/>
              </w:rPr>
              <w:t xml:space="preserve">government </w:t>
            </w:r>
            <w:r w:rsidR="00EE6093" w:rsidRPr="005D74D1">
              <w:rPr>
                <w:rFonts w:cs="Arial"/>
                <w:lang w:val="en-AU"/>
              </w:rPr>
              <w:t xml:space="preserve">priority </w:t>
            </w:r>
            <w:r w:rsidR="007954FA" w:rsidRPr="005D74D1">
              <w:rPr>
                <w:rFonts w:cs="Arial"/>
                <w:lang w:val="en-AU"/>
              </w:rPr>
              <w:t>while managing impacts o</w:t>
            </w:r>
            <w:r w:rsidR="00405894" w:rsidRPr="005D74D1">
              <w:rPr>
                <w:rFonts w:cs="Arial"/>
                <w:lang w:val="en-AU"/>
              </w:rPr>
              <w:t xml:space="preserve">n </w:t>
            </w:r>
            <w:r w:rsidR="001B4ED8" w:rsidRPr="005D74D1">
              <w:rPr>
                <w:rFonts w:cs="Arial"/>
                <w:lang w:val="en-AU"/>
              </w:rPr>
              <w:t>waterwa</w:t>
            </w:r>
            <w:r w:rsidR="001B4ED8" w:rsidRPr="00A134A7">
              <w:rPr>
                <w:rFonts w:cs="Arial"/>
                <w:lang w:val="en-AU"/>
              </w:rPr>
              <w:t>y</w:t>
            </w:r>
            <w:r w:rsidR="00405894" w:rsidRPr="005D74D1">
              <w:rPr>
                <w:rFonts w:cs="Arial"/>
                <w:lang w:val="en-AU"/>
              </w:rPr>
              <w:t xml:space="preserve"> health.</w:t>
            </w:r>
          </w:p>
          <w:p w14:paraId="628775D8" w14:textId="77777777" w:rsidR="00A50E7D" w:rsidRPr="005D74D1" w:rsidRDefault="007F6E15" w:rsidP="00FF6203">
            <w:pPr>
              <w:pStyle w:val="TableText"/>
              <w:rPr>
                <w:rFonts w:cs="Arial"/>
                <w:lang w:val="en-AU"/>
              </w:rPr>
            </w:pPr>
            <w:r w:rsidRPr="005D74D1">
              <w:rPr>
                <w:rFonts w:cs="Arial"/>
                <w:lang w:val="en-AU"/>
              </w:rPr>
              <w:t xml:space="preserve">Ongoing foundational, </w:t>
            </w:r>
            <w:r w:rsidR="001643C6" w:rsidRPr="005D74D1">
              <w:rPr>
                <w:rFonts w:cs="Arial"/>
                <w:lang w:val="en-AU"/>
              </w:rPr>
              <w:t>business-as-usual</w:t>
            </w:r>
            <w:r w:rsidRPr="005D74D1">
              <w:rPr>
                <w:rFonts w:cs="Arial"/>
                <w:lang w:val="en-AU"/>
              </w:rPr>
              <w:t xml:space="preserve"> projects:</w:t>
            </w:r>
          </w:p>
          <w:p w14:paraId="72DA3505" w14:textId="729BEAB1" w:rsidR="007F6E15" w:rsidRPr="005D74D1" w:rsidRDefault="0CF6184E" w:rsidP="00EB7508">
            <w:pPr>
              <w:pStyle w:val="TableBullet"/>
              <w:rPr>
                <w:rFonts w:cs="Arial"/>
                <w:lang w:val="en-AU"/>
              </w:rPr>
            </w:pPr>
            <w:r w:rsidRPr="005D74D1">
              <w:rPr>
                <w:rFonts w:cs="Arial"/>
                <w:lang w:val="en-AU"/>
              </w:rPr>
              <w:t>Ongoing operations of the Victorian Water Register.</w:t>
            </w:r>
          </w:p>
          <w:p w14:paraId="1632C7BE" w14:textId="7EDB1A7E" w:rsidR="007F6E15" w:rsidRPr="005D74D1" w:rsidRDefault="0CF6184E" w:rsidP="002A738B">
            <w:pPr>
              <w:pStyle w:val="TableBullet"/>
              <w:rPr>
                <w:rFonts w:cs="Arial"/>
                <w:lang w:val="en-AU"/>
              </w:rPr>
            </w:pPr>
            <w:r w:rsidRPr="005D74D1">
              <w:rPr>
                <w:rFonts w:cs="Arial"/>
                <w:lang w:val="en-AU"/>
              </w:rPr>
              <w:t>Ongoing water compliance activities, management of entitlements, water trading and</w:t>
            </w:r>
            <w:r w:rsidR="00FF6203" w:rsidRPr="005D74D1">
              <w:rPr>
                <w:rFonts w:cs="Arial"/>
                <w:lang w:val="en-AU"/>
              </w:rPr>
              <w:t> </w:t>
            </w:r>
            <w:r w:rsidRPr="005D74D1">
              <w:rPr>
                <w:rFonts w:cs="Arial"/>
                <w:lang w:val="en-AU"/>
              </w:rPr>
              <w:t>accounting.</w:t>
            </w:r>
          </w:p>
          <w:p w14:paraId="22CFEDE6" w14:textId="51D291DE" w:rsidR="00BB36B5" w:rsidRPr="005D74D1" w:rsidRDefault="0CF6184E" w:rsidP="002A738B">
            <w:pPr>
              <w:pStyle w:val="TableBullet"/>
              <w:rPr>
                <w:rFonts w:cs="Arial"/>
                <w:lang w:val="en-AU"/>
              </w:rPr>
            </w:pPr>
            <w:r w:rsidRPr="005D74D1">
              <w:rPr>
                <w:rFonts w:cs="Arial"/>
                <w:lang w:val="en-AU"/>
              </w:rPr>
              <w:t>Continuation of long-term surface water monitoring and modelling activities, maintenance of monitoring infrastructure, and provision of foundational water information to the water sector and communities.</w:t>
            </w:r>
          </w:p>
        </w:tc>
      </w:tr>
    </w:tbl>
    <w:p w14:paraId="71772E74" w14:textId="4B0F9136" w:rsidR="00BB36B5" w:rsidRPr="005D74D1" w:rsidRDefault="00BB36B5" w:rsidP="006659BF">
      <w:pPr>
        <w:pStyle w:val="BodyText"/>
        <w:rPr>
          <w:rFonts w:cs="Arial"/>
          <w:i/>
        </w:rPr>
        <w:sectPr w:rsidR="00BB36B5" w:rsidRPr="005D74D1" w:rsidSect="00773A7E">
          <w:headerReference w:type="even" r:id="rId42"/>
          <w:headerReference w:type="default" r:id="rId43"/>
          <w:footerReference w:type="even" r:id="rId44"/>
          <w:footerReference w:type="default" r:id="rId45"/>
          <w:footerReference w:type="first" r:id="rId46"/>
          <w:pgSz w:w="11906" w:h="16838" w:code="9"/>
          <w:pgMar w:top="1134" w:right="1134" w:bottom="567" w:left="1134" w:header="567" w:footer="0" w:gutter="0"/>
          <w:pgNumType w:fmt="lowerRoman" w:start="1"/>
          <w:cols w:space="720"/>
          <w:docGrid w:linePitch="360"/>
        </w:sectPr>
      </w:pPr>
    </w:p>
    <w:sdt>
      <w:sdtPr>
        <w:rPr>
          <w:rFonts w:cs="Arial"/>
        </w:rPr>
        <w:alias w:val="Table of contents"/>
        <w:tag w:val="Table of contents"/>
        <w:id w:val="-1093387899"/>
        <w:placeholder>
          <w:docPart w:val="195C927C45684147BCAAC3D5F76068D4"/>
        </w:placeholder>
        <w:docPartList>
          <w:docPartGallery w:val="Custom 5"/>
          <w:docPartCategory w:val="Contents"/>
        </w:docPartList>
      </w:sdtPr>
      <w:sdtContent>
        <w:p w14:paraId="36C85748" w14:textId="77777777" w:rsidR="00F8591B" w:rsidRPr="005D74D1" w:rsidRDefault="00F8591B" w:rsidP="008E3472">
          <w:pPr>
            <w:pStyle w:val="BodyText1Number"/>
            <w:rPr>
              <w:rStyle w:val="Heading1Char"/>
              <w:rFonts w:cs="Arial"/>
            </w:rPr>
          </w:pPr>
          <w:r w:rsidRPr="005D74D1">
            <w:rPr>
              <w:rStyle w:val="Heading1Char"/>
              <w:rFonts w:cs="Arial"/>
            </w:rPr>
            <w:t>Contents</w:t>
          </w:r>
        </w:p>
        <w:p w14:paraId="023D4B7B" w14:textId="31ED357C" w:rsidR="00A22898" w:rsidRPr="00A134A7" w:rsidRDefault="00302A23">
          <w:pPr>
            <w:pStyle w:val="TOC1"/>
            <w:rPr>
              <w:rFonts w:cs="Arial"/>
              <w:b w:val="0"/>
              <w:kern w:val="2"/>
              <w:sz w:val="22"/>
              <w:szCs w:val="22"/>
              <w14:ligatures w14:val="standardContextual"/>
            </w:rPr>
          </w:pPr>
          <w:r w:rsidRPr="005D74D1">
            <w:rPr>
              <w:rFonts w:cs="Arial"/>
              <w:b w:val="0"/>
              <w:lang w:eastAsia="en-AU"/>
            </w:rPr>
            <w:fldChar w:fldCharType="begin"/>
          </w:r>
          <w:r w:rsidRPr="005D74D1">
            <w:rPr>
              <w:rFonts w:cs="Arial"/>
              <w:b w:val="0"/>
              <w:lang w:eastAsia="en-AU"/>
            </w:rPr>
            <w:instrText xml:space="preserve"> TOC \o "1-2" \h \z \u </w:instrText>
          </w:r>
          <w:r w:rsidRPr="005D74D1">
            <w:rPr>
              <w:rFonts w:cs="Arial"/>
              <w:b w:val="0"/>
              <w:lang w:eastAsia="en-AU"/>
            </w:rPr>
            <w:fldChar w:fldCharType="separate"/>
          </w:r>
          <w:hyperlink w:anchor="_Toc183777344" w:history="1">
            <w:r w:rsidR="00A22898" w:rsidRPr="00A134A7">
              <w:rPr>
                <w:rStyle w:val="Hyperlink"/>
                <w:rFonts w:cs="Arial"/>
              </w:rPr>
              <w:t>Executive summary</w:t>
            </w:r>
            <w:r w:rsidR="00A22898" w:rsidRPr="00A134A7">
              <w:rPr>
                <w:rFonts w:cs="Arial"/>
                <w:webHidden/>
              </w:rPr>
              <w:tab/>
            </w:r>
            <w:r w:rsidR="00A22898" w:rsidRPr="00A134A7">
              <w:rPr>
                <w:rFonts w:cs="Arial"/>
                <w:webHidden/>
              </w:rPr>
              <w:fldChar w:fldCharType="begin"/>
            </w:r>
            <w:r w:rsidR="00A22898" w:rsidRPr="00A134A7">
              <w:rPr>
                <w:rFonts w:cs="Arial"/>
                <w:webHidden/>
              </w:rPr>
              <w:instrText xml:space="preserve"> PAGEREF _Toc183777344 \h </w:instrText>
            </w:r>
            <w:r w:rsidR="00A22898" w:rsidRPr="00A134A7">
              <w:rPr>
                <w:rFonts w:cs="Arial"/>
                <w:webHidden/>
              </w:rPr>
            </w:r>
            <w:r w:rsidR="00A22898" w:rsidRPr="00A134A7">
              <w:rPr>
                <w:rFonts w:cs="Arial"/>
                <w:webHidden/>
              </w:rPr>
              <w:fldChar w:fldCharType="separate"/>
            </w:r>
            <w:r w:rsidR="003870A0">
              <w:rPr>
                <w:rFonts w:cs="Arial"/>
                <w:noProof/>
                <w:webHidden/>
              </w:rPr>
              <w:t>i</w:t>
            </w:r>
            <w:r w:rsidR="00A22898" w:rsidRPr="00A134A7">
              <w:rPr>
                <w:rFonts w:cs="Arial"/>
                <w:webHidden/>
              </w:rPr>
              <w:fldChar w:fldCharType="end"/>
            </w:r>
          </w:hyperlink>
        </w:p>
        <w:p w14:paraId="04855EC4" w14:textId="7ECEC350" w:rsidR="00A22898" w:rsidRPr="00A134A7" w:rsidRDefault="00000000">
          <w:pPr>
            <w:pStyle w:val="TOC1"/>
            <w:rPr>
              <w:rFonts w:cs="Arial"/>
              <w:b w:val="0"/>
              <w:kern w:val="2"/>
              <w:sz w:val="22"/>
              <w:szCs w:val="22"/>
              <w14:ligatures w14:val="standardContextual"/>
            </w:rPr>
          </w:pPr>
          <w:hyperlink w:anchor="_Toc183777345" w:history="1">
            <w:r w:rsidR="00A22898" w:rsidRPr="00A134A7">
              <w:rPr>
                <w:rStyle w:val="Hyperlink"/>
                <w:rFonts w:cs="Arial"/>
              </w:rPr>
              <w:t>Appendices</w:t>
            </w:r>
            <w:r w:rsidR="00A22898" w:rsidRPr="00A134A7">
              <w:rPr>
                <w:rFonts w:cs="Arial"/>
                <w:webHidden/>
              </w:rPr>
              <w:tab/>
            </w:r>
            <w:r w:rsidR="00A22898" w:rsidRPr="00A134A7">
              <w:rPr>
                <w:rFonts w:cs="Arial"/>
                <w:webHidden/>
              </w:rPr>
              <w:fldChar w:fldCharType="begin"/>
            </w:r>
            <w:r w:rsidR="00A22898" w:rsidRPr="00A134A7">
              <w:rPr>
                <w:rFonts w:cs="Arial"/>
                <w:webHidden/>
              </w:rPr>
              <w:instrText xml:space="preserve"> PAGEREF _Toc183777345 \h </w:instrText>
            </w:r>
            <w:r w:rsidR="00A22898" w:rsidRPr="00A134A7">
              <w:rPr>
                <w:rFonts w:cs="Arial"/>
                <w:webHidden/>
              </w:rPr>
            </w:r>
            <w:r w:rsidR="00A22898" w:rsidRPr="00A134A7">
              <w:rPr>
                <w:rFonts w:cs="Arial"/>
                <w:webHidden/>
              </w:rPr>
              <w:fldChar w:fldCharType="separate"/>
            </w:r>
            <w:r w:rsidR="003870A0">
              <w:rPr>
                <w:rFonts w:cs="Arial"/>
                <w:noProof/>
                <w:webHidden/>
              </w:rPr>
              <w:t>x</w:t>
            </w:r>
            <w:r w:rsidR="00A22898" w:rsidRPr="00A134A7">
              <w:rPr>
                <w:rFonts w:cs="Arial"/>
                <w:webHidden/>
              </w:rPr>
              <w:fldChar w:fldCharType="end"/>
            </w:r>
          </w:hyperlink>
        </w:p>
        <w:p w14:paraId="0B9137B6" w14:textId="5CECFC1A" w:rsidR="00A22898" w:rsidRPr="00A134A7" w:rsidRDefault="00000000">
          <w:pPr>
            <w:pStyle w:val="TOC1"/>
            <w:rPr>
              <w:rFonts w:cs="Arial"/>
              <w:b w:val="0"/>
              <w:kern w:val="2"/>
              <w:sz w:val="22"/>
              <w:szCs w:val="22"/>
              <w14:ligatures w14:val="standardContextual"/>
            </w:rPr>
          </w:pPr>
          <w:hyperlink w:anchor="_Toc183777346" w:history="1">
            <w:r w:rsidR="00A22898" w:rsidRPr="00A134A7">
              <w:rPr>
                <w:rStyle w:val="Hyperlink"/>
                <w:rFonts w:cs="Arial"/>
              </w:rPr>
              <w:t>Tables</w:t>
            </w:r>
            <w:r w:rsidR="00A22898" w:rsidRPr="00A134A7">
              <w:rPr>
                <w:rFonts w:cs="Arial"/>
                <w:webHidden/>
              </w:rPr>
              <w:tab/>
            </w:r>
            <w:r w:rsidR="00A22898" w:rsidRPr="00A134A7">
              <w:rPr>
                <w:rFonts w:cs="Arial"/>
                <w:webHidden/>
              </w:rPr>
              <w:fldChar w:fldCharType="begin"/>
            </w:r>
            <w:r w:rsidR="00A22898" w:rsidRPr="00A134A7">
              <w:rPr>
                <w:rFonts w:cs="Arial"/>
                <w:webHidden/>
              </w:rPr>
              <w:instrText xml:space="preserve"> PAGEREF _Toc183777346 \h </w:instrText>
            </w:r>
            <w:r w:rsidR="00A22898" w:rsidRPr="00A134A7">
              <w:rPr>
                <w:rFonts w:cs="Arial"/>
                <w:webHidden/>
              </w:rPr>
            </w:r>
            <w:r w:rsidR="00A22898" w:rsidRPr="00A134A7">
              <w:rPr>
                <w:rFonts w:cs="Arial"/>
                <w:webHidden/>
              </w:rPr>
              <w:fldChar w:fldCharType="separate"/>
            </w:r>
            <w:r w:rsidR="003870A0">
              <w:rPr>
                <w:rFonts w:cs="Arial"/>
                <w:noProof/>
                <w:webHidden/>
              </w:rPr>
              <w:t>x</w:t>
            </w:r>
            <w:r w:rsidR="00A22898" w:rsidRPr="00A134A7">
              <w:rPr>
                <w:rFonts w:cs="Arial"/>
                <w:webHidden/>
              </w:rPr>
              <w:fldChar w:fldCharType="end"/>
            </w:r>
          </w:hyperlink>
        </w:p>
        <w:p w14:paraId="5D12F58E" w14:textId="5FF4FB0A" w:rsidR="00A22898" w:rsidRPr="00A134A7" w:rsidRDefault="00000000">
          <w:pPr>
            <w:pStyle w:val="TOC1"/>
            <w:rPr>
              <w:rFonts w:cs="Arial"/>
              <w:b w:val="0"/>
              <w:kern w:val="2"/>
              <w:sz w:val="22"/>
              <w:szCs w:val="22"/>
              <w14:ligatures w14:val="standardContextual"/>
            </w:rPr>
          </w:pPr>
          <w:hyperlink w:anchor="_Toc183777347" w:history="1">
            <w:r w:rsidR="00A22898" w:rsidRPr="00A134A7">
              <w:rPr>
                <w:rStyle w:val="Hyperlink"/>
                <w:rFonts w:cs="Arial"/>
              </w:rPr>
              <w:t>Figures</w:t>
            </w:r>
            <w:r w:rsidR="00A22898" w:rsidRPr="00A134A7">
              <w:rPr>
                <w:rFonts w:cs="Arial"/>
                <w:webHidden/>
              </w:rPr>
              <w:tab/>
            </w:r>
            <w:r w:rsidR="00A22898" w:rsidRPr="00A134A7">
              <w:rPr>
                <w:rFonts w:cs="Arial"/>
                <w:webHidden/>
              </w:rPr>
              <w:fldChar w:fldCharType="begin"/>
            </w:r>
            <w:r w:rsidR="00A22898" w:rsidRPr="00A134A7">
              <w:rPr>
                <w:rFonts w:cs="Arial"/>
                <w:webHidden/>
              </w:rPr>
              <w:instrText xml:space="preserve"> PAGEREF _Toc183777347 \h </w:instrText>
            </w:r>
            <w:r w:rsidR="00A22898" w:rsidRPr="00A134A7">
              <w:rPr>
                <w:rFonts w:cs="Arial"/>
                <w:webHidden/>
              </w:rPr>
            </w:r>
            <w:r w:rsidR="00A22898" w:rsidRPr="00A134A7">
              <w:rPr>
                <w:rFonts w:cs="Arial"/>
                <w:webHidden/>
              </w:rPr>
              <w:fldChar w:fldCharType="separate"/>
            </w:r>
            <w:r w:rsidR="003870A0">
              <w:rPr>
                <w:rFonts w:cs="Arial"/>
                <w:noProof/>
                <w:webHidden/>
              </w:rPr>
              <w:t>x</w:t>
            </w:r>
            <w:r w:rsidR="00A22898" w:rsidRPr="00A134A7">
              <w:rPr>
                <w:rFonts w:cs="Arial"/>
                <w:webHidden/>
              </w:rPr>
              <w:fldChar w:fldCharType="end"/>
            </w:r>
          </w:hyperlink>
        </w:p>
        <w:p w14:paraId="3B633F3A" w14:textId="0BEB27D8" w:rsidR="00A22898" w:rsidRPr="00A134A7" w:rsidRDefault="00000000">
          <w:pPr>
            <w:pStyle w:val="TOC1"/>
            <w:rPr>
              <w:rFonts w:cs="Arial"/>
              <w:b w:val="0"/>
              <w:kern w:val="2"/>
              <w:sz w:val="22"/>
              <w:szCs w:val="22"/>
              <w14:ligatures w14:val="standardContextual"/>
            </w:rPr>
          </w:pPr>
          <w:hyperlink w:anchor="_Toc183777348" w:history="1">
            <w:r w:rsidR="00A22898" w:rsidRPr="00A134A7">
              <w:rPr>
                <w:rStyle w:val="Hyperlink"/>
                <w:rFonts w:cs="Arial"/>
              </w:rPr>
              <w:t>Acronyms and abbreviations</w:t>
            </w:r>
            <w:r w:rsidR="00A22898" w:rsidRPr="00A134A7">
              <w:rPr>
                <w:rFonts w:cs="Arial"/>
                <w:webHidden/>
              </w:rPr>
              <w:tab/>
            </w:r>
            <w:r w:rsidR="00A22898" w:rsidRPr="00A134A7">
              <w:rPr>
                <w:rFonts w:cs="Arial"/>
                <w:webHidden/>
              </w:rPr>
              <w:fldChar w:fldCharType="begin"/>
            </w:r>
            <w:r w:rsidR="00A22898" w:rsidRPr="00A134A7">
              <w:rPr>
                <w:rFonts w:cs="Arial"/>
                <w:webHidden/>
              </w:rPr>
              <w:instrText xml:space="preserve"> PAGEREF _Toc183777348 \h </w:instrText>
            </w:r>
            <w:r w:rsidR="00A22898" w:rsidRPr="00A134A7">
              <w:rPr>
                <w:rFonts w:cs="Arial"/>
                <w:webHidden/>
              </w:rPr>
            </w:r>
            <w:r w:rsidR="00A22898" w:rsidRPr="00A134A7">
              <w:rPr>
                <w:rFonts w:cs="Arial"/>
                <w:webHidden/>
              </w:rPr>
              <w:fldChar w:fldCharType="separate"/>
            </w:r>
            <w:r w:rsidR="003870A0">
              <w:rPr>
                <w:rFonts w:cs="Arial"/>
                <w:noProof/>
                <w:webHidden/>
              </w:rPr>
              <w:t>xi</w:t>
            </w:r>
            <w:r w:rsidR="00A22898" w:rsidRPr="00A134A7">
              <w:rPr>
                <w:rFonts w:cs="Arial"/>
                <w:webHidden/>
              </w:rPr>
              <w:fldChar w:fldCharType="end"/>
            </w:r>
          </w:hyperlink>
        </w:p>
        <w:p w14:paraId="697D6391" w14:textId="3EB05CFD" w:rsidR="00A22898" w:rsidRPr="00A134A7" w:rsidRDefault="00000000">
          <w:pPr>
            <w:pStyle w:val="TOC1"/>
            <w:rPr>
              <w:rFonts w:cs="Arial"/>
              <w:b w:val="0"/>
              <w:kern w:val="2"/>
              <w:sz w:val="22"/>
              <w:szCs w:val="22"/>
              <w14:ligatures w14:val="standardContextual"/>
            </w:rPr>
          </w:pPr>
          <w:hyperlink w:anchor="_Toc183777349" w:history="1">
            <w:r w:rsidR="00A22898" w:rsidRPr="00A134A7">
              <w:rPr>
                <w:rStyle w:val="Hyperlink"/>
                <w:rFonts w:cs="Arial"/>
              </w:rPr>
              <w:t>Key terms – EC5 hierarchy</w:t>
            </w:r>
            <w:r w:rsidR="00A22898" w:rsidRPr="00A134A7">
              <w:rPr>
                <w:rFonts w:cs="Arial"/>
                <w:webHidden/>
              </w:rPr>
              <w:tab/>
            </w:r>
            <w:r w:rsidR="00A22898" w:rsidRPr="00A134A7">
              <w:rPr>
                <w:rFonts w:cs="Arial"/>
                <w:webHidden/>
              </w:rPr>
              <w:fldChar w:fldCharType="begin"/>
            </w:r>
            <w:r w:rsidR="00A22898" w:rsidRPr="00A134A7">
              <w:rPr>
                <w:rFonts w:cs="Arial"/>
                <w:webHidden/>
              </w:rPr>
              <w:instrText xml:space="preserve"> PAGEREF _Toc183777349 \h </w:instrText>
            </w:r>
            <w:r w:rsidR="00A22898" w:rsidRPr="00A134A7">
              <w:rPr>
                <w:rFonts w:cs="Arial"/>
                <w:webHidden/>
              </w:rPr>
            </w:r>
            <w:r w:rsidR="00A22898" w:rsidRPr="00A134A7">
              <w:rPr>
                <w:rFonts w:cs="Arial"/>
                <w:webHidden/>
              </w:rPr>
              <w:fldChar w:fldCharType="separate"/>
            </w:r>
            <w:r w:rsidR="003870A0">
              <w:rPr>
                <w:rFonts w:cs="Arial"/>
                <w:noProof/>
                <w:webHidden/>
              </w:rPr>
              <w:t>xii</w:t>
            </w:r>
            <w:r w:rsidR="00A22898" w:rsidRPr="00A134A7">
              <w:rPr>
                <w:rFonts w:cs="Arial"/>
                <w:webHidden/>
              </w:rPr>
              <w:fldChar w:fldCharType="end"/>
            </w:r>
          </w:hyperlink>
        </w:p>
        <w:p w14:paraId="0A61A72B" w14:textId="139225B6" w:rsidR="00A22898" w:rsidRPr="00A134A7" w:rsidRDefault="00000000">
          <w:pPr>
            <w:pStyle w:val="TOC1"/>
            <w:rPr>
              <w:rFonts w:cs="Arial"/>
              <w:b w:val="0"/>
              <w:kern w:val="2"/>
              <w:sz w:val="22"/>
              <w:szCs w:val="22"/>
              <w14:ligatures w14:val="standardContextual"/>
            </w:rPr>
          </w:pPr>
          <w:hyperlink w:anchor="_Toc183777350" w:history="1">
            <w:r w:rsidR="00A22898" w:rsidRPr="00A134A7">
              <w:rPr>
                <w:rStyle w:val="Hyperlink"/>
                <w:rFonts w:cs="Arial"/>
              </w:rPr>
              <w:t>1.</w:t>
            </w:r>
            <w:r w:rsidR="00A22898" w:rsidRPr="00A134A7">
              <w:rPr>
                <w:rFonts w:cs="Arial"/>
                <w:b w:val="0"/>
                <w:kern w:val="2"/>
                <w:sz w:val="22"/>
                <w:szCs w:val="22"/>
                <w14:ligatures w14:val="standardContextual"/>
              </w:rPr>
              <w:tab/>
            </w:r>
            <w:r w:rsidR="00A22898" w:rsidRPr="00A134A7">
              <w:rPr>
                <w:rStyle w:val="Hyperlink"/>
                <w:rFonts w:cs="Arial"/>
              </w:rPr>
              <w:t>Introduction</w:t>
            </w:r>
            <w:r w:rsidR="00A22898" w:rsidRPr="00A134A7">
              <w:rPr>
                <w:rFonts w:cs="Arial"/>
                <w:webHidden/>
              </w:rPr>
              <w:tab/>
            </w:r>
            <w:r w:rsidR="00A22898" w:rsidRPr="00A134A7">
              <w:rPr>
                <w:rFonts w:cs="Arial"/>
                <w:webHidden/>
              </w:rPr>
              <w:fldChar w:fldCharType="begin"/>
            </w:r>
            <w:r w:rsidR="00A22898" w:rsidRPr="00A134A7">
              <w:rPr>
                <w:rFonts w:cs="Arial"/>
                <w:webHidden/>
              </w:rPr>
              <w:instrText xml:space="preserve"> PAGEREF _Toc183777350 \h </w:instrText>
            </w:r>
            <w:r w:rsidR="00A22898" w:rsidRPr="00A134A7">
              <w:rPr>
                <w:rFonts w:cs="Arial"/>
                <w:webHidden/>
              </w:rPr>
            </w:r>
            <w:r w:rsidR="00A22898" w:rsidRPr="00A134A7">
              <w:rPr>
                <w:rFonts w:cs="Arial"/>
                <w:webHidden/>
              </w:rPr>
              <w:fldChar w:fldCharType="separate"/>
            </w:r>
            <w:r w:rsidR="003870A0">
              <w:rPr>
                <w:rFonts w:cs="Arial"/>
                <w:noProof/>
                <w:webHidden/>
              </w:rPr>
              <w:t>1</w:t>
            </w:r>
            <w:r w:rsidR="00A22898" w:rsidRPr="00A134A7">
              <w:rPr>
                <w:rFonts w:cs="Arial"/>
                <w:webHidden/>
              </w:rPr>
              <w:fldChar w:fldCharType="end"/>
            </w:r>
          </w:hyperlink>
        </w:p>
        <w:p w14:paraId="5F56C8E7" w14:textId="49720F91" w:rsidR="00A22898" w:rsidRPr="00A134A7" w:rsidRDefault="00000000">
          <w:pPr>
            <w:pStyle w:val="TOC2"/>
            <w:rPr>
              <w:rFonts w:cs="Arial"/>
              <w:kern w:val="2"/>
              <w:sz w:val="22"/>
              <w:szCs w:val="22"/>
              <w:lang w:val="en-AU"/>
              <w14:ligatures w14:val="standardContextual"/>
            </w:rPr>
          </w:pPr>
          <w:hyperlink w:anchor="_Toc183777351" w:history="1">
            <w:r w:rsidR="00A22898" w:rsidRPr="00A134A7">
              <w:rPr>
                <w:rStyle w:val="Hyperlink"/>
                <w:rFonts w:cs="Arial"/>
                <w:lang w:val="en-AU"/>
              </w:rPr>
              <w:t>1.1</w:t>
            </w:r>
            <w:r w:rsidR="00A22898" w:rsidRPr="00A134A7">
              <w:rPr>
                <w:rFonts w:cs="Arial"/>
                <w:kern w:val="2"/>
                <w:sz w:val="22"/>
                <w:szCs w:val="22"/>
                <w:lang w:val="en-AU"/>
                <w14:ligatures w14:val="standardContextual"/>
              </w:rPr>
              <w:tab/>
            </w:r>
            <w:r w:rsidR="00A22898" w:rsidRPr="00A134A7">
              <w:rPr>
                <w:rStyle w:val="Hyperlink"/>
                <w:rFonts w:cs="Arial"/>
                <w:lang w:val="en-AU"/>
              </w:rPr>
              <w:t>Context</w:t>
            </w:r>
            <w:r w:rsidR="00A22898" w:rsidRPr="00A134A7">
              <w:rPr>
                <w:rFonts w:cs="Arial"/>
                <w:webHidden/>
                <w:lang w:val="en-AU"/>
              </w:rPr>
              <w:tab/>
            </w:r>
            <w:r w:rsidR="00A22898" w:rsidRPr="00A134A7">
              <w:rPr>
                <w:rFonts w:cs="Arial"/>
                <w:webHidden/>
                <w:lang w:val="en-AU"/>
              </w:rPr>
              <w:fldChar w:fldCharType="begin"/>
            </w:r>
            <w:r w:rsidR="00A22898" w:rsidRPr="00A134A7">
              <w:rPr>
                <w:rFonts w:cs="Arial"/>
                <w:webHidden/>
                <w:lang w:val="en-AU"/>
              </w:rPr>
              <w:instrText xml:space="preserve"> PAGEREF _Toc183777351 \h </w:instrText>
            </w:r>
            <w:r w:rsidR="00A22898" w:rsidRPr="00A134A7">
              <w:rPr>
                <w:rFonts w:cs="Arial"/>
                <w:webHidden/>
                <w:lang w:val="en-AU"/>
              </w:rPr>
            </w:r>
            <w:r w:rsidR="00A22898" w:rsidRPr="00A134A7">
              <w:rPr>
                <w:rFonts w:cs="Arial"/>
                <w:webHidden/>
                <w:lang w:val="en-AU"/>
              </w:rPr>
              <w:fldChar w:fldCharType="separate"/>
            </w:r>
            <w:r w:rsidR="003870A0">
              <w:rPr>
                <w:rFonts w:cs="Arial"/>
                <w:noProof/>
                <w:webHidden/>
                <w:lang w:val="en-AU"/>
              </w:rPr>
              <w:t>1</w:t>
            </w:r>
            <w:r w:rsidR="00A22898" w:rsidRPr="00A134A7">
              <w:rPr>
                <w:rFonts w:cs="Arial"/>
                <w:webHidden/>
                <w:lang w:val="en-AU"/>
              </w:rPr>
              <w:fldChar w:fldCharType="end"/>
            </w:r>
          </w:hyperlink>
        </w:p>
        <w:p w14:paraId="1F662D2C" w14:textId="294C047F" w:rsidR="00A22898" w:rsidRPr="00A134A7" w:rsidRDefault="00000000">
          <w:pPr>
            <w:pStyle w:val="TOC2"/>
            <w:rPr>
              <w:rFonts w:cs="Arial"/>
              <w:kern w:val="2"/>
              <w:sz w:val="22"/>
              <w:szCs w:val="22"/>
              <w:lang w:val="en-AU"/>
              <w14:ligatures w14:val="standardContextual"/>
            </w:rPr>
          </w:pPr>
          <w:hyperlink w:anchor="_Toc183777352" w:history="1">
            <w:r w:rsidR="00A22898" w:rsidRPr="00A134A7">
              <w:rPr>
                <w:rStyle w:val="Hyperlink"/>
                <w:rFonts w:cs="Arial"/>
                <w:lang w:val="en-AU"/>
              </w:rPr>
              <w:t>1.2</w:t>
            </w:r>
            <w:r w:rsidR="00A22898" w:rsidRPr="00A134A7">
              <w:rPr>
                <w:rFonts w:cs="Arial"/>
                <w:kern w:val="2"/>
                <w:sz w:val="22"/>
                <w:szCs w:val="22"/>
                <w:lang w:val="en-AU"/>
                <w14:ligatures w14:val="standardContextual"/>
              </w:rPr>
              <w:tab/>
            </w:r>
            <w:r w:rsidR="00A22898" w:rsidRPr="00A134A7">
              <w:rPr>
                <w:rStyle w:val="Hyperlink"/>
                <w:rFonts w:cs="Arial"/>
                <w:lang w:val="en-AU"/>
              </w:rPr>
              <w:t>Purpose and scope</w:t>
            </w:r>
            <w:r w:rsidR="00A22898" w:rsidRPr="00A134A7">
              <w:rPr>
                <w:rFonts w:cs="Arial"/>
                <w:webHidden/>
                <w:lang w:val="en-AU"/>
              </w:rPr>
              <w:tab/>
            </w:r>
            <w:r w:rsidR="00A22898" w:rsidRPr="00A134A7">
              <w:rPr>
                <w:rFonts w:cs="Arial"/>
                <w:webHidden/>
                <w:lang w:val="en-AU"/>
              </w:rPr>
              <w:fldChar w:fldCharType="begin"/>
            </w:r>
            <w:r w:rsidR="00A22898" w:rsidRPr="00A134A7">
              <w:rPr>
                <w:rFonts w:cs="Arial"/>
                <w:webHidden/>
                <w:lang w:val="en-AU"/>
              </w:rPr>
              <w:instrText xml:space="preserve"> PAGEREF _Toc183777352 \h </w:instrText>
            </w:r>
            <w:r w:rsidR="00A22898" w:rsidRPr="00A134A7">
              <w:rPr>
                <w:rFonts w:cs="Arial"/>
                <w:webHidden/>
                <w:lang w:val="en-AU"/>
              </w:rPr>
            </w:r>
            <w:r w:rsidR="00A22898" w:rsidRPr="00A134A7">
              <w:rPr>
                <w:rFonts w:cs="Arial"/>
                <w:webHidden/>
                <w:lang w:val="en-AU"/>
              </w:rPr>
              <w:fldChar w:fldCharType="separate"/>
            </w:r>
            <w:r w:rsidR="003870A0">
              <w:rPr>
                <w:rFonts w:cs="Arial"/>
                <w:noProof/>
                <w:webHidden/>
                <w:lang w:val="en-AU"/>
              </w:rPr>
              <w:t>2</w:t>
            </w:r>
            <w:r w:rsidR="00A22898" w:rsidRPr="00A134A7">
              <w:rPr>
                <w:rFonts w:cs="Arial"/>
                <w:webHidden/>
                <w:lang w:val="en-AU"/>
              </w:rPr>
              <w:fldChar w:fldCharType="end"/>
            </w:r>
          </w:hyperlink>
        </w:p>
        <w:p w14:paraId="2DDFB000" w14:textId="3820D162" w:rsidR="00A22898" w:rsidRPr="00A134A7" w:rsidRDefault="00000000">
          <w:pPr>
            <w:pStyle w:val="TOC2"/>
            <w:rPr>
              <w:rFonts w:cs="Arial"/>
              <w:kern w:val="2"/>
              <w:sz w:val="22"/>
              <w:szCs w:val="22"/>
              <w:lang w:val="en-AU"/>
              <w14:ligatures w14:val="standardContextual"/>
            </w:rPr>
          </w:pPr>
          <w:hyperlink w:anchor="_Toc183777353" w:history="1">
            <w:r w:rsidR="00A22898" w:rsidRPr="00A134A7">
              <w:rPr>
                <w:rStyle w:val="Hyperlink"/>
                <w:rFonts w:cs="Arial"/>
                <w:lang w:val="en-AU"/>
              </w:rPr>
              <w:t>1.3</w:t>
            </w:r>
            <w:r w:rsidR="00A22898" w:rsidRPr="00A134A7">
              <w:rPr>
                <w:rFonts w:cs="Arial"/>
                <w:kern w:val="2"/>
                <w:sz w:val="22"/>
                <w:szCs w:val="22"/>
                <w:lang w:val="en-AU"/>
                <w14:ligatures w14:val="standardContextual"/>
              </w:rPr>
              <w:tab/>
            </w:r>
            <w:r w:rsidR="00A22898" w:rsidRPr="00A134A7">
              <w:rPr>
                <w:rStyle w:val="Hyperlink"/>
                <w:rFonts w:cs="Arial"/>
                <w:lang w:val="en-AU"/>
              </w:rPr>
              <w:t>Structure of the report</w:t>
            </w:r>
            <w:r w:rsidR="00A22898" w:rsidRPr="00A134A7">
              <w:rPr>
                <w:rFonts w:cs="Arial"/>
                <w:webHidden/>
                <w:lang w:val="en-AU"/>
              </w:rPr>
              <w:tab/>
            </w:r>
            <w:r w:rsidR="00A22898" w:rsidRPr="00A134A7">
              <w:rPr>
                <w:rFonts w:cs="Arial"/>
                <w:webHidden/>
                <w:lang w:val="en-AU"/>
              </w:rPr>
              <w:fldChar w:fldCharType="begin"/>
            </w:r>
            <w:r w:rsidR="00A22898" w:rsidRPr="00A134A7">
              <w:rPr>
                <w:rFonts w:cs="Arial"/>
                <w:webHidden/>
                <w:lang w:val="en-AU"/>
              </w:rPr>
              <w:instrText xml:space="preserve"> PAGEREF _Toc183777353 \h </w:instrText>
            </w:r>
            <w:r w:rsidR="00A22898" w:rsidRPr="00A134A7">
              <w:rPr>
                <w:rFonts w:cs="Arial"/>
                <w:webHidden/>
                <w:lang w:val="en-AU"/>
              </w:rPr>
            </w:r>
            <w:r w:rsidR="00A22898" w:rsidRPr="00A134A7">
              <w:rPr>
                <w:rFonts w:cs="Arial"/>
                <w:webHidden/>
                <w:lang w:val="en-AU"/>
              </w:rPr>
              <w:fldChar w:fldCharType="separate"/>
            </w:r>
            <w:r w:rsidR="003870A0">
              <w:rPr>
                <w:rFonts w:cs="Arial"/>
                <w:noProof/>
                <w:webHidden/>
                <w:lang w:val="en-AU"/>
              </w:rPr>
              <w:t>3</w:t>
            </w:r>
            <w:r w:rsidR="00A22898" w:rsidRPr="00A134A7">
              <w:rPr>
                <w:rFonts w:cs="Arial"/>
                <w:webHidden/>
                <w:lang w:val="en-AU"/>
              </w:rPr>
              <w:fldChar w:fldCharType="end"/>
            </w:r>
          </w:hyperlink>
        </w:p>
        <w:p w14:paraId="796FC09F" w14:textId="42E21D1D" w:rsidR="00A22898" w:rsidRPr="00A134A7" w:rsidRDefault="00000000">
          <w:pPr>
            <w:pStyle w:val="TOC1"/>
            <w:rPr>
              <w:rFonts w:cs="Arial"/>
              <w:b w:val="0"/>
              <w:kern w:val="2"/>
              <w:sz w:val="22"/>
              <w:szCs w:val="22"/>
              <w14:ligatures w14:val="standardContextual"/>
            </w:rPr>
          </w:pPr>
          <w:hyperlink w:anchor="_Toc183777354" w:history="1">
            <w:r w:rsidR="00A22898" w:rsidRPr="00A134A7">
              <w:rPr>
                <w:rStyle w:val="Hyperlink"/>
                <w:rFonts w:cs="Arial"/>
              </w:rPr>
              <w:t>2.</w:t>
            </w:r>
            <w:r w:rsidR="00A22898" w:rsidRPr="00A134A7">
              <w:rPr>
                <w:rFonts w:cs="Arial"/>
                <w:b w:val="0"/>
                <w:kern w:val="2"/>
                <w:sz w:val="22"/>
                <w:szCs w:val="22"/>
                <w14:ligatures w14:val="standardContextual"/>
              </w:rPr>
              <w:tab/>
            </w:r>
            <w:r w:rsidR="00A22898" w:rsidRPr="00A134A7">
              <w:rPr>
                <w:rStyle w:val="Hyperlink"/>
                <w:rFonts w:cs="Arial"/>
              </w:rPr>
              <w:t>EC background and summary</w:t>
            </w:r>
            <w:r w:rsidR="00A22898" w:rsidRPr="00A134A7">
              <w:rPr>
                <w:rFonts w:cs="Arial"/>
                <w:webHidden/>
              </w:rPr>
              <w:tab/>
            </w:r>
            <w:r w:rsidR="00A22898" w:rsidRPr="00A134A7">
              <w:rPr>
                <w:rFonts w:cs="Arial"/>
                <w:webHidden/>
              </w:rPr>
              <w:fldChar w:fldCharType="begin"/>
            </w:r>
            <w:r w:rsidR="00A22898" w:rsidRPr="00A134A7">
              <w:rPr>
                <w:rFonts w:cs="Arial"/>
                <w:webHidden/>
              </w:rPr>
              <w:instrText xml:space="preserve"> PAGEREF _Toc183777354 \h </w:instrText>
            </w:r>
            <w:r w:rsidR="00A22898" w:rsidRPr="00A134A7">
              <w:rPr>
                <w:rFonts w:cs="Arial"/>
                <w:webHidden/>
              </w:rPr>
            </w:r>
            <w:r w:rsidR="00A22898" w:rsidRPr="00A134A7">
              <w:rPr>
                <w:rFonts w:cs="Arial"/>
                <w:webHidden/>
              </w:rPr>
              <w:fldChar w:fldCharType="separate"/>
            </w:r>
            <w:r w:rsidR="003870A0">
              <w:rPr>
                <w:rFonts w:cs="Arial"/>
                <w:noProof/>
                <w:webHidden/>
              </w:rPr>
              <w:t>5</w:t>
            </w:r>
            <w:r w:rsidR="00A22898" w:rsidRPr="00A134A7">
              <w:rPr>
                <w:rFonts w:cs="Arial"/>
                <w:webHidden/>
              </w:rPr>
              <w:fldChar w:fldCharType="end"/>
            </w:r>
          </w:hyperlink>
        </w:p>
        <w:p w14:paraId="4F3D7EAF" w14:textId="150E3429" w:rsidR="00A22898" w:rsidRPr="00A134A7" w:rsidRDefault="00000000">
          <w:pPr>
            <w:pStyle w:val="TOC2"/>
            <w:rPr>
              <w:rFonts w:cs="Arial"/>
              <w:kern w:val="2"/>
              <w:sz w:val="22"/>
              <w:szCs w:val="22"/>
              <w:lang w:val="en-AU"/>
              <w14:ligatures w14:val="standardContextual"/>
            </w:rPr>
          </w:pPr>
          <w:hyperlink w:anchor="_Toc183777355" w:history="1">
            <w:r w:rsidR="00A22898" w:rsidRPr="00A134A7">
              <w:rPr>
                <w:rStyle w:val="Hyperlink"/>
                <w:rFonts w:cs="Arial"/>
                <w:lang w:val="en-AU"/>
              </w:rPr>
              <w:t>2.1</w:t>
            </w:r>
            <w:r w:rsidR="00A22898" w:rsidRPr="00A134A7">
              <w:rPr>
                <w:rFonts w:cs="Arial"/>
                <w:kern w:val="2"/>
                <w:sz w:val="22"/>
                <w:szCs w:val="22"/>
                <w:lang w:val="en-AU"/>
                <w14:ligatures w14:val="standardContextual"/>
              </w:rPr>
              <w:tab/>
            </w:r>
            <w:r w:rsidR="00A22898" w:rsidRPr="00A134A7">
              <w:rPr>
                <w:rStyle w:val="Hyperlink"/>
                <w:rFonts w:cs="Arial"/>
                <w:lang w:val="en-AU"/>
              </w:rPr>
              <w:t>Policy alignment</w:t>
            </w:r>
            <w:r w:rsidR="00A22898" w:rsidRPr="00A134A7">
              <w:rPr>
                <w:rFonts w:cs="Arial"/>
                <w:webHidden/>
                <w:lang w:val="en-AU"/>
              </w:rPr>
              <w:tab/>
            </w:r>
            <w:r w:rsidR="00A22898" w:rsidRPr="00A134A7">
              <w:rPr>
                <w:rFonts w:cs="Arial"/>
                <w:webHidden/>
                <w:lang w:val="en-AU"/>
              </w:rPr>
              <w:fldChar w:fldCharType="begin"/>
            </w:r>
            <w:r w:rsidR="00A22898" w:rsidRPr="00A134A7">
              <w:rPr>
                <w:rFonts w:cs="Arial"/>
                <w:webHidden/>
                <w:lang w:val="en-AU"/>
              </w:rPr>
              <w:instrText xml:space="preserve"> PAGEREF _Toc183777355 \h </w:instrText>
            </w:r>
            <w:r w:rsidR="00A22898" w:rsidRPr="00A134A7">
              <w:rPr>
                <w:rFonts w:cs="Arial"/>
                <w:webHidden/>
                <w:lang w:val="en-AU"/>
              </w:rPr>
            </w:r>
            <w:r w:rsidR="00A22898" w:rsidRPr="00A134A7">
              <w:rPr>
                <w:rFonts w:cs="Arial"/>
                <w:webHidden/>
                <w:lang w:val="en-AU"/>
              </w:rPr>
              <w:fldChar w:fldCharType="separate"/>
            </w:r>
            <w:r w:rsidR="003870A0">
              <w:rPr>
                <w:rFonts w:cs="Arial"/>
                <w:noProof/>
                <w:webHidden/>
                <w:lang w:val="en-AU"/>
              </w:rPr>
              <w:t>5</w:t>
            </w:r>
            <w:r w:rsidR="00A22898" w:rsidRPr="00A134A7">
              <w:rPr>
                <w:rFonts w:cs="Arial"/>
                <w:webHidden/>
                <w:lang w:val="en-AU"/>
              </w:rPr>
              <w:fldChar w:fldCharType="end"/>
            </w:r>
          </w:hyperlink>
        </w:p>
        <w:p w14:paraId="0531E136" w14:textId="0EBF0C7A" w:rsidR="00A22898" w:rsidRPr="00A134A7" w:rsidRDefault="00000000">
          <w:pPr>
            <w:pStyle w:val="TOC2"/>
            <w:rPr>
              <w:rFonts w:cs="Arial"/>
              <w:kern w:val="2"/>
              <w:sz w:val="22"/>
              <w:szCs w:val="22"/>
              <w:lang w:val="en-AU"/>
              <w14:ligatures w14:val="standardContextual"/>
            </w:rPr>
          </w:pPr>
          <w:hyperlink w:anchor="_Toc183777356" w:history="1">
            <w:r w:rsidR="00A22898" w:rsidRPr="00A134A7">
              <w:rPr>
                <w:rStyle w:val="Hyperlink"/>
                <w:rFonts w:cs="Arial"/>
                <w:lang w:val="en-AU"/>
              </w:rPr>
              <w:t>2.2</w:t>
            </w:r>
            <w:r w:rsidR="00A22898" w:rsidRPr="00A134A7">
              <w:rPr>
                <w:rFonts w:cs="Arial"/>
                <w:kern w:val="2"/>
                <w:sz w:val="22"/>
                <w:szCs w:val="22"/>
                <w:lang w:val="en-AU"/>
                <w14:ligatures w14:val="standardContextual"/>
              </w:rPr>
              <w:tab/>
            </w:r>
            <w:r w:rsidR="00A22898" w:rsidRPr="00A134A7">
              <w:rPr>
                <w:rStyle w:val="Hyperlink"/>
                <w:rFonts w:cs="Arial"/>
                <w:lang w:val="en-AU"/>
              </w:rPr>
              <w:t>Revenue collected</w:t>
            </w:r>
            <w:r w:rsidR="00A22898" w:rsidRPr="00A134A7">
              <w:rPr>
                <w:rFonts w:cs="Arial"/>
                <w:webHidden/>
                <w:lang w:val="en-AU"/>
              </w:rPr>
              <w:tab/>
            </w:r>
            <w:r w:rsidR="00A22898" w:rsidRPr="00A134A7">
              <w:rPr>
                <w:rFonts w:cs="Arial"/>
                <w:webHidden/>
                <w:lang w:val="en-AU"/>
              </w:rPr>
              <w:fldChar w:fldCharType="begin"/>
            </w:r>
            <w:r w:rsidR="00A22898" w:rsidRPr="00A134A7">
              <w:rPr>
                <w:rFonts w:cs="Arial"/>
                <w:webHidden/>
                <w:lang w:val="en-AU"/>
              </w:rPr>
              <w:instrText xml:space="preserve"> PAGEREF _Toc183777356 \h </w:instrText>
            </w:r>
            <w:r w:rsidR="00A22898" w:rsidRPr="00A134A7">
              <w:rPr>
                <w:rFonts w:cs="Arial"/>
                <w:webHidden/>
                <w:lang w:val="en-AU"/>
              </w:rPr>
            </w:r>
            <w:r w:rsidR="00A22898" w:rsidRPr="00A134A7">
              <w:rPr>
                <w:rFonts w:cs="Arial"/>
                <w:webHidden/>
                <w:lang w:val="en-AU"/>
              </w:rPr>
              <w:fldChar w:fldCharType="separate"/>
            </w:r>
            <w:r w:rsidR="003870A0">
              <w:rPr>
                <w:rFonts w:cs="Arial"/>
                <w:noProof/>
                <w:webHidden/>
                <w:lang w:val="en-AU"/>
              </w:rPr>
              <w:t>5</w:t>
            </w:r>
            <w:r w:rsidR="00A22898" w:rsidRPr="00A134A7">
              <w:rPr>
                <w:rFonts w:cs="Arial"/>
                <w:webHidden/>
                <w:lang w:val="en-AU"/>
              </w:rPr>
              <w:fldChar w:fldCharType="end"/>
            </w:r>
          </w:hyperlink>
        </w:p>
        <w:p w14:paraId="65997BBA" w14:textId="260056F3" w:rsidR="00A22898" w:rsidRPr="00A134A7" w:rsidRDefault="00000000">
          <w:pPr>
            <w:pStyle w:val="TOC2"/>
            <w:rPr>
              <w:rFonts w:cs="Arial"/>
              <w:kern w:val="2"/>
              <w:sz w:val="22"/>
              <w:szCs w:val="22"/>
              <w:lang w:val="en-AU"/>
              <w14:ligatures w14:val="standardContextual"/>
            </w:rPr>
          </w:pPr>
          <w:hyperlink w:anchor="_Toc183777357" w:history="1">
            <w:r w:rsidR="00A22898" w:rsidRPr="00A134A7">
              <w:rPr>
                <w:rStyle w:val="Hyperlink"/>
                <w:rFonts w:cs="Arial"/>
                <w:lang w:val="en-AU"/>
              </w:rPr>
              <w:t>2.3</w:t>
            </w:r>
            <w:r w:rsidR="00A22898" w:rsidRPr="00A134A7">
              <w:rPr>
                <w:rFonts w:cs="Arial"/>
                <w:kern w:val="2"/>
                <w:sz w:val="22"/>
                <w:szCs w:val="22"/>
                <w:lang w:val="en-AU"/>
                <w14:ligatures w14:val="standardContextual"/>
              </w:rPr>
              <w:tab/>
            </w:r>
            <w:r w:rsidR="00A22898" w:rsidRPr="00A134A7">
              <w:rPr>
                <w:rStyle w:val="Hyperlink"/>
                <w:rFonts w:cs="Arial"/>
                <w:lang w:val="en-AU"/>
              </w:rPr>
              <w:t>Summary of EC5 investment</w:t>
            </w:r>
            <w:r w:rsidR="00A22898" w:rsidRPr="00A134A7">
              <w:rPr>
                <w:rFonts w:cs="Arial"/>
                <w:webHidden/>
                <w:lang w:val="en-AU"/>
              </w:rPr>
              <w:tab/>
            </w:r>
            <w:r w:rsidR="00A22898" w:rsidRPr="00A134A7">
              <w:rPr>
                <w:rFonts w:cs="Arial"/>
                <w:webHidden/>
                <w:lang w:val="en-AU"/>
              </w:rPr>
              <w:fldChar w:fldCharType="begin"/>
            </w:r>
            <w:r w:rsidR="00A22898" w:rsidRPr="00A134A7">
              <w:rPr>
                <w:rFonts w:cs="Arial"/>
                <w:webHidden/>
                <w:lang w:val="en-AU"/>
              </w:rPr>
              <w:instrText xml:space="preserve"> PAGEREF _Toc183777357 \h </w:instrText>
            </w:r>
            <w:r w:rsidR="00A22898" w:rsidRPr="00A134A7">
              <w:rPr>
                <w:rFonts w:cs="Arial"/>
                <w:webHidden/>
                <w:lang w:val="en-AU"/>
              </w:rPr>
            </w:r>
            <w:r w:rsidR="00A22898" w:rsidRPr="00A134A7">
              <w:rPr>
                <w:rFonts w:cs="Arial"/>
                <w:webHidden/>
                <w:lang w:val="en-AU"/>
              </w:rPr>
              <w:fldChar w:fldCharType="separate"/>
            </w:r>
            <w:r w:rsidR="003870A0">
              <w:rPr>
                <w:rFonts w:cs="Arial"/>
                <w:noProof/>
                <w:webHidden/>
                <w:lang w:val="en-AU"/>
              </w:rPr>
              <w:t>6</w:t>
            </w:r>
            <w:r w:rsidR="00A22898" w:rsidRPr="00A134A7">
              <w:rPr>
                <w:rFonts w:cs="Arial"/>
                <w:webHidden/>
                <w:lang w:val="en-AU"/>
              </w:rPr>
              <w:fldChar w:fldCharType="end"/>
            </w:r>
          </w:hyperlink>
        </w:p>
        <w:p w14:paraId="4C2C87BB" w14:textId="0B40D10A" w:rsidR="00A22898" w:rsidRPr="00A134A7" w:rsidRDefault="00000000">
          <w:pPr>
            <w:pStyle w:val="TOC2"/>
            <w:rPr>
              <w:rFonts w:cs="Arial"/>
              <w:kern w:val="2"/>
              <w:sz w:val="22"/>
              <w:szCs w:val="22"/>
              <w:lang w:val="en-AU"/>
              <w14:ligatures w14:val="standardContextual"/>
            </w:rPr>
          </w:pPr>
          <w:hyperlink w:anchor="_Toc183777358" w:history="1">
            <w:r w:rsidR="00A22898" w:rsidRPr="00A134A7">
              <w:rPr>
                <w:rStyle w:val="Hyperlink"/>
                <w:rFonts w:cs="Arial"/>
                <w:lang w:val="en-AU"/>
              </w:rPr>
              <w:t>2.4</w:t>
            </w:r>
            <w:r w:rsidR="00A22898" w:rsidRPr="00A134A7">
              <w:rPr>
                <w:rFonts w:cs="Arial"/>
                <w:kern w:val="2"/>
                <w:sz w:val="22"/>
                <w:szCs w:val="22"/>
                <w:lang w:val="en-AU"/>
                <w14:ligatures w14:val="standardContextual"/>
              </w:rPr>
              <w:tab/>
            </w:r>
            <w:r w:rsidR="00A22898" w:rsidRPr="00A134A7">
              <w:rPr>
                <w:rStyle w:val="Hyperlink"/>
                <w:rFonts w:cs="Arial"/>
                <w:lang w:val="en-AU"/>
              </w:rPr>
              <w:t>Summary of key outputs of EC5 investment</w:t>
            </w:r>
            <w:r w:rsidR="00A22898" w:rsidRPr="00A134A7">
              <w:rPr>
                <w:rFonts w:cs="Arial"/>
                <w:webHidden/>
                <w:lang w:val="en-AU"/>
              </w:rPr>
              <w:tab/>
            </w:r>
            <w:r w:rsidR="00A22898" w:rsidRPr="00A134A7">
              <w:rPr>
                <w:rFonts w:cs="Arial"/>
                <w:webHidden/>
                <w:lang w:val="en-AU"/>
              </w:rPr>
              <w:fldChar w:fldCharType="begin"/>
            </w:r>
            <w:r w:rsidR="00A22898" w:rsidRPr="00A134A7">
              <w:rPr>
                <w:rFonts w:cs="Arial"/>
                <w:webHidden/>
                <w:lang w:val="en-AU"/>
              </w:rPr>
              <w:instrText xml:space="preserve"> PAGEREF _Toc183777358 \h </w:instrText>
            </w:r>
            <w:r w:rsidR="00A22898" w:rsidRPr="00A134A7">
              <w:rPr>
                <w:rFonts w:cs="Arial"/>
                <w:webHidden/>
                <w:lang w:val="en-AU"/>
              </w:rPr>
            </w:r>
            <w:r w:rsidR="00A22898" w:rsidRPr="00A134A7">
              <w:rPr>
                <w:rFonts w:cs="Arial"/>
                <w:webHidden/>
                <w:lang w:val="en-AU"/>
              </w:rPr>
              <w:fldChar w:fldCharType="separate"/>
            </w:r>
            <w:r w:rsidR="003870A0">
              <w:rPr>
                <w:rFonts w:cs="Arial"/>
                <w:noProof/>
                <w:webHidden/>
                <w:lang w:val="en-AU"/>
              </w:rPr>
              <w:t>8</w:t>
            </w:r>
            <w:r w:rsidR="00A22898" w:rsidRPr="00A134A7">
              <w:rPr>
                <w:rFonts w:cs="Arial"/>
                <w:webHidden/>
                <w:lang w:val="en-AU"/>
              </w:rPr>
              <w:fldChar w:fldCharType="end"/>
            </w:r>
          </w:hyperlink>
        </w:p>
        <w:p w14:paraId="635FDFC2" w14:textId="2C0D8C0D" w:rsidR="00A22898" w:rsidRPr="00A134A7" w:rsidRDefault="00000000">
          <w:pPr>
            <w:pStyle w:val="TOC1"/>
            <w:rPr>
              <w:rFonts w:cs="Arial"/>
              <w:b w:val="0"/>
              <w:kern w:val="2"/>
              <w:sz w:val="22"/>
              <w:szCs w:val="22"/>
              <w14:ligatures w14:val="standardContextual"/>
            </w:rPr>
          </w:pPr>
          <w:hyperlink w:anchor="_Toc183777359" w:history="1">
            <w:r w:rsidR="00A22898" w:rsidRPr="00A134A7">
              <w:rPr>
                <w:rStyle w:val="Hyperlink"/>
                <w:rFonts w:cs="Arial"/>
              </w:rPr>
              <w:t>3.</w:t>
            </w:r>
            <w:r w:rsidR="00A22898" w:rsidRPr="00A134A7">
              <w:rPr>
                <w:rFonts w:cs="Arial"/>
                <w:b w:val="0"/>
                <w:kern w:val="2"/>
                <w:sz w:val="22"/>
                <w:szCs w:val="22"/>
                <w14:ligatures w14:val="standardContextual"/>
              </w:rPr>
              <w:tab/>
            </w:r>
            <w:r w:rsidR="00A22898" w:rsidRPr="00A134A7">
              <w:rPr>
                <w:rStyle w:val="Hyperlink"/>
                <w:rFonts w:cs="Arial"/>
              </w:rPr>
              <w:t>Evaluation framework</w:t>
            </w:r>
            <w:r w:rsidR="00A22898" w:rsidRPr="00A134A7">
              <w:rPr>
                <w:rFonts w:cs="Arial"/>
                <w:webHidden/>
              </w:rPr>
              <w:tab/>
            </w:r>
            <w:r w:rsidR="00A22898" w:rsidRPr="00A134A7">
              <w:rPr>
                <w:rFonts w:cs="Arial"/>
                <w:webHidden/>
              </w:rPr>
              <w:fldChar w:fldCharType="begin"/>
            </w:r>
            <w:r w:rsidR="00A22898" w:rsidRPr="00A134A7">
              <w:rPr>
                <w:rFonts w:cs="Arial"/>
                <w:webHidden/>
              </w:rPr>
              <w:instrText xml:space="preserve"> PAGEREF _Toc183777359 \h </w:instrText>
            </w:r>
            <w:r w:rsidR="00A22898" w:rsidRPr="00A134A7">
              <w:rPr>
                <w:rFonts w:cs="Arial"/>
                <w:webHidden/>
              </w:rPr>
            </w:r>
            <w:r w:rsidR="00A22898" w:rsidRPr="00A134A7">
              <w:rPr>
                <w:rFonts w:cs="Arial"/>
                <w:webHidden/>
              </w:rPr>
              <w:fldChar w:fldCharType="separate"/>
            </w:r>
            <w:r w:rsidR="003870A0">
              <w:rPr>
                <w:rFonts w:cs="Arial"/>
                <w:noProof/>
                <w:webHidden/>
              </w:rPr>
              <w:t>13</w:t>
            </w:r>
            <w:r w:rsidR="00A22898" w:rsidRPr="00A134A7">
              <w:rPr>
                <w:rFonts w:cs="Arial"/>
                <w:webHidden/>
              </w:rPr>
              <w:fldChar w:fldCharType="end"/>
            </w:r>
          </w:hyperlink>
        </w:p>
        <w:p w14:paraId="7017F29C" w14:textId="28516175" w:rsidR="00A22898" w:rsidRPr="00A134A7" w:rsidRDefault="00000000">
          <w:pPr>
            <w:pStyle w:val="TOC2"/>
            <w:rPr>
              <w:rFonts w:cs="Arial"/>
              <w:kern w:val="2"/>
              <w:sz w:val="22"/>
              <w:szCs w:val="22"/>
              <w:lang w:val="en-AU"/>
              <w14:ligatures w14:val="standardContextual"/>
            </w:rPr>
          </w:pPr>
          <w:hyperlink w:anchor="_Toc183777360" w:history="1">
            <w:r w:rsidR="00A22898" w:rsidRPr="00A134A7">
              <w:rPr>
                <w:rStyle w:val="Hyperlink"/>
                <w:rFonts w:cs="Arial"/>
                <w:lang w:val="en-AU"/>
              </w:rPr>
              <w:t>3.1</w:t>
            </w:r>
            <w:r w:rsidR="00A22898" w:rsidRPr="00A134A7">
              <w:rPr>
                <w:rFonts w:cs="Arial"/>
                <w:kern w:val="2"/>
                <w:sz w:val="22"/>
                <w:szCs w:val="22"/>
                <w:lang w:val="en-AU"/>
                <w14:ligatures w14:val="standardContextual"/>
              </w:rPr>
              <w:tab/>
            </w:r>
            <w:r w:rsidR="00A22898" w:rsidRPr="00A134A7">
              <w:rPr>
                <w:rStyle w:val="Hyperlink"/>
                <w:rFonts w:cs="Arial"/>
                <w:lang w:val="en-AU"/>
              </w:rPr>
              <w:t>Overview</w:t>
            </w:r>
            <w:r w:rsidR="00A22898" w:rsidRPr="00A134A7">
              <w:rPr>
                <w:rFonts w:cs="Arial"/>
                <w:webHidden/>
                <w:lang w:val="en-AU"/>
              </w:rPr>
              <w:tab/>
            </w:r>
            <w:r w:rsidR="00A22898" w:rsidRPr="00A134A7">
              <w:rPr>
                <w:rFonts w:cs="Arial"/>
                <w:webHidden/>
                <w:lang w:val="en-AU"/>
              </w:rPr>
              <w:fldChar w:fldCharType="begin"/>
            </w:r>
            <w:r w:rsidR="00A22898" w:rsidRPr="00A134A7">
              <w:rPr>
                <w:rFonts w:cs="Arial"/>
                <w:webHidden/>
                <w:lang w:val="en-AU"/>
              </w:rPr>
              <w:instrText xml:space="preserve"> PAGEREF _Toc183777360 \h </w:instrText>
            </w:r>
            <w:r w:rsidR="00A22898" w:rsidRPr="00A134A7">
              <w:rPr>
                <w:rFonts w:cs="Arial"/>
                <w:webHidden/>
                <w:lang w:val="en-AU"/>
              </w:rPr>
            </w:r>
            <w:r w:rsidR="00A22898" w:rsidRPr="00A134A7">
              <w:rPr>
                <w:rFonts w:cs="Arial"/>
                <w:webHidden/>
                <w:lang w:val="en-AU"/>
              </w:rPr>
              <w:fldChar w:fldCharType="separate"/>
            </w:r>
            <w:r w:rsidR="003870A0">
              <w:rPr>
                <w:rFonts w:cs="Arial"/>
                <w:noProof/>
                <w:webHidden/>
                <w:lang w:val="en-AU"/>
              </w:rPr>
              <w:t>13</w:t>
            </w:r>
            <w:r w:rsidR="00A22898" w:rsidRPr="00A134A7">
              <w:rPr>
                <w:rFonts w:cs="Arial"/>
                <w:webHidden/>
                <w:lang w:val="en-AU"/>
              </w:rPr>
              <w:fldChar w:fldCharType="end"/>
            </w:r>
          </w:hyperlink>
        </w:p>
        <w:p w14:paraId="61C34268" w14:textId="11B655B7" w:rsidR="00A22898" w:rsidRPr="00A134A7" w:rsidRDefault="00000000">
          <w:pPr>
            <w:pStyle w:val="TOC2"/>
            <w:rPr>
              <w:rFonts w:cs="Arial"/>
              <w:kern w:val="2"/>
              <w:sz w:val="22"/>
              <w:szCs w:val="22"/>
              <w:lang w:val="en-AU"/>
              <w14:ligatures w14:val="standardContextual"/>
            </w:rPr>
          </w:pPr>
          <w:hyperlink w:anchor="_Toc183777361" w:history="1">
            <w:r w:rsidR="00A22898" w:rsidRPr="00A134A7">
              <w:rPr>
                <w:rStyle w:val="Hyperlink"/>
                <w:rFonts w:cs="Arial"/>
                <w:lang w:val="en-AU"/>
              </w:rPr>
              <w:t>3.2</w:t>
            </w:r>
            <w:r w:rsidR="00A22898" w:rsidRPr="00A134A7">
              <w:rPr>
                <w:rFonts w:cs="Arial"/>
                <w:kern w:val="2"/>
                <w:sz w:val="22"/>
                <w:szCs w:val="22"/>
                <w:lang w:val="en-AU"/>
                <w14:ligatures w14:val="standardContextual"/>
              </w:rPr>
              <w:tab/>
            </w:r>
            <w:r w:rsidR="00A22898" w:rsidRPr="00A134A7">
              <w:rPr>
                <w:rStyle w:val="Hyperlink"/>
                <w:rFonts w:cs="Arial"/>
                <w:lang w:val="en-AU"/>
              </w:rPr>
              <w:t>Methods and approach</w:t>
            </w:r>
            <w:r w:rsidR="00A22898" w:rsidRPr="00A134A7">
              <w:rPr>
                <w:rFonts w:cs="Arial"/>
                <w:webHidden/>
                <w:lang w:val="en-AU"/>
              </w:rPr>
              <w:tab/>
            </w:r>
            <w:r w:rsidR="00A22898" w:rsidRPr="00A134A7">
              <w:rPr>
                <w:rFonts w:cs="Arial"/>
                <w:webHidden/>
                <w:lang w:val="en-AU"/>
              </w:rPr>
              <w:fldChar w:fldCharType="begin"/>
            </w:r>
            <w:r w:rsidR="00A22898" w:rsidRPr="00A134A7">
              <w:rPr>
                <w:rFonts w:cs="Arial"/>
                <w:webHidden/>
                <w:lang w:val="en-AU"/>
              </w:rPr>
              <w:instrText xml:space="preserve"> PAGEREF _Toc183777361 \h </w:instrText>
            </w:r>
            <w:r w:rsidR="00A22898" w:rsidRPr="00A134A7">
              <w:rPr>
                <w:rFonts w:cs="Arial"/>
                <w:webHidden/>
                <w:lang w:val="en-AU"/>
              </w:rPr>
            </w:r>
            <w:r w:rsidR="00A22898" w:rsidRPr="00A134A7">
              <w:rPr>
                <w:rFonts w:cs="Arial"/>
                <w:webHidden/>
                <w:lang w:val="en-AU"/>
              </w:rPr>
              <w:fldChar w:fldCharType="separate"/>
            </w:r>
            <w:r w:rsidR="003870A0">
              <w:rPr>
                <w:rFonts w:cs="Arial"/>
                <w:noProof/>
                <w:webHidden/>
                <w:lang w:val="en-AU"/>
              </w:rPr>
              <w:t>13</w:t>
            </w:r>
            <w:r w:rsidR="00A22898" w:rsidRPr="00A134A7">
              <w:rPr>
                <w:rFonts w:cs="Arial"/>
                <w:webHidden/>
                <w:lang w:val="en-AU"/>
              </w:rPr>
              <w:fldChar w:fldCharType="end"/>
            </w:r>
          </w:hyperlink>
        </w:p>
        <w:p w14:paraId="1AD773D0" w14:textId="5E3FBD8D" w:rsidR="00A22898" w:rsidRPr="00A134A7" w:rsidRDefault="00000000">
          <w:pPr>
            <w:pStyle w:val="TOC2"/>
            <w:rPr>
              <w:rFonts w:cs="Arial"/>
              <w:kern w:val="2"/>
              <w:sz w:val="22"/>
              <w:szCs w:val="22"/>
              <w:lang w:val="en-AU"/>
              <w14:ligatures w14:val="standardContextual"/>
            </w:rPr>
          </w:pPr>
          <w:hyperlink w:anchor="_Toc183777362" w:history="1">
            <w:r w:rsidR="00A22898" w:rsidRPr="00A134A7">
              <w:rPr>
                <w:rStyle w:val="Hyperlink"/>
                <w:rFonts w:cs="Arial"/>
                <w:lang w:val="en-AU"/>
              </w:rPr>
              <w:t>3.3</w:t>
            </w:r>
            <w:r w:rsidR="00A22898" w:rsidRPr="00A134A7">
              <w:rPr>
                <w:rFonts w:cs="Arial"/>
                <w:kern w:val="2"/>
                <w:sz w:val="22"/>
                <w:szCs w:val="22"/>
                <w:lang w:val="en-AU"/>
                <w14:ligatures w14:val="standardContextual"/>
              </w:rPr>
              <w:tab/>
            </w:r>
            <w:r w:rsidR="00A22898" w:rsidRPr="00A134A7">
              <w:rPr>
                <w:rStyle w:val="Hyperlink"/>
                <w:rFonts w:cs="Arial"/>
                <w:lang w:val="en-AU"/>
              </w:rPr>
              <w:t>Program logic</w:t>
            </w:r>
            <w:r w:rsidR="00A22898" w:rsidRPr="00A134A7">
              <w:rPr>
                <w:rFonts w:cs="Arial"/>
                <w:webHidden/>
                <w:lang w:val="en-AU"/>
              </w:rPr>
              <w:tab/>
            </w:r>
            <w:r w:rsidR="00A22898" w:rsidRPr="00A134A7">
              <w:rPr>
                <w:rFonts w:cs="Arial"/>
                <w:webHidden/>
                <w:lang w:val="en-AU"/>
              </w:rPr>
              <w:fldChar w:fldCharType="begin"/>
            </w:r>
            <w:r w:rsidR="00A22898" w:rsidRPr="00A134A7">
              <w:rPr>
                <w:rFonts w:cs="Arial"/>
                <w:webHidden/>
                <w:lang w:val="en-AU"/>
              </w:rPr>
              <w:instrText xml:space="preserve"> PAGEREF _Toc183777362 \h </w:instrText>
            </w:r>
            <w:r w:rsidR="00A22898" w:rsidRPr="00A134A7">
              <w:rPr>
                <w:rFonts w:cs="Arial"/>
                <w:webHidden/>
                <w:lang w:val="en-AU"/>
              </w:rPr>
            </w:r>
            <w:r w:rsidR="00A22898" w:rsidRPr="00A134A7">
              <w:rPr>
                <w:rFonts w:cs="Arial"/>
                <w:webHidden/>
                <w:lang w:val="en-AU"/>
              </w:rPr>
              <w:fldChar w:fldCharType="separate"/>
            </w:r>
            <w:r w:rsidR="003870A0">
              <w:rPr>
                <w:rFonts w:cs="Arial"/>
                <w:noProof/>
                <w:webHidden/>
                <w:lang w:val="en-AU"/>
              </w:rPr>
              <w:t>14</w:t>
            </w:r>
            <w:r w:rsidR="00A22898" w:rsidRPr="00A134A7">
              <w:rPr>
                <w:rFonts w:cs="Arial"/>
                <w:webHidden/>
                <w:lang w:val="en-AU"/>
              </w:rPr>
              <w:fldChar w:fldCharType="end"/>
            </w:r>
          </w:hyperlink>
        </w:p>
        <w:p w14:paraId="5682B8D8" w14:textId="178D99D3" w:rsidR="00A22898" w:rsidRPr="00A134A7" w:rsidRDefault="00000000">
          <w:pPr>
            <w:pStyle w:val="TOC2"/>
            <w:rPr>
              <w:rFonts w:cs="Arial"/>
              <w:kern w:val="2"/>
              <w:sz w:val="22"/>
              <w:szCs w:val="22"/>
              <w:lang w:val="en-AU"/>
              <w14:ligatures w14:val="standardContextual"/>
            </w:rPr>
          </w:pPr>
          <w:hyperlink w:anchor="_Toc183777363" w:history="1">
            <w:r w:rsidR="00A22898" w:rsidRPr="00A134A7">
              <w:rPr>
                <w:rStyle w:val="Hyperlink"/>
                <w:rFonts w:cs="Arial"/>
                <w:lang w:val="en-AU"/>
              </w:rPr>
              <w:t>3.4</w:t>
            </w:r>
            <w:r w:rsidR="00A22898" w:rsidRPr="00A134A7">
              <w:rPr>
                <w:rFonts w:cs="Arial"/>
                <w:kern w:val="2"/>
                <w:sz w:val="22"/>
                <w:szCs w:val="22"/>
                <w:lang w:val="en-AU"/>
                <w14:ligatures w14:val="standardContextual"/>
              </w:rPr>
              <w:tab/>
            </w:r>
            <w:r w:rsidR="00A22898" w:rsidRPr="00A134A7">
              <w:rPr>
                <w:rStyle w:val="Hyperlink"/>
                <w:rFonts w:cs="Arial"/>
                <w:lang w:val="en-AU"/>
              </w:rPr>
              <w:t>Evaluation domains and key evaluation questions (KEQs)</w:t>
            </w:r>
            <w:r w:rsidR="00A22898" w:rsidRPr="00A134A7">
              <w:rPr>
                <w:rFonts w:cs="Arial"/>
                <w:webHidden/>
                <w:lang w:val="en-AU"/>
              </w:rPr>
              <w:tab/>
            </w:r>
            <w:r w:rsidR="00A22898" w:rsidRPr="00A134A7">
              <w:rPr>
                <w:rFonts w:cs="Arial"/>
                <w:webHidden/>
                <w:lang w:val="en-AU"/>
              </w:rPr>
              <w:fldChar w:fldCharType="begin"/>
            </w:r>
            <w:r w:rsidR="00A22898" w:rsidRPr="00A134A7">
              <w:rPr>
                <w:rFonts w:cs="Arial"/>
                <w:webHidden/>
                <w:lang w:val="en-AU"/>
              </w:rPr>
              <w:instrText xml:space="preserve"> PAGEREF _Toc183777363 \h </w:instrText>
            </w:r>
            <w:r w:rsidR="00A22898" w:rsidRPr="00A134A7">
              <w:rPr>
                <w:rFonts w:cs="Arial"/>
                <w:webHidden/>
                <w:lang w:val="en-AU"/>
              </w:rPr>
            </w:r>
            <w:r w:rsidR="00A22898" w:rsidRPr="00A134A7">
              <w:rPr>
                <w:rFonts w:cs="Arial"/>
                <w:webHidden/>
                <w:lang w:val="en-AU"/>
              </w:rPr>
              <w:fldChar w:fldCharType="separate"/>
            </w:r>
            <w:r w:rsidR="003870A0">
              <w:rPr>
                <w:rFonts w:cs="Arial"/>
                <w:noProof/>
                <w:webHidden/>
                <w:lang w:val="en-AU"/>
              </w:rPr>
              <w:t>16</w:t>
            </w:r>
            <w:r w:rsidR="00A22898" w:rsidRPr="00A134A7">
              <w:rPr>
                <w:rFonts w:cs="Arial"/>
                <w:webHidden/>
                <w:lang w:val="en-AU"/>
              </w:rPr>
              <w:fldChar w:fldCharType="end"/>
            </w:r>
          </w:hyperlink>
        </w:p>
        <w:p w14:paraId="6FFA1ED7" w14:textId="41B83DC6" w:rsidR="00A22898" w:rsidRPr="00A134A7" w:rsidRDefault="00000000">
          <w:pPr>
            <w:pStyle w:val="TOC2"/>
            <w:rPr>
              <w:rFonts w:cs="Arial"/>
              <w:kern w:val="2"/>
              <w:sz w:val="22"/>
              <w:szCs w:val="22"/>
              <w:lang w:val="en-AU"/>
              <w14:ligatures w14:val="standardContextual"/>
            </w:rPr>
          </w:pPr>
          <w:hyperlink w:anchor="_Toc183777364" w:history="1">
            <w:r w:rsidR="00A22898" w:rsidRPr="00A134A7">
              <w:rPr>
                <w:rStyle w:val="Hyperlink"/>
                <w:rFonts w:cs="Arial"/>
                <w:lang w:val="en-AU"/>
              </w:rPr>
              <w:t>3.5</w:t>
            </w:r>
            <w:r w:rsidR="00A22898" w:rsidRPr="00A134A7">
              <w:rPr>
                <w:rFonts w:cs="Arial"/>
                <w:kern w:val="2"/>
                <w:sz w:val="22"/>
                <w:szCs w:val="22"/>
                <w:lang w:val="en-AU"/>
                <w14:ligatures w14:val="standardContextual"/>
              </w:rPr>
              <w:tab/>
            </w:r>
            <w:r w:rsidR="00A22898" w:rsidRPr="00A134A7">
              <w:rPr>
                <w:rStyle w:val="Hyperlink"/>
                <w:rFonts w:cs="Arial"/>
                <w:lang w:val="en-AU"/>
              </w:rPr>
              <w:t>Performance assessment scale</w:t>
            </w:r>
            <w:r w:rsidR="00A22898" w:rsidRPr="00A134A7">
              <w:rPr>
                <w:rFonts w:cs="Arial"/>
                <w:webHidden/>
                <w:lang w:val="en-AU"/>
              </w:rPr>
              <w:tab/>
            </w:r>
            <w:r w:rsidR="00A22898" w:rsidRPr="00A134A7">
              <w:rPr>
                <w:rFonts w:cs="Arial"/>
                <w:webHidden/>
                <w:lang w:val="en-AU"/>
              </w:rPr>
              <w:fldChar w:fldCharType="begin"/>
            </w:r>
            <w:r w:rsidR="00A22898" w:rsidRPr="00A134A7">
              <w:rPr>
                <w:rFonts w:cs="Arial"/>
                <w:webHidden/>
                <w:lang w:val="en-AU"/>
              </w:rPr>
              <w:instrText xml:space="preserve"> PAGEREF _Toc183777364 \h </w:instrText>
            </w:r>
            <w:r w:rsidR="00A22898" w:rsidRPr="00A134A7">
              <w:rPr>
                <w:rFonts w:cs="Arial"/>
                <w:webHidden/>
                <w:lang w:val="en-AU"/>
              </w:rPr>
            </w:r>
            <w:r w:rsidR="00A22898" w:rsidRPr="00A134A7">
              <w:rPr>
                <w:rFonts w:cs="Arial"/>
                <w:webHidden/>
                <w:lang w:val="en-AU"/>
              </w:rPr>
              <w:fldChar w:fldCharType="separate"/>
            </w:r>
            <w:r w:rsidR="003870A0">
              <w:rPr>
                <w:rFonts w:cs="Arial"/>
                <w:noProof/>
                <w:webHidden/>
                <w:lang w:val="en-AU"/>
              </w:rPr>
              <w:t>17</w:t>
            </w:r>
            <w:r w:rsidR="00A22898" w:rsidRPr="00A134A7">
              <w:rPr>
                <w:rFonts w:cs="Arial"/>
                <w:webHidden/>
                <w:lang w:val="en-AU"/>
              </w:rPr>
              <w:fldChar w:fldCharType="end"/>
            </w:r>
          </w:hyperlink>
        </w:p>
        <w:p w14:paraId="697E1F48" w14:textId="6D3EF3E3" w:rsidR="00A22898" w:rsidRPr="00A134A7" w:rsidRDefault="00000000">
          <w:pPr>
            <w:pStyle w:val="TOC1"/>
            <w:rPr>
              <w:rFonts w:cs="Arial"/>
              <w:b w:val="0"/>
              <w:kern w:val="2"/>
              <w:sz w:val="22"/>
              <w:szCs w:val="22"/>
              <w14:ligatures w14:val="standardContextual"/>
            </w:rPr>
          </w:pPr>
          <w:hyperlink w:anchor="_Toc183777365" w:history="1">
            <w:r w:rsidR="00A22898" w:rsidRPr="00A134A7">
              <w:rPr>
                <w:rStyle w:val="Hyperlink"/>
                <w:rFonts w:cs="Arial"/>
              </w:rPr>
              <w:t>4.</w:t>
            </w:r>
            <w:r w:rsidR="00A22898" w:rsidRPr="00A134A7">
              <w:rPr>
                <w:rFonts w:cs="Arial"/>
                <w:b w:val="0"/>
                <w:kern w:val="2"/>
                <w:sz w:val="22"/>
                <w:szCs w:val="22"/>
                <w14:ligatures w14:val="standardContextual"/>
              </w:rPr>
              <w:tab/>
            </w:r>
            <w:r w:rsidR="00A22898" w:rsidRPr="00A134A7">
              <w:rPr>
                <w:rStyle w:val="Hyperlink"/>
                <w:rFonts w:cs="Arial"/>
              </w:rPr>
              <w:t>Evaluation of impact</w:t>
            </w:r>
            <w:r w:rsidR="00A22898" w:rsidRPr="00A134A7">
              <w:rPr>
                <w:rFonts w:cs="Arial"/>
                <w:webHidden/>
              </w:rPr>
              <w:tab/>
            </w:r>
            <w:r w:rsidR="00A22898" w:rsidRPr="00A134A7">
              <w:rPr>
                <w:rFonts w:cs="Arial"/>
                <w:webHidden/>
              </w:rPr>
              <w:fldChar w:fldCharType="begin"/>
            </w:r>
            <w:r w:rsidR="00A22898" w:rsidRPr="00A134A7">
              <w:rPr>
                <w:rFonts w:cs="Arial"/>
                <w:webHidden/>
              </w:rPr>
              <w:instrText xml:space="preserve"> PAGEREF _Toc183777365 \h </w:instrText>
            </w:r>
            <w:r w:rsidR="00A22898" w:rsidRPr="00A134A7">
              <w:rPr>
                <w:rFonts w:cs="Arial"/>
                <w:webHidden/>
              </w:rPr>
            </w:r>
            <w:r w:rsidR="00A22898" w:rsidRPr="00A134A7">
              <w:rPr>
                <w:rFonts w:cs="Arial"/>
                <w:webHidden/>
              </w:rPr>
              <w:fldChar w:fldCharType="separate"/>
            </w:r>
            <w:r w:rsidR="003870A0">
              <w:rPr>
                <w:rFonts w:cs="Arial"/>
                <w:noProof/>
                <w:webHidden/>
              </w:rPr>
              <w:t>20</w:t>
            </w:r>
            <w:r w:rsidR="00A22898" w:rsidRPr="00A134A7">
              <w:rPr>
                <w:rFonts w:cs="Arial"/>
                <w:webHidden/>
              </w:rPr>
              <w:fldChar w:fldCharType="end"/>
            </w:r>
          </w:hyperlink>
        </w:p>
        <w:p w14:paraId="2682ECB1" w14:textId="0244F545" w:rsidR="00A22898" w:rsidRPr="00A134A7" w:rsidRDefault="00000000">
          <w:pPr>
            <w:pStyle w:val="TOC2"/>
            <w:rPr>
              <w:rFonts w:cs="Arial"/>
              <w:kern w:val="2"/>
              <w:sz w:val="22"/>
              <w:szCs w:val="22"/>
              <w:lang w:val="en-AU"/>
              <w14:ligatures w14:val="standardContextual"/>
            </w:rPr>
          </w:pPr>
          <w:hyperlink w:anchor="_Toc183777366" w:history="1">
            <w:r w:rsidR="00A22898" w:rsidRPr="00A134A7">
              <w:rPr>
                <w:rStyle w:val="Hyperlink"/>
                <w:rFonts w:cs="Arial"/>
                <w:lang w:val="en-AU"/>
              </w:rPr>
              <w:t>4.1</w:t>
            </w:r>
            <w:r w:rsidR="00A22898" w:rsidRPr="00A134A7">
              <w:rPr>
                <w:rFonts w:cs="Arial"/>
                <w:kern w:val="2"/>
                <w:sz w:val="22"/>
                <w:szCs w:val="22"/>
                <w:lang w:val="en-AU"/>
                <w14:ligatures w14:val="standardContextual"/>
              </w:rPr>
              <w:tab/>
            </w:r>
            <w:r w:rsidR="00A22898" w:rsidRPr="00A134A7">
              <w:rPr>
                <w:rStyle w:val="Hyperlink"/>
                <w:rFonts w:cs="Arial"/>
                <w:lang w:val="en-AU"/>
              </w:rPr>
              <w:t>Overview</w:t>
            </w:r>
            <w:r w:rsidR="00A22898" w:rsidRPr="00A134A7">
              <w:rPr>
                <w:rFonts w:cs="Arial"/>
                <w:webHidden/>
                <w:lang w:val="en-AU"/>
              </w:rPr>
              <w:tab/>
            </w:r>
            <w:r w:rsidR="00A22898" w:rsidRPr="00A134A7">
              <w:rPr>
                <w:rFonts w:cs="Arial"/>
                <w:webHidden/>
                <w:lang w:val="en-AU"/>
              </w:rPr>
              <w:fldChar w:fldCharType="begin"/>
            </w:r>
            <w:r w:rsidR="00A22898" w:rsidRPr="00A134A7">
              <w:rPr>
                <w:rFonts w:cs="Arial"/>
                <w:webHidden/>
                <w:lang w:val="en-AU"/>
              </w:rPr>
              <w:instrText xml:space="preserve"> PAGEREF _Toc183777366 \h </w:instrText>
            </w:r>
            <w:r w:rsidR="00A22898" w:rsidRPr="00A134A7">
              <w:rPr>
                <w:rFonts w:cs="Arial"/>
                <w:webHidden/>
                <w:lang w:val="en-AU"/>
              </w:rPr>
            </w:r>
            <w:r w:rsidR="00A22898" w:rsidRPr="00A134A7">
              <w:rPr>
                <w:rFonts w:cs="Arial"/>
                <w:webHidden/>
                <w:lang w:val="en-AU"/>
              </w:rPr>
              <w:fldChar w:fldCharType="separate"/>
            </w:r>
            <w:r w:rsidR="003870A0">
              <w:rPr>
                <w:rFonts w:cs="Arial"/>
                <w:noProof/>
                <w:webHidden/>
                <w:lang w:val="en-AU"/>
              </w:rPr>
              <w:t>24</w:t>
            </w:r>
            <w:r w:rsidR="00A22898" w:rsidRPr="00A134A7">
              <w:rPr>
                <w:rFonts w:cs="Arial"/>
                <w:webHidden/>
                <w:lang w:val="en-AU"/>
              </w:rPr>
              <w:fldChar w:fldCharType="end"/>
            </w:r>
          </w:hyperlink>
        </w:p>
        <w:p w14:paraId="07BF0C7C" w14:textId="58FC10F0" w:rsidR="00A22898" w:rsidRPr="00A134A7" w:rsidRDefault="00000000">
          <w:pPr>
            <w:pStyle w:val="TOC2"/>
            <w:rPr>
              <w:rFonts w:cs="Arial"/>
              <w:kern w:val="2"/>
              <w:sz w:val="22"/>
              <w:szCs w:val="22"/>
              <w:lang w:val="en-AU"/>
              <w14:ligatures w14:val="standardContextual"/>
            </w:rPr>
          </w:pPr>
          <w:hyperlink w:anchor="_Toc183777367" w:history="1">
            <w:r w:rsidR="00A22898" w:rsidRPr="00A134A7">
              <w:rPr>
                <w:rStyle w:val="Hyperlink"/>
                <w:rFonts w:cs="Arial"/>
                <w:lang w:val="en-AU"/>
              </w:rPr>
              <w:t>4.2</w:t>
            </w:r>
            <w:r w:rsidR="00A22898" w:rsidRPr="00A134A7">
              <w:rPr>
                <w:rFonts w:cs="Arial"/>
                <w:kern w:val="2"/>
                <w:sz w:val="22"/>
                <w:szCs w:val="22"/>
                <w:lang w:val="en-AU"/>
                <w14:ligatures w14:val="standardContextual"/>
              </w:rPr>
              <w:tab/>
            </w:r>
            <w:r w:rsidR="00A22898" w:rsidRPr="00A134A7">
              <w:rPr>
                <w:rStyle w:val="Hyperlink"/>
                <w:rFonts w:cs="Arial"/>
                <w:lang w:val="en-AU"/>
              </w:rPr>
              <w:t>What progress has been made toward secure and resilient water systems?</w:t>
            </w:r>
            <w:r w:rsidR="00A22898" w:rsidRPr="00A134A7">
              <w:rPr>
                <w:rFonts w:cs="Arial"/>
                <w:webHidden/>
                <w:lang w:val="en-AU"/>
              </w:rPr>
              <w:tab/>
            </w:r>
            <w:r w:rsidR="00A22898" w:rsidRPr="00A134A7">
              <w:rPr>
                <w:rFonts w:cs="Arial"/>
                <w:webHidden/>
                <w:lang w:val="en-AU"/>
              </w:rPr>
              <w:fldChar w:fldCharType="begin"/>
            </w:r>
            <w:r w:rsidR="00A22898" w:rsidRPr="00A134A7">
              <w:rPr>
                <w:rFonts w:cs="Arial"/>
                <w:webHidden/>
                <w:lang w:val="en-AU"/>
              </w:rPr>
              <w:instrText xml:space="preserve"> PAGEREF _Toc183777367 \h </w:instrText>
            </w:r>
            <w:r w:rsidR="00A22898" w:rsidRPr="00A134A7">
              <w:rPr>
                <w:rFonts w:cs="Arial"/>
                <w:webHidden/>
                <w:lang w:val="en-AU"/>
              </w:rPr>
            </w:r>
            <w:r w:rsidR="00A22898" w:rsidRPr="00A134A7">
              <w:rPr>
                <w:rFonts w:cs="Arial"/>
                <w:webHidden/>
                <w:lang w:val="en-AU"/>
              </w:rPr>
              <w:fldChar w:fldCharType="separate"/>
            </w:r>
            <w:r w:rsidR="003870A0">
              <w:rPr>
                <w:rFonts w:cs="Arial"/>
                <w:noProof/>
                <w:webHidden/>
                <w:lang w:val="en-AU"/>
              </w:rPr>
              <w:t>24</w:t>
            </w:r>
            <w:r w:rsidR="00A22898" w:rsidRPr="00A134A7">
              <w:rPr>
                <w:rFonts w:cs="Arial"/>
                <w:webHidden/>
                <w:lang w:val="en-AU"/>
              </w:rPr>
              <w:fldChar w:fldCharType="end"/>
            </w:r>
          </w:hyperlink>
        </w:p>
        <w:p w14:paraId="474E9DC7" w14:textId="229F032A" w:rsidR="00A22898" w:rsidRPr="00A134A7" w:rsidRDefault="00000000">
          <w:pPr>
            <w:pStyle w:val="TOC2"/>
            <w:rPr>
              <w:rFonts w:cs="Arial"/>
              <w:kern w:val="2"/>
              <w:sz w:val="22"/>
              <w:szCs w:val="22"/>
              <w:lang w:val="en-AU"/>
              <w14:ligatures w14:val="standardContextual"/>
            </w:rPr>
          </w:pPr>
          <w:hyperlink w:anchor="_Toc183777368" w:history="1">
            <w:r w:rsidR="00A22898" w:rsidRPr="00A134A7">
              <w:rPr>
                <w:rStyle w:val="Hyperlink"/>
                <w:rFonts w:cs="Arial"/>
                <w:lang w:val="en-AU"/>
              </w:rPr>
              <w:t>4.3</w:t>
            </w:r>
            <w:r w:rsidR="00A22898" w:rsidRPr="00A134A7">
              <w:rPr>
                <w:rFonts w:cs="Arial"/>
                <w:kern w:val="2"/>
                <w:sz w:val="22"/>
                <w:szCs w:val="22"/>
                <w:lang w:val="en-AU"/>
                <w14:ligatures w14:val="standardContextual"/>
              </w:rPr>
              <w:tab/>
            </w:r>
            <w:r w:rsidR="00A22898" w:rsidRPr="00A134A7">
              <w:rPr>
                <w:rStyle w:val="Hyperlink"/>
                <w:rFonts w:cs="Arial"/>
                <w:lang w:val="en-AU"/>
              </w:rPr>
              <w:t>What progress has been made toward efficient water use?</w:t>
            </w:r>
            <w:r w:rsidR="00A22898" w:rsidRPr="00A134A7">
              <w:rPr>
                <w:rFonts w:cs="Arial"/>
                <w:webHidden/>
                <w:lang w:val="en-AU"/>
              </w:rPr>
              <w:tab/>
            </w:r>
            <w:r w:rsidR="00A22898" w:rsidRPr="00A134A7">
              <w:rPr>
                <w:rFonts w:cs="Arial"/>
                <w:webHidden/>
                <w:lang w:val="en-AU"/>
              </w:rPr>
              <w:fldChar w:fldCharType="begin"/>
            </w:r>
            <w:r w:rsidR="00A22898" w:rsidRPr="00A134A7">
              <w:rPr>
                <w:rFonts w:cs="Arial"/>
                <w:webHidden/>
                <w:lang w:val="en-AU"/>
              </w:rPr>
              <w:instrText xml:space="preserve"> PAGEREF _Toc183777368 \h </w:instrText>
            </w:r>
            <w:r w:rsidR="00A22898" w:rsidRPr="00A134A7">
              <w:rPr>
                <w:rFonts w:cs="Arial"/>
                <w:webHidden/>
                <w:lang w:val="en-AU"/>
              </w:rPr>
            </w:r>
            <w:r w:rsidR="00A22898" w:rsidRPr="00A134A7">
              <w:rPr>
                <w:rFonts w:cs="Arial"/>
                <w:webHidden/>
                <w:lang w:val="en-AU"/>
              </w:rPr>
              <w:fldChar w:fldCharType="separate"/>
            </w:r>
            <w:r w:rsidR="003870A0">
              <w:rPr>
                <w:rFonts w:cs="Arial"/>
                <w:noProof/>
                <w:webHidden/>
                <w:lang w:val="en-AU"/>
              </w:rPr>
              <w:t>27</w:t>
            </w:r>
            <w:r w:rsidR="00A22898" w:rsidRPr="00A134A7">
              <w:rPr>
                <w:rFonts w:cs="Arial"/>
                <w:webHidden/>
                <w:lang w:val="en-AU"/>
              </w:rPr>
              <w:fldChar w:fldCharType="end"/>
            </w:r>
          </w:hyperlink>
        </w:p>
        <w:p w14:paraId="2E07C5FE" w14:textId="13DF1E74" w:rsidR="00A22898" w:rsidRPr="00A134A7" w:rsidRDefault="00000000">
          <w:pPr>
            <w:pStyle w:val="TOC2"/>
            <w:rPr>
              <w:rFonts w:cs="Arial"/>
              <w:kern w:val="2"/>
              <w:sz w:val="22"/>
              <w:szCs w:val="22"/>
              <w:lang w:val="en-AU"/>
              <w14:ligatures w14:val="standardContextual"/>
            </w:rPr>
          </w:pPr>
          <w:hyperlink w:anchor="_Toc183777369" w:history="1">
            <w:r w:rsidR="00A22898" w:rsidRPr="00A134A7">
              <w:rPr>
                <w:rStyle w:val="Hyperlink"/>
                <w:rFonts w:cs="Arial"/>
                <w:lang w:val="en-AU"/>
              </w:rPr>
              <w:t>4.4</w:t>
            </w:r>
            <w:r w:rsidR="00A22898" w:rsidRPr="00A134A7">
              <w:rPr>
                <w:rFonts w:cs="Arial"/>
                <w:kern w:val="2"/>
                <w:sz w:val="22"/>
                <w:szCs w:val="22"/>
                <w:lang w:val="en-AU"/>
                <w14:ligatures w14:val="standardContextual"/>
              </w:rPr>
              <w:tab/>
            </w:r>
            <w:r w:rsidR="00A22898" w:rsidRPr="00A134A7">
              <w:rPr>
                <w:rStyle w:val="Hyperlink"/>
                <w:rFonts w:cs="Arial"/>
                <w:lang w:val="en-AU"/>
              </w:rPr>
              <w:t>How have risks to priority waterways and catchment health been reduced?</w:t>
            </w:r>
            <w:r w:rsidR="00A22898" w:rsidRPr="00A134A7">
              <w:rPr>
                <w:rFonts w:cs="Arial"/>
                <w:webHidden/>
                <w:lang w:val="en-AU"/>
              </w:rPr>
              <w:tab/>
            </w:r>
            <w:r w:rsidR="00A22898" w:rsidRPr="00A134A7">
              <w:rPr>
                <w:rFonts w:cs="Arial"/>
                <w:webHidden/>
                <w:lang w:val="en-AU"/>
              </w:rPr>
              <w:fldChar w:fldCharType="begin"/>
            </w:r>
            <w:r w:rsidR="00A22898" w:rsidRPr="00A134A7">
              <w:rPr>
                <w:rFonts w:cs="Arial"/>
                <w:webHidden/>
                <w:lang w:val="en-AU"/>
              </w:rPr>
              <w:instrText xml:space="preserve"> PAGEREF _Toc183777369 \h </w:instrText>
            </w:r>
            <w:r w:rsidR="00A22898" w:rsidRPr="00A134A7">
              <w:rPr>
                <w:rFonts w:cs="Arial"/>
                <w:webHidden/>
                <w:lang w:val="en-AU"/>
              </w:rPr>
            </w:r>
            <w:r w:rsidR="00A22898" w:rsidRPr="00A134A7">
              <w:rPr>
                <w:rFonts w:cs="Arial"/>
                <w:webHidden/>
                <w:lang w:val="en-AU"/>
              </w:rPr>
              <w:fldChar w:fldCharType="separate"/>
            </w:r>
            <w:r w:rsidR="003870A0">
              <w:rPr>
                <w:rFonts w:cs="Arial"/>
                <w:noProof/>
                <w:webHidden/>
                <w:lang w:val="en-AU"/>
              </w:rPr>
              <w:t>29</w:t>
            </w:r>
            <w:r w:rsidR="00A22898" w:rsidRPr="00A134A7">
              <w:rPr>
                <w:rFonts w:cs="Arial"/>
                <w:webHidden/>
                <w:lang w:val="en-AU"/>
              </w:rPr>
              <w:fldChar w:fldCharType="end"/>
            </w:r>
          </w:hyperlink>
        </w:p>
        <w:p w14:paraId="7B436DEC" w14:textId="24BAC916" w:rsidR="00A22898" w:rsidRPr="00A134A7" w:rsidRDefault="00000000">
          <w:pPr>
            <w:pStyle w:val="TOC2"/>
            <w:rPr>
              <w:rFonts w:cs="Arial"/>
              <w:kern w:val="2"/>
              <w:sz w:val="22"/>
              <w:szCs w:val="22"/>
              <w:lang w:val="en-AU"/>
              <w14:ligatures w14:val="standardContextual"/>
            </w:rPr>
          </w:pPr>
          <w:hyperlink w:anchor="_Toc183777370" w:history="1">
            <w:r w:rsidR="00A22898" w:rsidRPr="00A134A7">
              <w:rPr>
                <w:rStyle w:val="Hyperlink"/>
                <w:rFonts w:cs="Arial"/>
                <w:lang w:val="en-AU"/>
              </w:rPr>
              <w:t>4.5</w:t>
            </w:r>
            <w:r w:rsidR="00A22898" w:rsidRPr="00A134A7">
              <w:rPr>
                <w:rFonts w:cs="Arial"/>
                <w:kern w:val="2"/>
                <w:sz w:val="22"/>
                <w:szCs w:val="22"/>
                <w:lang w:val="en-AU"/>
                <w14:ligatures w14:val="standardContextual"/>
              </w:rPr>
              <w:tab/>
            </w:r>
            <w:r w:rsidR="00A22898" w:rsidRPr="00A134A7">
              <w:rPr>
                <w:rStyle w:val="Hyperlink"/>
                <w:rFonts w:cs="Arial"/>
                <w:lang w:val="en-AU"/>
              </w:rPr>
              <w:t>To what extent were Traditional Owner priorities furthered?</w:t>
            </w:r>
            <w:r w:rsidR="00A22898" w:rsidRPr="00A134A7">
              <w:rPr>
                <w:rFonts w:cs="Arial"/>
                <w:webHidden/>
                <w:lang w:val="en-AU"/>
              </w:rPr>
              <w:tab/>
            </w:r>
            <w:r w:rsidR="00A22898" w:rsidRPr="00A134A7">
              <w:rPr>
                <w:rFonts w:cs="Arial"/>
                <w:webHidden/>
                <w:lang w:val="en-AU"/>
              </w:rPr>
              <w:fldChar w:fldCharType="begin"/>
            </w:r>
            <w:r w:rsidR="00A22898" w:rsidRPr="00A134A7">
              <w:rPr>
                <w:rFonts w:cs="Arial"/>
                <w:webHidden/>
                <w:lang w:val="en-AU"/>
              </w:rPr>
              <w:instrText xml:space="preserve"> PAGEREF _Toc183777370 \h </w:instrText>
            </w:r>
            <w:r w:rsidR="00A22898" w:rsidRPr="00A134A7">
              <w:rPr>
                <w:rFonts w:cs="Arial"/>
                <w:webHidden/>
                <w:lang w:val="en-AU"/>
              </w:rPr>
            </w:r>
            <w:r w:rsidR="00A22898" w:rsidRPr="00A134A7">
              <w:rPr>
                <w:rFonts w:cs="Arial"/>
                <w:webHidden/>
                <w:lang w:val="en-AU"/>
              </w:rPr>
              <w:fldChar w:fldCharType="separate"/>
            </w:r>
            <w:r w:rsidR="003870A0">
              <w:rPr>
                <w:rFonts w:cs="Arial"/>
                <w:noProof/>
                <w:webHidden/>
                <w:lang w:val="en-AU"/>
              </w:rPr>
              <w:t>34</w:t>
            </w:r>
            <w:r w:rsidR="00A22898" w:rsidRPr="00A134A7">
              <w:rPr>
                <w:rFonts w:cs="Arial"/>
                <w:webHidden/>
                <w:lang w:val="en-AU"/>
              </w:rPr>
              <w:fldChar w:fldCharType="end"/>
            </w:r>
          </w:hyperlink>
        </w:p>
        <w:p w14:paraId="64DCEFF7" w14:textId="055C2FAE" w:rsidR="00A22898" w:rsidRPr="00A134A7" w:rsidRDefault="00000000">
          <w:pPr>
            <w:pStyle w:val="TOC2"/>
            <w:rPr>
              <w:rFonts w:cs="Arial"/>
              <w:kern w:val="2"/>
              <w:sz w:val="22"/>
              <w:szCs w:val="22"/>
              <w:lang w:val="en-AU"/>
              <w14:ligatures w14:val="standardContextual"/>
            </w:rPr>
          </w:pPr>
          <w:hyperlink w:anchor="_Toc183777371" w:history="1">
            <w:r w:rsidR="00A22898" w:rsidRPr="00A134A7">
              <w:rPr>
                <w:rStyle w:val="Hyperlink"/>
                <w:rFonts w:cs="Arial"/>
                <w:lang w:val="en-AU"/>
              </w:rPr>
              <w:t>4.6</w:t>
            </w:r>
            <w:r w:rsidR="00A22898" w:rsidRPr="00A134A7">
              <w:rPr>
                <w:rFonts w:cs="Arial"/>
                <w:kern w:val="2"/>
                <w:sz w:val="22"/>
                <w:szCs w:val="22"/>
                <w:lang w:val="en-AU"/>
                <w14:ligatures w14:val="standardContextual"/>
              </w:rPr>
              <w:tab/>
            </w:r>
            <w:r w:rsidR="00A22898" w:rsidRPr="00A134A7">
              <w:rPr>
                <w:rStyle w:val="Hyperlink"/>
                <w:rFonts w:cs="Arial"/>
                <w:lang w:val="en-AU"/>
              </w:rPr>
              <w:t>To what extent were social and community values incorporated into water management?</w:t>
            </w:r>
            <w:r w:rsidR="00A22898" w:rsidRPr="00A134A7">
              <w:rPr>
                <w:rFonts w:cs="Arial"/>
                <w:webHidden/>
                <w:lang w:val="en-AU"/>
              </w:rPr>
              <w:tab/>
            </w:r>
            <w:r w:rsidR="00A22898" w:rsidRPr="00A134A7">
              <w:rPr>
                <w:rFonts w:cs="Arial"/>
                <w:webHidden/>
                <w:lang w:val="en-AU"/>
              </w:rPr>
              <w:fldChar w:fldCharType="begin"/>
            </w:r>
            <w:r w:rsidR="00A22898" w:rsidRPr="00A134A7">
              <w:rPr>
                <w:rFonts w:cs="Arial"/>
                <w:webHidden/>
                <w:lang w:val="en-AU"/>
              </w:rPr>
              <w:instrText xml:space="preserve"> PAGEREF _Toc183777371 \h </w:instrText>
            </w:r>
            <w:r w:rsidR="00A22898" w:rsidRPr="00A134A7">
              <w:rPr>
                <w:rFonts w:cs="Arial"/>
                <w:webHidden/>
                <w:lang w:val="en-AU"/>
              </w:rPr>
            </w:r>
            <w:r w:rsidR="00A22898" w:rsidRPr="00A134A7">
              <w:rPr>
                <w:rFonts w:cs="Arial"/>
                <w:webHidden/>
                <w:lang w:val="en-AU"/>
              </w:rPr>
              <w:fldChar w:fldCharType="separate"/>
            </w:r>
            <w:r w:rsidR="003870A0">
              <w:rPr>
                <w:rFonts w:cs="Arial"/>
                <w:noProof/>
                <w:webHidden/>
                <w:lang w:val="en-AU"/>
              </w:rPr>
              <w:t>40</w:t>
            </w:r>
            <w:r w:rsidR="00A22898" w:rsidRPr="00A134A7">
              <w:rPr>
                <w:rFonts w:cs="Arial"/>
                <w:webHidden/>
                <w:lang w:val="en-AU"/>
              </w:rPr>
              <w:fldChar w:fldCharType="end"/>
            </w:r>
          </w:hyperlink>
        </w:p>
        <w:p w14:paraId="0AEED30A" w14:textId="10E2AD86" w:rsidR="00A22898" w:rsidRPr="00A134A7" w:rsidRDefault="00000000">
          <w:pPr>
            <w:pStyle w:val="TOC2"/>
            <w:rPr>
              <w:rFonts w:cs="Arial"/>
              <w:kern w:val="2"/>
              <w:sz w:val="22"/>
              <w:szCs w:val="22"/>
              <w:lang w:val="en-AU"/>
              <w14:ligatures w14:val="standardContextual"/>
            </w:rPr>
          </w:pPr>
          <w:hyperlink w:anchor="_Toc183777372" w:history="1">
            <w:r w:rsidR="00A22898" w:rsidRPr="00A134A7">
              <w:rPr>
                <w:rStyle w:val="Hyperlink"/>
                <w:rFonts w:cs="Arial"/>
                <w:lang w:val="en-AU"/>
              </w:rPr>
              <w:t>4.7</w:t>
            </w:r>
            <w:r w:rsidR="00A22898" w:rsidRPr="00A134A7">
              <w:rPr>
                <w:rFonts w:cs="Arial"/>
                <w:kern w:val="2"/>
                <w:sz w:val="22"/>
                <w:szCs w:val="22"/>
                <w:lang w:val="en-AU"/>
                <w14:ligatures w14:val="standardContextual"/>
              </w:rPr>
              <w:tab/>
            </w:r>
            <w:r w:rsidR="00A22898" w:rsidRPr="00A134A7">
              <w:rPr>
                <w:rStyle w:val="Hyperlink"/>
                <w:rFonts w:cs="Arial"/>
                <w:lang w:val="en-AU"/>
              </w:rPr>
              <w:t>To what extent was the effectiveness of water governance improved?</w:t>
            </w:r>
            <w:r w:rsidR="00A22898" w:rsidRPr="00A134A7">
              <w:rPr>
                <w:rFonts w:cs="Arial"/>
                <w:webHidden/>
                <w:lang w:val="en-AU"/>
              </w:rPr>
              <w:tab/>
            </w:r>
            <w:r w:rsidR="00A22898" w:rsidRPr="00A134A7">
              <w:rPr>
                <w:rFonts w:cs="Arial"/>
                <w:webHidden/>
                <w:lang w:val="en-AU"/>
              </w:rPr>
              <w:fldChar w:fldCharType="begin"/>
            </w:r>
            <w:r w:rsidR="00A22898" w:rsidRPr="00A134A7">
              <w:rPr>
                <w:rFonts w:cs="Arial"/>
                <w:webHidden/>
                <w:lang w:val="en-AU"/>
              </w:rPr>
              <w:instrText xml:space="preserve"> PAGEREF _Toc183777372 \h </w:instrText>
            </w:r>
            <w:r w:rsidR="00A22898" w:rsidRPr="00A134A7">
              <w:rPr>
                <w:rFonts w:cs="Arial"/>
                <w:webHidden/>
                <w:lang w:val="en-AU"/>
              </w:rPr>
            </w:r>
            <w:r w:rsidR="00A22898" w:rsidRPr="00A134A7">
              <w:rPr>
                <w:rFonts w:cs="Arial"/>
                <w:webHidden/>
                <w:lang w:val="en-AU"/>
              </w:rPr>
              <w:fldChar w:fldCharType="separate"/>
            </w:r>
            <w:r w:rsidR="003870A0">
              <w:rPr>
                <w:rFonts w:cs="Arial"/>
                <w:noProof/>
                <w:webHidden/>
                <w:lang w:val="en-AU"/>
              </w:rPr>
              <w:t>42</w:t>
            </w:r>
            <w:r w:rsidR="00A22898" w:rsidRPr="00A134A7">
              <w:rPr>
                <w:rFonts w:cs="Arial"/>
                <w:webHidden/>
                <w:lang w:val="en-AU"/>
              </w:rPr>
              <w:fldChar w:fldCharType="end"/>
            </w:r>
          </w:hyperlink>
        </w:p>
        <w:p w14:paraId="0722E73A" w14:textId="0338C361" w:rsidR="00A22898" w:rsidRPr="00A134A7" w:rsidRDefault="00000000">
          <w:pPr>
            <w:pStyle w:val="TOC2"/>
            <w:rPr>
              <w:rFonts w:cs="Arial"/>
              <w:kern w:val="2"/>
              <w:sz w:val="22"/>
              <w:szCs w:val="22"/>
              <w:lang w:val="en-AU"/>
              <w14:ligatures w14:val="standardContextual"/>
            </w:rPr>
          </w:pPr>
          <w:hyperlink w:anchor="_Toc183777373" w:history="1">
            <w:r w:rsidR="00A22898" w:rsidRPr="00A134A7">
              <w:rPr>
                <w:rStyle w:val="Hyperlink"/>
                <w:rFonts w:cs="Arial"/>
                <w:lang w:val="en-AU"/>
              </w:rPr>
              <w:t>4.8</w:t>
            </w:r>
            <w:r w:rsidR="00A22898" w:rsidRPr="00A134A7">
              <w:rPr>
                <w:rFonts w:cs="Arial"/>
                <w:kern w:val="2"/>
                <w:sz w:val="22"/>
                <w:szCs w:val="22"/>
                <w:lang w:val="en-AU"/>
                <w14:ligatures w14:val="standardContextual"/>
              </w:rPr>
              <w:tab/>
            </w:r>
            <w:r w:rsidR="00A22898" w:rsidRPr="00A134A7">
              <w:rPr>
                <w:rStyle w:val="Hyperlink"/>
                <w:rFonts w:cs="Arial"/>
                <w:lang w:val="en-AU"/>
              </w:rPr>
              <w:t>To what extent has ongoing, foundational work, supported other programs and improved data availability and decision-making?</w:t>
            </w:r>
            <w:r w:rsidR="00A22898" w:rsidRPr="00A134A7">
              <w:rPr>
                <w:rFonts w:cs="Arial"/>
                <w:webHidden/>
                <w:lang w:val="en-AU"/>
              </w:rPr>
              <w:tab/>
            </w:r>
            <w:r w:rsidR="00A22898" w:rsidRPr="00A134A7">
              <w:rPr>
                <w:rFonts w:cs="Arial"/>
                <w:webHidden/>
                <w:lang w:val="en-AU"/>
              </w:rPr>
              <w:fldChar w:fldCharType="begin"/>
            </w:r>
            <w:r w:rsidR="00A22898" w:rsidRPr="00A134A7">
              <w:rPr>
                <w:rFonts w:cs="Arial"/>
                <w:webHidden/>
                <w:lang w:val="en-AU"/>
              </w:rPr>
              <w:instrText xml:space="preserve"> PAGEREF _Toc183777373 \h </w:instrText>
            </w:r>
            <w:r w:rsidR="00A22898" w:rsidRPr="00A134A7">
              <w:rPr>
                <w:rFonts w:cs="Arial"/>
                <w:webHidden/>
                <w:lang w:val="en-AU"/>
              </w:rPr>
            </w:r>
            <w:r w:rsidR="00A22898" w:rsidRPr="00A134A7">
              <w:rPr>
                <w:rFonts w:cs="Arial"/>
                <w:webHidden/>
                <w:lang w:val="en-AU"/>
              </w:rPr>
              <w:fldChar w:fldCharType="separate"/>
            </w:r>
            <w:r w:rsidR="003870A0">
              <w:rPr>
                <w:rFonts w:cs="Arial"/>
                <w:noProof/>
                <w:webHidden/>
                <w:lang w:val="en-AU"/>
              </w:rPr>
              <w:t>44</w:t>
            </w:r>
            <w:r w:rsidR="00A22898" w:rsidRPr="00A134A7">
              <w:rPr>
                <w:rFonts w:cs="Arial"/>
                <w:webHidden/>
                <w:lang w:val="en-AU"/>
              </w:rPr>
              <w:fldChar w:fldCharType="end"/>
            </w:r>
          </w:hyperlink>
        </w:p>
        <w:p w14:paraId="610D3F36" w14:textId="6A7A70CB" w:rsidR="00A22898" w:rsidRPr="00A134A7" w:rsidRDefault="00000000">
          <w:pPr>
            <w:pStyle w:val="TOC2"/>
            <w:rPr>
              <w:rFonts w:cs="Arial"/>
              <w:kern w:val="2"/>
              <w:sz w:val="22"/>
              <w:szCs w:val="22"/>
              <w:lang w:val="en-AU"/>
              <w14:ligatures w14:val="standardContextual"/>
            </w:rPr>
          </w:pPr>
          <w:hyperlink w:anchor="_Toc183777374" w:history="1">
            <w:r w:rsidR="00A22898" w:rsidRPr="00A134A7">
              <w:rPr>
                <w:rStyle w:val="Hyperlink"/>
                <w:rFonts w:cs="Arial"/>
                <w:lang w:val="en-AU"/>
              </w:rPr>
              <w:t>4.9</w:t>
            </w:r>
            <w:r w:rsidR="00A22898" w:rsidRPr="00A134A7">
              <w:rPr>
                <w:rFonts w:cs="Arial"/>
                <w:kern w:val="2"/>
                <w:sz w:val="22"/>
                <w:szCs w:val="22"/>
                <w:lang w:val="en-AU"/>
                <w14:ligatures w14:val="standardContextual"/>
              </w:rPr>
              <w:tab/>
            </w:r>
            <w:r w:rsidR="00A22898" w:rsidRPr="00A134A7">
              <w:rPr>
                <w:rStyle w:val="Hyperlink"/>
                <w:rFonts w:cs="Arial"/>
                <w:lang w:val="en-AU"/>
              </w:rPr>
              <w:t>Unintended outcomes</w:t>
            </w:r>
            <w:r w:rsidR="00A22898" w:rsidRPr="00A134A7">
              <w:rPr>
                <w:rFonts w:cs="Arial"/>
                <w:webHidden/>
                <w:lang w:val="en-AU"/>
              </w:rPr>
              <w:tab/>
            </w:r>
            <w:r w:rsidR="00A22898" w:rsidRPr="00A134A7">
              <w:rPr>
                <w:rFonts w:cs="Arial"/>
                <w:webHidden/>
                <w:lang w:val="en-AU"/>
              </w:rPr>
              <w:fldChar w:fldCharType="begin"/>
            </w:r>
            <w:r w:rsidR="00A22898" w:rsidRPr="00A134A7">
              <w:rPr>
                <w:rFonts w:cs="Arial"/>
                <w:webHidden/>
                <w:lang w:val="en-AU"/>
              </w:rPr>
              <w:instrText xml:space="preserve"> PAGEREF _Toc183777374 \h </w:instrText>
            </w:r>
            <w:r w:rsidR="00A22898" w:rsidRPr="00A134A7">
              <w:rPr>
                <w:rFonts w:cs="Arial"/>
                <w:webHidden/>
                <w:lang w:val="en-AU"/>
              </w:rPr>
            </w:r>
            <w:r w:rsidR="00A22898" w:rsidRPr="00A134A7">
              <w:rPr>
                <w:rFonts w:cs="Arial"/>
                <w:webHidden/>
                <w:lang w:val="en-AU"/>
              </w:rPr>
              <w:fldChar w:fldCharType="separate"/>
            </w:r>
            <w:r w:rsidR="003870A0">
              <w:rPr>
                <w:rFonts w:cs="Arial"/>
                <w:noProof/>
                <w:webHidden/>
                <w:lang w:val="en-AU"/>
              </w:rPr>
              <w:t>46</w:t>
            </w:r>
            <w:r w:rsidR="00A22898" w:rsidRPr="00A134A7">
              <w:rPr>
                <w:rFonts w:cs="Arial"/>
                <w:webHidden/>
                <w:lang w:val="en-AU"/>
              </w:rPr>
              <w:fldChar w:fldCharType="end"/>
            </w:r>
          </w:hyperlink>
        </w:p>
        <w:p w14:paraId="543EDBB9" w14:textId="7663DC38" w:rsidR="00A22898" w:rsidRPr="00A134A7" w:rsidRDefault="00000000">
          <w:pPr>
            <w:pStyle w:val="TOC1"/>
            <w:rPr>
              <w:rFonts w:cs="Arial"/>
              <w:b w:val="0"/>
              <w:kern w:val="2"/>
              <w:sz w:val="22"/>
              <w:szCs w:val="22"/>
              <w14:ligatures w14:val="standardContextual"/>
            </w:rPr>
          </w:pPr>
          <w:hyperlink w:anchor="_Toc183777375" w:history="1">
            <w:r w:rsidR="00A22898" w:rsidRPr="00A134A7">
              <w:rPr>
                <w:rStyle w:val="Hyperlink"/>
                <w:rFonts w:cs="Arial"/>
              </w:rPr>
              <w:t>5.</w:t>
            </w:r>
            <w:r w:rsidR="00A22898" w:rsidRPr="00A134A7">
              <w:rPr>
                <w:rFonts w:cs="Arial"/>
                <w:b w:val="0"/>
                <w:kern w:val="2"/>
                <w:sz w:val="22"/>
                <w:szCs w:val="22"/>
                <w14:ligatures w14:val="standardContextual"/>
              </w:rPr>
              <w:tab/>
            </w:r>
            <w:r w:rsidR="00A22898" w:rsidRPr="00A134A7">
              <w:rPr>
                <w:rStyle w:val="Hyperlink"/>
                <w:rFonts w:cs="Arial"/>
              </w:rPr>
              <w:t>Evaluation of effectiveness</w:t>
            </w:r>
            <w:r w:rsidR="00A22898" w:rsidRPr="00A134A7">
              <w:rPr>
                <w:rFonts w:cs="Arial"/>
                <w:webHidden/>
              </w:rPr>
              <w:tab/>
            </w:r>
            <w:r w:rsidR="00A22898" w:rsidRPr="00A134A7">
              <w:rPr>
                <w:rFonts w:cs="Arial"/>
                <w:webHidden/>
              </w:rPr>
              <w:fldChar w:fldCharType="begin"/>
            </w:r>
            <w:r w:rsidR="00A22898" w:rsidRPr="00A134A7">
              <w:rPr>
                <w:rFonts w:cs="Arial"/>
                <w:webHidden/>
              </w:rPr>
              <w:instrText xml:space="preserve"> PAGEREF _Toc183777375 \h </w:instrText>
            </w:r>
            <w:r w:rsidR="00A22898" w:rsidRPr="00A134A7">
              <w:rPr>
                <w:rFonts w:cs="Arial"/>
                <w:webHidden/>
              </w:rPr>
            </w:r>
            <w:r w:rsidR="00A22898" w:rsidRPr="00A134A7">
              <w:rPr>
                <w:rFonts w:cs="Arial"/>
                <w:webHidden/>
              </w:rPr>
              <w:fldChar w:fldCharType="separate"/>
            </w:r>
            <w:r w:rsidR="003870A0">
              <w:rPr>
                <w:rFonts w:cs="Arial"/>
                <w:noProof/>
                <w:webHidden/>
              </w:rPr>
              <w:t>49</w:t>
            </w:r>
            <w:r w:rsidR="00A22898" w:rsidRPr="00A134A7">
              <w:rPr>
                <w:rFonts w:cs="Arial"/>
                <w:webHidden/>
              </w:rPr>
              <w:fldChar w:fldCharType="end"/>
            </w:r>
          </w:hyperlink>
        </w:p>
        <w:p w14:paraId="0A8031A2" w14:textId="701A2209" w:rsidR="00A22898" w:rsidRPr="00A134A7" w:rsidRDefault="00000000">
          <w:pPr>
            <w:pStyle w:val="TOC2"/>
            <w:rPr>
              <w:rFonts w:cs="Arial"/>
              <w:kern w:val="2"/>
              <w:sz w:val="22"/>
              <w:szCs w:val="22"/>
              <w:lang w:val="en-AU"/>
              <w14:ligatures w14:val="standardContextual"/>
            </w:rPr>
          </w:pPr>
          <w:hyperlink w:anchor="_Toc183777376" w:history="1">
            <w:r w:rsidR="00A22898" w:rsidRPr="00A134A7">
              <w:rPr>
                <w:rStyle w:val="Hyperlink"/>
                <w:rFonts w:cs="Arial"/>
                <w:lang w:val="en-AU"/>
              </w:rPr>
              <w:t>5.1</w:t>
            </w:r>
            <w:r w:rsidR="00A22898" w:rsidRPr="00A134A7">
              <w:rPr>
                <w:rFonts w:cs="Arial"/>
                <w:kern w:val="2"/>
                <w:sz w:val="22"/>
                <w:szCs w:val="22"/>
                <w:lang w:val="en-AU"/>
                <w14:ligatures w14:val="standardContextual"/>
              </w:rPr>
              <w:tab/>
            </w:r>
            <w:r w:rsidR="00A22898" w:rsidRPr="00A134A7">
              <w:rPr>
                <w:rStyle w:val="Hyperlink"/>
                <w:rFonts w:cs="Arial"/>
                <w:lang w:val="en-AU"/>
              </w:rPr>
              <w:t>Overview</w:t>
            </w:r>
            <w:r w:rsidR="00A22898" w:rsidRPr="00A134A7">
              <w:rPr>
                <w:rFonts w:cs="Arial"/>
                <w:webHidden/>
                <w:lang w:val="en-AU"/>
              </w:rPr>
              <w:tab/>
            </w:r>
            <w:r w:rsidR="00A22898" w:rsidRPr="00A134A7">
              <w:rPr>
                <w:rFonts w:cs="Arial"/>
                <w:webHidden/>
                <w:lang w:val="en-AU"/>
              </w:rPr>
              <w:fldChar w:fldCharType="begin"/>
            </w:r>
            <w:r w:rsidR="00A22898" w:rsidRPr="00A134A7">
              <w:rPr>
                <w:rFonts w:cs="Arial"/>
                <w:webHidden/>
                <w:lang w:val="en-AU"/>
              </w:rPr>
              <w:instrText xml:space="preserve"> PAGEREF _Toc183777376 \h </w:instrText>
            </w:r>
            <w:r w:rsidR="00A22898" w:rsidRPr="00A134A7">
              <w:rPr>
                <w:rFonts w:cs="Arial"/>
                <w:webHidden/>
                <w:lang w:val="en-AU"/>
              </w:rPr>
            </w:r>
            <w:r w:rsidR="00A22898" w:rsidRPr="00A134A7">
              <w:rPr>
                <w:rFonts w:cs="Arial"/>
                <w:webHidden/>
                <w:lang w:val="en-AU"/>
              </w:rPr>
              <w:fldChar w:fldCharType="separate"/>
            </w:r>
            <w:r w:rsidR="003870A0">
              <w:rPr>
                <w:rFonts w:cs="Arial"/>
                <w:noProof/>
                <w:webHidden/>
                <w:lang w:val="en-AU"/>
              </w:rPr>
              <w:t>49</w:t>
            </w:r>
            <w:r w:rsidR="00A22898" w:rsidRPr="00A134A7">
              <w:rPr>
                <w:rFonts w:cs="Arial"/>
                <w:webHidden/>
                <w:lang w:val="en-AU"/>
              </w:rPr>
              <w:fldChar w:fldCharType="end"/>
            </w:r>
          </w:hyperlink>
        </w:p>
        <w:p w14:paraId="72FCDD21" w14:textId="3C584FA8" w:rsidR="00A22898" w:rsidRPr="00A134A7" w:rsidRDefault="00000000">
          <w:pPr>
            <w:pStyle w:val="TOC2"/>
            <w:rPr>
              <w:rFonts w:cs="Arial"/>
              <w:kern w:val="2"/>
              <w:sz w:val="22"/>
              <w:szCs w:val="22"/>
              <w:lang w:val="en-AU"/>
              <w14:ligatures w14:val="standardContextual"/>
            </w:rPr>
          </w:pPr>
          <w:hyperlink w:anchor="_Toc183777377" w:history="1">
            <w:r w:rsidR="00A22898" w:rsidRPr="00A134A7">
              <w:rPr>
                <w:rStyle w:val="Hyperlink"/>
                <w:rFonts w:cs="Arial"/>
                <w:lang w:val="en-AU"/>
              </w:rPr>
              <w:t>5.2</w:t>
            </w:r>
            <w:r w:rsidR="00A22898" w:rsidRPr="00A134A7">
              <w:rPr>
                <w:rFonts w:cs="Arial"/>
                <w:kern w:val="2"/>
                <w:sz w:val="22"/>
                <w:szCs w:val="22"/>
                <w:lang w:val="en-AU"/>
                <w14:ligatures w14:val="standardContextual"/>
              </w:rPr>
              <w:tab/>
            </w:r>
            <w:r w:rsidR="00A22898" w:rsidRPr="00A134A7">
              <w:rPr>
                <w:rStyle w:val="Hyperlink"/>
                <w:rFonts w:cs="Arial"/>
                <w:lang w:val="en-AU"/>
              </w:rPr>
              <w:t>What worked well and did not work well about the way EC5 was delivered?</w:t>
            </w:r>
            <w:r w:rsidR="00A22898" w:rsidRPr="00A134A7">
              <w:rPr>
                <w:rFonts w:cs="Arial"/>
                <w:webHidden/>
                <w:lang w:val="en-AU"/>
              </w:rPr>
              <w:tab/>
            </w:r>
            <w:r w:rsidR="00A22898" w:rsidRPr="00A134A7">
              <w:rPr>
                <w:rFonts w:cs="Arial"/>
                <w:webHidden/>
                <w:lang w:val="en-AU"/>
              </w:rPr>
              <w:fldChar w:fldCharType="begin"/>
            </w:r>
            <w:r w:rsidR="00A22898" w:rsidRPr="00A134A7">
              <w:rPr>
                <w:rFonts w:cs="Arial"/>
                <w:webHidden/>
                <w:lang w:val="en-AU"/>
              </w:rPr>
              <w:instrText xml:space="preserve"> PAGEREF _Toc183777377 \h </w:instrText>
            </w:r>
            <w:r w:rsidR="00A22898" w:rsidRPr="00A134A7">
              <w:rPr>
                <w:rFonts w:cs="Arial"/>
                <w:webHidden/>
                <w:lang w:val="en-AU"/>
              </w:rPr>
            </w:r>
            <w:r w:rsidR="00A22898" w:rsidRPr="00A134A7">
              <w:rPr>
                <w:rFonts w:cs="Arial"/>
                <w:webHidden/>
                <w:lang w:val="en-AU"/>
              </w:rPr>
              <w:fldChar w:fldCharType="separate"/>
            </w:r>
            <w:r w:rsidR="003870A0">
              <w:rPr>
                <w:rFonts w:cs="Arial"/>
                <w:noProof/>
                <w:webHidden/>
                <w:lang w:val="en-AU"/>
              </w:rPr>
              <w:t>50</w:t>
            </w:r>
            <w:r w:rsidR="00A22898" w:rsidRPr="00A134A7">
              <w:rPr>
                <w:rFonts w:cs="Arial"/>
                <w:webHidden/>
                <w:lang w:val="en-AU"/>
              </w:rPr>
              <w:fldChar w:fldCharType="end"/>
            </w:r>
          </w:hyperlink>
        </w:p>
        <w:p w14:paraId="69BC2D8D" w14:textId="1F15EE02" w:rsidR="00A22898" w:rsidRPr="00A134A7" w:rsidRDefault="00000000">
          <w:pPr>
            <w:pStyle w:val="TOC1"/>
            <w:rPr>
              <w:rFonts w:cs="Arial"/>
              <w:b w:val="0"/>
              <w:kern w:val="2"/>
              <w:sz w:val="22"/>
              <w:szCs w:val="22"/>
              <w14:ligatures w14:val="standardContextual"/>
            </w:rPr>
          </w:pPr>
          <w:hyperlink w:anchor="_Toc183777378" w:history="1">
            <w:r w:rsidR="00A22898" w:rsidRPr="00A134A7">
              <w:rPr>
                <w:rStyle w:val="Hyperlink"/>
                <w:rFonts w:cs="Arial"/>
              </w:rPr>
              <w:t>6.</w:t>
            </w:r>
            <w:r w:rsidR="00A22898" w:rsidRPr="00A134A7">
              <w:rPr>
                <w:rFonts w:cs="Arial"/>
                <w:b w:val="0"/>
                <w:kern w:val="2"/>
                <w:sz w:val="22"/>
                <w:szCs w:val="22"/>
                <w14:ligatures w14:val="standardContextual"/>
              </w:rPr>
              <w:tab/>
            </w:r>
            <w:r w:rsidR="00A22898" w:rsidRPr="00A134A7">
              <w:rPr>
                <w:rStyle w:val="Hyperlink"/>
                <w:rFonts w:cs="Arial"/>
              </w:rPr>
              <w:t>Evaluation of appropriateness</w:t>
            </w:r>
            <w:r w:rsidR="00A22898" w:rsidRPr="00A134A7">
              <w:rPr>
                <w:rFonts w:cs="Arial"/>
                <w:webHidden/>
              </w:rPr>
              <w:tab/>
            </w:r>
            <w:r w:rsidR="00A22898" w:rsidRPr="00A134A7">
              <w:rPr>
                <w:rFonts w:cs="Arial"/>
                <w:webHidden/>
              </w:rPr>
              <w:fldChar w:fldCharType="begin"/>
            </w:r>
            <w:r w:rsidR="00A22898" w:rsidRPr="00A134A7">
              <w:rPr>
                <w:rFonts w:cs="Arial"/>
                <w:webHidden/>
              </w:rPr>
              <w:instrText xml:space="preserve"> PAGEREF _Toc183777378 \h </w:instrText>
            </w:r>
            <w:r w:rsidR="00A22898" w:rsidRPr="00A134A7">
              <w:rPr>
                <w:rFonts w:cs="Arial"/>
                <w:webHidden/>
              </w:rPr>
            </w:r>
            <w:r w:rsidR="00A22898" w:rsidRPr="00A134A7">
              <w:rPr>
                <w:rFonts w:cs="Arial"/>
                <w:webHidden/>
              </w:rPr>
              <w:fldChar w:fldCharType="separate"/>
            </w:r>
            <w:r w:rsidR="003870A0">
              <w:rPr>
                <w:rFonts w:cs="Arial"/>
                <w:noProof/>
                <w:webHidden/>
              </w:rPr>
              <w:t>58</w:t>
            </w:r>
            <w:r w:rsidR="00A22898" w:rsidRPr="00A134A7">
              <w:rPr>
                <w:rFonts w:cs="Arial"/>
                <w:webHidden/>
              </w:rPr>
              <w:fldChar w:fldCharType="end"/>
            </w:r>
          </w:hyperlink>
        </w:p>
        <w:p w14:paraId="732C7015" w14:textId="0AAF788E" w:rsidR="00A22898" w:rsidRPr="00A134A7" w:rsidRDefault="00000000">
          <w:pPr>
            <w:pStyle w:val="TOC2"/>
            <w:rPr>
              <w:rFonts w:cs="Arial"/>
              <w:kern w:val="2"/>
              <w:sz w:val="22"/>
              <w:szCs w:val="22"/>
              <w:lang w:val="en-AU"/>
              <w14:ligatures w14:val="standardContextual"/>
            </w:rPr>
          </w:pPr>
          <w:hyperlink w:anchor="_Toc183777379" w:history="1">
            <w:r w:rsidR="00A22898" w:rsidRPr="00A134A7">
              <w:rPr>
                <w:rStyle w:val="Hyperlink"/>
                <w:rFonts w:cs="Arial"/>
                <w:lang w:val="en-AU"/>
              </w:rPr>
              <w:t>6.1</w:t>
            </w:r>
            <w:r w:rsidR="00A22898" w:rsidRPr="00A134A7">
              <w:rPr>
                <w:rFonts w:cs="Arial"/>
                <w:kern w:val="2"/>
                <w:sz w:val="22"/>
                <w:szCs w:val="22"/>
                <w:lang w:val="en-AU"/>
                <w14:ligatures w14:val="standardContextual"/>
              </w:rPr>
              <w:tab/>
            </w:r>
            <w:r w:rsidR="00A22898" w:rsidRPr="00A134A7">
              <w:rPr>
                <w:rStyle w:val="Hyperlink"/>
                <w:rFonts w:cs="Arial"/>
                <w:lang w:val="en-AU"/>
              </w:rPr>
              <w:t>Overview</w:t>
            </w:r>
            <w:r w:rsidR="00A22898" w:rsidRPr="00A134A7">
              <w:rPr>
                <w:rFonts w:cs="Arial"/>
                <w:webHidden/>
                <w:lang w:val="en-AU"/>
              </w:rPr>
              <w:tab/>
            </w:r>
            <w:r w:rsidR="00A22898" w:rsidRPr="00A134A7">
              <w:rPr>
                <w:rFonts w:cs="Arial"/>
                <w:webHidden/>
                <w:lang w:val="en-AU"/>
              </w:rPr>
              <w:fldChar w:fldCharType="begin"/>
            </w:r>
            <w:r w:rsidR="00A22898" w:rsidRPr="00A134A7">
              <w:rPr>
                <w:rFonts w:cs="Arial"/>
                <w:webHidden/>
                <w:lang w:val="en-AU"/>
              </w:rPr>
              <w:instrText xml:space="preserve"> PAGEREF _Toc183777379 \h </w:instrText>
            </w:r>
            <w:r w:rsidR="00A22898" w:rsidRPr="00A134A7">
              <w:rPr>
                <w:rFonts w:cs="Arial"/>
                <w:webHidden/>
                <w:lang w:val="en-AU"/>
              </w:rPr>
            </w:r>
            <w:r w:rsidR="00A22898" w:rsidRPr="00A134A7">
              <w:rPr>
                <w:rFonts w:cs="Arial"/>
                <w:webHidden/>
                <w:lang w:val="en-AU"/>
              </w:rPr>
              <w:fldChar w:fldCharType="separate"/>
            </w:r>
            <w:r w:rsidR="003870A0">
              <w:rPr>
                <w:rFonts w:cs="Arial"/>
                <w:noProof/>
                <w:webHidden/>
                <w:lang w:val="en-AU"/>
              </w:rPr>
              <w:t>58</w:t>
            </w:r>
            <w:r w:rsidR="00A22898" w:rsidRPr="00A134A7">
              <w:rPr>
                <w:rFonts w:cs="Arial"/>
                <w:webHidden/>
                <w:lang w:val="en-AU"/>
              </w:rPr>
              <w:fldChar w:fldCharType="end"/>
            </w:r>
          </w:hyperlink>
        </w:p>
        <w:p w14:paraId="0AD4CB1F" w14:textId="77828FF1" w:rsidR="00A22898" w:rsidRPr="00A134A7" w:rsidRDefault="00000000">
          <w:pPr>
            <w:pStyle w:val="TOC2"/>
            <w:rPr>
              <w:rFonts w:cs="Arial"/>
              <w:kern w:val="2"/>
              <w:sz w:val="22"/>
              <w:szCs w:val="22"/>
              <w:lang w:val="en-AU"/>
              <w14:ligatures w14:val="standardContextual"/>
            </w:rPr>
          </w:pPr>
          <w:hyperlink w:anchor="_Toc183777380" w:history="1">
            <w:r w:rsidR="00A22898" w:rsidRPr="00A134A7">
              <w:rPr>
                <w:rStyle w:val="Hyperlink"/>
                <w:rFonts w:cs="Arial"/>
                <w:lang w:val="en-AU"/>
              </w:rPr>
              <w:t>6.2</w:t>
            </w:r>
            <w:r w:rsidR="00A22898" w:rsidRPr="00A134A7">
              <w:rPr>
                <w:rFonts w:cs="Arial"/>
                <w:kern w:val="2"/>
                <w:sz w:val="22"/>
                <w:szCs w:val="22"/>
                <w:lang w:val="en-AU"/>
                <w14:ligatures w14:val="standardContextual"/>
              </w:rPr>
              <w:tab/>
            </w:r>
            <w:r w:rsidR="00A22898" w:rsidRPr="00A134A7">
              <w:rPr>
                <w:rStyle w:val="Hyperlink"/>
                <w:rFonts w:cs="Arial"/>
                <w:lang w:val="en-AU"/>
              </w:rPr>
              <w:t>To what extent was funding allocated in line with the legislated objectives of the EC and guided by key water management strategies?</w:t>
            </w:r>
            <w:r w:rsidR="00A22898" w:rsidRPr="00A134A7">
              <w:rPr>
                <w:rFonts w:cs="Arial"/>
                <w:webHidden/>
                <w:lang w:val="en-AU"/>
              </w:rPr>
              <w:tab/>
            </w:r>
            <w:r w:rsidR="00A22898" w:rsidRPr="00A134A7">
              <w:rPr>
                <w:rFonts w:cs="Arial"/>
                <w:webHidden/>
                <w:lang w:val="en-AU"/>
              </w:rPr>
              <w:fldChar w:fldCharType="begin"/>
            </w:r>
            <w:r w:rsidR="00A22898" w:rsidRPr="00A134A7">
              <w:rPr>
                <w:rFonts w:cs="Arial"/>
                <w:webHidden/>
                <w:lang w:val="en-AU"/>
              </w:rPr>
              <w:instrText xml:space="preserve"> PAGEREF _Toc183777380 \h </w:instrText>
            </w:r>
            <w:r w:rsidR="00A22898" w:rsidRPr="00A134A7">
              <w:rPr>
                <w:rFonts w:cs="Arial"/>
                <w:webHidden/>
                <w:lang w:val="en-AU"/>
              </w:rPr>
            </w:r>
            <w:r w:rsidR="00A22898" w:rsidRPr="00A134A7">
              <w:rPr>
                <w:rFonts w:cs="Arial"/>
                <w:webHidden/>
                <w:lang w:val="en-AU"/>
              </w:rPr>
              <w:fldChar w:fldCharType="separate"/>
            </w:r>
            <w:r w:rsidR="003870A0">
              <w:rPr>
                <w:rFonts w:cs="Arial"/>
                <w:noProof/>
                <w:webHidden/>
                <w:lang w:val="en-AU"/>
              </w:rPr>
              <w:t>58</w:t>
            </w:r>
            <w:r w:rsidR="00A22898" w:rsidRPr="00A134A7">
              <w:rPr>
                <w:rFonts w:cs="Arial"/>
                <w:webHidden/>
                <w:lang w:val="en-AU"/>
              </w:rPr>
              <w:fldChar w:fldCharType="end"/>
            </w:r>
          </w:hyperlink>
        </w:p>
        <w:p w14:paraId="2081108C" w14:textId="2D764FB1" w:rsidR="00A22898" w:rsidRPr="00A134A7" w:rsidRDefault="00000000">
          <w:pPr>
            <w:pStyle w:val="TOC2"/>
            <w:rPr>
              <w:rFonts w:cs="Arial"/>
              <w:kern w:val="2"/>
              <w:sz w:val="22"/>
              <w:szCs w:val="22"/>
              <w:lang w:val="en-AU"/>
              <w14:ligatures w14:val="standardContextual"/>
            </w:rPr>
          </w:pPr>
          <w:hyperlink w:anchor="_Toc183777381" w:history="1">
            <w:r w:rsidR="00A22898" w:rsidRPr="00A134A7">
              <w:rPr>
                <w:rStyle w:val="Hyperlink"/>
                <w:rFonts w:cs="Arial"/>
                <w:lang w:val="en-AU"/>
              </w:rPr>
              <w:t>6.3</w:t>
            </w:r>
            <w:r w:rsidR="00A22898" w:rsidRPr="00A134A7">
              <w:rPr>
                <w:rFonts w:cs="Arial"/>
                <w:kern w:val="2"/>
                <w:sz w:val="22"/>
                <w:szCs w:val="22"/>
                <w:lang w:val="en-AU"/>
                <w14:ligatures w14:val="standardContextual"/>
              </w:rPr>
              <w:tab/>
            </w:r>
            <w:r w:rsidR="00A22898" w:rsidRPr="00A134A7">
              <w:rPr>
                <w:rStyle w:val="Hyperlink"/>
                <w:rFonts w:cs="Arial"/>
                <w:lang w:val="en-AU"/>
              </w:rPr>
              <w:t>To what extent did EC funded programs use monitoring and evaluation data to improve management (adaptive management)?</w:t>
            </w:r>
            <w:r w:rsidR="00A22898" w:rsidRPr="00A134A7">
              <w:rPr>
                <w:rFonts w:cs="Arial"/>
                <w:webHidden/>
                <w:lang w:val="en-AU"/>
              </w:rPr>
              <w:tab/>
            </w:r>
            <w:r w:rsidR="00A22898" w:rsidRPr="00A134A7">
              <w:rPr>
                <w:rFonts w:cs="Arial"/>
                <w:webHidden/>
                <w:lang w:val="en-AU"/>
              </w:rPr>
              <w:fldChar w:fldCharType="begin"/>
            </w:r>
            <w:r w:rsidR="00A22898" w:rsidRPr="00A134A7">
              <w:rPr>
                <w:rFonts w:cs="Arial"/>
                <w:webHidden/>
                <w:lang w:val="en-AU"/>
              </w:rPr>
              <w:instrText xml:space="preserve"> PAGEREF _Toc183777381 \h </w:instrText>
            </w:r>
            <w:r w:rsidR="00A22898" w:rsidRPr="00A134A7">
              <w:rPr>
                <w:rFonts w:cs="Arial"/>
                <w:webHidden/>
                <w:lang w:val="en-AU"/>
              </w:rPr>
            </w:r>
            <w:r w:rsidR="00A22898" w:rsidRPr="00A134A7">
              <w:rPr>
                <w:rFonts w:cs="Arial"/>
                <w:webHidden/>
                <w:lang w:val="en-AU"/>
              </w:rPr>
              <w:fldChar w:fldCharType="separate"/>
            </w:r>
            <w:r w:rsidR="003870A0">
              <w:rPr>
                <w:rFonts w:cs="Arial"/>
                <w:noProof/>
                <w:webHidden/>
                <w:lang w:val="en-AU"/>
              </w:rPr>
              <w:t>61</w:t>
            </w:r>
            <w:r w:rsidR="00A22898" w:rsidRPr="00A134A7">
              <w:rPr>
                <w:rFonts w:cs="Arial"/>
                <w:webHidden/>
                <w:lang w:val="en-AU"/>
              </w:rPr>
              <w:fldChar w:fldCharType="end"/>
            </w:r>
          </w:hyperlink>
        </w:p>
        <w:p w14:paraId="12648BC0" w14:textId="4853663B" w:rsidR="00A22898" w:rsidRPr="00A134A7" w:rsidRDefault="00000000">
          <w:pPr>
            <w:pStyle w:val="TOC1"/>
            <w:rPr>
              <w:rFonts w:cs="Arial"/>
              <w:b w:val="0"/>
              <w:kern w:val="2"/>
              <w:sz w:val="22"/>
              <w:szCs w:val="22"/>
              <w14:ligatures w14:val="standardContextual"/>
            </w:rPr>
          </w:pPr>
          <w:hyperlink w:anchor="_Toc183777382" w:history="1">
            <w:r w:rsidR="00A22898" w:rsidRPr="00A134A7">
              <w:rPr>
                <w:rStyle w:val="Hyperlink"/>
                <w:rFonts w:cs="Arial"/>
              </w:rPr>
              <w:t>7.</w:t>
            </w:r>
            <w:r w:rsidR="00A22898" w:rsidRPr="00A134A7">
              <w:rPr>
                <w:rFonts w:cs="Arial"/>
                <w:b w:val="0"/>
                <w:kern w:val="2"/>
                <w:sz w:val="22"/>
                <w:szCs w:val="22"/>
                <w14:ligatures w14:val="standardContextual"/>
              </w:rPr>
              <w:tab/>
            </w:r>
            <w:r w:rsidR="00A22898" w:rsidRPr="00A134A7">
              <w:rPr>
                <w:rStyle w:val="Hyperlink"/>
                <w:rFonts w:cs="Arial"/>
              </w:rPr>
              <w:t>Evaluation of efficiency</w:t>
            </w:r>
            <w:r w:rsidR="00A22898" w:rsidRPr="00A134A7">
              <w:rPr>
                <w:rFonts w:cs="Arial"/>
                <w:webHidden/>
              </w:rPr>
              <w:tab/>
            </w:r>
            <w:r w:rsidR="00A22898" w:rsidRPr="00A134A7">
              <w:rPr>
                <w:rFonts w:cs="Arial"/>
                <w:webHidden/>
              </w:rPr>
              <w:fldChar w:fldCharType="begin"/>
            </w:r>
            <w:r w:rsidR="00A22898" w:rsidRPr="00A134A7">
              <w:rPr>
                <w:rFonts w:cs="Arial"/>
                <w:webHidden/>
              </w:rPr>
              <w:instrText xml:space="preserve"> PAGEREF _Toc183777382 \h </w:instrText>
            </w:r>
            <w:r w:rsidR="00A22898" w:rsidRPr="00A134A7">
              <w:rPr>
                <w:rFonts w:cs="Arial"/>
                <w:webHidden/>
              </w:rPr>
            </w:r>
            <w:r w:rsidR="00A22898" w:rsidRPr="00A134A7">
              <w:rPr>
                <w:rFonts w:cs="Arial"/>
                <w:webHidden/>
              </w:rPr>
              <w:fldChar w:fldCharType="separate"/>
            </w:r>
            <w:r w:rsidR="003870A0">
              <w:rPr>
                <w:rFonts w:cs="Arial"/>
                <w:noProof/>
                <w:webHidden/>
              </w:rPr>
              <w:t>63</w:t>
            </w:r>
            <w:r w:rsidR="00A22898" w:rsidRPr="00A134A7">
              <w:rPr>
                <w:rFonts w:cs="Arial"/>
                <w:webHidden/>
              </w:rPr>
              <w:fldChar w:fldCharType="end"/>
            </w:r>
          </w:hyperlink>
        </w:p>
        <w:p w14:paraId="365203C4" w14:textId="1DCBABD7" w:rsidR="00A22898" w:rsidRPr="00A134A7" w:rsidRDefault="00000000">
          <w:pPr>
            <w:pStyle w:val="TOC2"/>
            <w:rPr>
              <w:rFonts w:cs="Arial"/>
              <w:kern w:val="2"/>
              <w:sz w:val="22"/>
              <w:szCs w:val="22"/>
              <w:lang w:val="en-AU"/>
              <w14:ligatures w14:val="standardContextual"/>
            </w:rPr>
          </w:pPr>
          <w:hyperlink w:anchor="_Toc183777383" w:history="1">
            <w:r w:rsidR="00A22898" w:rsidRPr="00A134A7">
              <w:rPr>
                <w:rStyle w:val="Hyperlink"/>
                <w:rFonts w:cs="Arial"/>
                <w:lang w:val="en-AU"/>
              </w:rPr>
              <w:t>7.1</w:t>
            </w:r>
            <w:r w:rsidR="00A22898" w:rsidRPr="00A134A7">
              <w:rPr>
                <w:rFonts w:cs="Arial"/>
                <w:kern w:val="2"/>
                <w:sz w:val="22"/>
                <w:szCs w:val="22"/>
                <w:lang w:val="en-AU"/>
                <w14:ligatures w14:val="standardContextual"/>
              </w:rPr>
              <w:tab/>
            </w:r>
            <w:r w:rsidR="00A22898" w:rsidRPr="00A134A7">
              <w:rPr>
                <w:rStyle w:val="Hyperlink"/>
                <w:rFonts w:cs="Arial"/>
                <w:lang w:val="en-AU"/>
              </w:rPr>
              <w:t>Overview</w:t>
            </w:r>
            <w:r w:rsidR="00A22898" w:rsidRPr="00A134A7">
              <w:rPr>
                <w:rFonts w:cs="Arial"/>
                <w:webHidden/>
                <w:lang w:val="en-AU"/>
              </w:rPr>
              <w:tab/>
            </w:r>
            <w:r w:rsidR="00A22898" w:rsidRPr="00A134A7">
              <w:rPr>
                <w:rFonts w:cs="Arial"/>
                <w:webHidden/>
                <w:lang w:val="en-AU"/>
              </w:rPr>
              <w:fldChar w:fldCharType="begin"/>
            </w:r>
            <w:r w:rsidR="00A22898" w:rsidRPr="00A134A7">
              <w:rPr>
                <w:rFonts w:cs="Arial"/>
                <w:webHidden/>
                <w:lang w:val="en-AU"/>
              </w:rPr>
              <w:instrText xml:space="preserve"> PAGEREF _Toc183777383 \h </w:instrText>
            </w:r>
            <w:r w:rsidR="00A22898" w:rsidRPr="00A134A7">
              <w:rPr>
                <w:rFonts w:cs="Arial"/>
                <w:webHidden/>
                <w:lang w:val="en-AU"/>
              </w:rPr>
            </w:r>
            <w:r w:rsidR="00A22898" w:rsidRPr="00A134A7">
              <w:rPr>
                <w:rFonts w:cs="Arial"/>
                <w:webHidden/>
                <w:lang w:val="en-AU"/>
              </w:rPr>
              <w:fldChar w:fldCharType="separate"/>
            </w:r>
            <w:r w:rsidR="003870A0">
              <w:rPr>
                <w:rFonts w:cs="Arial"/>
                <w:noProof/>
                <w:webHidden/>
                <w:lang w:val="en-AU"/>
              </w:rPr>
              <w:t>63</w:t>
            </w:r>
            <w:r w:rsidR="00A22898" w:rsidRPr="00A134A7">
              <w:rPr>
                <w:rFonts w:cs="Arial"/>
                <w:webHidden/>
                <w:lang w:val="en-AU"/>
              </w:rPr>
              <w:fldChar w:fldCharType="end"/>
            </w:r>
          </w:hyperlink>
        </w:p>
        <w:p w14:paraId="036746D4" w14:textId="7E984F9D" w:rsidR="00A22898" w:rsidRPr="00A134A7" w:rsidRDefault="00000000">
          <w:pPr>
            <w:pStyle w:val="TOC2"/>
            <w:rPr>
              <w:rFonts w:cs="Arial"/>
              <w:kern w:val="2"/>
              <w:sz w:val="22"/>
              <w:szCs w:val="22"/>
              <w:lang w:val="en-AU"/>
              <w14:ligatures w14:val="standardContextual"/>
            </w:rPr>
          </w:pPr>
          <w:hyperlink w:anchor="_Toc183777384" w:history="1">
            <w:r w:rsidR="00A22898" w:rsidRPr="00A134A7">
              <w:rPr>
                <w:rStyle w:val="Hyperlink"/>
                <w:rFonts w:cs="Arial"/>
                <w:lang w:val="en-AU"/>
              </w:rPr>
              <w:t>7.2</w:t>
            </w:r>
            <w:r w:rsidR="00A22898" w:rsidRPr="00A134A7">
              <w:rPr>
                <w:rFonts w:cs="Arial"/>
                <w:kern w:val="2"/>
                <w:sz w:val="22"/>
                <w:szCs w:val="22"/>
                <w:lang w:val="en-AU"/>
                <w14:ligatures w14:val="standardContextual"/>
              </w:rPr>
              <w:tab/>
            </w:r>
            <w:r w:rsidR="00A22898" w:rsidRPr="00A134A7">
              <w:rPr>
                <w:rStyle w:val="Hyperlink"/>
                <w:rFonts w:cs="Arial"/>
                <w:lang w:val="en-AU"/>
              </w:rPr>
              <w:t>How has EC5 demonstrated efficiency through delivery?</w:t>
            </w:r>
            <w:r w:rsidR="00A22898" w:rsidRPr="00A134A7">
              <w:rPr>
                <w:rFonts w:cs="Arial"/>
                <w:webHidden/>
                <w:lang w:val="en-AU"/>
              </w:rPr>
              <w:tab/>
            </w:r>
            <w:r w:rsidR="00A22898" w:rsidRPr="00A134A7">
              <w:rPr>
                <w:rFonts w:cs="Arial"/>
                <w:webHidden/>
                <w:lang w:val="en-AU"/>
              </w:rPr>
              <w:fldChar w:fldCharType="begin"/>
            </w:r>
            <w:r w:rsidR="00A22898" w:rsidRPr="00A134A7">
              <w:rPr>
                <w:rFonts w:cs="Arial"/>
                <w:webHidden/>
                <w:lang w:val="en-AU"/>
              </w:rPr>
              <w:instrText xml:space="preserve"> PAGEREF _Toc183777384 \h </w:instrText>
            </w:r>
            <w:r w:rsidR="00A22898" w:rsidRPr="00A134A7">
              <w:rPr>
                <w:rFonts w:cs="Arial"/>
                <w:webHidden/>
                <w:lang w:val="en-AU"/>
              </w:rPr>
            </w:r>
            <w:r w:rsidR="00A22898" w:rsidRPr="00A134A7">
              <w:rPr>
                <w:rFonts w:cs="Arial"/>
                <w:webHidden/>
                <w:lang w:val="en-AU"/>
              </w:rPr>
              <w:fldChar w:fldCharType="separate"/>
            </w:r>
            <w:r w:rsidR="003870A0">
              <w:rPr>
                <w:rFonts w:cs="Arial"/>
                <w:noProof/>
                <w:webHidden/>
                <w:lang w:val="en-AU"/>
              </w:rPr>
              <w:t>64</w:t>
            </w:r>
            <w:r w:rsidR="00A22898" w:rsidRPr="00A134A7">
              <w:rPr>
                <w:rFonts w:cs="Arial"/>
                <w:webHidden/>
                <w:lang w:val="en-AU"/>
              </w:rPr>
              <w:fldChar w:fldCharType="end"/>
            </w:r>
          </w:hyperlink>
        </w:p>
        <w:p w14:paraId="2C14F794" w14:textId="2BBB6E6E" w:rsidR="00A22898" w:rsidRPr="00A134A7" w:rsidRDefault="00000000">
          <w:pPr>
            <w:pStyle w:val="TOC2"/>
            <w:rPr>
              <w:rFonts w:cs="Arial"/>
              <w:kern w:val="2"/>
              <w:sz w:val="22"/>
              <w:szCs w:val="22"/>
              <w:lang w:val="en-AU"/>
              <w14:ligatures w14:val="standardContextual"/>
            </w:rPr>
          </w:pPr>
          <w:hyperlink w:anchor="_Toc183777385" w:history="1">
            <w:r w:rsidR="00A22898" w:rsidRPr="00A134A7">
              <w:rPr>
                <w:rStyle w:val="Hyperlink"/>
                <w:rFonts w:cs="Arial"/>
                <w:lang w:val="en-AU"/>
              </w:rPr>
              <w:t>7.3</w:t>
            </w:r>
            <w:r w:rsidR="00A22898" w:rsidRPr="00A134A7">
              <w:rPr>
                <w:rFonts w:cs="Arial"/>
                <w:kern w:val="2"/>
                <w:sz w:val="22"/>
                <w:szCs w:val="22"/>
                <w:lang w:val="en-AU"/>
                <w14:ligatures w14:val="standardContextual"/>
              </w:rPr>
              <w:tab/>
            </w:r>
            <w:r w:rsidR="00A22898" w:rsidRPr="00A134A7">
              <w:rPr>
                <w:rStyle w:val="Hyperlink"/>
                <w:rFonts w:cs="Arial"/>
                <w:lang w:val="en-AU"/>
              </w:rPr>
              <w:t>To what extent were efficiencies gained through working together with others to achieve better outcomes?</w:t>
            </w:r>
            <w:r w:rsidR="00A22898" w:rsidRPr="00A134A7">
              <w:rPr>
                <w:rFonts w:cs="Arial"/>
                <w:webHidden/>
                <w:lang w:val="en-AU"/>
              </w:rPr>
              <w:tab/>
            </w:r>
            <w:r w:rsidR="00A22898" w:rsidRPr="00A134A7">
              <w:rPr>
                <w:rFonts w:cs="Arial"/>
                <w:webHidden/>
                <w:lang w:val="en-AU"/>
              </w:rPr>
              <w:fldChar w:fldCharType="begin"/>
            </w:r>
            <w:r w:rsidR="00A22898" w:rsidRPr="00A134A7">
              <w:rPr>
                <w:rFonts w:cs="Arial"/>
                <w:webHidden/>
                <w:lang w:val="en-AU"/>
              </w:rPr>
              <w:instrText xml:space="preserve"> PAGEREF _Toc183777385 \h </w:instrText>
            </w:r>
            <w:r w:rsidR="00A22898" w:rsidRPr="00A134A7">
              <w:rPr>
                <w:rFonts w:cs="Arial"/>
                <w:webHidden/>
                <w:lang w:val="en-AU"/>
              </w:rPr>
            </w:r>
            <w:r w:rsidR="00A22898" w:rsidRPr="00A134A7">
              <w:rPr>
                <w:rFonts w:cs="Arial"/>
                <w:webHidden/>
                <w:lang w:val="en-AU"/>
              </w:rPr>
              <w:fldChar w:fldCharType="separate"/>
            </w:r>
            <w:r w:rsidR="003870A0">
              <w:rPr>
                <w:rFonts w:cs="Arial"/>
                <w:noProof/>
                <w:webHidden/>
                <w:lang w:val="en-AU"/>
              </w:rPr>
              <w:t>64</w:t>
            </w:r>
            <w:r w:rsidR="00A22898" w:rsidRPr="00A134A7">
              <w:rPr>
                <w:rFonts w:cs="Arial"/>
                <w:webHidden/>
                <w:lang w:val="en-AU"/>
              </w:rPr>
              <w:fldChar w:fldCharType="end"/>
            </w:r>
          </w:hyperlink>
        </w:p>
        <w:p w14:paraId="3B6AA3F6" w14:textId="14C00C74" w:rsidR="00A22898" w:rsidRPr="00A134A7" w:rsidRDefault="00000000">
          <w:pPr>
            <w:pStyle w:val="TOC2"/>
            <w:rPr>
              <w:rFonts w:cs="Arial"/>
              <w:kern w:val="2"/>
              <w:sz w:val="22"/>
              <w:szCs w:val="22"/>
              <w:lang w:val="en-AU"/>
              <w14:ligatures w14:val="standardContextual"/>
            </w:rPr>
          </w:pPr>
          <w:hyperlink w:anchor="_Toc183777386" w:history="1">
            <w:r w:rsidR="00A22898" w:rsidRPr="00A134A7">
              <w:rPr>
                <w:rStyle w:val="Hyperlink"/>
                <w:rFonts w:cs="Arial"/>
                <w:lang w:val="en-AU"/>
              </w:rPr>
              <w:t>7.4</w:t>
            </w:r>
            <w:r w:rsidR="00A22898" w:rsidRPr="00A134A7">
              <w:rPr>
                <w:rFonts w:cs="Arial"/>
                <w:kern w:val="2"/>
                <w:sz w:val="22"/>
                <w:szCs w:val="22"/>
                <w:lang w:val="en-AU"/>
                <w14:ligatures w14:val="standardContextual"/>
              </w:rPr>
              <w:tab/>
            </w:r>
            <w:r w:rsidR="00A22898" w:rsidRPr="00A134A7">
              <w:rPr>
                <w:rStyle w:val="Hyperlink"/>
                <w:rFonts w:cs="Arial"/>
                <w:lang w:val="en-AU"/>
              </w:rPr>
              <w:t>Have projects leveraged additional funding sources and in what way was this leverage applied?</w:t>
            </w:r>
            <w:r w:rsidR="00A22898" w:rsidRPr="00A134A7">
              <w:rPr>
                <w:rFonts w:cs="Arial"/>
                <w:webHidden/>
                <w:lang w:val="en-AU"/>
              </w:rPr>
              <w:tab/>
            </w:r>
            <w:r w:rsidR="00A22898" w:rsidRPr="00A134A7">
              <w:rPr>
                <w:rFonts w:cs="Arial"/>
                <w:webHidden/>
                <w:lang w:val="en-AU"/>
              </w:rPr>
              <w:fldChar w:fldCharType="begin"/>
            </w:r>
            <w:r w:rsidR="00A22898" w:rsidRPr="00A134A7">
              <w:rPr>
                <w:rFonts w:cs="Arial"/>
                <w:webHidden/>
                <w:lang w:val="en-AU"/>
              </w:rPr>
              <w:instrText xml:space="preserve"> PAGEREF _Toc183777386 \h </w:instrText>
            </w:r>
            <w:r w:rsidR="00A22898" w:rsidRPr="00A134A7">
              <w:rPr>
                <w:rFonts w:cs="Arial"/>
                <w:webHidden/>
                <w:lang w:val="en-AU"/>
              </w:rPr>
            </w:r>
            <w:r w:rsidR="00A22898" w:rsidRPr="00A134A7">
              <w:rPr>
                <w:rFonts w:cs="Arial"/>
                <w:webHidden/>
                <w:lang w:val="en-AU"/>
              </w:rPr>
              <w:fldChar w:fldCharType="separate"/>
            </w:r>
            <w:r w:rsidR="003870A0">
              <w:rPr>
                <w:rFonts w:cs="Arial"/>
                <w:noProof/>
                <w:webHidden/>
                <w:lang w:val="en-AU"/>
              </w:rPr>
              <w:t>65</w:t>
            </w:r>
            <w:r w:rsidR="00A22898" w:rsidRPr="00A134A7">
              <w:rPr>
                <w:rFonts w:cs="Arial"/>
                <w:webHidden/>
                <w:lang w:val="en-AU"/>
              </w:rPr>
              <w:fldChar w:fldCharType="end"/>
            </w:r>
          </w:hyperlink>
        </w:p>
        <w:p w14:paraId="0520DAE1" w14:textId="75A4573F" w:rsidR="00A22898" w:rsidRPr="00A134A7" w:rsidRDefault="00000000">
          <w:pPr>
            <w:pStyle w:val="TOC2"/>
            <w:rPr>
              <w:rFonts w:cs="Arial"/>
              <w:kern w:val="2"/>
              <w:sz w:val="22"/>
              <w:szCs w:val="22"/>
              <w:lang w:val="en-AU"/>
              <w14:ligatures w14:val="standardContextual"/>
            </w:rPr>
          </w:pPr>
          <w:hyperlink w:anchor="_Toc183777387" w:history="1">
            <w:r w:rsidR="00A22898" w:rsidRPr="00A134A7">
              <w:rPr>
                <w:rStyle w:val="Hyperlink"/>
                <w:rFonts w:cs="Arial"/>
                <w:lang w:val="en-AU"/>
              </w:rPr>
              <w:t>7.5</w:t>
            </w:r>
            <w:r w:rsidR="00A22898" w:rsidRPr="00A134A7">
              <w:rPr>
                <w:rFonts w:cs="Arial"/>
                <w:kern w:val="2"/>
                <w:sz w:val="22"/>
                <w:szCs w:val="22"/>
                <w:lang w:val="en-AU"/>
                <w14:ligatures w14:val="standardContextual"/>
              </w:rPr>
              <w:tab/>
            </w:r>
            <w:r w:rsidR="00A22898" w:rsidRPr="00A134A7">
              <w:rPr>
                <w:rStyle w:val="Hyperlink"/>
                <w:rFonts w:cs="Arial"/>
                <w:lang w:val="en-AU"/>
              </w:rPr>
              <w:t>What evidence is there of projects undertaking options assessment and/or cost-benefit analysis of approaches?</w:t>
            </w:r>
            <w:r w:rsidR="00A22898" w:rsidRPr="00A134A7">
              <w:rPr>
                <w:rFonts w:cs="Arial"/>
                <w:webHidden/>
                <w:lang w:val="en-AU"/>
              </w:rPr>
              <w:tab/>
            </w:r>
            <w:r w:rsidR="00A22898" w:rsidRPr="00A134A7">
              <w:rPr>
                <w:rFonts w:cs="Arial"/>
                <w:webHidden/>
                <w:lang w:val="en-AU"/>
              </w:rPr>
              <w:fldChar w:fldCharType="begin"/>
            </w:r>
            <w:r w:rsidR="00A22898" w:rsidRPr="00A134A7">
              <w:rPr>
                <w:rFonts w:cs="Arial"/>
                <w:webHidden/>
                <w:lang w:val="en-AU"/>
              </w:rPr>
              <w:instrText xml:space="preserve"> PAGEREF _Toc183777387 \h </w:instrText>
            </w:r>
            <w:r w:rsidR="00A22898" w:rsidRPr="00A134A7">
              <w:rPr>
                <w:rFonts w:cs="Arial"/>
                <w:webHidden/>
                <w:lang w:val="en-AU"/>
              </w:rPr>
            </w:r>
            <w:r w:rsidR="00A22898" w:rsidRPr="00A134A7">
              <w:rPr>
                <w:rFonts w:cs="Arial"/>
                <w:webHidden/>
                <w:lang w:val="en-AU"/>
              </w:rPr>
              <w:fldChar w:fldCharType="separate"/>
            </w:r>
            <w:r w:rsidR="003870A0">
              <w:rPr>
                <w:rFonts w:cs="Arial"/>
                <w:noProof/>
                <w:webHidden/>
                <w:lang w:val="en-AU"/>
              </w:rPr>
              <w:t>66</w:t>
            </w:r>
            <w:r w:rsidR="00A22898" w:rsidRPr="00A134A7">
              <w:rPr>
                <w:rFonts w:cs="Arial"/>
                <w:webHidden/>
                <w:lang w:val="en-AU"/>
              </w:rPr>
              <w:fldChar w:fldCharType="end"/>
            </w:r>
          </w:hyperlink>
        </w:p>
        <w:p w14:paraId="58799A4A" w14:textId="607D547B" w:rsidR="00A22898" w:rsidRPr="00A134A7" w:rsidRDefault="00000000">
          <w:pPr>
            <w:pStyle w:val="TOC1"/>
            <w:rPr>
              <w:rFonts w:cs="Arial"/>
              <w:b w:val="0"/>
              <w:kern w:val="2"/>
              <w:sz w:val="22"/>
              <w:szCs w:val="22"/>
              <w14:ligatures w14:val="standardContextual"/>
            </w:rPr>
          </w:pPr>
          <w:hyperlink w:anchor="_Toc183777388" w:history="1">
            <w:r w:rsidR="00A22898" w:rsidRPr="00A134A7">
              <w:rPr>
                <w:rStyle w:val="Hyperlink"/>
                <w:rFonts w:cs="Arial"/>
              </w:rPr>
              <w:t>8.</w:t>
            </w:r>
            <w:r w:rsidR="00A22898" w:rsidRPr="00A134A7">
              <w:rPr>
                <w:rFonts w:cs="Arial"/>
                <w:b w:val="0"/>
                <w:kern w:val="2"/>
                <w:sz w:val="22"/>
                <w:szCs w:val="22"/>
                <w14:ligatures w14:val="standardContextual"/>
              </w:rPr>
              <w:tab/>
            </w:r>
            <w:r w:rsidR="00A22898" w:rsidRPr="00A134A7">
              <w:rPr>
                <w:rStyle w:val="Hyperlink"/>
                <w:rFonts w:cs="Arial"/>
              </w:rPr>
              <w:t>Evaluation of legacy</w:t>
            </w:r>
            <w:r w:rsidR="00A22898" w:rsidRPr="00A134A7">
              <w:rPr>
                <w:rFonts w:cs="Arial"/>
                <w:webHidden/>
              </w:rPr>
              <w:tab/>
            </w:r>
            <w:r w:rsidR="00A22898" w:rsidRPr="00A134A7">
              <w:rPr>
                <w:rFonts w:cs="Arial"/>
                <w:webHidden/>
              </w:rPr>
              <w:fldChar w:fldCharType="begin"/>
            </w:r>
            <w:r w:rsidR="00A22898" w:rsidRPr="00A134A7">
              <w:rPr>
                <w:rFonts w:cs="Arial"/>
                <w:webHidden/>
              </w:rPr>
              <w:instrText xml:space="preserve"> PAGEREF _Toc183777388 \h </w:instrText>
            </w:r>
            <w:r w:rsidR="00A22898" w:rsidRPr="00A134A7">
              <w:rPr>
                <w:rFonts w:cs="Arial"/>
                <w:webHidden/>
              </w:rPr>
            </w:r>
            <w:r w:rsidR="00A22898" w:rsidRPr="00A134A7">
              <w:rPr>
                <w:rFonts w:cs="Arial"/>
                <w:webHidden/>
              </w:rPr>
              <w:fldChar w:fldCharType="separate"/>
            </w:r>
            <w:r w:rsidR="003870A0">
              <w:rPr>
                <w:rFonts w:cs="Arial"/>
                <w:noProof/>
                <w:webHidden/>
              </w:rPr>
              <w:t>68</w:t>
            </w:r>
            <w:r w:rsidR="00A22898" w:rsidRPr="00A134A7">
              <w:rPr>
                <w:rFonts w:cs="Arial"/>
                <w:webHidden/>
              </w:rPr>
              <w:fldChar w:fldCharType="end"/>
            </w:r>
          </w:hyperlink>
        </w:p>
        <w:p w14:paraId="4C20FDB2" w14:textId="10D81400" w:rsidR="00A22898" w:rsidRPr="00A134A7" w:rsidRDefault="00000000">
          <w:pPr>
            <w:pStyle w:val="TOC2"/>
            <w:rPr>
              <w:rFonts w:cs="Arial"/>
              <w:kern w:val="2"/>
              <w:sz w:val="22"/>
              <w:szCs w:val="22"/>
              <w:lang w:val="en-AU"/>
              <w14:ligatures w14:val="standardContextual"/>
            </w:rPr>
          </w:pPr>
          <w:hyperlink w:anchor="_Toc183777389" w:history="1">
            <w:r w:rsidR="00A22898" w:rsidRPr="00A134A7">
              <w:rPr>
                <w:rStyle w:val="Hyperlink"/>
                <w:rFonts w:cs="Arial"/>
                <w:lang w:val="en-AU"/>
              </w:rPr>
              <w:t>8.1</w:t>
            </w:r>
            <w:r w:rsidR="00A22898" w:rsidRPr="00A134A7">
              <w:rPr>
                <w:rFonts w:cs="Arial"/>
                <w:kern w:val="2"/>
                <w:sz w:val="22"/>
                <w:szCs w:val="22"/>
                <w:lang w:val="en-AU"/>
                <w14:ligatures w14:val="standardContextual"/>
              </w:rPr>
              <w:tab/>
            </w:r>
            <w:r w:rsidR="00A22898" w:rsidRPr="00A134A7">
              <w:rPr>
                <w:rStyle w:val="Hyperlink"/>
                <w:rFonts w:cs="Arial"/>
                <w:lang w:val="en-AU"/>
              </w:rPr>
              <w:t>Overview</w:t>
            </w:r>
            <w:r w:rsidR="00A22898" w:rsidRPr="00A134A7">
              <w:rPr>
                <w:rFonts w:cs="Arial"/>
                <w:webHidden/>
                <w:lang w:val="en-AU"/>
              </w:rPr>
              <w:tab/>
            </w:r>
            <w:r w:rsidR="00A22898" w:rsidRPr="00A134A7">
              <w:rPr>
                <w:rFonts w:cs="Arial"/>
                <w:webHidden/>
                <w:lang w:val="en-AU"/>
              </w:rPr>
              <w:fldChar w:fldCharType="begin"/>
            </w:r>
            <w:r w:rsidR="00A22898" w:rsidRPr="00A134A7">
              <w:rPr>
                <w:rFonts w:cs="Arial"/>
                <w:webHidden/>
                <w:lang w:val="en-AU"/>
              </w:rPr>
              <w:instrText xml:space="preserve"> PAGEREF _Toc183777389 \h </w:instrText>
            </w:r>
            <w:r w:rsidR="00A22898" w:rsidRPr="00A134A7">
              <w:rPr>
                <w:rFonts w:cs="Arial"/>
                <w:webHidden/>
                <w:lang w:val="en-AU"/>
              </w:rPr>
            </w:r>
            <w:r w:rsidR="00A22898" w:rsidRPr="00A134A7">
              <w:rPr>
                <w:rFonts w:cs="Arial"/>
                <w:webHidden/>
                <w:lang w:val="en-AU"/>
              </w:rPr>
              <w:fldChar w:fldCharType="separate"/>
            </w:r>
            <w:r w:rsidR="003870A0">
              <w:rPr>
                <w:rFonts w:cs="Arial"/>
                <w:noProof/>
                <w:webHidden/>
                <w:lang w:val="en-AU"/>
              </w:rPr>
              <w:t>68</w:t>
            </w:r>
            <w:r w:rsidR="00A22898" w:rsidRPr="00A134A7">
              <w:rPr>
                <w:rFonts w:cs="Arial"/>
                <w:webHidden/>
                <w:lang w:val="en-AU"/>
              </w:rPr>
              <w:fldChar w:fldCharType="end"/>
            </w:r>
          </w:hyperlink>
        </w:p>
        <w:p w14:paraId="28B17653" w14:textId="7E18B0B9" w:rsidR="00A22898" w:rsidRPr="00A134A7" w:rsidRDefault="00000000">
          <w:pPr>
            <w:pStyle w:val="TOC2"/>
            <w:rPr>
              <w:rFonts w:cs="Arial"/>
              <w:kern w:val="2"/>
              <w:sz w:val="22"/>
              <w:szCs w:val="22"/>
              <w:lang w:val="en-AU"/>
              <w14:ligatures w14:val="standardContextual"/>
            </w:rPr>
          </w:pPr>
          <w:hyperlink w:anchor="_Toc183777390" w:history="1">
            <w:r w:rsidR="00A22898" w:rsidRPr="00A134A7">
              <w:rPr>
                <w:rStyle w:val="Hyperlink"/>
                <w:rFonts w:cs="Arial"/>
                <w:lang w:val="en-AU"/>
              </w:rPr>
              <w:t>8.2</w:t>
            </w:r>
            <w:r w:rsidR="00A22898" w:rsidRPr="00A134A7">
              <w:rPr>
                <w:rFonts w:cs="Arial"/>
                <w:kern w:val="2"/>
                <w:sz w:val="22"/>
                <w:szCs w:val="22"/>
                <w:lang w:val="en-AU"/>
                <w14:ligatures w14:val="standardContextual"/>
              </w:rPr>
              <w:tab/>
            </w:r>
            <w:r w:rsidR="00A22898" w:rsidRPr="00A134A7">
              <w:rPr>
                <w:rStyle w:val="Hyperlink"/>
                <w:rFonts w:cs="Arial"/>
                <w:lang w:val="en-AU"/>
              </w:rPr>
              <w:t>To what extent are EC5 tranche impacts expected to be sustained over time?</w:t>
            </w:r>
            <w:r w:rsidR="00A22898" w:rsidRPr="00A134A7">
              <w:rPr>
                <w:rFonts w:cs="Arial"/>
                <w:webHidden/>
                <w:lang w:val="en-AU"/>
              </w:rPr>
              <w:tab/>
            </w:r>
            <w:r w:rsidR="00A22898" w:rsidRPr="00A134A7">
              <w:rPr>
                <w:rFonts w:cs="Arial"/>
                <w:webHidden/>
                <w:lang w:val="en-AU"/>
              </w:rPr>
              <w:fldChar w:fldCharType="begin"/>
            </w:r>
            <w:r w:rsidR="00A22898" w:rsidRPr="00A134A7">
              <w:rPr>
                <w:rFonts w:cs="Arial"/>
                <w:webHidden/>
                <w:lang w:val="en-AU"/>
              </w:rPr>
              <w:instrText xml:space="preserve"> PAGEREF _Toc183777390 \h </w:instrText>
            </w:r>
            <w:r w:rsidR="00A22898" w:rsidRPr="00A134A7">
              <w:rPr>
                <w:rFonts w:cs="Arial"/>
                <w:webHidden/>
                <w:lang w:val="en-AU"/>
              </w:rPr>
            </w:r>
            <w:r w:rsidR="00A22898" w:rsidRPr="00A134A7">
              <w:rPr>
                <w:rFonts w:cs="Arial"/>
                <w:webHidden/>
                <w:lang w:val="en-AU"/>
              </w:rPr>
              <w:fldChar w:fldCharType="separate"/>
            </w:r>
            <w:r w:rsidR="003870A0">
              <w:rPr>
                <w:rFonts w:cs="Arial"/>
                <w:noProof/>
                <w:webHidden/>
                <w:lang w:val="en-AU"/>
              </w:rPr>
              <w:t>68</w:t>
            </w:r>
            <w:r w:rsidR="00A22898" w:rsidRPr="00A134A7">
              <w:rPr>
                <w:rFonts w:cs="Arial"/>
                <w:webHidden/>
                <w:lang w:val="en-AU"/>
              </w:rPr>
              <w:fldChar w:fldCharType="end"/>
            </w:r>
          </w:hyperlink>
        </w:p>
        <w:p w14:paraId="3B150DC4" w14:textId="0C7CB7D4" w:rsidR="00A22898" w:rsidRPr="00A134A7" w:rsidRDefault="00000000">
          <w:pPr>
            <w:pStyle w:val="TOC1"/>
            <w:rPr>
              <w:rFonts w:cs="Arial"/>
              <w:b w:val="0"/>
              <w:kern w:val="2"/>
              <w:sz w:val="22"/>
              <w:szCs w:val="22"/>
              <w14:ligatures w14:val="standardContextual"/>
            </w:rPr>
          </w:pPr>
          <w:hyperlink w:anchor="_Toc183777391" w:history="1">
            <w:r w:rsidR="00A22898" w:rsidRPr="00A134A7">
              <w:rPr>
                <w:rStyle w:val="Hyperlink"/>
                <w:rFonts w:cs="Arial"/>
              </w:rPr>
              <w:t>9.</w:t>
            </w:r>
            <w:r w:rsidR="00A22898" w:rsidRPr="00A134A7">
              <w:rPr>
                <w:rFonts w:cs="Arial"/>
                <w:b w:val="0"/>
                <w:kern w:val="2"/>
                <w:sz w:val="22"/>
                <w:szCs w:val="22"/>
                <w14:ligatures w14:val="standardContextual"/>
              </w:rPr>
              <w:tab/>
            </w:r>
            <w:r w:rsidR="00A22898" w:rsidRPr="00A134A7">
              <w:rPr>
                <w:rStyle w:val="Hyperlink"/>
                <w:rFonts w:cs="Arial"/>
              </w:rPr>
              <w:t>Conclusions and recommendations</w:t>
            </w:r>
            <w:r w:rsidR="00A22898" w:rsidRPr="00A134A7">
              <w:rPr>
                <w:rFonts w:cs="Arial"/>
                <w:webHidden/>
              </w:rPr>
              <w:tab/>
            </w:r>
            <w:r w:rsidR="00A22898" w:rsidRPr="00A134A7">
              <w:rPr>
                <w:rFonts w:cs="Arial"/>
                <w:webHidden/>
              </w:rPr>
              <w:fldChar w:fldCharType="begin"/>
            </w:r>
            <w:r w:rsidR="00A22898" w:rsidRPr="00A134A7">
              <w:rPr>
                <w:rFonts w:cs="Arial"/>
                <w:webHidden/>
              </w:rPr>
              <w:instrText xml:space="preserve"> PAGEREF _Toc183777391 \h </w:instrText>
            </w:r>
            <w:r w:rsidR="00A22898" w:rsidRPr="00A134A7">
              <w:rPr>
                <w:rFonts w:cs="Arial"/>
                <w:webHidden/>
              </w:rPr>
            </w:r>
            <w:r w:rsidR="00A22898" w:rsidRPr="00A134A7">
              <w:rPr>
                <w:rFonts w:cs="Arial"/>
                <w:webHidden/>
              </w:rPr>
              <w:fldChar w:fldCharType="separate"/>
            </w:r>
            <w:r w:rsidR="003870A0">
              <w:rPr>
                <w:rFonts w:cs="Arial"/>
                <w:noProof/>
                <w:webHidden/>
              </w:rPr>
              <w:t>70</w:t>
            </w:r>
            <w:r w:rsidR="00A22898" w:rsidRPr="00A134A7">
              <w:rPr>
                <w:rFonts w:cs="Arial"/>
                <w:webHidden/>
              </w:rPr>
              <w:fldChar w:fldCharType="end"/>
            </w:r>
          </w:hyperlink>
        </w:p>
        <w:p w14:paraId="31BDFA36" w14:textId="7DED1CA4" w:rsidR="00A22898" w:rsidRPr="00A134A7" w:rsidRDefault="00000000">
          <w:pPr>
            <w:pStyle w:val="TOC2"/>
            <w:rPr>
              <w:rFonts w:cs="Arial"/>
              <w:kern w:val="2"/>
              <w:sz w:val="22"/>
              <w:szCs w:val="22"/>
              <w:lang w:val="en-AU"/>
              <w14:ligatures w14:val="standardContextual"/>
            </w:rPr>
          </w:pPr>
          <w:hyperlink w:anchor="_Toc183777392" w:history="1">
            <w:r w:rsidR="00A22898" w:rsidRPr="00A134A7">
              <w:rPr>
                <w:rStyle w:val="Hyperlink"/>
                <w:rFonts w:cs="Arial"/>
                <w:lang w:val="en-AU"/>
              </w:rPr>
              <w:t>9.1</w:t>
            </w:r>
            <w:r w:rsidR="00A22898" w:rsidRPr="00A134A7">
              <w:rPr>
                <w:rFonts w:cs="Arial"/>
                <w:kern w:val="2"/>
                <w:sz w:val="22"/>
                <w:szCs w:val="22"/>
                <w:lang w:val="en-AU"/>
                <w14:ligatures w14:val="standardContextual"/>
              </w:rPr>
              <w:tab/>
            </w:r>
            <w:r w:rsidR="00A22898" w:rsidRPr="00A134A7">
              <w:rPr>
                <w:rStyle w:val="Hyperlink"/>
                <w:rFonts w:cs="Arial"/>
                <w:lang w:val="en-AU"/>
              </w:rPr>
              <w:t xml:space="preserve">Conclusions and </w:t>
            </w:r>
            <w:r w:rsidR="00A22898" w:rsidRPr="00A134A7">
              <w:rPr>
                <w:rStyle w:val="Hyperlink"/>
                <w:rFonts w:cs="Arial"/>
                <w:bCs/>
                <w:lang w:val="en-AU"/>
              </w:rPr>
              <w:t>recommendations</w:t>
            </w:r>
            <w:r w:rsidR="00A22898" w:rsidRPr="00A134A7">
              <w:rPr>
                <w:rFonts w:cs="Arial"/>
                <w:webHidden/>
                <w:lang w:val="en-AU"/>
              </w:rPr>
              <w:tab/>
            </w:r>
            <w:r w:rsidR="00A22898" w:rsidRPr="00A134A7">
              <w:rPr>
                <w:rFonts w:cs="Arial"/>
                <w:webHidden/>
                <w:lang w:val="en-AU"/>
              </w:rPr>
              <w:fldChar w:fldCharType="begin"/>
            </w:r>
            <w:r w:rsidR="00A22898" w:rsidRPr="00A134A7">
              <w:rPr>
                <w:rFonts w:cs="Arial"/>
                <w:webHidden/>
                <w:lang w:val="en-AU"/>
              </w:rPr>
              <w:instrText xml:space="preserve"> PAGEREF _Toc183777392 \h </w:instrText>
            </w:r>
            <w:r w:rsidR="00A22898" w:rsidRPr="00A134A7">
              <w:rPr>
                <w:rFonts w:cs="Arial"/>
                <w:webHidden/>
                <w:lang w:val="en-AU"/>
              </w:rPr>
            </w:r>
            <w:r w:rsidR="00A22898" w:rsidRPr="00A134A7">
              <w:rPr>
                <w:rFonts w:cs="Arial"/>
                <w:webHidden/>
                <w:lang w:val="en-AU"/>
              </w:rPr>
              <w:fldChar w:fldCharType="separate"/>
            </w:r>
            <w:r w:rsidR="003870A0">
              <w:rPr>
                <w:rFonts w:cs="Arial"/>
                <w:noProof/>
                <w:webHidden/>
                <w:lang w:val="en-AU"/>
              </w:rPr>
              <w:t>70</w:t>
            </w:r>
            <w:r w:rsidR="00A22898" w:rsidRPr="00A134A7">
              <w:rPr>
                <w:rFonts w:cs="Arial"/>
                <w:webHidden/>
                <w:lang w:val="en-AU"/>
              </w:rPr>
              <w:fldChar w:fldCharType="end"/>
            </w:r>
          </w:hyperlink>
        </w:p>
        <w:p w14:paraId="6034B392" w14:textId="5B69199D" w:rsidR="00A22898" w:rsidRPr="00A134A7" w:rsidRDefault="00000000">
          <w:pPr>
            <w:pStyle w:val="TOC2"/>
            <w:rPr>
              <w:rFonts w:cs="Arial"/>
              <w:kern w:val="2"/>
              <w:sz w:val="22"/>
              <w:szCs w:val="22"/>
              <w:lang w:val="en-AU"/>
              <w14:ligatures w14:val="standardContextual"/>
            </w:rPr>
          </w:pPr>
          <w:hyperlink w:anchor="_Toc183777393" w:history="1">
            <w:r w:rsidR="00A22898" w:rsidRPr="00A134A7">
              <w:rPr>
                <w:rStyle w:val="Hyperlink"/>
                <w:rFonts w:cs="Arial"/>
                <w:lang w:val="en-AU"/>
              </w:rPr>
              <w:t>9.2</w:t>
            </w:r>
            <w:r w:rsidR="00A22898" w:rsidRPr="00A134A7">
              <w:rPr>
                <w:rFonts w:cs="Arial"/>
                <w:kern w:val="2"/>
                <w:sz w:val="22"/>
                <w:szCs w:val="22"/>
                <w:lang w:val="en-AU"/>
                <w14:ligatures w14:val="standardContextual"/>
              </w:rPr>
              <w:tab/>
            </w:r>
            <w:r w:rsidR="00A22898" w:rsidRPr="00A134A7">
              <w:rPr>
                <w:rStyle w:val="Hyperlink"/>
                <w:rFonts w:cs="Arial"/>
                <w:lang w:val="en-AU"/>
              </w:rPr>
              <w:t>Priorities for investment in EC6 and into the future</w:t>
            </w:r>
            <w:r w:rsidR="00A22898" w:rsidRPr="00A134A7">
              <w:rPr>
                <w:rFonts w:cs="Arial"/>
                <w:webHidden/>
                <w:lang w:val="en-AU"/>
              </w:rPr>
              <w:tab/>
            </w:r>
            <w:r w:rsidR="00A22898" w:rsidRPr="00A134A7">
              <w:rPr>
                <w:rFonts w:cs="Arial"/>
                <w:webHidden/>
                <w:lang w:val="en-AU"/>
              </w:rPr>
              <w:fldChar w:fldCharType="begin"/>
            </w:r>
            <w:r w:rsidR="00A22898" w:rsidRPr="00A134A7">
              <w:rPr>
                <w:rFonts w:cs="Arial"/>
                <w:webHidden/>
                <w:lang w:val="en-AU"/>
              </w:rPr>
              <w:instrText xml:space="preserve"> PAGEREF _Toc183777393 \h </w:instrText>
            </w:r>
            <w:r w:rsidR="00A22898" w:rsidRPr="00A134A7">
              <w:rPr>
                <w:rFonts w:cs="Arial"/>
                <w:webHidden/>
                <w:lang w:val="en-AU"/>
              </w:rPr>
            </w:r>
            <w:r w:rsidR="00A22898" w:rsidRPr="00A134A7">
              <w:rPr>
                <w:rFonts w:cs="Arial"/>
                <w:webHidden/>
                <w:lang w:val="en-AU"/>
              </w:rPr>
              <w:fldChar w:fldCharType="separate"/>
            </w:r>
            <w:r w:rsidR="003870A0">
              <w:rPr>
                <w:rFonts w:cs="Arial"/>
                <w:noProof/>
                <w:webHidden/>
                <w:lang w:val="en-AU"/>
              </w:rPr>
              <w:t>72</w:t>
            </w:r>
            <w:r w:rsidR="00A22898" w:rsidRPr="00A134A7">
              <w:rPr>
                <w:rFonts w:cs="Arial"/>
                <w:webHidden/>
                <w:lang w:val="en-AU"/>
              </w:rPr>
              <w:fldChar w:fldCharType="end"/>
            </w:r>
          </w:hyperlink>
        </w:p>
        <w:p w14:paraId="4189892C" w14:textId="60D9CC97" w:rsidR="0020292F" w:rsidRPr="005D74D1" w:rsidRDefault="00302A23" w:rsidP="0020292F">
          <w:pPr>
            <w:rPr>
              <w:rFonts w:cs="Arial"/>
            </w:rPr>
          </w:pPr>
          <w:r w:rsidRPr="005D74D1">
            <w:rPr>
              <w:rFonts w:cs="Arial"/>
              <w:b/>
              <w:lang w:eastAsia="en-AU"/>
            </w:rPr>
            <w:fldChar w:fldCharType="end"/>
          </w:r>
        </w:p>
      </w:sdtContent>
    </w:sdt>
    <w:bookmarkStart w:id="22" w:name="_Toc183777345" w:displacedByCustomXml="next"/>
    <w:bookmarkStart w:id="23" w:name="_Toc147329308" w:displacedByCustomXml="next"/>
    <w:sdt>
      <w:sdtPr>
        <w:rPr>
          <w:rFonts w:ascii="Arial" w:hAnsi="Arial" w:cs="Arial"/>
          <w:b w:val="0"/>
          <w:color w:val="auto"/>
          <w:sz w:val="20"/>
        </w:rPr>
        <w:alias w:val="Table of appendices"/>
        <w:tag w:val="Table of appendices"/>
        <w:id w:val="-1735307702"/>
        <w:placeholder>
          <w:docPart w:val="195C927C45684147BCAAC3D5F76068D4"/>
        </w:placeholder>
        <w:docPartList>
          <w:docPartGallery w:val="Custom 5"/>
          <w:docPartCategory w:val="Appendices"/>
        </w:docPartList>
      </w:sdtPr>
      <w:sdtContent>
        <w:p w14:paraId="5460310E" w14:textId="77777777" w:rsidR="0020292F" w:rsidRPr="00A134A7" w:rsidRDefault="0020292F" w:rsidP="0020292F">
          <w:pPr>
            <w:pStyle w:val="TOCHeading"/>
            <w:rPr>
              <w:rFonts w:ascii="Arial" w:hAnsi="Arial" w:cs="Arial"/>
            </w:rPr>
          </w:pPr>
          <w:r w:rsidRPr="00A134A7">
            <w:rPr>
              <w:rFonts w:ascii="Arial" w:hAnsi="Arial" w:cs="Arial"/>
            </w:rPr>
            <w:t>Appendices</w:t>
          </w:r>
          <w:bookmarkEnd w:id="23"/>
          <w:bookmarkEnd w:id="22"/>
        </w:p>
        <w:p w14:paraId="2AD7DEF1" w14:textId="62BB773E" w:rsidR="00C5015B" w:rsidRPr="00A134A7" w:rsidRDefault="0020292F">
          <w:pPr>
            <w:pStyle w:val="TOC1"/>
            <w:rPr>
              <w:rFonts w:cs="Arial"/>
              <w:b w:val="0"/>
              <w:kern w:val="2"/>
              <w:sz w:val="22"/>
              <w:szCs w:val="22"/>
              <w14:ligatures w14:val="standardContextual"/>
            </w:rPr>
          </w:pPr>
          <w:r w:rsidRPr="005D74D1">
            <w:rPr>
              <w:rFonts w:cs="Arial"/>
              <w:b w:val="0"/>
              <w:bCs/>
            </w:rPr>
            <w:fldChar w:fldCharType="begin"/>
          </w:r>
          <w:r w:rsidRPr="005D74D1">
            <w:rPr>
              <w:rFonts w:cs="Arial"/>
              <w:b w:val="0"/>
              <w:bCs/>
            </w:rPr>
            <w:instrText xml:space="preserve"> TOC \h \t "Appendix</w:instrText>
          </w:r>
          <w:r w:rsidR="00DD49E3" w:rsidRPr="005D74D1">
            <w:rPr>
              <w:rFonts w:cs="Arial"/>
              <w:b w:val="0"/>
              <w:bCs/>
            </w:rPr>
            <w:instrText xml:space="preserve"> Heading 1</w:instrText>
          </w:r>
          <w:r w:rsidRPr="005D74D1">
            <w:rPr>
              <w:rFonts w:cs="Arial"/>
              <w:b w:val="0"/>
              <w:bCs/>
            </w:rPr>
            <w:instrText xml:space="preserve">,1,Appendix Heading 2,2,Appendix Heading 3,3" </w:instrText>
          </w:r>
          <w:r w:rsidRPr="005D74D1">
            <w:rPr>
              <w:rFonts w:cs="Arial"/>
              <w:b w:val="0"/>
              <w:bCs/>
            </w:rPr>
            <w:fldChar w:fldCharType="separate"/>
          </w:r>
          <w:hyperlink w:anchor="_Toc183777394" w:history="1">
            <w:r w:rsidR="00C5015B" w:rsidRPr="00A134A7">
              <w:rPr>
                <w:rStyle w:val="Hyperlink"/>
                <w:rFonts w:cs="Arial"/>
              </w:rPr>
              <w:t>Appendix A: Summaries of project evaluations</w:t>
            </w:r>
            <w:r w:rsidR="00C5015B" w:rsidRPr="00A134A7">
              <w:rPr>
                <w:rFonts w:cs="Arial"/>
              </w:rPr>
              <w:tab/>
            </w:r>
            <w:r w:rsidR="00C5015B" w:rsidRPr="00A134A7">
              <w:rPr>
                <w:rFonts w:cs="Arial"/>
              </w:rPr>
              <w:fldChar w:fldCharType="begin"/>
            </w:r>
            <w:r w:rsidR="00C5015B" w:rsidRPr="00A134A7">
              <w:rPr>
                <w:rFonts w:cs="Arial"/>
              </w:rPr>
              <w:instrText xml:space="preserve"> PAGEREF _Toc183777394 \h </w:instrText>
            </w:r>
            <w:r w:rsidR="00C5015B" w:rsidRPr="00A134A7">
              <w:rPr>
                <w:rFonts w:cs="Arial"/>
              </w:rPr>
            </w:r>
            <w:r w:rsidR="00C5015B" w:rsidRPr="00A134A7">
              <w:rPr>
                <w:rFonts w:cs="Arial"/>
              </w:rPr>
              <w:fldChar w:fldCharType="separate"/>
            </w:r>
            <w:r w:rsidR="003870A0">
              <w:rPr>
                <w:rFonts w:cs="Arial"/>
                <w:noProof/>
              </w:rPr>
              <w:t>74</w:t>
            </w:r>
            <w:r w:rsidR="00C5015B" w:rsidRPr="00A134A7">
              <w:rPr>
                <w:rFonts w:cs="Arial"/>
              </w:rPr>
              <w:fldChar w:fldCharType="end"/>
            </w:r>
          </w:hyperlink>
        </w:p>
        <w:p w14:paraId="369096DF" w14:textId="72918D0C" w:rsidR="00C5015B" w:rsidRPr="00A134A7" w:rsidRDefault="00000000">
          <w:pPr>
            <w:pStyle w:val="TOC1"/>
            <w:rPr>
              <w:rFonts w:cs="Arial"/>
              <w:b w:val="0"/>
              <w:kern w:val="2"/>
              <w:sz w:val="22"/>
              <w:szCs w:val="22"/>
              <w14:ligatures w14:val="standardContextual"/>
            </w:rPr>
          </w:pPr>
          <w:hyperlink w:anchor="_Toc183777395" w:history="1">
            <w:r w:rsidR="00C5015B" w:rsidRPr="00A134A7">
              <w:rPr>
                <w:rStyle w:val="Hyperlink"/>
                <w:rFonts w:cs="Arial"/>
              </w:rPr>
              <w:t>Appendix B: Impact domain: Examples of project contributions to end of tranche outcomes</w:t>
            </w:r>
            <w:r w:rsidR="00C5015B" w:rsidRPr="00A134A7">
              <w:rPr>
                <w:rFonts w:cs="Arial"/>
              </w:rPr>
              <w:tab/>
            </w:r>
            <w:r w:rsidR="00C5015B" w:rsidRPr="00A134A7">
              <w:rPr>
                <w:rFonts w:cs="Arial"/>
              </w:rPr>
              <w:fldChar w:fldCharType="begin"/>
            </w:r>
            <w:r w:rsidR="00C5015B" w:rsidRPr="00A134A7">
              <w:rPr>
                <w:rFonts w:cs="Arial"/>
              </w:rPr>
              <w:instrText xml:space="preserve"> PAGEREF _Toc183777395 \h </w:instrText>
            </w:r>
            <w:r w:rsidR="00C5015B" w:rsidRPr="00A134A7">
              <w:rPr>
                <w:rFonts w:cs="Arial"/>
              </w:rPr>
            </w:r>
            <w:r w:rsidR="00C5015B" w:rsidRPr="00A134A7">
              <w:rPr>
                <w:rFonts w:cs="Arial"/>
              </w:rPr>
              <w:fldChar w:fldCharType="separate"/>
            </w:r>
            <w:r w:rsidR="003870A0">
              <w:rPr>
                <w:rFonts w:cs="Arial"/>
                <w:noProof/>
              </w:rPr>
              <w:t>75</w:t>
            </w:r>
            <w:r w:rsidR="00C5015B" w:rsidRPr="00A134A7">
              <w:rPr>
                <w:rFonts w:cs="Arial"/>
              </w:rPr>
              <w:fldChar w:fldCharType="end"/>
            </w:r>
          </w:hyperlink>
        </w:p>
        <w:p w14:paraId="63F8C240" w14:textId="3B8D7545" w:rsidR="00C5015B" w:rsidRPr="00A134A7" w:rsidRDefault="00000000">
          <w:pPr>
            <w:pStyle w:val="TOC1"/>
            <w:rPr>
              <w:rFonts w:cs="Arial"/>
              <w:b w:val="0"/>
              <w:kern w:val="2"/>
              <w:sz w:val="22"/>
              <w:szCs w:val="22"/>
              <w14:ligatures w14:val="standardContextual"/>
            </w:rPr>
          </w:pPr>
          <w:hyperlink w:anchor="_Toc183777396" w:history="1">
            <w:r w:rsidR="00C5015B" w:rsidRPr="00A134A7">
              <w:rPr>
                <w:rStyle w:val="Hyperlink"/>
                <w:rFonts w:cs="Arial"/>
              </w:rPr>
              <w:t>Appendix C: Graphical summary of short-answer questions from the project evaluation reports</w:t>
            </w:r>
            <w:r w:rsidR="00C5015B" w:rsidRPr="00A134A7">
              <w:rPr>
                <w:rFonts w:cs="Arial"/>
              </w:rPr>
              <w:tab/>
            </w:r>
            <w:r w:rsidR="00C5015B" w:rsidRPr="00A134A7">
              <w:rPr>
                <w:rFonts w:cs="Arial"/>
              </w:rPr>
              <w:fldChar w:fldCharType="begin"/>
            </w:r>
            <w:r w:rsidR="00C5015B" w:rsidRPr="00A134A7">
              <w:rPr>
                <w:rFonts w:cs="Arial"/>
              </w:rPr>
              <w:instrText xml:space="preserve"> PAGEREF _Toc183777396 \h </w:instrText>
            </w:r>
            <w:r w:rsidR="00C5015B" w:rsidRPr="00A134A7">
              <w:rPr>
                <w:rFonts w:cs="Arial"/>
              </w:rPr>
            </w:r>
            <w:r w:rsidR="00C5015B" w:rsidRPr="00A134A7">
              <w:rPr>
                <w:rFonts w:cs="Arial"/>
              </w:rPr>
              <w:fldChar w:fldCharType="separate"/>
            </w:r>
            <w:r w:rsidR="003870A0">
              <w:rPr>
                <w:rFonts w:cs="Arial"/>
                <w:noProof/>
              </w:rPr>
              <w:t>77</w:t>
            </w:r>
            <w:r w:rsidR="00C5015B" w:rsidRPr="00A134A7">
              <w:rPr>
                <w:rFonts w:cs="Arial"/>
              </w:rPr>
              <w:fldChar w:fldCharType="end"/>
            </w:r>
          </w:hyperlink>
        </w:p>
        <w:p w14:paraId="3CD8061C" w14:textId="5940F7E7" w:rsidR="0020292F" w:rsidRPr="005D74D1" w:rsidRDefault="0020292F" w:rsidP="0020292F">
          <w:pPr>
            <w:rPr>
              <w:rFonts w:cs="Arial"/>
            </w:rPr>
          </w:pPr>
          <w:r w:rsidRPr="005D74D1">
            <w:rPr>
              <w:rFonts w:cs="Arial"/>
              <w:bCs/>
            </w:rPr>
            <w:fldChar w:fldCharType="end"/>
          </w:r>
        </w:p>
      </w:sdtContent>
    </w:sdt>
    <w:bookmarkStart w:id="24" w:name="_Toc183777346" w:displacedByCustomXml="next"/>
    <w:bookmarkStart w:id="25" w:name="_Toc147329309" w:displacedByCustomXml="next"/>
    <w:sdt>
      <w:sdtPr>
        <w:rPr>
          <w:rFonts w:ascii="Arial" w:hAnsi="Arial" w:cs="Arial"/>
          <w:b w:val="0"/>
          <w:color w:val="auto"/>
          <w:sz w:val="20"/>
        </w:rPr>
        <w:alias w:val="Table of tables"/>
        <w:tag w:val="Table of tables"/>
        <w:id w:val="711232997"/>
        <w:placeholder>
          <w:docPart w:val="195C927C45684147BCAAC3D5F76068D4"/>
        </w:placeholder>
        <w:docPartList>
          <w:docPartGallery w:val="Custom 5"/>
          <w:docPartCategory w:val="Tables"/>
        </w:docPartList>
      </w:sdtPr>
      <w:sdtContent>
        <w:p w14:paraId="466F2E9F" w14:textId="77777777" w:rsidR="00341A74" w:rsidRPr="00A134A7" w:rsidRDefault="00341A74" w:rsidP="00245369">
          <w:pPr>
            <w:pStyle w:val="TOCHeading"/>
            <w:rPr>
              <w:rFonts w:ascii="Arial" w:hAnsi="Arial" w:cs="Arial"/>
            </w:rPr>
          </w:pPr>
          <w:r w:rsidRPr="00A134A7">
            <w:rPr>
              <w:rFonts w:ascii="Arial" w:hAnsi="Arial" w:cs="Arial"/>
            </w:rPr>
            <w:t>Tables</w:t>
          </w:r>
          <w:bookmarkEnd w:id="25"/>
          <w:bookmarkEnd w:id="24"/>
        </w:p>
        <w:p w14:paraId="4BBB6743" w14:textId="5C9EABF3" w:rsidR="002A2747" w:rsidRDefault="00EE08AA">
          <w:pPr>
            <w:pStyle w:val="TOC4"/>
            <w:rPr>
              <w:rFonts w:asciiTheme="minorHAnsi" w:hAnsiTheme="minorHAnsi"/>
              <w:noProof/>
              <w:kern w:val="2"/>
              <w:sz w:val="22"/>
              <w:szCs w:val="22"/>
              <w14:ligatures w14:val="standardContextual"/>
            </w:rPr>
          </w:pPr>
          <w:r w:rsidRPr="005D74D1">
            <w:rPr>
              <w:rFonts w:cs="Arial"/>
              <w:sz w:val="16"/>
              <w:lang w:val="en-AU"/>
            </w:rPr>
            <w:fldChar w:fldCharType="begin"/>
          </w:r>
          <w:r w:rsidRPr="005D74D1">
            <w:rPr>
              <w:rFonts w:cs="Arial"/>
              <w:lang w:val="en-AU"/>
            </w:rPr>
            <w:instrText xml:space="preserve"> TOC \h \t "Table Caption,4" </w:instrText>
          </w:r>
          <w:r w:rsidRPr="005D74D1">
            <w:rPr>
              <w:rFonts w:cs="Arial"/>
              <w:sz w:val="16"/>
              <w:lang w:val="en-AU"/>
            </w:rPr>
            <w:fldChar w:fldCharType="separate"/>
          </w:r>
          <w:hyperlink w:anchor="_Toc184904988" w:history="1">
            <w:r w:rsidR="002A2747" w:rsidRPr="00A16EFF">
              <w:rPr>
                <w:rStyle w:val="Hyperlink"/>
                <w:rFonts w:cs="Arial"/>
                <w:noProof/>
              </w:rPr>
              <w:t>Table 1. Definitions of the EC objectives</w:t>
            </w:r>
            <w:r w:rsidR="002A2747">
              <w:rPr>
                <w:noProof/>
              </w:rPr>
              <w:tab/>
            </w:r>
            <w:r w:rsidR="002A2747">
              <w:rPr>
                <w:noProof/>
              </w:rPr>
              <w:fldChar w:fldCharType="begin"/>
            </w:r>
            <w:r w:rsidR="002A2747">
              <w:rPr>
                <w:noProof/>
              </w:rPr>
              <w:instrText xml:space="preserve"> PAGEREF _Toc184904988 \h </w:instrText>
            </w:r>
            <w:r w:rsidR="002A2747">
              <w:rPr>
                <w:noProof/>
              </w:rPr>
            </w:r>
            <w:r w:rsidR="002A2747">
              <w:rPr>
                <w:noProof/>
              </w:rPr>
              <w:fldChar w:fldCharType="separate"/>
            </w:r>
            <w:r w:rsidR="003870A0">
              <w:rPr>
                <w:noProof/>
              </w:rPr>
              <w:t>1</w:t>
            </w:r>
            <w:r w:rsidR="002A2747">
              <w:rPr>
                <w:noProof/>
              </w:rPr>
              <w:fldChar w:fldCharType="end"/>
            </w:r>
          </w:hyperlink>
        </w:p>
        <w:p w14:paraId="6F7553D2" w14:textId="3E1EA4DB" w:rsidR="002A2747" w:rsidRDefault="002A2747">
          <w:pPr>
            <w:pStyle w:val="TOC4"/>
            <w:rPr>
              <w:rFonts w:asciiTheme="minorHAnsi" w:hAnsiTheme="minorHAnsi"/>
              <w:noProof/>
              <w:kern w:val="2"/>
              <w:sz w:val="22"/>
              <w:szCs w:val="22"/>
              <w14:ligatures w14:val="standardContextual"/>
            </w:rPr>
          </w:pPr>
          <w:hyperlink w:anchor="_Toc184904989" w:history="1">
            <w:r w:rsidRPr="00A16EFF">
              <w:rPr>
                <w:rStyle w:val="Hyperlink"/>
                <w:rFonts w:cs="Arial"/>
                <w:noProof/>
              </w:rPr>
              <w:t>Table 2. Focus of the evaluations</w:t>
            </w:r>
            <w:r>
              <w:rPr>
                <w:noProof/>
              </w:rPr>
              <w:tab/>
            </w:r>
            <w:r>
              <w:rPr>
                <w:noProof/>
              </w:rPr>
              <w:fldChar w:fldCharType="begin"/>
            </w:r>
            <w:r>
              <w:rPr>
                <w:noProof/>
              </w:rPr>
              <w:instrText xml:space="preserve"> PAGEREF _Toc184904989 \h </w:instrText>
            </w:r>
            <w:r>
              <w:rPr>
                <w:noProof/>
              </w:rPr>
            </w:r>
            <w:r>
              <w:rPr>
                <w:noProof/>
              </w:rPr>
              <w:fldChar w:fldCharType="separate"/>
            </w:r>
            <w:r w:rsidR="003870A0">
              <w:rPr>
                <w:noProof/>
              </w:rPr>
              <w:t>2</w:t>
            </w:r>
            <w:r>
              <w:rPr>
                <w:noProof/>
              </w:rPr>
              <w:fldChar w:fldCharType="end"/>
            </w:r>
          </w:hyperlink>
        </w:p>
        <w:p w14:paraId="031DA15E" w14:textId="01AE2F73" w:rsidR="002A2747" w:rsidRDefault="002A2747">
          <w:pPr>
            <w:pStyle w:val="TOC4"/>
            <w:rPr>
              <w:rFonts w:asciiTheme="minorHAnsi" w:hAnsiTheme="minorHAnsi"/>
              <w:noProof/>
              <w:kern w:val="2"/>
              <w:sz w:val="22"/>
              <w:szCs w:val="22"/>
              <w14:ligatures w14:val="standardContextual"/>
            </w:rPr>
          </w:pPr>
          <w:hyperlink w:anchor="_Toc184904990" w:history="1">
            <w:r w:rsidRPr="00A16EFF">
              <w:rPr>
                <w:rStyle w:val="Hyperlink"/>
                <w:rFonts w:cs="Arial"/>
                <w:noProof/>
              </w:rPr>
              <w:t>Table 3. Contributions to EC from revenue of Victorian water corporations</w:t>
            </w:r>
            <w:r>
              <w:rPr>
                <w:noProof/>
              </w:rPr>
              <w:tab/>
            </w:r>
            <w:r>
              <w:rPr>
                <w:noProof/>
              </w:rPr>
              <w:fldChar w:fldCharType="begin"/>
            </w:r>
            <w:r>
              <w:rPr>
                <w:noProof/>
              </w:rPr>
              <w:instrText xml:space="preserve"> PAGEREF _Toc184904990 \h </w:instrText>
            </w:r>
            <w:r>
              <w:rPr>
                <w:noProof/>
              </w:rPr>
            </w:r>
            <w:r>
              <w:rPr>
                <w:noProof/>
              </w:rPr>
              <w:fldChar w:fldCharType="separate"/>
            </w:r>
            <w:r w:rsidR="003870A0">
              <w:rPr>
                <w:noProof/>
              </w:rPr>
              <w:t>5</w:t>
            </w:r>
            <w:r>
              <w:rPr>
                <w:noProof/>
              </w:rPr>
              <w:fldChar w:fldCharType="end"/>
            </w:r>
          </w:hyperlink>
        </w:p>
        <w:p w14:paraId="22C45337" w14:textId="60343CD0" w:rsidR="002A2747" w:rsidRDefault="002A2747">
          <w:pPr>
            <w:pStyle w:val="TOC4"/>
            <w:rPr>
              <w:rFonts w:asciiTheme="minorHAnsi" w:hAnsiTheme="minorHAnsi"/>
              <w:noProof/>
              <w:kern w:val="2"/>
              <w:sz w:val="22"/>
              <w:szCs w:val="22"/>
              <w14:ligatures w14:val="standardContextual"/>
            </w:rPr>
          </w:pPr>
          <w:hyperlink w:anchor="_Toc184904991" w:history="1">
            <w:r w:rsidRPr="00A16EFF">
              <w:rPr>
                <w:rStyle w:val="Hyperlink"/>
                <w:rFonts w:cs="Arial"/>
                <w:noProof/>
              </w:rPr>
              <w:t>Table 4. EC5 expenditure by project (approximate)</w:t>
            </w:r>
            <w:r>
              <w:rPr>
                <w:noProof/>
              </w:rPr>
              <w:tab/>
            </w:r>
            <w:r>
              <w:rPr>
                <w:noProof/>
              </w:rPr>
              <w:fldChar w:fldCharType="begin"/>
            </w:r>
            <w:r>
              <w:rPr>
                <w:noProof/>
              </w:rPr>
              <w:instrText xml:space="preserve"> PAGEREF _Toc184904991 \h </w:instrText>
            </w:r>
            <w:r>
              <w:rPr>
                <w:noProof/>
              </w:rPr>
            </w:r>
            <w:r>
              <w:rPr>
                <w:noProof/>
              </w:rPr>
              <w:fldChar w:fldCharType="separate"/>
            </w:r>
            <w:r w:rsidR="003870A0">
              <w:rPr>
                <w:noProof/>
              </w:rPr>
              <w:t>6</w:t>
            </w:r>
            <w:r>
              <w:rPr>
                <w:noProof/>
              </w:rPr>
              <w:fldChar w:fldCharType="end"/>
            </w:r>
          </w:hyperlink>
        </w:p>
        <w:p w14:paraId="60B92412" w14:textId="64CD388C" w:rsidR="002A2747" w:rsidRDefault="002A2747">
          <w:pPr>
            <w:pStyle w:val="TOC4"/>
            <w:rPr>
              <w:rFonts w:asciiTheme="minorHAnsi" w:hAnsiTheme="minorHAnsi"/>
              <w:noProof/>
              <w:kern w:val="2"/>
              <w:sz w:val="22"/>
              <w:szCs w:val="22"/>
              <w14:ligatures w14:val="standardContextual"/>
            </w:rPr>
          </w:pPr>
          <w:hyperlink w:anchor="_Toc184904992" w:history="1">
            <w:r w:rsidRPr="00A16EFF">
              <w:rPr>
                <w:rStyle w:val="Hyperlink"/>
                <w:rFonts w:cs="Arial"/>
                <w:noProof/>
              </w:rPr>
              <w:t>Table 5. Examples of key outputs from the EC5 investment</w:t>
            </w:r>
            <w:r>
              <w:rPr>
                <w:noProof/>
              </w:rPr>
              <w:tab/>
            </w:r>
            <w:r>
              <w:rPr>
                <w:noProof/>
              </w:rPr>
              <w:fldChar w:fldCharType="begin"/>
            </w:r>
            <w:r>
              <w:rPr>
                <w:noProof/>
              </w:rPr>
              <w:instrText xml:space="preserve"> PAGEREF _Toc184904992 \h </w:instrText>
            </w:r>
            <w:r>
              <w:rPr>
                <w:noProof/>
              </w:rPr>
            </w:r>
            <w:r>
              <w:rPr>
                <w:noProof/>
              </w:rPr>
              <w:fldChar w:fldCharType="separate"/>
            </w:r>
            <w:r w:rsidR="003870A0">
              <w:rPr>
                <w:noProof/>
              </w:rPr>
              <w:t>8</w:t>
            </w:r>
            <w:r>
              <w:rPr>
                <w:noProof/>
              </w:rPr>
              <w:fldChar w:fldCharType="end"/>
            </w:r>
          </w:hyperlink>
        </w:p>
        <w:p w14:paraId="39A9B522" w14:textId="6E597E8E" w:rsidR="002A2747" w:rsidRDefault="002A2747">
          <w:pPr>
            <w:pStyle w:val="TOC4"/>
            <w:rPr>
              <w:rFonts w:asciiTheme="minorHAnsi" w:hAnsiTheme="minorHAnsi"/>
              <w:noProof/>
              <w:kern w:val="2"/>
              <w:sz w:val="22"/>
              <w:szCs w:val="22"/>
              <w14:ligatures w14:val="standardContextual"/>
            </w:rPr>
          </w:pPr>
          <w:hyperlink w:anchor="_Toc184904993" w:history="1">
            <w:r w:rsidRPr="00A16EFF">
              <w:rPr>
                <w:rStyle w:val="Hyperlink"/>
                <w:rFonts w:cs="Arial"/>
                <w:noProof/>
              </w:rPr>
              <w:t>Table 6. Program logic hierarchy of terms and descriptions</w:t>
            </w:r>
            <w:r>
              <w:rPr>
                <w:noProof/>
              </w:rPr>
              <w:tab/>
            </w:r>
            <w:r>
              <w:rPr>
                <w:noProof/>
              </w:rPr>
              <w:fldChar w:fldCharType="begin"/>
            </w:r>
            <w:r>
              <w:rPr>
                <w:noProof/>
              </w:rPr>
              <w:instrText xml:space="preserve"> PAGEREF _Toc184904993 \h </w:instrText>
            </w:r>
            <w:r>
              <w:rPr>
                <w:noProof/>
              </w:rPr>
            </w:r>
            <w:r>
              <w:rPr>
                <w:noProof/>
              </w:rPr>
              <w:fldChar w:fldCharType="separate"/>
            </w:r>
            <w:r w:rsidR="003870A0">
              <w:rPr>
                <w:noProof/>
              </w:rPr>
              <w:t>14</w:t>
            </w:r>
            <w:r>
              <w:rPr>
                <w:noProof/>
              </w:rPr>
              <w:fldChar w:fldCharType="end"/>
            </w:r>
          </w:hyperlink>
        </w:p>
        <w:p w14:paraId="3E96B716" w14:textId="4350A8B4" w:rsidR="002A2747" w:rsidRDefault="002A2747">
          <w:pPr>
            <w:pStyle w:val="TOC4"/>
            <w:rPr>
              <w:rFonts w:asciiTheme="minorHAnsi" w:hAnsiTheme="minorHAnsi"/>
              <w:noProof/>
              <w:kern w:val="2"/>
              <w:sz w:val="22"/>
              <w:szCs w:val="22"/>
              <w14:ligatures w14:val="standardContextual"/>
            </w:rPr>
          </w:pPr>
          <w:hyperlink w:anchor="_Toc184904994" w:history="1">
            <w:r w:rsidRPr="00A16EFF">
              <w:rPr>
                <w:rStyle w:val="Hyperlink"/>
                <w:rFonts w:cs="Arial"/>
                <w:noProof/>
              </w:rPr>
              <w:t>Table 7. KEQs and associated sub-questions</w:t>
            </w:r>
            <w:r>
              <w:rPr>
                <w:noProof/>
              </w:rPr>
              <w:tab/>
            </w:r>
            <w:r>
              <w:rPr>
                <w:noProof/>
              </w:rPr>
              <w:fldChar w:fldCharType="begin"/>
            </w:r>
            <w:r>
              <w:rPr>
                <w:noProof/>
              </w:rPr>
              <w:instrText xml:space="preserve"> PAGEREF _Toc184904994 \h </w:instrText>
            </w:r>
            <w:r>
              <w:rPr>
                <w:noProof/>
              </w:rPr>
            </w:r>
            <w:r>
              <w:rPr>
                <w:noProof/>
              </w:rPr>
              <w:fldChar w:fldCharType="separate"/>
            </w:r>
            <w:r w:rsidR="003870A0">
              <w:rPr>
                <w:noProof/>
              </w:rPr>
              <w:t>16</w:t>
            </w:r>
            <w:r>
              <w:rPr>
                <w:noProof/>
              </w:rPr>
              <w:fldChar w:fldCharType="end"/>
            </w:r>
          </w:hyperlink>
        </w:p>
        <w:p w14:paraId="36FAA9C0" w14:textId="1DD413C9" w:rsidR="002A2747" w:rsidRDefault="002A2747">
          <w:pPr>
            <w:pStyle w:val="TOC4"/>
            <w:rPr>
              <w:rFonts w:asciiTheme="minorHAnsi" w:hAnsiTheme="minorHAnsi"/>
              <w:noProof/>
              <w:kern w:val="2"/>
              <w:sz w:val="22"/>
              <w:szCs w:val="22"/>
              <w14:ligatures w14:val="standardContextual"/>
            </w:rPr>
          </w:pPr>
          <w:hyperlink w:anchor="_Toc184904995" w:history="1">
            <w:r w:rsidRPr="00A16EFF">
              <w:rPr>
                <w:rStyle w:val="Hyperlink"/>
                <w:rFonts w:cs="Arial"/>
                <w:noProof/>
              </w:rPr>
              <w:t>Table 8. Summary of what worked well and key areas for improvement for delivery of EC5</w:t>
            </w:r>
            <w:r>
              <w:rPr>
                <w:noProof/>
              </w:rPr>
              <w:tab/>
            </w:r>
            <w:r>
              <w:rPr>
                <w:noProof/>
              </w:rPr>
              <w:fldChar w:fldCharType="begin"/>
            </w:r>
            <w:r>
              <w:rPr>
                <w:noProof/>
              </w:rPr>
              <w:instrText xml:space="preserve"> PAGEREF _Toc184904995 \h </w:instrText>
            </w:r>
            <w:r>
              <w:rPr>
                <w:noProof/>
              </w:rPr>
            </w:r>
            <w:r>
              <w:rPr>
                <w:noProof/>
              </w:rPr>
              <w:fldChar w:fldCharType="separate"/>
            </w:r>
            <w:r w:rsidR="003870A0">
              <w:rPr>
                <w:noProof/>
              </w:rPr>
              <w:t>50</w:t>
            </w:r>
            <w:r>
              <w:rPr>
                <w:noProof/>
              </w:rPr>
              <w:fldChar w:fldCharType="end"/>
            </w:r>
          </w:hyperlink>
        </w:p>
        <w:p w14:paraId="494EEDA9" w14:textId="7F41905B" w:rsidR="002A2747" w:rsidRDefault="002A2747">
          <w:pPr>
            <w:pStyle w:val="TOC4"/>
            <w:rPr>
              <w:rFonts w:asciiTheme="minorHAnsi" w:hAnsiTheme="minorHAnsi"/>
              <w:noProof/>
              <w:kern w:val="2"/>
              <w:sz w:val="22"/>
              <w:szCs w:val="22"/>
              <w14:ligatures w14:val="standardContextual"/>
            </w:rPr>
          </w:pPr>
          <w:hyperlink w:anchor="_Toc184904996" w:history="1">
            <w:r w:rsidRPr="00A16EFF">
              <w:rPr>
                <w:rStyle w:val="Hyperlink"/>
                <w:rFonts w:cs="Arial"/>
                <w:noProof/>
              </w:rPr>
              <w:t>Table 9. Impacts and adaptive responses from unexpected events</w:t>
            </w:r>
            <w:r>
              <w:rPr>
                <w:noProof/>
              </w:rPr>
              <w:tab/>
            </w:r>
            <w:r>
              <w:rPr>
                <w:noProof/>
              </w:rPr>
              <w:fldChar w:fldCharType="begin"/>
            </w:r>
            <w:r>
              <w:rPr>
                <w:noProof/>
              </w:rPr>
              <w:instrText xml:space="preserve"> PAGEREF _Toc184904996 \h </w:instrText>
            </w:r>
            <w:r>
              <w:rPr>
                <w:noProof/>
              </w:rPr>
            </w:r>
            <w:r>
              <w:rPr>
                <w:noProof/>
              </w:rPr>
              <w:fldChar w:fldCharType="separate"/>
            </w:r>
            <w:r w:rsidR="003870A0">
              <w:rPr>
                <w:noProof/>
              </w:rPr>
              <w:t>53</w:t>
            </w:r>
            <w:r>
              <w:rPr>
                <w:noProof/>
              </w:rPr>
              <w:fldChar w:fldCharType="end"/>
            </w:r>
          </w:hyperlink>
        </w:p>
        <w:p w14:paraId="74004E19" w14:textId="2B5E1077" w:rsidR="002A2747" w:rsidRDefault="002A2747">
          <w:pPr>
            <w:pStyle w:val="TOC4"/>
            <w:rPr>
              <w:rFonts w:asciiTheme="minorHAnsi" w:hAnsiTheme="minorHAnsi"/>
              <w:noProof/>
              <w:kern w:val="2"/>
              <w:sz w:val="22"/>
              <w:szCs w:val="22"/>
              <w14:ligatures w14:val="standardContextual"/>
            </w:rPr>
          </w:pPr>
          <w:hyperlink w:anchor="_Toc184904997" w:history="1">
            <w:r w:rsidRPr="00A16EFF">
              <w:rPr>
                <w:rStyle w:val="Hyperlink"/>
                <w:rFonts w:cs="Arial"/>
                <w:noProof/>
              </w:rPr>
              <w:t>Table 10. Alignment of EC5 with Key State Government Water Strategies</w:t>
            </w:r>
            <w:r>
              <w:rPr>
                <w:noProof/>
              </w:rPr>
              <w:tab/>
            </w:r>
            <w:r>
              <w:rPr>
                <w:noProof/>
              </w:rPr>
              <w:fldChar w:fldCharType="begin"/>
            </w:r>
            <w:r>
              <w:rPr>
                <w:noProof/>
              </w:rPr>
              <w:instrText xml:space="preserve"> PAGEREF _Toc184904997 \h </w:instrText>
            </w:r>
            <w:r>
              <w:rPr>
                <w:noProof/>
              </w:rPr>
            </w:r>
            <w:r>
              <w:rPr>
                <w:noProof/>
              </w:rPr>
              <w:fldChar w:fldCharType="separate"/>
            </w:r>
            <w:r w:rsidR="003870A0">
              <w:rPr>
                <w:noProof/>
              </w:rPr>
              <w:t>59</w:t>
            </w:r>
            <w:r>
              <w:rPr>
                <w:noProof/>
              </w:rPr>
              <w:fldChar w:fldCharType="end"/>
            </w:r>
          </w:hyperlink>
        </w:p>
        <w:p w14:paraId="4AC10FE4" w14:textId="7021DAFF" w:rsidR="002A2747" w:rsidRDefault="002A2747">
          <w:pPr>
            <w:pStyle w:val="TOC4"/>
            <w:rPr>
              <w:rFonts w:asciiTheme="minorHAnsi" w:hAnsiTheme="minorHAnsi"/>
              <w:noProof/>
              <w:kern w:val="2"/>
              <w:sz w:val="22"/>
              <w:szCs w:val="22"/>
              <w14:ligatures w14:val="standardContextual"/>
            </w:rPr>
          </w:pPr>
          <w:hyperlink w:anchor="_Toc184904998" w:history="1">
            <w:r w:rsidRPr="00A16EFF">
              <w:rPr>
                <w:rStyle w:val="Hyperlink"/>
                <w:rFonts w:cs="Arial"/>
                <w:noProof/>
              </w:rPr>
              <w:t>Table 11. Co-investment for EC5 projects</w:t>
            </w:r>
            <w:r>
              <w:rPr>
                <w:noProof/>
              </w:rPr>
              <w:tab/>
            </w:r>
            <w:r>
              <w:rPr>
                <w:noProof/>
              </w:rPr>
              <w:fldChar w:fldCharType="begin"/>
            </w:r>
            <w:r>
              <w:rPr>
                <w:noProof/>
              </w:rPr>
              <w:instrText xml:space="preserve"> PAGEREF _Toc184904998 \h </w:instrText>
            </w:r>
            <w:r>
              <w:rPr>
                <w:noProof/>
              </w:rPr>
            </w:r>
            <w:r>
              <w:rPr>
                <w:noProof/>
              </w:rPr>
              <w:fldChar w:fldCharType="separate"/>
            </w:r>
            <w:r w:rsidR="003870A0">
              <w:rPr>
                <w:noProof/>
              </w:rPr>
              <w:t>65</w:t>
            </w:r>
            <w:r>
              <w:rPr>
                <w:noProof/>
              </w:rPr>
              <w:fldChar w:fldCharType="end"/>
            </w:r>
          </w:hyperlink>
        </w:p>
        <w:p w14:paraId="6B8B6C93" w14:textId="4201D7EE" w:rsidR="002A2747" w:rsidRDefault="002A2747">
          <w:pPr>
            <w:pStyle w:val="TOC4"/>
            <w:rPr>
              <w:rFonts w:asciiTheme="minorHAnsi" w:hAnsiTheme="minorHAnsi"/>
              <w:noProof/>
              <w:kern w:val="2"/>
              <w:sz w:val="22"/>
              <w:szCs w:val="22"/>
              <w14:ligatures w14:val="standardContextual"/>
            </w:rPr>
          </w:pPr>
          <w:hyperlink w:anchor="_Toc184904999" w:history="1">
            <w:r w:rsidRPr="00A16EFF">
              <w:rPr>
                <w:rStyle w:val="Hyperlink"/>
                <w:rFonts w:cs="Arial"/>
                <w:noProof/>
              </w:rPr>
              <w:t>Table 12. Recommendations for continuous improvement of future tranches</w:t>
            </w:r>
            <w:r>
              <w:rPr>
                <w:noProof/>
              </w:rPr>
              <w:tab/>
            </w:r>
            <w:r>
              <w:rPr>
                <w:noProof/>
              </w:rPr>
              <w:fldChar w:fldCharType="begin"/>
            </w:r>
            <w:r>
              <w:rPr>
                <w:noProof/>
              </w:rPr>
              <w:instrText xml:space="preserve"> PAGEREF _Toc184904999 \h </w:instrText>
            </w:r>
            <w:r>
              <w:rPr>
                <w:noProof/>
              </w:rPr>
            </w:r>
            <w:r>
              <w:rPr>
                <w:noProof/>
              </w:rPr>
              <w:fldChar w:fldCharType="separate"/>
            </w:r>
            <w:r w:rsidR="003870A0">
              <w:rPr>
                <w:noProof/>
              </w:rPr>
              <w:t>70</w:t>
            </w:r>
            <w:r>
              <w:rPr>
                <w:noProof/>
              </w:rPr>
              <w:fldChar w:fldCharType="end"/>
            </w:r>
          </w:hyperlink>
        </w:p>
        <w:p w14:paraId="5ED13FEE" w14:textId="45A2D3FC" w:rsidR="002A2747" w:rsidRDefault="002A2747">
          <w:pPr>
            <w:pStyle w:val="TOC4"/>
            <w:rPr>
              <w:rFonts w:asciiTheme="minorHAnsi" w:hAnsiTheme="minorHAnsi"/>
              <w:noProof/>
              <w:kern w:val="2"/>
              <w:sz w:val="22"/>
              <w:szCs w:val="22"/>
              <w14:ligatures w14:val="standardContextual"/>
            </w:rPr>
          </w:pPr>
          <w:hyperlink w:anchor="_Toc184905000" w:history="1">
            <w:r w:rsidRPr="00A16EFF">
              <w:rPr>
                <w:rStyle w:val="Hyperlink"/>
                <w:rFonts w:cs="Arial"/>
                <w:noProof/>
              </w:rPr>
              <w:t xml:space="preserve">Table 13. Summary of </w:t>
            </w:r>
            <w:r w:rsidRPr="00A16EFF">
              <w:rPr>
                <w:rStyle w:val="Hyperlink"/>
                <w:rFonts w:cs="Arial"/>
                <w:bCs/>
                <w:noProof/>
              </w:rPr>
              <w:t>priority areas for future investment</w:t>
            </w:r>
            <w:r>
              <w:rPr>
                <w:noProof/>
              </w:rPr>
              <w:tab/>
            </w:r>
            <w:r>
              <w:rPr>
                <w:noProof/>
              </w:rPr>
              <w:fldChar w:fldCharType="begin"/>
            </w:r>
            <w:r>
              <w:rPr>
                <w:noProof/>
              </w:rPr>
              <w:instrText xml:space="preserve"> PAGEREF _Toc184905000 \h </w:instrText>
            </w:r>
            <w:r>
              <w:rPr>
                <w:noProof/>
              </w:rPr>
            </w:r>
            <w:r>
              <w:rPr>
                <w:noProof/>
              </w:rPr>
              <w:fldChar w:fldCharType="separate"/>
            </w:r>
            <w:r w:rsidR="003870A0">
              <w:rPr>
                <w:noProof/>
              </w:rPr>
              <w:t>72</w:t>
            </w:r>
            <w:r>
              <w:rPr>
                <w:noProof/>
              </w:rPr>
              <w:fldChar w:fldCharType="end"/>
            </w:r>
          </w:hyperlink>
        </w:p>
        <w:p w14:paraId="1E6B70DA" w14:textId="1C8E8978" w:rsidR="0020292F" w:rsidRPr="005D74D1" w:rsidRDefault="00EE08AA" w:rsidP="0020292F">
          <w:pPr>
            <w:rPr>
              <w:rFonts w:cs="Arial"/>
            </w:rPr>
          </w:pPr>
          <w:r w:rsidRPr="005D74D1">
            <w:rPr>
              <w:rFonts w:cs="Arial"/>
              <w:b/>
              <w:bCs/>
            </w:rPr>
            <w:fldChar w:fldCharType="end"/>
          </w:r>
        </w:p>
      </w:sdtContent>
    </w:sdt>
    <w:bookmarkStart w:id="26" w:name="_Toc183777347" w:displacedByCustomXml="next"/>
    <w:bookmarkStart w:id="27" w:name="_Toc147329310" w:displacedByCustomXml="next"/>
    <w:sdt>
      <w:sdtPr>
        <w:rPr>
          <w:rFonts w:ascii="Arial" w:hAnsi="Arial" w:cs="Arial"/>
          <w:b w:val="0"/>
          <w:color w:val="auto"/>
          <w:sz w:val="20"/>
        </w:rPr>
        <w:alias w:val="Table of figures"/>
        <w:tag w:val="Table of figures"/>
        <w:id w:val="-519778155"/>
        <w:placeholder>
          <w:docPart w:val="195C927C45684147BCAAC3D5F76068D4"/>
        </w:placeholder>
        <w:docPartList>
          <w:docPartGallery w:val="Custom 5"/>
          <w:docPartCategory w:val="Figures"/>
        </w:docPartList>
      </w:sdtPr>
      <w:sdtContent>
        <w:p w14:paraId="1AD516D7" w14:textId="77777777" w:rsidR="00341A74" w:rsidRPr="00A134A7" w:rsidRDefault="00341A74" w:rsidP="00FF086F">
          <w:pPr>
            <w:pStyle w:val="TOCHeading"/>
            <w:rPr>
              <w:rFonts w:ascii="Arial" w:hAnsi="Arial" w:cs="Arial"/>
              <w:sz w:val="24"/>
            </w:rPr>
          </w:pPr>
          <w:r w:rsidRPr="00A134A7">
            <w:rPr>
              <w:rFonts w:ascii="Arial" w:hAnsi="Arial" w:cs="Arial"/>
            </w:rPr>
            <w:t>Figures</w:t>
          </w:r>
          <w:bookmarkEnd w:id="27"/>
          <w:bookmarkEnd w:id="26"/>
        </w:p>
        <w:p w14:paraId="2A4DE358" w14:textId="4DC4CEA6" w:rsidR="001D669C" w:rsidRPr="00A134A7" w:rsidRDefault="00EE08AA">
          <w:pPr>
            <w:pStyle w:val="TOC4"/>
            <w:rPr>
              <w:rFonts w:cs="Arial"/>
              <w:kern w:val="2"/>
              <w:sz w:val="22"/>
              <w:szCs w:val="22"/>
              <w:lang w:val="en-AU"/>
              <w14:ligatures w14:val="standardContextual"/>
            </w:rPr>
          </w:pPr>
          <w:r w:rsidRPr="005D74D1">
            <w:rPr>
              <w:rFonts w:cs="Arial"/>
              <w:sz w:val="16"/>
              <w:lang w:val="en-AU"/>
            </w:rPr>
            <w:fldChar w:fldCharType="begin"/>
          </w:r>
          <w:r w:rsidRPr="005D74D1">
            <w:rPr>
              <w:rFonts w:cs="Arial"/>
              <w:lang w:val="en-AU"/>
            </w:rPr>
            <w:instrText xml:space="preserve"> TOC \h \t "Figure Caption,4" </w:instrText>
          </w:r>
          <w:r w:rsidRPr="005D74D1">
            <w:rPr>
              <w:rFonts w:cs="Arial"/>
              <w:sz w:val="16"/>
              <w:lang w:val="en-AU"/>
            </w:rPr>
            <w:fldChar w:fldCharType="separate"/>
          </w:r>
          <w:hyperlink w:anchor="_Toc183776651" w:history="1">
            <w:r w:rsidR="001D669C" w:rsidRPr="00A134A7">
              <w:rPr>
                <w:rStyle w:val="Hyperlink"/>
                <w:rFonts w:cs="Arial"/>
                <w:lang w:val="en-AU"/>
              </w:rPr>
              <w:t>Figure 1. Process for the EC5 evaluation</w:t>
            </w:r>
            <w:r w:rsidR="001D669C" w:rsidRPr="00A134A7">
              <w:rPr>
                <w:rFonts w:cs="Arial"/>
                <w:lang w:val="en-AU"/>
              </w:rPr>
              <w:tab/>
            </w:r>
            <w:r w:rsidR="001D669C" w:rsidRPr="00A134A7">
              <w:rPr>
                <w:rFonts w:cs="Arial"/>
                <w:lang w:val="en-AU"/>
              </w:rPr>
              <w:fldChar w:fldCharType="begin"/>
            </w:r>
            <w:r w:rsidR="001D669C" w:rsidRPr="00A134A7">
              <w:rPr>
                <w:rFonts w:cs="Arial"/>
                <w:lang w:val="en-AU"/>
              </w:rPr>
              <w:instrText xml:space="preserve"> PAGEREF _Toc183776651 \h </w:instrText>
            </w:r>
            <w:r w:rsidR="001D669C" w:rsidRPr="00A134A7">
              <w:rPr>
                <w:rFonts w:cs="Arial"/>
                <w:lang w:val="en-AU"/>
              </w:rPr>
            </w:r>
            <w:r w:rsidR="001D669C" w:rsidRPr="00A134A7">
              <w:rPr>
                <w:rFonts w:cs="Arial"/>
                <w:lang w:val="en-AU"/>
              </w:rPr>
              <w:fldChar w:fldCharType="separate"/>
            </w:r>
            <w:r w:rsidR="003870A0">
              <w:rPr>
                <w:rFonts w:cs="Arial"/>
                <w:noProof/>
                <w:lang w:val="en-AU"/>
              </w:rPr>
              <w:t>14</w:t>
            </w:r>
            <w:r w:rsidR="001D669C" w:rsidRPr="00A134A7">
              <w:rPr>
                <w:rFonts w:cs="Arial"/>
                <w:lang w:val="en-AU"/>
              </w:rPr>
              <w:fldChar w:fldCharType="end"/>
            </w:r>
          </w:hyperlink>
        </w:p>
        <w:p w14:paraId="09176444" w14:textId="1DB9DBBB" w:rsidR="001D669C" w:rsidRPr="00A134A7" w:rsidRDefault="00000000">
          <w:pPr>
            <w:pStyle w:val="TOC4"/>
            <w:rPr>
              <w:rFonts w:cs="Arial"/>
              <w:kern w:val="2"/>
              <w:sz w:val="22"/>
              <w:szCs w:val="22"/>
              <w:lang w:val="en-AU"/>
              <w14:ligatures w14:val="standardContextual"/>
            </w:rPr>
          </w:pPr>
          <w:hyperlink w:anchor="_Toc183776652" w:history="1">
            <w:r w:rsidR="001D669C" w:rsidRPr="00A134A7">
              <w:rPr>
                <w:rStyle w:val="Hyperlink"/>
                <w:rFonts w:cs="Arial"/>
                <w:lang w:val="en-AU"/>
              </w:rPr>
              <w:t>Figure 2. Program logic for EC5 Evaluation</w:t>
            </w:r>
            <w:r w:rsidR="001D669C" w:rsidRPr="00A134A7">
              <w:rPr>
                <w:rFonts w:cs="Arial"/>
                <w:lang w:val="en-AU"/>
              </w:rPr>
              <w:tab/>
            </w:r>
            <w:r w:rsidR="001D669C" w:rsidRPr="00A134A7">
              <w:rPr>
                <w:rFonts w:cs="Arial"/>
                <w:lang w:val="en-AU"/>
              </w:rPr>
              <w:fldChar w:fldCharType="begin"/>
            </w:r>
            <w:r w:rsidR="001D669C" w:rsidRPr="00A134A7">
              <w:rPr>
                <w:rFonts w:cs="Arial"/>
                <w:lang w:val="en-AU"/>
              </w:rPr>
              <w:instrText xml:space="preserve"> PAGEREF _Toc183776652 \h </w:instrText>
            </w:r>
            <w:r w:rsidR="001D669C" w:rsidRPr="00A134A7">
              <w:rPr>
                <w:rFonts w:cs="Arial"/>
                <w:lang w:val="en-AU"/>
              </w:rPr>
            </w:r>
            <w:r w:rsidR="001D669C" w:rsidRPr="00A134A7">
              <w:rPr>
                <w:rFonts w:cs="Arial"/>
                <w:lang w:val="en-AU"/>
              </w:rPr>
              <w:fldChar w:fldCharType="separate"/>
            </w:r>
            <w:r w:rsidR="003870A0">
              <w:rPr>
                <w:rFonts w:cs="Arial"/>
                <w:noProof/>
                <w:lang w:val="en-AU"/>
              </w:rPr>
              <w:t>15</w:t>
            </w:r>
            <w:r w:rsidR="001D669C" w:rsidRPr="00A134A7">
              <w:rPr>
                <w:rFonts w:cs="Arial"/>
                <w:lang w:val="en-AU"/>
              </w:rPr>
              <w:fldChar w:fldCharType="end"/>
            </w:r>
          </w:hyperlink>
        </w:p>
        <w:p w14:paraId="616E2824" w14:textId="77B48D68" w:rsidR="001D669C" w:rsidRPr="00A134A7" w:rsidRDefault="00000000">
          <w:pPr>
            <w:pStyle w:val="TOC4"/>
            <w:rPr>
              <w:rFonts w:cs="Arial"/>
              <w:kern w:val="2"/>
              <w:sz w:val="22"/>
              <w:szCs w:val="22"/>
              <w:lang w:val="en-AU"/>
              <w14:ligatures w14:val="standardContextual"/>
            </w:rPr>
          </w:pPr>
          <w:hyperlink w:anchor="_Toc183776653" w:history="1">
            <w:r w:rsidR="001D669C" w:rsidRPr="00A134A7">
              <w:rPr>
                <w:rStyle w:val="Hyperlink"/>
                <w:rFonts w:cs="Arial"/>
                <w:lang w:val="en-AU"/>
              </w:rPr>
              <w:t>Figure 3. Performance assessment scales</w:t>
            </w:r>
            <w:r w:rsidR="001D669C" w:rsidRPr="00A134A7">
              <w:rPr>
                <w:rFonts w:cs="Arial"/>
                <w:lang w:val="en-AU"/>
              </w:rPr>
              <w:tab/>
            </w:r>
            <w:r w:rsidR="001D669C" w:rsidRPr="00A134A7">
              <w:rPr>
                <w:rFonts w:cs="Arial"/>
                <w:lang w:val="en-AU"/>
              </w:rPr>
              <w:fldChar w:fldCharType="begin"/>
            </w:r>
            <w:r w:rsidR="001D669C" w:rsidRPr="00A134A7">
              <w:rPr>
                <w:rFonts w:cs="Arial"/>
                <w:lang w:val="en-AU"/>
              </w:rPr>
              <w:instrText xml:space="preserve"> PAGEREF _Toc183776653 \h </w:instrText>
            </w:r>
            <w:r w:rsidR="001D669C" w:rsidRPr="00A134A7">
              <w:rPr>
                <w:rFonts w:cs="Arial"/>
                <w:lang w:val="en-AU"/>
              </w:rPr>
            </w:r>
            <w:r w:rsidR="001D669C" w:rsidRPr="00A134A7">
              <w:rPr>
                <w:rFonts w:cs="Arial"/>
                <w:lang w:val="en-AU"/>
              </w:rPr>
              <w:fldChar w:fldCharType="separate"/>
            </w:r>
            <w:r w:rsidR="003870A0">
              <w:rPr>
                <w:rFonts w:cs="Arial"/>
                <w:noProof/>
                <w:lang w:val="en-AU"/>
              </w:rPr>
              <w:t>17</w:t>
            </w:r>
            <w:r w:rsidR="001D669C" w:rsidRPr="00A134A7">
              <w:rPr>
                <w:rFonts w:cs="Arial"/>
                <w:lang w:val="en-AU"/>
              </w:rPr>
              <w:fldChar w:fldCharType="end"/>
            </w:r>
          </w:hyperlink>
        </w:p>
        <w:p w14:paraId="5A06EA0F" w14:textId="2E99EAC7" w:rsidR="001D669C" w:rsidRPr="00A134A7" w:rsidRDefault="00000000">
          <w:pPr>
            <w:pStyle w:val="TOC4"/>
            <w:rPr>
              <w:rFonts w:cs="Arial"/>
              <w:kern w:val="2"/>
              <w:sz w:val="22"/>
              <w:szCs w:val="22"/>
              <w:lang w:val="en-AU"/>
              <w14:ligatures w14:val="standardContextual"/>
            </w:rPr>
          </w:pPr>
          <w:hyperlink w:anchor="_Toc183776654" w:history="1">
            <w:r w:rsidR="001D669C" w:rsidRPr="00A134A7">
              <w:rPr>
                <w:rStyle w:val="Hyperlink"/>
                <w:rFonts w:cs="Arial"/>
                <w:lang w:val="en-AU"/>
              </w:rPr>
              <w:t>Figure 4. Numbers of partnerships developed with various stakeholders throughout the EC5</w:t>
            </w:r>
            <w:r w:rsidR="001D669C" w:rsidRPr="00A134A7">
              <w:rPr>
                <w:rFonts w:cs="Arial"/>
                <w:lang w:val="en-AU"/>
              </w:rPr>
              <w:tab/>
            </w:r>
            <w:r w:rsidR="001D669C" w:rsidRPr="00A134A7">
              <w:rPr>
                <w:rFonts w:cs="Arial"/>
                <w:lang w:val="en-AU"/>
              </w:rPr>
              <w:fldChar w:fldCharType="begin"/>
            </w:r>
            <w:r w:rsidR="001D669C" w:rsidRPr="00A134A7">
              <w:rPr>
                <w:rFonts w:cs="Arial"/>
                <w:lang w:val="en-AU"/>
              </w:rPr>
              <w:instrText xml:space="preserve"> PAGEREF _Toc183776654 \h </w:instrText>
            </w:r>
            <w:r w:rsidR="001D669C" w:rsidRPr="00A134A7">
              <w:rPr>
                <w:rFonts w:cs="Arial"/>
                <w:lang w:val="en-AU"/>
              </w:rPr>
            </w:r>
            <w:r w:rsidR="001D669C" w:rsidRPr="00A134A7">
              <w:rPr>
                <w:rFonts w:cs="Arial"/>
                <w:lang w:val="en-AU"/>
              </w:rPr>
              <w:fldChar w:fldCharType="separate"/>
            </w:r>
            <w:r w:rsidR="003870A0">
              <w:rPr>
                <w:rFonts w:cs="Arial"/>
                <w:noProof/>
                <w:lang w:val="en-AU"/>
              </w:rPr>
              <w:t>54</w:t>
            </w:r>
            <w:r w:rsidR="001D669C" w:rsidRPr="00A134A7">
              <w:rPr>
                <w:rFonts w:cs="Arial"/>
                <w:lang w:val="en-AU"/>
              </w:rPr>
              <w:fldChar w:fldCharType="end"/>
            </w:r>
          </w:hyperlink>
        </w:p>
        <w:p w14:paraId="75412400" w14:textId="564E1A63" w:rsidR="0020292F" w:rsidRPr="005D74D1" w:rsidRDefault="00EE08AA" w:rsidP="0020292F">
          <w:pPr>
            <w:rPr>
              <w:rFonts w:cs="Arial"/>
            </w:rPr>
          </w:pPr>
          <w:r w:rsidRPr="005D74D1">
            <w:rPr>
              <w:rFonts w:cs="Arial"/>
              <w:b/>
              <w:bCs/>
            </w:rPr>
            <w:lastRenderedPageBreak/>
            <w:fldChar w:fldCharType="end"/>
          </w:r>
        </w:p>
      </w:sdtContent>
    </w:sdt>
    <w:p w14:paraId="77316220" w14:textId="2C997CA1" w:rsidR="00F357B6" w:rsidRPr="005D74D1" w:rsidRDefault="00F32340" w:rsidP="00E13B7E">
      <w:pPr>
        <w:pStyle w:val="Headingunnumbered1"/>
        <w:rPr>
          <w:rFonts w:cs="Arial"/>
        </w:rPr>
      </w:pPr>
      <w:bookmarkStart w:id="28" w:name="_Toc147329311"/>
      <w:bookmarkStart w:id="29" w:name="_Toc183777348"/>
      <w:bookmarkStart w:id="30" w:name="_Toc42856228"/>
      <w:bookmarkStart w:id="31" w:name="_Toc42856071"/>
      <w:bookmarkStart w:id="32" w:name="_Toc41900238"/>
      <w:bookmarkStart w:id="33" w:name="_Toc41573219"/>
      <w:bookmarkEnd w:id="11"/>
      <w:r w:rsidRPr="005D74D1">
        <w:rPr>
          <w:rFonts w:cs="Arial"/>
        </w:rPr>
        <w:t xml:space="preserve">Acronyms and </w:t>
      </w:r>
      <w:r w:rsidR="00CA5F87" w:rsidRPr="005D74D1">
        <w:rPr>
          <w:rFonts w:cs="Arial"/>
        </w:rPr>
        <w:t>a</w:t>
      </w:r>
      <w:r w:rsidR="00D24F6E" w:rsidRPr="005D74D1">
        <w:rPr>
          <w:rFonts w:cs="Arial"/>
        </w:rPr>
        <w:t>bbreviations</w:t>
      </w:r>
      <w:bookmarkEnd w:id="28"/>
      <w:bookmarkEnd w:id="29"/>
    </w:p>
    <w:tbl>
      <w:tblPr>
        <w:tblW w:w="5000" w:type="pct"/>
        <w:tblBorders>
          <w:top w:val="single" w:sz="4" w:space="0" w:color="231EDC" w:themeColor="accent1"/>
          <w:left w:val="single" w:sz="4" w:space="0" w:color="231EDC" w:themeColor="accent1"/>
          <w:bottom w:val="single" w:sz="4" w:space="0" w:color="231EDC" w:themeColor="accent1"/>
          <w:right w:val="single" w:sz="4" w:space="0" w:color="231EDC" w:themeColor="accent1"/>
          <w:insideH w:val="single" w:sz="4" w:space="0" w:color="231EDC" w:themeColor="accent1"/>
          <w:insideV w:val="single" w:sz="4" w:space="0" w:color="231EDC" w:themeColor="accent1"/>
        </w:tblBorders>
        <w:tblLook w:val="04A0" w:firstRow="1" w:lastRow="0" w:firstColumn="1" w:lastColumn="0" w:noHBand="0" w:noVBand="1"/>
      </w:tblPr>
      <w:tblGrid>
        <w:gridCol w:w="1435"/>
        <w:gridCol w:w="8193"/>
      </w:tblGrid>
      <w:tr w:rsidR="00075A4D" w:rsidRPr="005D74D1" w14:paraId="2003F461" w14:textId="77777777" w:rsidTr="00140664">
        <w:trPr>
          <w:tblHeader/>
        </w:trPr>
        <w:tc>
          <w:tcPr>
            <w:tcW w:w="745" w:type="pct"/>
            <w:shd w:val="clear" w:color="auto" w:fill="231EDC" w:themeFill="accent1"/>
          </w:tcPr>
          <w:p w14:paraId="32ECAEEA" w14:textId="77777777" w:rsidR="00075A4D" w:rsidRPr="005D74D1" w:rsidRDefault="00075A4D" w:rsidP="00AC2C28">
            <w:pPr>
              <w:pStyle w:val="TableHeadingWhite"/>
              <w:rPr>
                <w:rFonts w:cs="Arial"/>
              </w:rPr>
            </w:pPr>
            <w:r w:rsidRPr="005D74D1">
              <w:rPr>
                <w:rFonts w:cs="Arial"/>
              </w:rPr>
              <w:t xml:space="preserve">Acronym </w:t>
            </w:r>
          </w:p>
        </w:tc>
        <w:tc>
          <w:tcPr>
            <w:tcW w:w="4255" w:type="pct"/>
            <w:shd w:val="clear" w:color="auto" w:fill="231EDC" w:themeFill="accent1"/>
          </w:tcPr>
          <w:p w14:paraId="3CFF0F8A" w14:textId="77777777" w:rsidR="00075A4D" w:rsidRPr="005D74D1" w:rsidRDefault="00075A4D" w:rsidP="00AC2C28">
            <w:pPr>
              <w:pStyle w:val="TableHeadingWhite"/>
              <w:rPr>
                <w:rFonts w:cs="Arial"/>
              </w:rPr>
            </w:pPr>
            <w:r w:rsidRPr="005D74D1">
              <w:rPr>
                <w:rFonts w:cs="Arial"/>
              </w:rPr>
              <w:t xml:space="preserve">Definition </w:t>
            </w:r>
          </w:p>
        </w:tc>
      </w:tr>
      <w:tr w:rsidR="00075A4D" w:rsidRPr="005D74D1" w14:paraId="549945CA" w14:textId="77777777" w:rsidTr="00140664">
        <w:trPr>
          <w:trHeight w:val="113"/>
        </w:trPr>
        <w:tc>
          <w:tcPr>
            <w:tcW w:w="745" w:type="pct"/>
          </w:tcPr>
          <w:p w14:paraId="3319937E" w14:textId="77777777" w:rsidR="00075A4D" w:rsidRPr="005D74D1" w:rsidRDefault="00075A4D" w:rsidP="00AC2C28">
            <w:pPr>
              <w:pStyle w:val="TableText"/>
              <w:rPr>
                <w:rFonts w:cs="Arial"/>
              </w:rPr>
            </w:pPr>
            <w:r w:rsidRPr="005D74D1">
              <w:rPr>
                <w:rFonts w:cs="Arial"/>
              </w:rPr>
              <w:t>CGRSWS</w:t>
            </w:r>
          </w:p>
        </w:tc>
        <w:tc>
          <w:tcPr>
            <w:tcW w:w="4255" w:type="pct"/>
          </w:tcPr>
          <w:p w14:paraId="773C0503" w14:textId="77777777" w:rsidR="00075A4D" w:rsidRPr="005D74D1" w:rsidRDefault="00075A4D" w:rsidP="00AC2C28">
            <w:pPr>
              <w:pStyle w:val="TableText"/>
              <w:rPr>
                <w:rFonts w:cs="Arial"/>
              </w:rPr>
            </w:pPr>
            <w:r w:rsidRPr="005D74D1">
              <w:rPr>
                <w:rFonts w:cs="Arial"/>
              </w:rPr>
              <w:t xml:space="preserve">Central and Gippsland Region Sustainable Water Strategy </w:t>
            </w:r>
          </w:p>
        </w:tc>
      </w:tr>
      <w:tr w:rsidR="00075A4D" w:rsidRPr="005D74D1" w14:paraId="3893D703" w14:textId="77777777" w:rsidTr="00140664">
        <w:trPr>
          <w:trHeight w:val="113"/>
        </w:trPr>
        <w:tc>
          <w:tcPr>
            <w:tcW w:w="745" w:type="pct"/>
          </w:tcPr>
          <w:p w14:paraId="17174069" w14:textId="77777777" w:rsidR="00075A4D" w:rsidRPr="005D74D1" w:rsidRDefault="00075A4D" w:rsidP="00AC2C28">
            <w:pPr>
              <w:pStyle w:val="TableText"/>
              <w:rPr>
                <w:rFonts w:cs="Arial"/>
              </w:rPr>
            </w:pPr>
            <w:r w:rsidRPr="005D74D1">
              <w:rPr>
                <w:rFonts w:cs="Arial"/>
              </w:rPr>
              <w:t>CHRP</w:t>
            </w:r>
          </w:p>
        </w:tc>
        <w:tc>
          <w:tcPr>
            <w:tcW w:w="4255" w:type="pct"/>
          </w:tcPr>
          <w:p w14:paraId="720EB071" w14:textId="77777777" w:rsidR="00075A4D" w:rsidRPr="005D74D1" w:rsidRDefault="00075A4D" w:rsidP="00AC2C28">
            <w:pPr>
              <w:pStyle w:val="TableText"/>
              <w:rPr>
                <w:rFonts w:cs="Arial"/>
              </w:rPr>
            </w:pPr>
            <w:r w:rsidRPr="005D74D1">
              <w:rPr>
                <w:rFonts w:cs="Arial"/>
              </w:rPr>
              <w:t>Community Housing Retrofit Program</w:t>
            </w:r>
          </w:p>
        </w:tc>
      </w:tr>
      <w:tr w:rsidR="00075A4D" w:rsidRPr="005D74D1" w14:paraId="098A5376" w14:textId="77777777" w:rsidTr="00140664">
        <w:trPr>
          <w:trHeight w:val="113"/>
        </w:trPr>
        <w:tc>
          <w:tcPr>
            <w:tcW w:w="745" w:type="pct"/>
          </w:tcPr>
          <w:p w14:paraId="1AAC6097" w14:textId="77777777" w:rsidR="00075A4D" w:rsidRPr="005D74D1" w:rsidRDefault="00075A4D" w:rsidP="00AC2C28">
            <w:pPr>
              <w:pStyle w:val="TableText"/>
              <w:rPr>
                <w:rFonts w:cs="Arial"/>
              </w:rPr>
            </w:pPr>
            <w:r w:rsidRPr="005D74D1">
              <w:rPr>
                <w:rFonts w:cs="Arial"/>
              </w:rPr>
              <w:t>CMA</w:t>
            </w:r>
          </w:p>
        </w:tc>
        <w:tc>
          <w:tcPr>
            <w:tcW w:w="4255" w:type="pct"/>
          </w:tcPr>
          <w:p w14:paraId="620233CE" w14:textId="77777777" w:rsidR="00075A4D" w:rsidRPr="005D74D1" w:rsidRDefault="00075A4D" w:rsidP="00AC2C28">
            <w:pPr>
              <w:pStyle w:val="TableText"/>
              <w:rPr>
                <w:rFonts w:cs="Arial"/>
              </w:rPr>
            </w:pPr>
            <w:r w:rsidRPr="005D74D1">
              <w:rPr>
                <w:rFonts w:cs="Arial"/>
              </w:rPr>
              <w:t xml:space="preserve">Catchment Management Authority </w:t>
            </w:r>
          </w:p>
        </w:tc>
      </w:tr>
      <w:tr w:rsidR="00075A4D" w:rsidRPr="005D74D1" w14:paraId="05E95783" w14:textId="77777777" w:rsidTr="00140664">
        <w:trPr>
          <w:trHeight w:val="113"/>
        </w:trPr>
        <w:tc>
          <w:tcPr>
            <w:tcW w:w="745" w:type="pct"/>
          </w:tcPr>
          <w:p w14:paraId="1AB07F61" w14:textId="77777777" w:rsidR="00075A4D" w:rsidRPr="005D74D1" w:rsidRDefault="00075A4D" w:rsidP="00AC2C28">
            <w:pPr>
              <w:pStyle w:val="TableText"/>
              <w:rPr>
                <w:rFonts w:cs="Arial"/>
              </w:rPr>
            </w:pPr>
            <w:r w:rsidRPr="005D74D1">
              <w:rPr>
                <w:rFonts w:cs="Arial"/>
              </w:rPr>
              <w:t>CRP</w:t>
            </w:r>
          </w:p>
        </w:tc>
        <w:tc>
          <w:tcPr>
            <w:tcW w:w="4255" w:type="pct"/>
          </w:tcPr>
          <w:p w14:paraId="001377D8" w14:textId="77777777" w:rsidR="00075A4D" w:rsidRPr="005D74D1" w:rsidRDefault="00075A4D" w:rsidP="00AC2C28">
            <w:pPr>
              <w:pStyle w:val="TableText"/>
              <w:rPr>
                <w:rFonts w:cs="Arial"/>
              </w:rPr>
            </w:pPr>
            <w:r w:rsidRPr="005D74D1">
              <w:rPr>
                <w:rFonts w:cs="Arial"/>
              </w:rPr>
              <w:t>Community Retrofit Program</w:t>
            </w:r>
          </w:p>
        </w:tc>
      </w:tr>
      <w:tr w:rsidR="00890BB3" w:rsidRPr="005D74D1" w14:paraId="13A11805" w14:textId="77777777" w:rsidTr="00140664">
        <w:trPr>
          <w:trHeight w:val="113"/>
        </w:trPr>
        <w:tc>
          <w:tcPr>
            <w:tcW w:w="745" w:type="pct"/>
          </w:tcPr>
          <w:p w14:paraId="4EB848F9" w14:textId="37FE6DC1" w:rsidR="03CBDE00" w:rsidRPr="005D74D1" w:rsidRDefault="29924968" w:rsidP="00AC2C28">
            <w:pPr>
              <w:pStyle w:val="TableText"/>
              <w:rPr>
                <w:rFonts w:cs="Arial"/>
              </w:rPr>
            </w:pPr>
            <w:r w:rsidRPr="005D74D1">
              <w:rPr>
                <w:rFonts w:cs="Arial"/>
              </w:rPr>
              <w:t>CWCT</w:t>
            </w:r>
          </w:p>
        </w:tc>
        <w:tc>
          <w:tcPr>
            <w:tcW w:w="4255" w:type="pct"/>
          </w:tcPr>
          <w:p w14:paraId="4B56C861" w14:textId="724D24C8" w:rsidR="03CBDE00" w:rsidRPr="005D74D1" w:rsidRDefault="29924968" w:rsidP="00AC2C28">
            <w:pPr>
              <w:pStyle w:val="TableText"/>
              <w:rPr>
                <w:rFonts w:cs="Arial"/>
              </w:rPr>
            </w:pPr>
            <w:r w:rsidRPr="005D74D1">
              <w:rPr>
                <w:rFonts w:cs="Arial"/>
              </w:rPr>
              <w:t xml:space="preserve">Catchments, Waterways, Cities </w:t>
            </w:r>
            <w:r w:rsidR="003C4576" w:rsidRPr="005D74D1">
              <w:rPr>
                <w:rFonts w:cs="Arial"/>
              </w:rPr>
              <w:t>and</w:t>
            </w:r>
            <w:r w:rsidRPr="005D74D1">
              <w:rPr>
                <w:rFonts w:cs="Arial"/>
              </w:rPr>
              <w:t xml:space="preserve"> Towns (a division in Water and Catchments group with</w:t>
            </w:r>
            <w:r w:rsidR="1DC2CC28" w:rsidRPr="005D74D1">
              <w:rPr>
                <w:rFonts w:cs="Arial"/>
              </w:rPr>
              <w:t>in DEECA)</w:t>
            </w:r>
          </w:p>
        </w:tc>
      </w:tr>
      <w:tr w:rsidR="00075A4D" w:rsidRPr="005D74D1" w14:paraId="4176409B" w14:textId="77777777" w:rsidTr="00140664">
        <w:trPr>
          <w:trHeight w:val="113"/>
        </w:trPr>
        <w:tc>
          <w:tcPr>
            <w:tcW w:w="745" w:type="pct"/>
          </w:tcPr>
          <w:p w14:paraId="413847E7" w14:textId="77777777" w:rsidR="00075A4D" w:rsidRPr="005D74D1" w:rsidRDefault="00075A4D" w:rsidP="00AC2C28">
            <w:pPr>
              <w:pStyle w:val="TableText"/>
              <w:rPr>
                <w:rFonts w:cs="Arial"/>
              </w:rPr>
            </w:pPr>
            <w:r w:rsidRPr="005D74D1">
              <w:rPr>
                <w:rFonts w:cs="Arial"/>
              </w:rPr>
              <w:t>DEECA</w:t>
            </w:r>
          </w:p>
        </w:tc>
        <w:tc>
          <w:tcPr>
            <w:tcW w:w="4255" w:type="pct"/>
          </w:tcPr>
          <w:p w14:paraId="272B4156" w14:textId="43B8FBFC" w:rsidR="00075A4D" w:rsidRPr="005D74D1" w:rsidRDefault="00075A4D" w:rsidP="00AC2C28">
            <w:pPr>
              <w:pStyle w:val="TableText"/>
              <w:rPr>
                <w:rFonts w:cs="Arial"/>
              </w:rPr>
            </w:pPr>
            <w:r w:rsidRPr="005D74D1">
              <w:rPr>
                <w:rFonts w:cs="Arial"/>
              </w:rPr>
              <w:t xml:space="preserve">Department of Energy, Environment and Climate Action </w:t>
            </w:r>
            <w:r w:rsidR="2F9CFE81" w:rsidRPr="005D74D1">
              <w:rPr>
                <w:rFonts w:cs="Arial"/>
              </w:rPr>
              <w:t>(Victorian Government)</w:t>
            </w:r>
          </w:p>
        </w:tc>
      </w:tr>
      <w:tr w:rsidR="00075A4D" w:rsidRPr="005D74D1" w14:paraId="4CE3BF14" w14:textId="77777777" w:rsidTr="00140664">
        <w:trPr>
          <w:trHeight w:val="113"/>
        </w:trPr>
        <w:tc>
          <w:tcPr>
            <w:tcW w:w="745" w:type="pct"/>
          </w:tcPr>
          <w:p w14:paraId="4805A349" w14:textId="77777777" w:rsidR="00075A4D" w:rsidRPr="005D74D1" w:rsidRDefault="00075A4D" w:rsidP="00AC2C28">
            <w:pPr>
              <w:pStyle w:val="TableText"/>
              <w:rPr>
                <w:rFonts w:cs="Arial"/>
              </w:rPr>
            </w:pPr>
            <w:r w:rsidRPr="005D74D1">
              <w:rPr>
                <w:rFonts w:cs="Arial"/>
              </w:rPr>
              <w:t>EC</w:t>
            </w:r>
          </w:p>
        </w:tc>
        <w:tc>
          <w:tcPr>
            <w:tcW w:w="4255" w:type="pct"/>
          </w:tcPr>
          <w:p w14:paraId="1B55FD51" w14:textId="77777777" w:rsidR="00075A4D" w:rsidRPr="005D74D1" w:rsidRDefault="00075A4D" w:rsidP="00AC2C28">
            <w:pPr>
              <w:pStyle w:val="TableText"/>
              <w:rPr>
                <w:rFonts w:cs="Arial"/>
              </w:rPr>
            </w:pPr>
            <w:r w:rsidRPr="005D74D1">
              <w:rPr>
                <w:rFonts w:cs="Arial"/>
              </w:rPr>
              <w:t xml:space="preserve">Environmental Contribution </w:t>
            </w:r>
          </w:p>
        </w:tc>
      </w:tr>
      <w:tr w:rsidR="00075A4D" w:rsidRPr="005D74D1" w14:paraId="371B341B" w14:textId="77777777" w:rsidTr="00140664">
        <w:trPr>
          <w:trHeight w:val="113"/>
        </w:trPr>
        <w:tc>
          <w:tcPr>
            <w:tcW w:w="745" w:type="pct"/>
          </w:tcPr>
          <w:p w14:paraId="57F0AA3A" w14:textId="77777777" w:rsidR="00075A4D" w:rsidRPr="005D74D1" w:rsidRDefault="00075A4D" w:rsidP="00AC2C28">
            <w:pPr>
              <w:pStyle w:val="TableText"/>
              <w:rPr>
                <w:rFonts w:cs="Arial"/>
              </w:rPr>
            </w:pPr>
            <w:r w:rsidRPr="005D74D1">
              <w:rPr>
                <w:rFonts w:cs="Arial"/>
              </w:rPr>
              <w:t>EC4</w:t>
            </w:r>
          </w:p>
        </w:tc>
        <w:tc>
          <w:tcPr>
            <w:tcW w:w="4255" w:type="pct"/>
          </w:tcPr>
          <w:p w14:paraId="46BF61E4" w14:textId="77777777" w:rsidR="00075A4D" w:rsidRPr="005D74D1" w:rsidRDefault="00075A4D" w:rsidP="00AC2C28">
            <w:pPr>
              <w:pStyle w:val="TableText"/>
              <w:rPr>
                <w:rFonts w:cs="Arial"/>
              </w:rPr>
            </w:pPr>
            <w:r w:rsidRPr="005D74D1">
              <w:rPr>
                <w:rFonts w:cs="Arial"/>
              </w:rPr>
              <w:t>The fourth tranche of the Environmental Contribution (2016-2020)</w:t>
            </w:r>
          </w:p>
        </w:tc>
      </w:tr>
      <w:tr w:rsidR="00075A4D" w:rsidRPr="005D74D1" w14:paraId="03FF673E" w14:textId="77777777" w:rsidTr="00140664">
        <w:trPr>
          <w:trHeight w:val="113"/>
        </w:trPr>
        <w:tc>
          <w:tcPr>
            <w:tcW w:w="745" w:type="pct"/>
          </w:tcPr>
          <w:p w14:paraId="29AAC634" w14:textId="77777777" w:rsidR="00075A4D" w:rsidRPr="005D74D1" w:rsidRDefault="00075A4D" w:rsidP="00AC2C28">
            <w:pPr>
              <w:pStyle w:val="TableText"/>
              <w:rPr>
                <w:rFonts w:cs="Arial"/>
              </w:rPr>
            </w:pPr>
            <w:r w:rsidRPr="005D74D1">
              <w:rPr>
                <w:rFonts w:cs="Arial"/>
              </w:rPr>
              <w:t>EC5</w:t>
            </w:r>
          </w:p>
        </w:tc>
        <w:tc>
          <w:tcPr>
            <w:tcW w:w="4255" w:type="pct"/>
          </w:tcPr>
          <w:p w14:paraId="17827CEE" w14:textId="77777777" w:rsidR="00075A4D" w:rsidRPr="005D74D1" w:rsidRDefault="00075A4D" w:rsidP="00AC2C28">
            <w:pPr>
              <w:pStyle w:val="TableText"/>
              <w:rPr>
                <w:rFonts w:cs="Arial"/>
              </w:rPr>
            </w:pPr>
            <w:r w:rsidRPr="005D74D1">
              <w:rPr>
                <w:rFonts w:cs="Arial"/>
              </w:rPr>
              <w:t>The fifth tranche of the Environmental Contribution (2020-2024)</w:t>
            </w:r>
          </w:p>
        </w:tc>
      </w:tr>
      <w:tr w:rsidR="00075A4D" w:rsidRPr="005D74D1" w14:paraId="0F028611" w14:textId="77777777" w:rsidTr="00140664">
        <w:trPr>
          <w:trHeight w:val="113"/>
        </w:trPr>
        <w:tc>
          <w:tcPr>
            <w:tcW w:w="745" w:type="pct"/>
          </w:tcPr>
          <w:p w14:paraId="78287283" w14:textId="77777777" w:rsidR="00075A4D" w:rsidRPr="005D74D1" w:rsidRDefault="00075A4D" w:rsidP="00AC2C28">
            <w:pPr>
              <w:pStyle w:val="TableText"/>
              <w:rPr>
                <w:rFonts w:cs="Arial"/>
              </w:rPr>
            </w:pPr>
            <w:r w:rsidRPr="005D74D1">
              <w:rPr>
                <w:rFonts w:cs="Arial"/>
              </w:rPr>
              <w:t>EC6</w:t>
            </w:r>
          </w:p>
        </w:tc>
        <w:tc>
          <w:tcPr>
            <w:tcW w:w="4255" w:type="pct"/>
          </w:tcPr>
          <w:p w14:paraId="42BE063F" w14:textId="77777777" w:rsidR="00075A4D" w:rsidRPr="005D74D1" w:rsidRDefault="00075A4D" w:rsidP="00AC2C28">
            <w:pPr>
              <w:pStyle w:val="TableText"/>
              <w:rPr>
                <w:rFonts w:cs="Arial"/>
              </w:rPr>
            </w:pPr>
            <w:r w:rsidRPr="005D74D1">
              <w:rPr>
                <w:rFonts w:cs="Arial"/>
              </w:rPr>
              <w:t>The sixth tranche of the Environmental Contribution (2024-2028)</w:t>
            </w:r>
          </w:p>
        </w:tc>
      </w:tr>
      <w:tr w:rsidR="006B7F59" w:rsidRPr="005D74D1" w14:paraId="68C9FE2D" w14:textId="77777777" w:rsidTr="00140664">
        <w:trPr>
          <w:trHeight w:val="113"/>
        </w:trPr>
        <w:tc>
          <w:tcPr>
            <w:tcW w:w="745" w:type="pct"/>
          </w:tcPr>
          <w:p w14:paraId="13E2F7E4" w14:textId="691E0D90" w:rsidR="006B7F59" w:rsidRPr="005D74D1" w:rsidRDefault="00AE1554" w:rsidP="00AC2C28">
            <w:pPr>
              <w:pStyle w:val="TableText"/>
              <w:rPr>
                <w:rFonts w:cs="Arial"/>
              </w:rPr>
            </w:pPr>
            <w:r w:rsidRPr="005D74D1">
              <w:rPr>
                <w:rFonts w:cs="Arial"/>
              </w:rPr>
              <w:t>GL</w:t>
            </w:r>
          </w:p>
        </w:tc>
        <w:tc>
          <w:tcPr>
            <w:tcW w:w="4255" w:type="pct"/>
          </w:tcPr>
          <w:p w14:paraId="054CA7B2" w14:textId="40FB2F78" w:rsidR="006B7F59" w:rsidRPr="005D74D1" w:rsidRDefault="00AE1554" w:rsidP="00AC2C28">
            <w:pPr>
              <w:pStyle w:val="TableText"/>
              <w:rPr>
                <w:rFonts w:cs="Arial"/>
              </w:rPr>
            </w:pPr>
            <w:r w:rsidRPr="005D74D1">
              <w:rPr>
                <w:rFonts w:cs="Arial"/>
              </w:rPr>
              <w:t>Gigalitre (one billion litres)</w:t>
            </w:r>
          </w:p>
        </w:tc>
      </w:tr>
      <w:tr w:rsidR="00075A4D" w:rsidRPr="005D74D1" w14:paraId="2D83DE1B" w14:textId="77777777" w:rsidTr="00140664">
        <w:trPr>
          <w:trHeight w:val="113"/>
        </w:trPr>
        <w:tc>
          <w:tcPr>
            <w:tcW w:w="745" w:type="pct"/>
          </w:tcPr>
          <w:p w14:paraId="6004541A" w14:textId="2B18B3B2" w:rsidR="00075A4D" w:rsidRPr="005D74D1" w:rsidRDefault="00AE1554" w:rsidP="00AC2C28">
            <w:pPr>
              <w:pStyle w:val="TableText"/>
              <w:rPr>
                <w:rFonts w:cs="Arial"/>
              </w:rPr>
            </w:pPr>
            <w:r w:rsidRPr="005D74D1">
              <w:rPr>
                <w:rFonts w:cs="Arial"/>
              </w:rPr>
              <w:t>GM2030</w:t>
            </w:r>
          </w:p>
        </w:tc>
        <w:tc>
          <w:tcPr>
            <w:tcW w:w="4255" w:type="pct"/>
          </w:tcPr>
          <w:p w14:paraId="211B4070" w14:textId="3BF00197" w:rsidR="00075A4D" w:rsidRPr="005D74D1" w:rsidRDefault="008E3366" w:rsidP="00AC2C28">
            <w:pPr>
              <w:pStyle w:val="TableText"/>
              <w:rPr>
                <w:rFonts w:cs="Arial"/>
              </w:rPr>
            </w:pPr>
            <w:r w:rsidRPr="005D74D1">
              <w:rPr>
                <w:rFonts w:cs="Arial"/>
              </w:rPr>
              <w:t>Groundwater Management 2030</w:t>
            </w:r>
          </w:p>
        </w:tc>
      </w:tr>
      <w:tr w:rsidR="00E45EA2" w:rsidRPr="005D74D1" w14:paraId="20B719CD" w14:textId="77777777" w:rsidTr="00140664">
        <w:trPr>
          <w:trHeight w:val="113"/>
        </w:trPr>
        <w:tc>
          <w:tcPr>
            <w:tcW w:w="745" w:type="pct"/>
          </w:tcPr>
          <w:p w14:paraId="1E036432" w14:textId="008CB7A2" w:rsidR="000576FC" w:rsidRPr="005D74D1" w:rsidRDefault="000576FC" w:rsidP="00AC2C28">
            <w:pPr>
              <w:pStyle w:val="TableText"/>
              <w:rPr>
                <w:rFonts w:cs="Arial"/>
              </w:rPr>
            </w:pPr>
            <w:r w:rsidRPr="005D74D1">
              <w:rPr>
                <w:rFonts w:cs="Arial"/>
              </w:rPr>
              <w:t>ICM</w:t>
            </w:r>
          </w:p>
        </w:tc>
        <w:tc>
          <w:tcPr>
            <w:tcW w:w="4255" w:type="pct"/>
          </w:tcPr>
          <w:p w14:paraId="03279621" w14:textId="61D69448" w:rsidR="000576FC" w:rsidRPr="005D74D1" w:rsidRDefault="000576FC" w:rsidP="00AC2C28">
            <w:pPr>
              <w:pStyle w:val="TableText"/>
              <w:rPr>
                <w:rFonts w:cs="Arial"/>
              </w:rPr>
            </w:pPr>
            <w:r w:rsidRPr="005D74D1">
              <w:rPr>
                <w:rFonts w:cs="Arial"/>
              </w:rPr>
              <w:t>Integrated Catchment Management</w:t>
            </w:r>
          </w:p>
        </w:tc>
      </w:tr>
      <w:tr w:rsidR="00E45EA2" w:rsidRPr="005D74D1" w14:paraId="6F858BBD" w14:textId="77777777" w:rsidTr="00140664">
        <w:trPr>
          <w:trHeight w:val="113"/>
        </w:trPr>
        <w:tc>
          <w:tcPr>
            <w:tcW w:w="745" w:type="pct"/>
          </w:tcPr>
          <w:p w14:paraId="4C8B3EF2" w14:textId="0179C0FF" w:rsidR="6B36C68A" w:rsidRPr="005D74D1" w:rsidRDefault="00AE1554" w:rsidP="00AC2C28">
            <w:pPr>
              <w:pStyle w:val="TableText"/>
              <w:rPr>
                <w:rFonts w:cs="Arial"/>
              </w:rPr>
            </w:pPr>
            <w:r w:rsidRPr="005D74D1">
              <w:rPr>
                <w:rFonts w:cs="Arial"/>
              </w:rPr>
              <w:t>IWM</w:t>
            </w:r>
          </w:p>
        </w:tc>
        <w:tc>
          <w:tcPr>
            <w:tcW w:w="4255" w:type="pct"/>
          </w:tcPr>
          <w:p w14:paraId="42A603AC" w14:textId="36EDA086" w:rsidR="6B36C68A" w:rsidRPr="005D74D1" w:rsidRDefault="00AE1554" w:rsidP="00AC2C28">
            <w:pPr>
              <w:pStyle w:val="TableText"/>
              <w:rPr>
                <w:rFonts w:cs="Arial"/>
              </w:rPr>
            </w:pPr>
            <w:r w:rsidRPr="005D74D1">
              <w:rPr>
                <w:rFonts w:cs="Arial"/>
              </w:rPr>
              <w:t xml:space="preserve">Integrated Water Management </w:t>
            </w:r>
          </w:p>
        </w:tc>
      </w:tr>
      <w:tr w:rsidR="00075A4D" w:rsidRPr="005D74D1" w14:paraId="0968A447" w14:textId="77777777" w:rsidTr="00140664">
        <w:trPr>
          <w:trHeight w:val="113"/>
        </w:trPr>
        <w:tc>
          <w:tcPr>
            <w:tcW w:w="745" w:type="pct"/>
          </w:tcPr>
          <w:p w14:paraId="36EC8E59" w14:textId="77777777" w:rsidR="00075A4D" w:rsidRPr="005D74D1" w:rsidRDefault="00075A4D" w:rsidP="00AC2C28">
            <w:pPr>
              <w:pStyle w:val="TableText"/>
              <w:rPr>
                <w:rFonts w:cs="Arial"/>
              </w:rPr>
            </w:pPr>
            <w:r w:rsidRPr="005D74D1">
              <w:rPr>
                <w:rFonts w:cs="Arial"/>
              </w:rPr>
              <w:t>KEQ</w:t>
            </w:r>
          </w:p>
        </w:tc>
        <w:tc>
          <w:tcPr>
            <w:tcW w:w="4255" w:type="pct"/>
          </w:tcPr>
          <w:p w14:paraId="2C1DAC53" w14:textId="77777777" w:rsidR="00075A4D" w:rsidRPr="005D74D1" w:rsidRDefault="00075A4D" w:rsidP="00AC2C28">
            <w:pPr>
              <w:pStyle w:val="TableText"/>
              <w:rPr>
                <w:rFonts w:cs="Arial"/>
              </w:rPr>
            </w:pPr>
            <w:r w:rsidRPr="005D74D1">
              <w:rPr>
                <w:rFonts w:cs="Arial"/>
              </w:rPr>
              <w:t xml:space="preserve">Key Evaluation Question </w:t>
            </w:r>
          </w:p>
        </w:tc>
      </w:tr>
      <w:tr w:rsidR="00075A4D" w:rsidRPr="005D74D1" w14:paraId="2268F88C" w14:textId="77777777" w:rsidTr="00140664">
        <w:trPr>
          <w:trHeight w:val="113"/>
        </w:trPr>
        <w:tc>
          <w:tcPr>
            <w:tcW w:w="745" w:type="pct"/>
          </w:tcPr>
          <w:p w14:paraId="5E8C9104" w14:textId="77777777" w:rsidR="00075A4D" w:rsidRPr="005D74D1" w:rsidRDefault="00075A4D" w:rsidP="00AC2C28">
            <w:pPr>
              <w:pStyle w:val="TableText"/>
              <w:rPr>
                <w:rFonts w:cs="Arial"/>
              </w:rPr>
            </w:pPr>
            <w:r w:rsidRPr="005D74D1">
              <w:rPr>
                <w:rFonts w:cs="Arial"/>
              </w:rPr>
              <w:t>MDB</w:t>
            </w:r>
          </w:p>
        </w:tc>
        <w:tc>
          <w:tcPr>
            <w:tcW w:w="4255" w:type="pct"/>
          </w:tcPr>
          <w:p w14:paraId="51A42D41" w14:textId="77777777" w:rsidR="00075A4D" w:rsidRPr="005D74D1" w:rsidRDefault="00075A4D" w:rsidP="00AC2C28">
            <w:pPr>
              <w:pStyle w:val="TableText"/>
              <w:rPr>
                <w:rFonts w:cs="Arial"/>
              </w:rPr>
            </w:pPr>
            <w:r w:rsidRPr="005D74D1">
              <w:rPr>
                <w:rFonts w:cs="Arial"/>
              </w:rPr>
              <w:t>Murray-Darling Basin</w:t>
            </w:r>
          </w:p>
        </w:tc>
      </w:tr>
      <w:tr w:rsidR="00075A4D" w:rsidRPr="005D74D1" w14:paraId="1475EB43" w14:textId="77777777" w:rsidTr="00140664">
        <w:trPr>
          <w:trHeight w:val="113"/>
        </w:trPr>
        <w:tc>
          <w:tcPr>
            <w:tcW w:w="745" w:type="pct"/>
          </w:tcPr>
          <w:p w14:paraId="651A2540" w14:textId="77777777" w:rsidR="00075A4D" w:rsidRPr="005D74D1" w:rsidRDefault="00075A4D" w:rsidP="00AC2C28">
            <w:pPr>
              <w:pStyle w:val="TableText"/>
              <w:rPr>
                <w:rFonts w:cs="Arial"/>
              </w:rPr>
            </w:pPr>
            <w:r w:rsidRPr="005D74D1">
              <w:rPr>
                <w:rFonts w:cs="Arial"/>
              </w:rPr>
              <w:t>MERI</w:t>
            </w:r>
          </w:p>
        </w:tc>
        <w:tc>
          <w:tcPr>
            <w:tcW w:w="4255" w:type="pct"/>
          </w:tcPr>
          <w:p w14:paraId="3713FA4B" w14:textId="77777777" w:rsidR="00075A4D" w:rsidRPr="005D74D1" w:rsidRDefault="00075A4D" w:rsidP="00AC2C28">
            <w:pPr>
              <w:pStyle w:val="TableText"/>
              <w:rPr>
                <w:rFonts w:cs="Arial"/>
              </w:rPr>
            </w:pPr>
            <w:r w:rsidRPr="005D74D1">
              <w:rPr>
                <w:rFonts w:cs="Arial"/>
              </w:rPr>
              <w:t>Monitoring, Evaluation, Reporting and Improvement</w:t>
            </w:r>
          </w:p>
        </w:tc>
      </w:tr>
      <w:tr w:rsidR="00E45EA2" w:rsidRPr="005D74D1" w14:paraId="36510E2F" w14:textId="77777777" w:rsidTr="00140664">
        <w:trPr>
          <w:trHeight w:val="113"/>
        </w:trPr>
        <w:tc>
          <w:tcPr>
            <w:tcW w:w="745" w:type="pct"/>
          </w:tcPr>
          <w:p w14:paraId="7A06B188" w14:textId="7994C2C6" w:rsidR="002262D6" w:rsidRPr="005D74D1" w:rsidRDefault="002262D6" w:rsidP="00AC2C28">
            <w:pPr>
              <w:pStyle w:val="TableText"/>
              <w:rPr>
                <w:rFonts w:cs="Arial"/>
              </w:rPr>
            </w:pPr>
            <w:r w:rsidRPr="005D74D1">
              <w:rPr>
                <w:rFonts w:cs="Arial"/>
              </w:rPr>
              <w:t>OCOC</w:t>
            </w:r>
          </w:p>
        </w:tc>
        <w:tc>
          <w:tcPr>
            <w:tcW w:w="4255" w:type="pct"/>
          </w:tcPr>
          <w:p w14:paraId="6DD598BA" w14:textId="640338DB" w:rsidR="002262D6" w:rsidRPr="005D74D1" w:rsidRDefault="00F630B0" w:rsidP="00AC2C28">
            <w:pPr>
              <w:pStyle w:val="TableText"/>
              <w:rPr>
                <w:rFonts w:cs="Arial"/>
              </w:rPr>
            </w:pPr>
            <w:r w:rsidRPr="005D74D1">
              <w:rPr>
                <w:rFonts w:cs="Arial"/>
              </w:rPr>
              <w:t>Our Catchments Our Communities Program</w:t>
            </w:r>
          </w:p>
        </w:tc>
      </w:tr>
      <w:tr w:rsidR="091B5C29" w:rsidRPr="005D74D1" w14:paraId="4F4F3EFE" w14:textId="77777777" w:rsidTr="00140664">
        <w:trPr>
          <w:trHeight w:val="113"/>
        </w:trPr>
        <w:tc>
          <w:tcPr>
            <w:tcW w:w="745" w:type="pct"/>
          </w:tcPr>
          <w:p w14:paraId="46D09654" w14:textId="1D597B93" w:rsidR="091B5C29" w:rsidRPr="005D74D1" w:rsidRDefault="3B2F7AC8" w:rsidP="00AC2C28">
            <w:pPr>
              <w:pStyle w:val="TableText"/>
              <w:rPr>
                <w:rFonts w:cs="Arial"/>
              </w:rPr>
            </w:pPr>
            <w:r w:rsidRPr="005D74D1">
              <w:rPr>
                <w:rFonts w:cs="Arial"/>
              </w:rPr>
              <w:t>PSP</w:t>
            </w:r>
          </w:p>
        </w:tc>
        <w:tc>
          <w:tcPr>
            <w:tcW w:w="4255" w:type="pct"/>
          </w:tcPr>
          <w:p w14:paraId="770631B0" w14:textId="0B789349" w:rsidR="091B5C29" w:rsidRPr="005D74D1" w:rsidRDefault="3B2F7AC8" w:rsidP="00AC2C28">
            <w:pPr>
              <w:pStyle w:val="TableText"/>
              <w:rPr>
                <w:rFonts w:cs="Arial"/>
              </w:rPr>
            </w:pPr>
            <w:r w:rsidRPr="005D74D1">
              <w:rPr>
                <w:rFonts w:cs="Arial"/>
              </w:rPr>
              <w:t xml:space="preserve">Partnerships </w:t>
            </w:r>
            <w:r w:rsidR="00FE4562" w:rsidRPr="005D74D1">
              <w:rPr>
                <w:rFonts w:cs="Arial"/>
              </w:rPr>
              <w:t>and</w:t>
            </w:r>
            <w:r w:rsidRPr="005D74D1">
              <w:rPr>
                <w:rFonts w:cs="Arial"/>
              </w:rPr>
              <w:t xml:space="preserve"> Sector Performance </w:t>
            </w:r>
            <w:r w:rsidR="41F18F38" w:rsidRPr="005D74D1">
              <w:rPr>
                <w:rFonts w:cs="Arial"/>
              </w:rPr>
              <w:t>(a division in Water and Catchments group within DEECA)</w:t>
            </w:r>
          </w:p>
        </w:tc>
      </w:tr>
      <w:tr w:rsidR="0DA05540" w:rsidRPr="005D74D1" w14:paraId="3BF54C63" w14:textId="77777777" w:rsidTr="00140664">
        <w:trPr>
          <w:trHeight w:val="113"/>
        </w:trPr>
        <w:tc>
          <w:tcPr>
            <w:tcW w:w="745" w:type="pct"/>
          </w:tcPr>
          <w:p w14:paraId="264A224A" w14:textId="02EE22AB" w:rsidR="1027D44C" w:rsidRPr="005D74D1" w:rsidRDefault="1027D44C" w:rsidP="00AC2C28">
            <w:pPr>
              <w:pStyle w:val="TableText"/>
              <w:rPr>
                <w:rFonts w:cs="Arial"/>
              </w:rPr>
            </w:pPr>
            <w:r w:rsidRPr="005D74D1">
              <w:rPr>
                <w:rFonts w:cs="Arial"/>
              </w:rPr>
              <w:t>SIRS</w:t>
            </w:r>
          </w:p>
        </w:tc>
        <w:tc>
          <w:tcPr>
            <w:tcW w:w="4255" w:type="pct"/>
          </w:tcPr>
          <w:p w14:paraId="77410D7F" w14:textId="693FDF1B" w:rsidR="1027D44C" w:rsidRPr="005D74D1" w:rsidRDefault="1027D44C" w:rsidP="00AC2C28">
            <w:pPr>
              <w:pStyle w:val="TableText"/>
              <w:rPr>
                <w:rFonts w:cs="Arial"/>
              </w:rPr>
            </w:pPr>
            <w:r w:rsidRPr="005D74D1">
              <w:rPr>
                <w:rFonts w:cs="Arial"/>
              </w:rPr>
              <w:t xml:space="preserve">Statewide Infrastructure </w:t>
            </w:r>
            <w:r w:rsidR="00DC49A9" w:rsidRPr="005D74D1">
              <w:rPr>
                <w:rFonts w:cs="Arial"/>
              </w:rPr>
              <w:t>and</w:t>
            </w:r>
            <w:r w:rsidRPr="005D74D1">
              <w:rPr>
                <w:rFonts w:cs="Arial"/>
              </w:rPr>
              <w:t xml:space="preserve"> Rural Strategy (a division in Water and Catchments group within DEECA)</w:t>
            </w:r>
          </w:p>
        </w:tc>
      </w:tr>
      <w:tr w:rsidR="00A914F7" w:rsidRPr="005D74D1" w14:paraId="34E5E7E8" w14:textId="77777777" w:rsidTr="00140664">
        <w:trPr>
          <w:trHeight w:val="113"/>
        </w:trPr>
        <w:tc>
          <w:tcPr>
            <w:tcW w:w="745" w:type="pct"/>
          </w:tcPr>
          <w:p w14:paraId="6AA8CDE0" w14:textId="00C61AB3" w:rsidR="00A914F7" w:rsidRPr="005D74D1" w:rsidRDefault="00A914F7" w:rsidP="00AC2C28">
            <w:pPr>
              <w:pStyle w:val="TableText"/>
              <w:rPr>
                <w:rFonts w:cs="Arial"/>
              </w:rPr>
            </w:pPr>
            <w:r w:rsidRPr="005D74D1">
              <w:rPr>
                <w:rFonts w:cs="Arial"/>
              </w:rPr>
              <w:t>SWEP</w:t>
            </w:r>
          </w:p>
        </w:tc>
        <w:tc>
          <w:tcPr>
            <w:tcW w:w="4255" w:type="pct"/>
          </w:tcPr>
          <w:p w14:paraId="68EF06D4" w14:textId="0EB4B9EB" w:rsidR="00A914F7" w:rsidRPr="005D74D1" w:rsidRDefault="00A914F7" w:rsidP="00AC2C28">
            <w:pPr>
              <w:pStyle w:val="TableText"/>
              <w:rPr>
                <w:rFonts w:cs="Arial"/>
              </w:rPr>
            </w:pPr>
            <w:r w:rsidRPr="005D74D1">
              <w:rPr>
                <w:rFonts w:cs="Arial"/>
              </w:rPr>
              <w:t>Schools Water Efficiency Program</w:t>
            </w:r>
          </w:p>
        </w:tc>
      </w:tr>
      <w:tr w:rsidR="00890BB3" w:rsidRPr="005D74D1" w14:paraId="0DF6F7A5" w14:textId="77777777" w:rsidTr="00140664">
        <w:trPr>
          <w:trHeight w:val="113"/>
        </w:trPr>
        <w:tc>
          <w:tcPr>
            <w:tcW w:w="745" w:type="pct"/>
          </w:tcPr>
          <w:p w14:paraId="5C1FBEC7" w14:textId="5A4638A4" w:rsidR="5C017E91" w:rsidRPr="005D74D1" w:rsidRDefault="5C017E91" w:rsidP="00AC2C28">
            <w:pPr>
              <w:pStyle w:val="TableText"/>
              <w:rPr>
                <w:rFonts w:cs="Arial"/>
              </w:rPr>
            </w:pPr>
            <w:r w:rsidRPr="005D74D1">
              <w:rPr>
                <w:rFonts w:cs="Arial"/>
              </w:rPr>
              <w:t>WRS</w:t>
            </w:r>
          </w:p>
        </w:tc>
        <w:tc>
          <w:tcPr>
            <w:tcW w:w="4255" w:type="pct"/>
          </w:tcPr>
          <w:p w14:paraId="6A824089" w14:textId="37374F3D" w:rsidR="5C017E91" w:rsidRPr="005D74D1" w:rsidRDefault="5C017E91" w:rsidP="00AC2C28">
            <w:pPr>
              <w:pStyle w:val="TableText"/>
              <w:rPr>
                <w:rFonts w:cs="Arial"/>
              </w:rPr>
            </w:pPr>
            <w:r w:rsidRPr="005D74D1">
              <w:rPr>
                <w:rFonts w:cs="Arial"/>
              </w:rPr>
              <w:t>Water Resource Strategy (a division in Water and Catchments group within DEECA)</w:t>
            </w:r>
          </w:p>
        </w:tc>
      </w:tr>
      <w:tr w:rsidR="00811A3B" w:rsidRPr="005D74D1" w14:paraId="44FC4187" w14:textId="77777777" w:rsidTr="00140664">
        <w:trPr>
          <w:trHeight w:val="113"/>
        </w:trPr>
        <w:tc>
          <w:tcPr>
            <w:tcW w:w="745" w:type="pct"/>
          </w:tcPr>
          <w:p w14:paraId="19190A50" w14:textId="2BF3F059" w:rsidR="00811A3B" w:rsidRPr="005D74D1" w:rsidRDefault="00811A3B" w:rsidP="00AC2C28">
            <w:pPr>
              <w:pStyle w:val="TableText"/>
              <w:rPr>
                <w:rFonts w:cs="Arial"/>
              </w:rPr>
            </w:pPr>
            <w:r w:rsidRPr="005D74D1">
              <w:rPr>
                <w:rFonts w:cs="Arial"/>
              </w:rPr>
              <w:t>WELS</w:t>
            </w:r>
          </w:p>
        </w:tc>
        <w:tc>
          <w:tcPr>
            <w:tcW w:w="4255" w:type="pct"/>
          </w:tcPr>
          <w:p w14:paraId="70AD5755" w14:textId="1C6AB661" w:rsidR="00811A3B" w:rsidRPr="005D74D1" w:rsidRDefault="00811A3B" w:rsidP="00AC2C28">
            <w:pPr>
              <w:pStyle w:val="TableText"/>
              <w:rPr>
                <w:rFonts w:cs="Arial"/>
              </w:rPr>
            </w:pPr>
            <w:r w:rsidRPr="005D74D1">
              <w:rPr>
                <w:rFonts w:cs="Arial"/>
              </w:rPr>
              <w:t>Water E</w:t>
            </w:r>
            <w:r w:rsidRPr="00A134A7">
              <w:rPr>
                <w:rFonts w:cs="Arial"/>
              </w:rPr>
              <w:t>f</w:t>
            </w:r>
            <w:r w:rsidRPr="005D74D1">
              <w:rPr>
                <w:rFonts w:cs="Arial"/>
              </w:rPr>
              <w:t>ficiency Labelling Standards</w:t>
            </w:r>
          </w:p>
        </w:tc>
      </w:tr>
      <w:tr w:rsidR="00075A4D" w:rsidRPr="005D74D1" w14:paraId="657EEC1E" w14:textId="77777777" w:rsidTr="00140664">
        <w:trPr>
          <w:trHeight w:val="113"/>
        </w:trPr>
        <w:tc>
          <w:tcPr>
            <w:tcW w:w="745" w:type="pct"/>
          </w:tcPr>
          <w:p w14:paraId="101ECF4D" w14:textId="77777777" w:rsidR="00075A4D" w:rsidRPr="005D74D1" w:rsidRDefault="00075A4D" w:rsidP="00AC2C28">
            <w:pPr>
              <w:pStyle w:val="TableText"/>
              <w:rPr>
                <w:rFonts w:cs="Arial"/>
              </w:rPr>
            </w:pPr>
            <w:r w:rsidRPr="005D74D1">
              <w:rPr>
                <w:rFonts w:cs="Arial"/>
              </w:rPr>
              <w:t>YSP</w:t>
            </w:r>
          </w:p>
        </w:tc>
        <w:tc>
          <w:tcPr>
            <w:tcW w:w="4255" w:type="pct"/>
          </w:tcPr>
          <w:p w14:paraId="09037A7E" w14:textId="2C46BE25" w:rsidR="00075A4D" w:rsidRPr="005D74D1" w:rsidRDefault="001C69E9" w:rsidP="00AC2C28">
            <w:pPr>
              <w:pStyle w:val="TableText"/>
              <w:rPr>
                <w:rFonts w:cs="Arial"/>
              </w:rPr>
            </w:pPr>
            <w:r w:rsidRPr="005D74D1">
              <w:rPr>
                <w:rFonts w:cs="Arial"/>
              </w:rPr>
              <w:t xml:space="preserve">Burndap Birrarung burndap umarkoo, the </w:t>
            </w:r>
            <w:r w:rsidR="00075A4D" w:rsidRPr="005D74D1">
              <w:rPr>
                <w:rFonts w:cs="Arial"/>
              </w:rPr>
              <w:t>Yarra Strategic Plan</w:t>
            </w:r>
          </w:p>
        </w:tc>
      </w:tr>
    </w:tbl>
    <w:p w14:paraId="26A28DFB" w14:textId="77777777" w:rsidR="0047554B" w:rsidRPr="005D74D1" w:rsidRDefault="0047554B" w:rsidP="00140664">
      <w:pPr>
        <w:pStyle w:val="BodyText"/>
        <w:rPr>
          <w:rFonts w:cs="Arial"/>
        </w:rPr>
      </w:pPr>
      <w:bookmarkStart w:id="34" w:name="_Toc147329312"/>
    </w:p>
    <w:p w14:paraId="7FD02103" w14:textId="77777777" w:rsidR="0047554B" w:rsidRPr="005D74D1" w:rsidRDefault="0047554B">
      <w:pPr>
        <w:rPr>
          <w:rFonts w:cs="Arial"/>
          <w:b/>
          <w:color w:val="231EDC" w:themeColor="accent1"/>
          <w:sz w:val="32"/>
        </w:rPr>
      </w:pPr>
      <w:r w:rsidRPr="005D74D1">
        <w:rPr>
          <w:rFonts w:cs="Arial"/>
        </w:rPr>
        <w:br w:type="page"/>
      </w:r>
    </w:p>
    <w:p w14:paraId="066D453C" w14:textId="452D8EE8" w:rsidR="00075A4D" w:rsidRPr="005D74D1" w:rsidRDefault="00075A4D" w:rsidP="00D4669F">
      <w:pPr>
        <w:pStyle w:val="Headingunnumbered1"/>
        <w:keepLines/>
        <w:rPr>
          <w:rFonts w:cs="Arial"/>
        </w:rPr>
      </w:pPr>
      <w:bookmarkStart w:id="35" w:name="_Toc183777349"/>
      <w:r w:rsidRPr="005D74D1">
        <w:rPr>
          <w:rFonts w:cs="Arial"/>
        </w:rPr>
        <w:lastRenderedPageBreak/>
        <w:t xml:space="preserve">Key </w:t>
      </w:r>
      <w:r w:rsidR="00CA5F87" w:rsidRPr="005D74D1">
        <w:rPr>
          <w:rFonts w:cs="Arial"/>
        </w:rPr>
        <w:t>t</w:t>
      </w:r>
      <w:r w:rsidRPr="005D74D1">
        <w:rPr>
          <w:rFonts w:cs="Arial"/>
        </w:rPr>
        <w:t>erms</w:t>
      </w:r>
      <w:r w:rsidR="00155B8B" w:rsidRPr="005D74D1">
        <w:rPr>
          <w:rFonts w:cs="Arial"/>
        </w:rPr>
        <w:t xml:space="preserve"> – EC5 </w:t>
      </w:r>
      <w:r w:rsidR="00BF45BF" w:rsidRPr="005D74D1">
        <w:rPr>
          <w:rFonts w:cs="Arial"/>
        </w:rPr>
        <w:t>hierarchy</w:t>
      </w:r>
      <w:bookmarkEnd w:id="34"/>
      <w:bookmarkEnd w:id="35"/>
    </w:p>
    <w:tbl>
      <w:tblPr>
        <w:tblStyle w:val="TableGridLight"/>
        <w:tblW w:w="5000" w:type="pct"/>
        <w:tblBorders>
          <w:top w:val="single" w:sz="4" w:space="0" w:color="E6E6E6"/>
          <w:left w:val="single" w:sz="4" w:space="0" w:color="E6E6E6"/>
          <w:bottom w:val="single" w:sz="4" w:space="0" w:color="E6E6E6"/>
          <w:right w:val="single" w:sz="4" w:space="0" w:color="E6E6E6"/>
          <w:insideH w:val="single" w:sz="4" w:space="0" w:color="E6E6E6"/>
          <w:insideV w:val="single" w:sz="4" w:space="0" w:color="E6E6E6"/>
        </w:tblBorders>
        <w:tblLook w:val="04A0" w:firstRow="1" w:lastRow="0" w:firstColumn="1" w:lastColumn="0" w:noHBand="0" w:noVBand="1"/>
      </w:tblPr>
      <w:tblGrid>
        <w:gridCol w:w="1885"/>
        <w:gridCol w:w="7743"/>
      </w:tblGrid>
      <w:tr w:rsidR="00075A4D" w:rsidRPr="005D74D1" w14:paraId="7C8AAED5" w14:textId="77777777" w:rsidTr="00140664">
        <w:tc>
          <w:tcPr>
            <w:tcW w:w="979" w:type="pct"/>
            <w:tcBorders>
              <w:bottom w:val="single" w:sz="4" w:space="0" w:color="231EDC" w:themeColor="accent1"/>
            </w:tcBorders>
            <w:shd w:val="clear" w:color="auto" w:fill="231EDC" w:themeFill="accent1"/>
          </w:tcPr>
          <w:p w14:paraId="17E097B0" w14:textId="4FA313BA" w:rsidR="00075A4D" w:rsidRPr="00A134A7" w:rsidRDefault="00075A4D" w:rsidP="00D4669F">
            <w:pPr>
              <w:pStyle w:val="TableHeadingWhite"/>
              <w:keepLines/>
              <w:rPr>
                <w:rFonts w:cs="Arial"/>
                <w:lang w:val="en-AU"/>
              </w:rPr>
            </w:pPr>
            <w:r w:rsidRPr="005D74D1">
              <w:rPr>
                <w:rFonts w:cs="Arial"/>
              </w:rPr>
              <w:t>Term</w:t>
            </w:r>
          </w:p>
        </w:tc>
        <w:tc>
          <w:tcPr>
            <w:tcW w:w="4021" w:type="pct"/>
            <w:tcBorders>
              <w:bottom w:val="single" w:sz="4" w:space="0" w:color="231EDC" w:themeColor="accent1"/>
            </w:tcBorders>
            <w:shd w:val="clear" w:color="auto" w:fill="231EDC" w:themeFill="accent1"/>
          </w:tcPr>
          <w:p w14:paraId="1E27EBB8" w14:textId="77777777" w:rsidR="00075A4D" w:rsidRPr="00A134A7" w:rsidRDefault="00075A4D" w:rsidP="00D4669F">
            <w:pPr>
              <w:pStyle w:val="TableHeadingWhite"/>
              <w:keepLines/>
              <w:rPr>
                <w:rFonts w:cs="Arial"/>
                <w:lang w:val="en-AU"/>
              </w:rPr>
            </w:pPr>
            <w:r w:rsidRPr="005D74D1">
              <w:rPr>
                <w:rFonts w:cs="Arial"/>
              </w:rPr>
              <w:t xml:space="preserve">Definition </w:t>
            </w:r>
          </w:p>
        </w:tc>
      </w:tr>
      <w:tr w:rsidR="005A382B" w:rsidRPr="005D74D1" w14:paraId="484BCF7F" w14:textId="77777777" w:rsidTr="00140664">
        <w:tc>
          <w:tcPr>
            <w:tcW w:w="979" w:type="pct"/>
            <w:tcBorders>
              <w:top w:val="single" w:sz="4" w:space="0" w:color="231EDC" w:themeColor="accent1"/>
              <w:left w:val="single" w:sz="4" w:space="0" w:color="231EDC" w:themeColor="accent1"/>
              <w:bottom w:val="single" w:sz="4" w:space="0" w:color="231EDC" w:themeColor="accent1"/>
              <w:right w:val="single" w:sz="4" w:space="0" w:color="231EDC" w:themeColor="accent1"/>
            </w:tcBorders>
          </w:tcPr>
          <w:p w14:paraId="4C7C8763" w14:textId="3198FB39" w:rsidR="005A382B" w:rsidRPr="005D74D1" w:rsidRDefault="005A382B" w:rsidP="00140664">
            <w:pPr>
              <w:pStyle w:val="TableText"/>
              <w:rPr>
                <w:rFonts w:cs="Arial"/>
                <w:lang w:val="en-AU"/>
              </w:rPr>
            </w:pPr>
            <w:r w:rsidRPr="005D74D1">
              <w:rPr>
                <w:rFonts w:cs="Arial"/>
                <w:lang w:val="en-AU"/>
              </w:rPr>
              <w:t xml:space="preserve">Environmental </w:t>
            </w:r>
            <w:r w:rsidRPr="005D74D1">
              <w:rPr>
                <w:rFonts w:cs="Arial"/>
              </w:rPr>
              <w:t>Contribution (EC)</w:t>
            </w:r>
          </w:p>
        </w:tc>
        <w:tc>
          <w:tcPr>
            <w:tcW w:w="4021" w:type="pct"/>
            <w:tcBorders>
              <w:top w:val="single" w:sz="4" w:space="0" w:color="231EDC" w:themeColor="accent1"/>
              <w:left w:val="single" w:sz="4" w:space="0" w:color="231EDC" w:themeColor="accent1"/>
              <w:bottom w:val="single" w:sz="4" w:space="0" w:color="231EDC" w:themeColor="accent1"/>
              <w:right w:val="single" w:sz="4" w:space="0" w:color="231EDC" w:themeColor="accent1"/>
            </w:tcBorders>
          </w:tcPr>
          <w:p w14:paraId="6062C5D1" w14:textId="7FD0718E" w:rsidR="005A382B" w:rsidRPr="005D74D1" w:rsidRDefault="005A382B" w:rsidP="00140664">
            <w:pPr>
              <w:pStyle w:val="TableText"/>
              <w:rPr>
                <w:rFonts w:cs="Arial"/>
                <w:lang w:val="en-AU"/>
              </w:rPr>
            </w:pPr>
            <w:r w:rsidRPr="005D74D1">
              <w:rPr>
                <w:rFonts w:cs="Arial"/>
                <w:lang w:val="en-AU"/>
              </w:rPr>
              <w:t xml:space="preserve">The </w:t>
            </w:r>
            <w:r w:rsidRPr="005D74D1">
              <w:rPr>
                <w:rFonts w:cs="Arial"/>
              </w:rPr>
              <w:t>E</w:t>
            </w:r>
            <w:r w:rsidR="0084333F" w:rsidRPr="005D74D1">
              <w:rPr>
                <w:rFonts w:cs="Arial"/>
              </w:rPr>
              <w:t>C</w:t>
            </w:r>
            <w:r w:rsidRPr="005D74D1">
              <w:rPr>
                <w:rFonts w:cs="Arial"/>
              </w:rPr>
              <w:t xml:space="preserve"> was announced as part of the Victorian Government’s 2004 Our Water Our Future white paper and was legislated in 2004 through an amendment to the Water Industry Act 1994 (the Act). The EC is funded through collection of a contribution from Victoria’s 18 water corporations, delivering outcomes focused on promoting the sustainable management of water and addressing adverse water-related environmental impacts.</w:t>
            </w:r>
            <w:r w:rsidRPr="005D74D1">
              <w:rPr>
                <w:rFonts w:cs="Arial"/>
                <w:lang w:val="en-AU"/>
              </w:rPr>
              <w:t xml:space="preserve"> </w:t>
            </w:r>
          </w:p>
        </w:tc>
      </w:tr>
      <w:tr w:rsidR="00E427F5" w:rsidRPr="005D74D1" w14:paraId="2230C072" w14:textId="77777777" w:rsidTr="00140664">
        <w:tc>
          <w:tcPr>
            <w:tcW w:w="979" w:type="pct"/>
            <w:tcBorders>
              <w:top w:val="single" w:sz="4" w:space="0" w:color="231EDC" w:themeColor="accent1"/>
              <w:left w:val="single" w:sz="4" w:space="0" w:color="231EDC" w:themeColor="accent1"/>
              <w:bottom w:val="single" w:sz="4" w:space="0" w:color="231EDC" w:themeColor="accent1"/>
              <w:right w:val="single" w:sz="4" w:space="0" w:color="231EDC" w:themeColor="accent1"/>
            </w:tcBorders>
          </w:tcPr>
          <w:p w14:paraId="39D15FB0" w14:textId="79C7EA56" w:rsidR="00E427F5" w:rsidRPr="005D74D1" w:rsidRDefault="00E427F5" w:rsidP="00140664">
            <w:pPr>
              <w:pStyle w:val="TableText"/>
              <w:rPr>
                <w:rFonts w:cs="Arial"/>
                <w:lang w:val="en-AU"/>
              </w:rPr>
            </w:pPr>
            <w:r w:rsidRPr="005D74D1">
              <w:rPr>
                <w:rFonts w:cs="Arial"/>
                <w:lang w:val="en-AU"/>
              </w:rPr>
              <w:t>Tranche</w:t>
            </w:r>
          </w:p>
        </w:tc>
        <w:tc>
          <w:tcPr>
            <w:tcW w:w="4021" w:type="pct"/>
            <w:tcBorders>
              <w:top w:val="single" w:sz="4" w:space="0" w:color="231EDC" w:themeColor="accent1"/>
              <w:left w:val="single" w:sz="4" w:space="0" w:color="231EDC" w:themeColor="accent1"/>
              <w:bottom w:val="single" w:sz="4" w:space="0" w:color="231EDC" w:themeColor="accent1"/>
              <w:right w:val="single" w:sz="4" w:space="0" w:color="231EDC" w:themeColor="accent1"/>
            </w:tcBorders>
          </w:tcPr>
          <w:p w14:paraId="3050AE05" w14:textId="5660D004" w:rsidR="00E427F5" w:rsidRPr="005D74D1" w:rsidRDefault="008F49AE" w:rsidP="00140664">
            <w:pPr>
              <w:pStyle w:val="TableText"/>
              <w:rPr>
                <w:rFonts w:cs="Arial"/>
                <w:lang w:val="en-AU"/>
              </w:rPr>
            </w:pPr>
            <w:r w:rsidRPr="005D74D1">
              <w:rPr>
                <w:rFonts w:cs="Arial"/>
                <w:lang w:val="en-AU"/>
              </w:rPr>
              <w:t xml:space="preserve">The EC is </w:t>
            </w:r>
            <w:r w:rsidR="00F762B1" w:rsidRPr="005D74D1">
              <w:rPr>
                <w:rFonts w:cs="Arial"/>
              </w:rPr>
              <w:t xml:space="preserve">funded and </w:t>
            </w:r>
            <w:r w:rsidRPr="005D74D1">
              <w:rPr>
                <w:rFonts w:cs="Arial"/>
              </w:rPr>
              <w:t xml:space="preserve">delivered via four-year ‘Tranches’. </w:t>
            </w:r>
            <w:r w:rsidR="0088470B" w:rsidRPr="005D74D1">
              <w:rPr>
                <w:rFonts w:cs="Arial"/>
              </w:rPr>
              <w:t xml:space="preserve">Four complete tranches were delivered between 2004 </w:t>
            </w:r>
            <w:r w:rsidR="00E07F70" w:rsidRPr="005D74D1">
              <w:rPr>
                <w:rFonts w:cs="Arial"/>
              </w:rPr>
              <w:t>–</w:t>
            </w:r>
            <w:r w:rsidR="0088470B" w:rsidRPr="005D74D1">
              <w:rPr>
                <w:rFonts w:cs="Arial"/>
              </w:rPr>
              <w:t xml:space="preserve"> 2020</w:t>
            </w:r>
            <w:r w:rsidR="00E07F70" w:rsidRPr="005D74D1">
              <w:rPr>
                <w:rFonts w:cs="Arial"/>
              </w:rPr>
              <w:t xml:space="preserve">. </w:t>
            </w:r>
          </w:p>
        </w:tc>
      </w:tr>
      <w:tr w:rsidR="00075A4D" w:rsidRPr="005D74D1" w14:paraId="537F2FE6" w14:textId="77777777" w:rsidTr="00140664">
        <w:trPr>
          <w:trHeight w:val="113"/>
        </w:trPr>
        <w:tc>
          <w:tcPr>
            <w:tcW w:w="979" w:type="pct"/>
            <w:tcBorders>
              <w:top w:val="single" w:sz="4" w:space="0" w:color="231EDC" w:themeColor="accent1"/>
              <w:left w:val="single" w:sz="4" w:space="0" w:color="231EDC" w:themeColor="accent1"/>
              <w:bottom w:val="single" w:sz="4" w:space="0" w:color="231EDC" w:themeColor="accent1"/>
              <w:right w:val="single" w:sz="4" w:space="0" w:color="231EDC" w:themeColor="accent1"/>
            </w:tcBorders>
          </w:tcPr>
          <w:p w14:paraId="6F621C09" w14:textId="7A000EF4" w:rsidR="00075A4D" w:rsidRPr="005D74D1" w:rsidRDefault="007A2B26" w:rsidP="00140664">
            <w:pPr>
              <w:pStyle w:val="TableText"/>
              <w:rPr>
                <w:rFonts w:cs="Arial"/>
                <w:lang w:val="en-AU"/>
              </w:rPr>
            </w:pPr>
            <w:r w:rsidRPr="005D74D1">
              <w:rPr>
                <w:rFonts w:cs="Arial"/>
                <w:lang w:val="en-AU"/>
              </w:rPr>
              <w:t xml:space="preserve">EC5 </w:t>
            </w:r>
          </w:p>
        </w:tc>
        <w:tc>
          <w:tcPr>
            <w:tcW w:w="4021" w:type="pct"/>
            <w:tcBorders>
              <w:top w:val="single" w:sz="4" w:space="0" w:color="231EDC" w:themeColor="accent1"/>
              <w:left w:val="single" w:sz="4" w:space="0" w:color="231EDC" w:themeColor="accent1"/>
              <w:bottom w:val="single" w:sz="4" w:space="0" w:color="231EDC" w:themeColor="accent1"/>
              <w:right w:val="single" w:sz="4" w:space="0" w:color="231EDC" w:themeColor="accent1"/>
            </w:tcBorders>
          </w:tcPr>
          <w:p w14:paraId="21DA6C73" w14:textId="2404E313" w:rsidR="00075A4D" w:rsidRPr="005D74D1" w:rsidRDefault="00126F93" w:rsidP="00140664">
            <w:pPr>
              <w:pStyle w:val="TableText"/>
              <w:rPr>
                <w:rFonts w:cs="Arial"/>
                <w:lang w:val="en-AU"/>
              </w:rPr>
            </w:pPr>
            <w:r w:rsidRPr="005D74D1">
              <w:rPr>
                <w:rFonts w:cs="Arial"/>
                <w:lang w:val="en-AU"/>
              </w:rPr>
              <w:t xml:space="preserve">The </w:t>
            </w:r>
            <w:r w:rsidR="00121E96" w:rsidRPr="005D74D1">
              <w:rPr>
                <w:rFonts w:cs="Arial"/>
              </w:rPr>
              <w:t xml:space="preserve">Fifth Tranche of the </w:t>
            </w:r>
            <w:r w:rsidR="00137F15" w:rsidRPr="005D74D1">
              <w:rPr>
                <w:rFonts w:cs="Arial"/>
              </w:rPr>
              <w:t>Environmental</w:t>
            </w:r>
            <w:r w:rsidR="007A2B26" w:rsidRPr="005D74D1">
              <w:rPr>
                <w:rFonts w:cs="Arial"/>
              </w:rPr>
              <w:t xml:space="preserve"> </w:t>
            </w:r>
            <w:r w:rsidR="00121E96" w:rsidRPr="005D74D1">
              <w:rPr>
                <w:rFonts w:cs="Arial"/>
              </w:rPr>
              <w:t>Contribution</w:t>
            </w:r>
            <w:r w:rsidR="00137F15" w:rsidRPr="005D74D1">
              <w:rPr>
                <w:rFonts w:cs="Arial"/>
              </w:rPr>
              <w:t xml:space="preserve">, which invested $693.9 million </w:t>
            </w:r>
            <w:r w:rsidR="00594858" w:rsidRPr="005D74D1">
              <w:rPr>
                <w:rFonts w:cs="Arial"/>
              </w:rPr>
              <w:t xml:space="preserve">between July 2020 – June 2024. </w:t>
            </w:r>
          </w:p>
        </w:tc>
      </w:tr>
      <w:tr w:rsidR="00075A4D" w:rsidRPr="005D74D1" w14:paraId="50824871" w14:textId="77777777" w:rsidTr="00140664">
        <w:trPr>
          <w:trHeight w:val="113"/>
        </w:trPr>
        <w:tc>
          <w:tcPr>
            <w:tcW w:w="979" w:type="pct"/>
            <w:tcBorders>
              <w:top w:val="single" w:sz="4" w:space="0" w:color="231EDC" w:themeColor="accent1"/>
              <w:left w:val="single" w:sz="4" w:space="0" w:color="231EDC" w:themeColor="accent1"/>
              <w:bottom w:val="single" w:sz="4" w:space="0" w:color="231EDC" w:themeColor="accent1"/>
              <w:right w:val="single" w:sz="4" w:space="0" w:color="231EDC" w:themeColor="accent1"/>
            </w:tcBorders>
          </w:tcPr>
          <w:p w14:paraId="515D6644" w14:textId="3801D6EE" w:rsidR="00075A4D" w:rsidRPr="005D74D1" w:rsidRDefault="00536D19" w:rsidP="00070AC8">
            <w:pPr>
              <w:pStyle w:val="TableText"/>
              <w:rPr>
                <w:rFonts w:cs="Arial"/>
                <w:lang w:val="en-AU"/>
              </w:rPr>
            </w:pPr>
            <w:r w:rsidRPr="005D74D1">
              <w:rPr>
                <w:rFonts w:cs="Arial"/>
                <w:lang w:val="en-AU"/>
              </w:rPr>
              <w:t>Initiative</w:t>
            </w:r>
          </w:p>
        </w:tc>
        <w:tc>
          <w:tcPr>
            <w:tcW w:w="4021" w:type="pct"/>
            <w:tcBorders>
              <w:top w:val="single" w:sz="4" w:space="0" w:color="231EDC" w:themeColor="accent1"/>
              <w:left w:val="single" w:sz="4" w:space="0" w:color="231EDC" w:themeColor="accent1"/>
              <w:bottom w:val="single" w:sz="4" w:space="0" w:color="231EDC" w:themeColor="accent1"/>
              <w:right w:val="single" w:sz="4" w:space="0" w:color="231EDC" w:themeColor="accent1"/>
            </w:tcBorders>
          </w:tcPr>
          <w:p w14:paraId="07292522" w14:textId="58BFA5D0" w:rsidR="00075A4D" w:rsidRPr="005D74D1" w:rsidRDefault="007B7337" w:rsidP="00070AC8">
            <w:pPr>
              <w:pStyle w:val="TableText"/>
              <w:rPr>
                <w:rFonts w:cs="Arial"/>
                <w:lang w:val="en-AU"/>
              </w:rPr>
            </w:pPr>
            <w:r w:rsidRPr="005D74D1">
              <w:rPr>
                <w:rFonts w:cs="Arial"/>
                <w:lang w:val="en-AU"/>
              </w:rPr>
              <w:t xml:space="preserve">EC5 has delivered a total of 14 initiatives, which are groups of </w:t>
            </w:r>
            <w:r w:rsidRPr="005D74D1">
              <w:rPr>
                <w:rFonts w:cs="Arial"/>
              </w:rPr>
              <w:t>projects</w:t>
            </w:r>
            <w:r w:rsidR="00B27919" w:rsidRPr="005D74D1">
              <w:rPr>
                <w:rFonts w:cs="Arial"/>
              </w:rPr>
              <w:t xml:space="preserve">, to make progress </w:t>
            </w:r>
            <w:r w:rsidR="00153033" w:rsidRPr="005D74D1">
              <w:rPr>
                <w:rFonts w:cs="Arial"/>
              </w:rPr>
              <w:t>toward</w:t>
            </w:r>
            <w:r w:rsidR="00B27919" w:rsidRPr="005D74D1">
              <w:rPr>
                <w:rFonts w:cs="Arial"/>
              </w:rPr>
              <w:t xml:space="preserve"> </w:t>
            </w:r>
            <w:r w:rsidR="00E07F70" w:rsidRPr="005D74D1">
              <w:rPr>
                <w:rFonts w:cs="Arial"/>
              </w:rPr>
              <w:t xml:space="preserve">the </w:t>
            </w:r>
            <w:r w:rsidR="00B27919" w:rsidRPr="005D74D1">
              <w:rPr>
                <w:rFonts w:cs="Arial"/>
              </w:rPr>
              <w:t xml:space="preserve">EC objectives. </w:t>
            </w:r>
          </w:p>
        </w:tc>
      </w:tr>
      <w:tr w:rsidR="00075A4D" w:rsidRPr="005D74D1" w14:paraId="3A2E9B2C" w14:textId="77777777" w:rsidTr="00140664">
        <w:trPr>
          <w:trHeight w:val="113"/>
        </w:trPr>
        <w:tc>
          <w:tcPr>
            <w:tcW w:w="979" w:type="pct"/>
            <w:tcBorders>
              <w:top w:val="single" w:sz="4" w:space="0" w:color="231EDC" w:themeColor="accent1"/>
              <w:left w:val="single" w:sz="4" w:space="0" w:color="231EDC" w:themeColor="accent1"/>
              <w:bottom w:val="single" w:sz="4" w:space="0" w:color="231EDC" w:themeColor="accent1"/>
              <w:right w:val="single" w:sz="4" w:space="0" w:color="231EDC" w:themeColor="accent1"/>
            </w:tcBorders>
          </w:tcPr>
          <w:p w14:paraId="3121EEA5" w14:textId="0A6CBF1C" w:rsidR="00075A4D" w:rsidRPr="005D74D1" w:rsidRDefault="001E09B6" w:rsidP="00070AC8">
            <w:pPr>
              <w:pStyle w:val="TableText"/>
              <w:rPr>
                <w:rFonts w:cs="Arial"/>
                <w:lang w:val="en-AU"/>
              </w:rPr>
            </w:pPr>
            <w:r w:rsidRPr="005D74D1">
              <w:rPr>
                <w:rFonts w:cs="Arial"/>
                <w:lang w:val="en-AU"/>
              </w:rPr>
              <w:t>Project</w:t>
            </w:r>
          </w:p>
        </w:tc>
        <w:tc>
          <w:tcPr>
            <w:tcW w:w="4021" w:type="pct"/>
            <w:tcBorders>
              <w:top w:val="single" w:sz="4" w:space="0" w:color="231EDC" w:themeColor="accent1"/>
              <w:left w:val="single" w:sz="4" w:space="0" w:color="231EDC" w:themeColor="accent1"/>
              <w:bottom w:val="single" w:sz="4" w:space="0" w:color="231EDC" w:themeColor="accent1"/>
              <w:right w:val="single" w:sz="4" w:space="0" w:color="231EDC" w:themeColor="accent1"/>
            </w:tcBorders>
          </w:tcPr>
          <w:p w14:paraId="7DCCF060" w14:textId="3EE3FA74" w:rsidR="00075A4D" w:rsidRPr="005D74D1" w:rsidRDefault="00B27919" w:rsidP="00070AC8">
            <w:pPr>
              <w:pStyle w:val="TableText"/>
              <w:rPr>
                <w:rFonts w:cs="Arial"/>
                <w:lang w:val="en-AU"/>
              </w:rPr>
            </w:pPr>
            <w:r w:rsidRPr="005D74D1">
              <w:rPr>
                <w:rFonts w:cs="Arial"/>
                <w:lang w:val="en-AU"/>
              </w:rPr>
              <w:t xml:space="preserve">The 14 initiatives </w:t>
            </w:r>
            <w:r w:rsidR="00AF7B90" w:rsidRPr="005D74D1">
              <w:rPr>
                <w:rFonts w:cs="Arial"/>
              </w:rPr>
              <w:t xml:space="preserve">delivered under EC5 </w:t>
            </w:r>
            <w:r w:rsidRPr="005D74D1">
              <w:rPr>
                <w:rFonts w:cs="Arial"/>
              </w:rPr>
              <w:t xml:space="preserve">are </w:t>
            </w:r>
            <w:r w:rsidR="00AF7B90" w:rsidRPr="005D74D1">
              <w:rPr>
                <w:rFonts w:cs="Arial"/>
              </w:rPr>
              <w:t>made up of 38 discrete projects.</w:t>
            </w:r>
            <w:r w:rsidR="00153033" w:rsidRPr="005D74D1">
              <w:rPr>
                <w:rFonts w:cs="Arial"/>
              </w:rPr>
              <w:t xml:space="preserve"> An </w:t>
            </w:r>
            <w:r w:rsidR="00AF7B90" w:rsidRPr="005D74D1">
              <w:rPr>
                <w:rFonts w:cs="Arial"/>
              </w:rPr>
              <w:t xml:space="preserve">evaluation </w:t>
            </w:r>
            <w:r w:rsidR="00153033" w:rsidRPr="005D74D1">
              <w:rPr>
                <w:rFonts w:cs="Arial"/>
              </w:rPr>
              <w:t xml:space="preserve">plan and report </w:t>
            </w:r>
            <w:r w:rsidR="00F41D3E" w:rsidRPr="005D74D1">
              <w:rPr>
                <w:rFonts w:cs="Arial"/>
              </w:rPr>
              <w:t>were</w:t>
            </w:r>
            <w:r w:rsidR="00153033" w:rsidRPr="005D74D1">
              <w:rPr>
                <w:rFonts w:cs="Arial"/>
              </w:rPr>
              <w:t xml:space="preserve"> developed for each project, for input to the EC5 evaluation. </w:t>
            </w:r>
          </w:p>
        </w:tc>
      </w:tr>
    </w:tbl>
    <w:p w14:paraId="0FCE3445" w14:textId="77777777" w:rsidR="00432AB1" w:rsidRPr="005D74D1" w:rsidRDefault="00432AB1" w:rsidP="008A4CEE">
      <w:pPr>
        <w:pStyle w:val="BodyText"/>
        <w:rPr>
          <w:rFonts w:cs="Arial"/>
          <w:b/>
          <w:bCs/>
          <w:i/>
          <w:iCs/>
        </w:rPr>
        <w:sectPr w:rsidR="00432AB1" w:rsidRPr="005D74D1" w:rsidSect="00C61A1D">
          <w:headerReference w:type="default" r:id="rId47"/>
          <w:footerReference w:type="even" r:id="rId48"/>
          <w:footerReference w:type="default" r:id="rId49"/>
          <w:footerReference w:type="first" r:id="rId50"/>
          <w:pgSz w:w="11906" w:h="16838" w:code="9"/>
          <w:pgMar w:top="1134" w:right="1134" w:bottom="567" w:left="1134" w:header="567" w:footer="0" w:gutter="0"/>
          <w:pgNumType w:fmt="lowerRoman"/>
          <w:cols w:space="720"/>
          <w:docGrid w:linePitch="360"/>
        </w:sectPr>
      </w:pPr>
    </w:p>
    <w:p w14:paraId="51B6E01A" w14:textId="77777777" w:rsidR="00C61A1D" w:rsidRPr="005D74D1" w:rsidRDefault="00C61A1D" w:rsidP="008A4CEE">
      <w:pPr>
        <w:pStyle w:val="BodyText"/>
        <w:rPr>
          <w:rFonts w:cs="Arial"/>
          <w:b/>
          <w:bCs/>
          <w:i/>
          <w:iCs/>
        </w:rPr>
      </w:pPr>
    </w:p>
    <w:p w14:paraId="6134D655" w14:textId="1D677155" w:rsidR="00432AB1" w:rsidRPr="00A134A7" w:rsidRDefault="00432AB1" w:rsidP="00432AB1">
      <w:pPr>
        <w:spacing w:before="100" w:beforeAutospacing="1" w:after="100" w:afterAutospacing="1"/>
        <w:rPr>
          <w:rFonts w:eastAsia="Times New Roman" w:cs="Arial"/>
          <w:sz w:val="24"/>
          <w:szCs w:val="24"/>
        </w:rPr>
      </w:pPr>
      <w:r w:rsidRPr="00A134A7">
        <w:rPr>
          <w:rFonts w:eastAsia="Times New Roman" w:cs="Arial"/>
          <w:noProof/>
          <w:sz w:val="24"/>
          <w:szCs w:val="24"/>
        </w:rPr>
        <w:drawing>
          <wp:anchor distT="0" distB="0" distL="114300" distR="114300" simplePos="0" relativeHeight="251621376" behindDoc="0" locked="0" layoutInCell="1" allowOverlap="1" wp14:anchorId="75D75716" wp14:editId="73C5793D">
            <wp:simplePos x="723900" y="1162050"/>
            <wp:positionH relativeFrom="page">
              <wp:align>left</wp:align>
            </wp:positionH>
            <wp:positionV relativeFrom="page">
              <wp:align>top</wp:align>
            </wp:positionV>
            <wp:extent cx="7562088" cy="10689336"/>
            <wp:effectExtent l="0" t="0" r="1270" b="0"/>
            <wp:wrapNone/>
            <wp:docPr id="11710913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7562088" cy="1068933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8E157B" w14:textId="77777777" w:rsidR="00432AB1" w:rsidRPr="005D74D1" w:rsidRDefault="00432AB1" w:rsidP="008A4CEE">
      <w:pPr>
        <w:pStyle w:val="BodyText"/>
        <w:rPr>
          <w:rFonts w:cs="Arial"/>
          <w:b/>
          <w:bCs/>
          <w:i/>
          <w:iCs/>
        </w:rPr>
      </w:pPr>
    </w:p>
    <w:p w14:paraId="5A51536D" w14:textId="77777777" w:rsidR="00432AB1" w:rsidRPr="005D74D1" w:rsidRDefault="00432AB1" w:rsidP="008A4CEE">
      <w:pPr>
        <w:pStyle w:val="BodyText"/>
        <w:rPr>
          <w:rFonts w:cs="Arial"/>
          <w:b/>
          <w:bCs/>
          <w:i/>
          <w:iCs/>
        </w:rPr>
      </w:pPr>
    </w:p>
    <w:p w14:paraId="2A366232" w14:textId="2F24B5F7" w:rsidR="00432AB1" w:rsidRPr="005D74D1" w:rsidRDefault="00432AB1" w:rsidP="008A4CEE">
      <w:pPr>
        <w:pStyle w:val="BodyText"/>
        <w:rPr>
          <w:rFonts w:cs="Arial"/>
          <w:b/>
          <w:bCs/>
          <w:i/>
          <w:iCs/>
        </w:rPr>
        <w:sectPr w:rsidR="00432AB1" w:rsidRPr="005D74D1" w:rsidSect="00C61A1D">
          <w:pgSz w:w="11906" w:h="16838" w:code="9"/>
          <w:pgMar w:top="1134" w:right="1134" w:bottom="567" w:left="1134" w:header="567" w:footer="0" w:gutter="0"/>
          <w:pgNumType w:fmt="lowerRoman"/>
          <w:cols w:space="720"/>
          <w:docGrid w:linePitch="360"/>
        </w:sectPr>
      </w:pPr>
    </w:p>
    <w:p w14:paraId="0361E51F" w14:textId="643A28B8" w:rsidR="00725C13" w:rsidRPr="005D74D1" w:rsidRDefault="00BB2549" w:rsidP="00A43A11">
      <w:pPr>
        <w:pStyle w:val="Heading1"/>
        <w:rPr>
          <w:rFonts w:cs="Arial"/>
        </w:rPr>
      </w:pPr>
      <w:bookmarkStart w:id="36" w:name="_Toc147329313"/>
      <w:bookmarkStart w:id="37" w:name="_Toc183777350"/>
      <w:bookmarkEnd w:id="30"/>
      <w:bookmarkEnd w:id="31"/>
      <w:bookmarkEnd w:id="32"/>
      <w:bookmarkEnd w:id="33"/>
      <w:r w:rsidRPr="005D74D1">
        <w:rPr>
          <w:rFonts w:cs="Arial"/>
        </w:rPr>
        <w:lastRenderedPageBreak/>
        <w:t>Introduction</w:t>
      </w:r>
      <w:bookmarkEnd w:id="36"/>
      <w:bookmarkEnd w:id="37"/>
    </w:p>
    <w:p w14:paraId="5FDEFB00" w14:textId="7FF7956F" w:rsidR="00963A13" w:rsidRPr="005D74D1" w:rsidRDefault="0036107F" w:rsidP="00963A13">
      <w:pPr>
        <w:pStyle w:val="Heading2"/>
        <w:rPr>
          <w:rFonts w:cs="Arial"/>
        </w:rPr>
      </w:pPr>
      <w:bookmarkStart w:id="38" w:name="_Toc147329314"/>
      <w:bookmarkStart w:id="39" w:name="_Ref147390472"/>
      <w:bookmarkStart w:id="40" w:name="_Ref147390475"/>
      <w:bookmarkStart w:id="41" w:name="_Toc183777351"/>
      <w:r w:rsidRPr="005D74D1">
        <w:rPr>
          <w:rFonts w:cs="Arial"/>
        </w:rPr>
        <w:t>Context</w:t>
      </w:r>
      <w:bookmarkEnd w:id="38"/>
      <w:bookmarkEnd w:id="39"/>
      <w:bookmarkEnd w:id="40"/>
      <w:bookmarkEnd w:id="41"/>
    </w:p>
    <w:p w14:paraId="1039A03D" w14:textId="77777777" w:rsidR="00A50E7D" w:rsidRPr="005D74D1" w:rsidRDefault="00005597" w:rsidP="002E3326">
      <w:pPr>
        <w:pStyle w:val="BodyText"/>
        <w:rPr>
          <w:rFonts w:cs="Arial"/>
        </w:rPr>
      </w:pPr>
      <w:r w:rsidRPr="005D74D1">
        <w:rPr>
          <w:rFonts w:cs="Arial"/>
        </w:rPr>
        <w:t xml:space="preserve">The Environmental Contribution (EC) was announced as part of the Victorian Government’s 2004 </w:t>
      </w:r>
      <w:r w:rsidRPr="005D74D1">
        <w:rPr>
          <w:rFonts w:cs="Arial"/>
          <w:i/>
          <w:iCs/>
        </w:rPr>
        <w:t>Our Water Our Future</w:t>
      </w:r>
      <w:r w:rsidRPr="005D74D1">
        <w:rPr>
          <w:rFonts w:cs="Arial"/>
        </w:rPr>
        <w:t xml:space="preserve"> white paper and was legislated in 2004 through an amendment to the </w:t>
      </w:r>
      <w:r w:rsidRPr="005D74D1">
        <w:rPr>
          <w:rFonts w:cs="Arial"/>
          <w:i/>
          <w:iCs/>
        </w:rPr>
        <w:t>Water Industry Act 1994</w:t>
      </w:r>
      <w:r w:rsidRPr="005D74D1">
        <w:rPr>
          <w:rFonts w:cs="Arial"/>
        </w:rPr>
        <w:t xml:space="preserve"> (the Act). </w:t>
      </w:r>
      <w:r w:rsidR="00191900" w:rsidRPr="005D74D1">
        <w:rPr>
          <w:rFonts w:cs="Arial"/>
        </w:rPr>
        <w:t xml:space="preserve">Funded through collection of a contribution from Victoria’s 18 </w:t>
      </w:r>
      <w:r w:rsidR="00F762B1" w:rsidRPr="005D74D1">
        <w:rPr>
          <w:rFonts w:cs="Arial"/>
        </w:rPr>
        <w:t>w</w:t>
      </w:r>
      <w:r w:rsidR="00191900" w:rsidRPr="005D74D1">
        <w:rPr>
          <w:rFonts w:cs="Arial"/>
        </w:rPr>
        <w:t xml:space="preserve">ater </w:t>
      </w:r>
      <w:r w:rsidR="00F762B1" w:rsidRPr="005D74D1">
        <w:rPr>
          <w:rFonts w:cs="Arial"/>
        </w:rPr>
        <w:t>c</w:t>
      </w:r>
      <w:r w:rsidR="00191900" w:rsidRPr="005D74D1">
        <w:rPr>
          <w:rFonts w:cs="Arial"/>
        </w:rPr>
        <w:t>orporations, the EC is a key mechanism</w:t>
      </w:r>
      <w:r w:rsidRPr="005D74D1">
        <w:rPr>
          <w:rFonts w:cs="Arial"/>
        </w:rPr>
        <w:t xml:space="preserve"> for </w:t>
      </w:r>
      <w:r w:rsidR="00191900" w:rsidRPr="005D74D1">
        <w:rPr>
          <w:rFonts w:cs="Arial"/>
        </w:rPr>
        <w:t>the Victorian Government to deliver outcomes for the public good through promotion of</w:t>
      </w:r>
      <w:r w:rsidR="009D0A29" w:rsidRPr="005D74D1">
        <w:rPr>
          <w:rFonts w:cs="Arial"/>
        </w:rPr>
        <w:t>, and actions to achieve,</w:t>
      </w:r>
      <w:r w:rsidR="00191900" w:rsidRPr="005D74D1">
        <w:rPr>
          <w:rFonts w:cs="Arial"/>
        </w:rPr>
        <w:t xml:space="preserve"> sustainable water management.</w:t>
      </w:r>
    </w:p>
    <w:p w14:paraId="6229BC66" w14:textId="77777777" w:rsidR="00A50E7D" w:rsidRPr="005D74D1" w:rsidRDefault="00005597" w:rsidP="00191900">
      <w:pPr>
        <w:pStyle w:val="BodyText"/>
        <w:rPr>
          <w:rFonts w:cs="Arial"/>
        </w:rPr>
      </w:pPr>
      <w:r w:rsidRPr="005D74D1">
        <w:rPr>
          <w:rFonts w:cs="Arial"/>
        </w:rPr>
        <w:t xml:space="preserve">The revenue collected </w:t>
      </w:r>
      <w:r w:rsidR="009D0A29" w:rsidRPr="005D74D1">
        <w:rPr>
          <w:rFonts w:cs="Arial"/>
        </w:rPr>
        <w:t xml:space="preserve">via </w:t>
      </w:r>
      <w:r w:rsidRPr="005D74D1">
        <w:rPr>
          <w:rFonts w:cs="Arial"/>
        </w:rPr>
        <w:t xml:space="preserve">the EC is held by the Department of Treasury and Finance and allocated to the Department of </w:t>
      </w:r>
      <w:r w:rsidR="002E3326" w:rsidRPr="005D74D1">
        <w:rPr>
          <w:rFonts w:cs="Arial"/>
        </w:rPr>
        <w:t xml:space="preserve">Energy, Environment and Climate </w:t>
      </w:r>
      <w:r w:rsidR="00B96876" w:rsidRPr="005D74D1">
        <w:rPr>
          <w:rFonts w:cs="Arial"/>
        </w:rPr>
        <w:t>Action</w:t>
      </w:r>
      <w:r w:rsidR="002E3326" w:rsidRPr="005D74D1">
        <w:rPr>
          <w:rFonts w:cs="Arial"/>
        </w:rPr>
        <w:t xml:space="preserve"> (DEECA</w:t>
      </w:r>
      <w:r w:rsidRPr="005D74D1">
        <w:rPr>
          <w:rFonts w:cs="Arial"/>
        </w:rPr>
        <w:t xml:space="preserve">) as part of the annual state budget approval process. </w:t>
      </w:r>
      <w:r w:rsidR="002E3326" w:rsidRPr="005D74D1">
        <w:rPr>
          <w:rFonts w:cs="Arial"/>
        </w:rPr>
        <w:t>DEECA</w:t>
      </w:r>
      <w:r w:rsidRPr="005D74D1">
        <w:rPr>
          <w:rFonts w:cs="Arial"/>
        </w:rPr>
        <w:t xml:space="preserve"> is responsible for managing the delivery of </w:t>
      </w:r>
      <w:r w:rsidR="00F762B1" w:rsidRPr="005D74D1">
        <w:rPr>
          <w:rFonts w:cs="Arial"/>
        </w:rPr>
        <w:t>the EC</w:t>
      </w:r>
      <w:r w:rsidRPr="005D74D1">
        <w:rPr>
          <w:rFonts w:cs="Arial"/>
        </w:rPr>
        <w:t>, as well as annually reporting EC expenditure and undertaking a review of the EC at the end of each tranche of funding.</w:t>
      </w:r>
    </w:p>
    <w:p w14:paraId="5FED9E00" w14:textId="6383EB43" w:rsidR="00191900" w:rsidRPr="005D74D1" w:rsidRDefault="00357C58" w:rsidP="00191900">
      <w:pPr>
        <w:pStyle w:val="BodyText"/>
        <w:rPr>
          <w:rFonts w:cs="Arial"/>
        </w:rPr>
      </w:pPr>
      <w:r w:rsidRPr="005D74D1">
        <w:rPr>
          <w:rFonts w:cs="Arial"/>
        </w:rPr>
        <w:fldChar w:fldCharType="begin"/>
      </w:r>
      <w:r w:rsidRPr="005D74D1">
        <w:rPr>
          <w:rFonts w:cs="Arial"/>
        </w:rPr>
        <w:instrText xml:space="preserve"> REF _Ref183439795 \h </w:instrText>
      </w:r>
      <w:r w:rsidR="005D74D1" w:rsidRPr="005D74D1">
        <w:rPr>
          <w:rFonts w:cs="Arial"/>
        </w:rPr>
        <w:instrText xml:space="preserve"> \* MERGEFORMAT </w:instrText>
      </w:r>
      <w:r w:rsidRPr="005D74D1">
        <w:rPr>
          <w:rFonts w:cs="Arial"/>
        </w:rPr>
      </w:r>
      <w:r w:rsidRPr="005D74D1">
        <w:rPr>
          <w:rFonts w:cs="Arial"/>
        </w:rPr>
        <w:fldChar w:fldCharType="separate"/>
      </w:r>
      <w:r w:rsidR="003870A0" w:rsidRPr="005D74D1">
        <w:rPr>
          <w:rFonts w:cs="Arial"/>
        </w:rPr>
        <w:t>Table </w:t>
      </w:r>
      <w:r w:rsidR="003870A0">
        <w:rPr>
          <w:rFonts w:cs="Arial"/>
        </w:rPr>
        <w:t>1</w:t>
      </w:r>
      <w:r w:rsidRPr="005D74D1">
        <w:rPr>
          <w:rFonts w:cs="Arial"/>
        </w:rPr>
        <w:fldChar w:fldCharType="end"/>
      </w:r>
      <w:r w:rsidRPr="005D74D1">
        <w:rPr>
          <w:rFonts w:cs="Arial"/>
        </w:rPr>
        <w:t xml:space="preserve"> </w:t>
      </w:r>
      <w:r w:rsidR="00191900" w:rsidRPr="005D74D1">
        <w:rPr>
          <w:rFonts w:cs="Arial"/>
        </w:rPr>
        <w:t>provides</w:t>
      </w:r>
      <w:r w:rsidR="006C53A9" w:rsidRPr="005D74D1">
        <w:rPr>
          <w:rFonts w:cs="Arial"/>
        </w:rPr>
        <w:t xml:space="preserve"> </w:t>
      </w:r>
      <w:r w:rsidR="00191900" w:rsidRPr="005D74D1">
        <w:rPr>
          <w:rFonts w:cs="Arial"/>
        </w:rPr>
        <w:t>definitions of the objectives of the EC as established in Part 9 of the</w:t>
      </w:r>
      <w:r w:rsidR="008A7709" w:rsidRPr="005D74D1">
        <w:rPr>
          <w:rFonts w:cs="Arial"/>
        </w:rPr>
        <w:t xml:space="preserve"> Act</w:t>
      </w:r>
      <w:r w:rsidR="00191900" w:rsidRPr="005D74D1">
        <w:rPr>
          <w:rFonts w:cs="Arial"/>
        </w:rPr>
        <w:t>.</w:t>
      </w:r>
    </w:p>
    <w:p w14:paraId="39D3410A" w14:textId="56E97649" w:rsidR="00191900" w:rsidRPr="005D74D1" w:rsidRDefault="00191900" w:rsidP="00DD3194">
      <w:pPr>
        <w:pStyle w:val="TableCaption"/>
        <w:rPr>
          <w:rFonts w:cs="Arial"/>
        </w:rPr>
      </w:pPr>
      <w:bookmarkStart w:id="42" w:name="tab4"/>
      <w:bookmarkStart w:id="43" w:name="_Ref183439795"/>
      <w:bookmarkStart w:id="44" w:name="_Toc184904988"/>
      <w:bookmarkEnd w:id="42"/>
      <w:r w:rsidRPr="005D74D1">
        <w:rPr>
          <w:rFonts w:cs="Arial"/>
        </w:rPr>
        <w:t>Table</w:t>
      </w:r>
      <w:r w:rsidR="00D6153A" w:rsidRPr="005D74D1">
        <w:rPr>
          <w:rFonts w:cs="Arial"/>
        </w:rPr>
        <w:t> </w:t>
      </w:r>
      <w:r w:rsidRPr="005D74D1">
        <w:rPr>
          <w:rFonts w:cs="Arial"/>
        </w:rPr>
        <w:fldChar w:fldCharType="begin"/>
      </w:r>
      <w:r w:rsidRPr="005D74D1">
        <w:rPr>
          <w:rFonts w:cs="Arial"/>
        </w:rPr>
        <w:instrText>SEQ Table \* ARABIC</w:instrText>
      </w:r>
      <w:r w:rsidRPr="005D74D1">
        <w:rPr>
          <w:rFonts w:cs="Arial"/>
        </w:rPr>
        <w:fldChar w:fldCharType="separate"/>
      </w:r>
      <w:r w:rsidR="003870A0">
        <w:rPr>
          <w:rFonts w:cs="Arial"/>
          <w:noProof/>
        </w:rPr>
        <w:t>1</w:t>
      </w:r>
      <w:r w:rsidRPr="005D74D1">
        <w:rPr>
          <w:rFonts w:cs="Arial"/>
        </w:rPr>
        <w:fldChar w:fldCharType="end"/>
      </w:r>
      <w:bookmarkEnd w:id="43"/>
      <w:r w:rsidRPr="005D74D1">
        <w:rPr>
          <w:rFonts w:cs="Arial"/>
        </w:rPr>
        <w:t>. Definitions of the EC objectives</w:t>
      </w:r>
      <w:bookmarkEnd w:id="44"/>
    </w:p>
    <w:tbl>
      <w:tblPr>
        <w:tblStyle w:val="TableGridLight"/>
        <w:tblW w:w="0" w:type="auto"/>
        <w:tblBorders>
          <w:top w:val="single" w:sz="4" w:space="0" w:color="231EDC" w:themeColor="accent1"/>
          <w:left w:val="single" w:sz="4" w:space="0" w:color="231EDC" w:themeColor="accent1"/>
          <w:bottom w:val="single" w:sz="4" w:space="0" w:color="231EDC" w:themeColor="accent1"/>
          <w:right w:val="single" w:sz="4" w:space="0" w:color="231EDC" w:themeColor="accent1"/>
          <w:insideH w:val="single" w:sz="4" w:space="0" w:color="231EDC" w:themeColor="accent1"/>
          <w:insideV w:val="single" w:sz="4" w:space="0" w:color="231EDC" w:themeColor="accent1"/>
        </w:tblBorders>
        <w:tblLook w:val="04A0" w:firstRow="1" w:lastRow="0" w:firstColumn="1" w:lastColumn="0" w:noHBand="0" w:noVBand="1"/>
      </w:tblPr>
      <w:tblGrid>
        <w:gridCol w:w="2515"/>
        <w:gridCol w:w="7113"/>
      </w:tblGrid>
      <w:tr w:rsidR="00191900" w:rsidRPr="005D74D1" w14:paraId="6827761E" w14:textId="77777777" w:rsidTr="00140664">
        <w:tc>
          <w:tcPr>
            <w:tcW w:w="2515" w:type="dxa"/>
            <w:shd w:val="clear" w:color="auto" w:fill="231EDC" w:themeFill="accent1"/>
          </w:tcPr>
          <w:p w14:paraId="7872EAB4" w14:textId="289CAF85" w:rsidR="00191900" w:rsidRPr="00A134A7" w:rsidRDefault="00191900" w:rsidP="00D6153A">
            <w:pPr>
              <w:pStyle w:val="TableHeadingWhite"/>
              <w:rPr>
                <w:rFonts w:cs="Arial"/>
                <w:lang w:val="en-AU"/>
              </w:rPr>
            </w:pPr>
            <w:r w:rsidRPr="005D74D1">
              <w:rPr>
                <w:rFonts w:cs="Arial"/>
              </w:rPr>
              <w:t xml:space="preserve">Legislated </w:t>
            </w:r>
            <w:r w:rsidR="004D2397" w:rsidRPr="005D74D1">
              <w:rPr>
                <w:rFonts w:cs="Arial"/>
              </w:rPr>
              <w:t>o</w:t>
            </w:r>
            <w:r w:rsidRPr="005D74D1">
              <w:rPr>
                <w:rFonts w:cs="Arial"/>
              </w:rPr>
              <w:t xml:space="preserve">bjectives </w:t>
            </w:r>
          </w:p>
        </w:tc>
        <w:tc>
          <w:tcPr>
            <w:tcW w:w="7113" w:type="dxa"/>
            <w:shd w:val="clear" w:color="auto" w:fill="231EDC" w:themeFill="accent1"/>
          </w:tcPr>
          <w:p w14:paraId="6BA305EE" w14:textId="51857D97" w:rsidR="00191900" w:rsidRPr="00A134A7" w:rsidRDefault="00191900" w:rsidP="00D6153A">
            <w:pPr>
              <w:pStyle w:val="TableHeadingWhite"/>
              <w:rPr>
                <w:rFonts w:cs="Arial"/>
                <w:lang w:val="en-AU"/>
              </w:rPr>
            </w:pPr>
            <w:r w:rsidRPr="005D74D1">
              <w:rPr>
                <w:rFonts w:cs="Arial"/>
              </w:rPr>
              <w:t xml:space="preserve">DEECA </w:t>
            </w:r>
            <w:r w:rsidR="004D2397" w:rsidRPr="005D74D1">
              <w:rPr>
                <w:rFonts w:cs="Arial"/>
              </w:rPr>
              <w:t>A</w:t>
            </w:r>
            <w:r w:rsidRPr="005D74D1">
              <w:rPr>
                <w:rFonts w:cs="Arial"/>
              </w:rPr>
              <w:t xml:space="preserve">pproved </w:t>
            </w:r>
            <w:r w:rsidR="004D2397" w:rsidRPr="005D74D1">
              <w:rPr>
                <w:rFonts w:cs="Arial"/>
              </w:rPr>
              <w:t>d</w:t>
            </w:r>
            <w:r w:rsidRPr="005D74D1">
              <w:rPr>
                <w:rFonts w:cs="Arial"/>
              </w:rPr>
              <w:t>efinitions</w:t>
            </w:r>
          </w:p>
        </w:tc>
      </w:tr>
      <w:tr w:rsidR="00191900" w:rsidRPr="005D74D1" w14:paraId="46275D37" w14:textId="77777777" w:rsidTr="00140664">
        <w:tc>
          <w:tcPr>
            <w:tcW w:w="2515" w:type="dxa"/>
          </w:tcPr>
          <w:p w14:paraId="4CEB4413" w14:textId="77777777" w:rsidR="00191900" w:rsidRPr="005D74D1" w:rsidRDefault="00191900" w:rsidP="00FF456E">
            <w:pPr>
              <w:pStyle w:val="TableText"/>
              <w:rPr>
                <w:rFonts w:cs="Arial"/>
                <w:lang w:val="en-AU"/>
              </w:rPr>
            </w:pPr>
            <w:r w:rsidRPr="005D74D1">
              <w:rPr>
                <w:rFonts w:cs="Arial"/>
                <w:lang w:val="en-AU"/>
              </w:rPr>
              <w:t>Promote the sustainable management of water</w:t>
            </w:r>
          </w:p>
        </w:tc>
        <w:tc>
          <w:tcPr>
            <w:tcW w:w="7113" w:type="dxa"/>
          </w:tcPr>
          <w:p w14:paraId="789F6B4F" w14:textId="77777777" w:rsidR="00191900" w:rsidRPr="005D74D1" w:rsidRDefault="00191900" w:rsidP="00FF456E">
            <w:pPr>
              <w:pStyle w:val="TableText"/>
              <w:rPr>
                <w:rFonts w:cs="Arial"/>
                <w:lang w:val="en-AU"/>
              </w:rPr>
            </w:pPr>
            <w:r w:rsidRPr="005D74D1">
              <w:rPr>
                <w:rFonts w:cs="Arial"/>
                <w:lang w:val="en-AU"/>
              </w:rPr>
              <w:t>To promote:</w:t>
            </w:r>
          </w:p>
          <w:p w14:paraId="16E4B0CF" w14:textId="498D2DC9" w:rsidR="00191900" w:rsidRPr="00A134A7" w:rsidRDefault="1FECF69B" w:rsidP="007017E4">
            <w:pPr>
              <w:pStyle w:val="TableBullet"/>
              <w:rPr>
                <w:rFonts w:cs="Arial"/>
                <w:lang w:val="en-AU"/>
              </w:rPr>
            </w:pPr>
            <w:r w:rsidRPr="00A134A7">
              <w:rPr>
                <w:rFonts w:cs="Arial"/>
                <w:lang w:val="en-AU"/>
              </w:rPr>
              <w:t>Effective management of Victoria’s water systems for the present and future, or</w:t>
            </w:r>
          </w:p>
          <w:p w14:paraId="5E5FB975" w14:textId="77777777" w:rsidR="00191900" w:rsidRPr="00A134A7" w:rsidRDefault="1FECF69B" w:rsidP="007017E4">
            <w:pPr>
              <w:pStyle w:val="TableBullet"/>
              <w:rPr>
                <w:rFonts w:cs="Arial"/>
                <w:lang w:val="en-AU"/>
              </w:rPr>
            </w:pPr>
            <w:r w:rsidRPr="00A134A7">
              <w:rPr>
                <w:rFonts w:cs="Arial"/>
                <w:lang w:val="en-AU"/>
              </w:rPr>
              <w:t>Efficient and effective use of Victoria’s water systems to better manage within the known limits of the resources, or</w:t>
            </w:r>
          </w:p>
          <w:p w14:paraId="195AA98E" w14:textId="77777777" w:rsidR="00191900" w:rsidRPr="005D74D1" w:rsidRDefault="1FECF69B" w:rsidP="00FF456E">
            <w:pPr>
              <w:pStyle w:val="TableBullet"/>
              <w:rPr>
                <w:rFonts w:cs="Arial"/>
                <w:lang w:val="en-AU"/>
              </w:rPr>
            </w:pPr>
            <w:r w:rsidRPr="00A134A7">
              <w:rPr>
                <w:rFonts w:cs="Arial"/>
                <w:lang w:val="en-AU"/>
              </w:rPr>
              <w:t xml:space="preserve">The long-term resilience and security of Victoria’s water </w:t>
            </w:r>
            <w:r w:rsidRPr="005D74D1">
              <w:rPr>
                <w:rFonts w:cs="Arial"/>
                <w:lang w:val="en-AU"/>
              </w:rPr>
              <w:t>systems</w:t>
            </w:r>
          </w:p>
        </w:tc>
      </w:tr>
      <w:tr w:rsidR="00191900" w:rsidRPr="005D74D1" w14:paraId="44541F43" w14:textId="77777777" w:rsidTr="00140664">
        <w:tc>
          <w:tcPr>
            <w:tcW w:w="2515" w:type="dxa"/>
          </w:tcPr>
          <w:p w14:paraId="6F2FDC65" w14:textId="77777777" w:rsidR="00191900" w:rsidRPr="00A134A7" w:rsidRDefault="00191900" w:rsidP="00FF456E">
            <w:pPr>
              <w:pStyle w:val="TableText"/>
              <w:rPr>
                <w:rFonts w:cs="Arial"/>
                <w:lang w:val="en-AU"/>
              </w:rPr>
            </w:pPr>
            <w:r w:rsidRPr="005D74D1">
              <w:rPr>
                <w:rFonts w:cs="Arial"/>
              </w:rPr>
              <w:t>Address adverse water-related environmental impacts</w:t>
            </w:r>
          </w:p>
        </w:tc>
        <w:tc>
          <w:tcPr>
            <w:tcW w:w="7113" w:type="dxa"/>
          </w:tcPr>
          <w:p w14:paraId="1A271198" w14:textId="77777777" w:rsidR="00191900" w:rsidRPr="005D74D1" w:rsidRDefault="00191900" w:rsidP="00FF456E">
            <w:pPr>
              <w:pStyle w:val="TableText"/>
              <w:rPr>
                <w:rFonts w:cs="Arial"/>
                <w:lang w:val="en-AU"/>
              </w:rPr>
            </w:pPr>
            <w:r w:rsidRPr="005D74D1">
              <w:rPr>
                <w:rFonts w:cs="Arial"/>
                <w:lang w:val="en-AU"/>
              </w:rPr>
              <w:t>To prevent, remediate, mitigate, or offset:</w:t>
            </w:r>
          </w:p>
          <w:p w14:paraId="67DAB448" w14:textId="77777777" w:rsidR="00191900" w:rsidRPr="00A134A7" w:rsidRDefault="1FECF69B" w:rsidP="009E3D9F">
            <w:pPr>
              <w:pStyle w:val="TableBullet"/>
              <w:rPr>
                <w:rFonts w:cs="Arial"/>
                <w:lang w:val="en-AU"/>
              </w:rPr>
            </w:pPr>
            <w:r w:rsidRPr="00A134A7">
              <w:rPr>
                <w:rFonts w:cs="Arial"/>
                <w:lang w:val="en-AU"/>
              </w:rPr>
              <w:t>Adverse impacts on water-related environments arising from water extraction and associated infrastructure, or</w:t>
            </w:r>
          </w:p>
          <w:p w14:paraId="4C43139C" w14:textId="77777777" w:rsidR="00191900" w:rsidRPr="005D74D1" w:rsidRDefault="1FECF69B" w:rsidP="00FF456E">
            <w:pPr>
              <w:pStyle w:val="TableBullet"/>
              <w:rPr>
                <w:rFonts w:cs="Arial"/>
                <w:lang w:val="en-AU"/>
              </w:rPr>
            </w:pPr>
            <w:r w:rsidRPr="00A134A7">
              <w:rPr>
                <w:rFonts w:cs="Arial"/>
                <w:lang w:val="en-AU"/>
              </w:rPr>
              <w:t>Processes that adversely impact on the health of water-related environments</w:t>
            </w:r>
          </w:p>
        </w:tc>
      </w:tr>
    </w:tbl>
    <w:p w14:paraId="56EFFA16" w14:textId="5404D8E2" w:rsidR="00005597" w:rsidRPr="005D74D1" w:rsidRDefault="00005597" w:rsidP="00005597">
      <w:pPr>
        <w:pStyle w:val="BodyText"/>
        <w:rPr>
          <w:rFonts w:cs="Arial"/>
        </w:rPr>
      </w:pPr>
      <w:r w:rsidRPr="005D74D1">
        <w:rPr>
          <w:rFonts w:cs="Arial"/>
        </w:rPr>
        <w:t xml:space="preserve">The </w:t>
      </w:r>
      <w:r w:rsidR="006C53A9" w:rsidRPr="005D74D1">
        <w:rPr>
          <w:rFonts w:cs="Arial"/>
        </w:rPr>
        <w:t xml:space="preserve">EC </w:t>
      </w:r>
      <w:r w:rsidRPr="005D74D1">
        <w:rPr>
          <w:rFonts w:cs="Arial"/>
        </w:rPr>
        <w:t>initiatives</w:t>
      </w:r>
      <w:r w:rsidR="00856E8C" w:rsidRPr="005D74D1">
        <w:rPr>
          <w:rFonts w:cs="Arial"/>
        </w:rPr>
        <w:t>, which comprise multiple projects,</w:t>
      </w:r>
      <w:r w:rsidRPr="005D74D1">
        <w:rPr>
          <w:rFonts w:cs="Arial"/>
        </w:rPr>
        <w:t xml:space="preserve"> are aimed at achieving the legislative purpose mentioned above and are guided by </w:t>
      </w:r>
      <w:r w:rsidR="000A6359" w:rsidRPr="005D74D1">
        <w:rPr>
          <w:rFonts w:cs="Arial"/>
        </w:rPr>
        <w:t xml:space="preserve">Victorian </w:t>
      </w:r>
      <w:r w:rsidRPr="005D74D1">
        <w:rPr>
          <w:rFonts w:cs="Arial"/>
        </w:rPr>
        <w:t xml:space="preserve">Government water management strategies. The first </w:t>
      </w:r>
      <w:r w:rsidR="000E6830" w:rsidRPr="005D74D1">
        <w:rPr>
          <w:rFonts w:cs="Arial"/>
        </w:rPr>
        <w:t xml:space="preserve">3 </w:t>
      </w:r>
      <w:r w:rsidRPr="005D74D1">
        <w:rPr>
          <w:rFonts w:cs="Arial"/>
        </w:rPr>
        <w:t xml:space="preserve">of the </w:t>
      </w:r>
      <w:r w:rsidR="000E6830" w:rsidRPr="005D74D1">
        <w:rPr>
          <w:rFonts w:cs="Arial"/>
        </w:rPr>
        <w:t>4</w:t>
      </w:r>
      <w:r w:rsidRPr="005D74D1">
        <w:rPr>
          <w:rFonts w:cs="Arial"/>
        </w:rPr>
        <w:t xml:space="preserve">-year ‘tranches’ of the EC funded </w:t>
      </w:r>
      <w:r w:rsidR="00D46252" w:rsidRPr="005D74D1">
        <w:rPr>
          <w:rFonts w:cs="Arial"/>
        </w:rPr>
        <w:t>most of the</w:t>
      </w:r>
      <w:r w:rsidRPr="005D74D1">
        <w:rPr>
          <w:rFonts w:cs="Arial"/>
        </w:rPr>
        <w:t xml:space="preserve"> actions required to achieve the objectives of </w:t>
      </w:r>
      <w:r w:rsidR="008C2FE6" w:rsidRPr="005D74D1">
        <w:rPr>
          <w:rFonts w:cs="Arial"/>
        </w:rPr>
        <w:t xml:space="preserve">the 2004 </w:t>
      </w:r>
      <w:r w:rsidR="000D7C1B" w:rsidRPr="005D74D1">
        <w:rPr>
          <w:rFonts w:cs="Arial"/>
          <w:i/>
          <w:iCs/>
        </w:rPr>
        <w:t>Our Water Our Future</w:t>
      </w:r>
      <w:r w:rsidR="00B34036" w:rsidRPr="005D74D1">
        <w:rPr>
          <w:rFonts w:cs="Arial"/>
        </w:rPr>
        <w:t xml:space="preserve"> strategy</w:t>
      </w:r>
      <w:r w:rsidR="00430D09" w:rsidRPr="005D74D1">
        <w:rPr>
          <w:rFonts w:cs="Arial"/>
        </w:rPr>
        <w:t>,</w:t>
      </w:r>
      <w:r w:rsidRPr="005D74D1">
        <w:rPr>
          <w:rFonts w:cs="Arial"/>
        </w:rPr>
        <w:t xml:space="preserve"> </w:t>
      </w:r>
      <w:r w:rsidR="00430D09" w:rsidRPr="005D74D1">
        <w:rPr>
          <w:rFonts w:cs="Arial"/>
        </w:rPr>
        <w:t xml:space="preserve">and the </w:t>
      </w:r>
      <w:r w:rsidR="00D105D4" w:rsidRPr="005D74D1">
        <w:rPr>
          <w:rFonts w:cs="Arial"/>
        </w:rPr>
        <w:t>fourth tranche was focused on delivery of</w:t>
      </w:r>
      <w:r w:rsidR="00ED31CE" w:rsidRPr="005D74D1">
        <w:rPr>
          <w:rFonts w:cs="Arial"/>
        </w:rPr>
        <w:t xml:space="preserve"> the 2016</w:t>
      </w:r>
      <w:r w:rsidR="00D105D4" w:rsidRPr="005D74D1">
        <w:rPr>
          <w:rFonts w:cs="Arial"/>
        </w:rPr>
        <w:t xml:space="preserve"> </w:t>
      </w:r>
      <w:r w:rsidR="00D105D4" w:rsidRPr="005D74D1">
        <w:rPr>
          <w:rFonts w:cs="Arial"/>
          <w:i/>
          <w:iCs/>
        </w:rPr>
        <w:t>Water for Victoria</w:t>
      </w:r>
      <w:r w:rsidR="00D105D4" w:rsidRPr="005D74D1">
        <w:rPr>
          <w:rFonts w:cs="Arial"/>
        </w:rPr>
        <w:t xml:space="preserve"> </w:t>
      </w:r>
      <w:r w:rsidR="00ED31CE" w:rsidRPr="005D74D1">
        <w:rPr>
          <w:rFonts w:cs="Arial"/>
        </w:rPr>
        <w:t>strategy.</w:t>
      </w:r>
    </w:p>
    <w:p w14:paraId="55F935DA" w14:textId="77777777" w:rsidR="00A50E7D" w:rsidRPr="005D74D1" w:rsidRDefault="00F20DC4" w:rsidP="00882DFE">
      <w:pPr>
        <w:pStyle w:val="BodyText"/>
        <w:rPr>
          <w:rFonts w:cs="Arial"/>
        </w:rPr>
      </w:pPr>
      <w:r w:rsidRPr="005D74D1">
        <w:rPr>
          <w:rFonts w:cs="Arial"/>
        </w:rPr>
        <w:t>The collections for the first four tranches were as follows:</w:t>
      </w:r>
    </w:p>
    <w:p w14:paraId="7C100FF7" w14:textId="77777777" w:rsidR="00A50E7D" w:rsidRPr="005D74D1" w:rsidRDefault="00503650" w:rsidP="009E3D9F">
      <w:pPr>
        <w:pStyle w:val="BulletLevel1"/>
        <w:rPr>
          <w:rFonts w:cs="Arial"/>
          <w:lang w:val="en-AU"/>
        </w:rPr>
      </w:pPr>
      <w:r w:rsidRPr="005D74D1">
        <w:rPr>
          <w:rFonts w:cs="Arial"/>
          <w:lang w:val="en-AU"/>
        </w:rPr>
        <w:t>t</w:t>
      </w:r>
      <w:r w:rsidR="00882DFE" w:rsidRPr="005D74D1">
        <w:rPr>
          <w:rFonts w:cs="Arial"/>
          <w:lang w:val="en-AU"/>
        </w:rPr>
        <w:t>ranche 1 (2004 to 2008) collected $226.5 million</w:t>
      </w:r>
    </w:p>
    <w:p w14:paraId="54D4860E" w14:textId="77777777" w:rsidR="00A50E7D" w:rsidRPr="005D74D1" w:rsidRDefault="00503650" w:rsidP="009E3D9F">
      <w:pPr>
        <w:pStyle w:val="BulletLevel1"/>
        <w:rPr>
          <w:rFonts w:cs="Arial"/>
          <w:lang w:val="en-AU"/>
        </w:rPr>
      </w:pPr>
      <w:r w:rsidRPr="005D74D1">
        <w:rPr>
          <w:rFonts w:cs="Arial"/>
          <w:lang w:val="en-AU"/>
        </w:rPr>
        <w:t>t</w:t>
      </w:r>
      <w:r w:rsidR="00882DFE" w:rsidRPr="005D74D1">
        <w:rPr>
          <w:rFonts w:cs="Arial"/>
          <w:lang w:val="en-AU"/>
        </w:rPr>
        <w:t>ranche 2 (2008 to 2012) collected $277.6 million</w:t>
      </w:r>
    </w:p>
    <w:p w14:paraId="323743BC" w14:textId="77777777" w:rsidR="00A50E7D" w:rsidRPr="005D74D1" w:rsidRDefault="00503650" w:rsidP="009E3D9F">
      <w:pPr>
        <w:pStyle w:val="BulletLevel1"/>
        <w:rPr>
          <w:rFonts w:cs="Arial"/>
          <w:lang w:val="en-AU"/>
        </w:rPr>
      </w:pPr>
      <w:r w:rsidRPr="005D74D1">
        <w:rPr>
          <w:rFonts w:cs="Arial"/>
          <w:lang w:val="en-AU"/>
        </w:rPr>
        <w:t>t</w:t>
      </w:r>
      <w:r w:rsidR="00882DFE" w:rsidRPr="005D74D1">
        <w:rPr>
          <w:rFonts w:cs="Arial"/>
          <w:lang w:val="en-AU"/>
        </w:rPr>
        <w:t>ranche 3 (2012 to 2016) collected $405.3 million</w:t>
      </w:r>
    </w:p>
    <w:p w14:paraId="08985CC3" w14:textId="77777777" w:rsidR="00F47CB3" w:rsidRPr="005D74D1" w:rsidRDefault="00503650" w:rsidP="00F31FE9">
      <w:pPr>
        <w:pStyle w:val="BulletLevel1"/>
        <w:rPr>
          <w:rFonts w:cs="Arial"/>
          <w:lang w:val="en-AU"/>
        </w:rPr>
      </w:pPr>
      <w:r w:rsidRPr="005D74D1">
        <w:rPr>
          <w:rFonts w:cs="Arial"/>
          <w:lang w:val="en-AU"/>
        </w:rPr>
        <w:t>t</w:t>
      </w:r>
      <w:r w:rsidR="00882DFE" w:rsidRPr="005D74D1">
        <w:rPr>
          <w:rFonts w:cs="Arial"/>
          <w:lang w:val="en-AU"/>
        </w:rPr>
        <w:t>ranche 4 (</w:t>
      </w:r>
      <w:r w:rsidR="00484DCC" w:rsidRPr="005D74D1">
        <w:rPr>
          <w:rFonts w:cs="Arial"/>
          <w:lang w:val="en-AU"/>
        </w:rPr>
        <w:t>2016 to 202</w:t>
      </w:r>
      <w:r w:rsidR="001A73EC" w:rsidRPr="005D74D1">
        <w:rPr>
          <w:rFonts w:cs="Arial"/>
          <w:lang w:val="en-AU"/>
        </w:rPr>
        <w:t>0</w:t>
      </w:r>
      <w:r w:rsidR="00882DFE" w:rsidRPr="005D74D1">
        <w:rPr>
          <w:rFonts w:cs="Arial"/>
          <w:lang w:val="en-AU"/>
        </w:rPr>
        <w:t xml:space="preserve">) collected </w:t>
      </w:r>
      <w:r w:rsidR="00484DCC" w:rsidRPr="005D74D1">
        <w:rPr>
          <w:rFonts w:cs="Arial"/>
          <w:lang w:val="en-AU"/>
        </w:rPr>
        <w:t>$</w:t>
      </w:r>
      <w:r w:rsidR="001A73EC" w:rsidRPr="005D74D1">
        <w:rPr>
          <w:rFonts w:cs="Arial"/>
          <w:lang w:val="en-AU"/>
        </w:rPr>
        <w:t>537</w:t>
      </w:r>
      <w:r w:rsidR="00484DCC" w:rsidRPr="005D74D1">
        <w:rPr>
          <w:rFonts w:cs="Arial"/>
          <w:lang w:val="en-AU"/>
        </w:rPr>
        <w:t xml:space="preserve"> million</w:t>
      </w:r>
      <w:r w:rsidRPr="005D74D1">
        <w:rPr>
          <w:rFonts w:cs="Arial"/>
          <w:lang w:val="en-AU"/>
        </w:rPr>
        <w:t>.</w:t>
      </w:r>
    </w:p>
    <w:p w14:paraId="4B9F43CC" w14:textId="3377738B" w:rsidR="009C5863" w:rsidRPr="005D74D1" w:rsidRDefault="00592255" w:rsidP="00F47CB3">
      <w:pPr>
        <w:pStyle w:val="BulletLevel1"/>
        <w:numPr>
          <w:ilvl w:val="0"/>
          <w:numId w:val="0"/>
        </w:numPr>
        <w:rPr>
          <w:rFonts w:cs="Arial"/>
          <w:lang w:val="en-AU"/>
        </w:rPr>
      </w:pPr>
      <w:r w:rsidRPr="00A134A7">
        <w:rPr>
          <w:rFonts w:cs="Arial"/>
          <w:lang w:val="en-AU"/>
        </w:rPr>
        <w:t xml:space="preserve">The fifth </w:t>
      </w:r>
      <w:r w:rsidR="000E6830" w:rsidRPr="00A134A7">
        <w:rPr>
          <w:rFonts w:cs="Arial"/>
          <w:lang w:val="en-AU"/>
        </w:rPr>
        <w:t>4</w:t>
      </w:r>
      <w:r w:rsidRPr="00A134A7">
        <w:rPr>
          <w:rFonts w:cs="Arial"/>
          <w:lang w:val="en-AU"/>
        </w:rPr>
        <w:t>-year tranche (EC5) commenced on 1 July 2020</w:t>
      </w:r>
      <w:r w:rsidR="00F214CA" w:rsidRPr="00A134A7">
        <w:rPr>
          <w:rFonts w:cs="Arial"/>
          <w:lang w:val="en-AU"/>
        </w:rPr>
        <w:t xml:space="preserve">, </w:t>
      </w:r>
      <w:r w:rsidR="00EE606F" w:rsidRPr="00A134A7">
        <w:rPr>
          <w:rFonts w:cs="Arial"/>
          <w:lang w:val="en-AU"/>
        </w:rPr>
        <w:t xml:space="preserve">with </w:t>
      </w:r>
      <w:r w:rsidR="005A7F43" w:rsidRPr="00A134A7">
        <w:rPr>
          <w:rFonts w:cs="Arial"/>
          <w:lang w:val="en-AU"/>
        </w:rPr>
        <w:t xml:space="preserve">funding of </w:t>
      </w:r>
      <w:r w:rsidR="00EE606F" w:rsidRPr="00A134A7">
        <w:rPr>
          <w:rFonts w:cs="Arial"/>
          <w:lang w:val="en-AU"/>
        </w:rPr>
        <w:t>$693.9 million</w:t>
      </w:r>
      <w:r w:rsidR="005A7F43" w:rsidRPr="00A134A7">
        <w:rPr>
          <w:rFonts w:cs="Arial"/>
          <w:lang w:val="en-AU"/>
        </w:rPr>
        <w:t xml:space="preserve">. </w:t>
      </w:r>
      <w:r w:rsidR="009C5863" w:rsidRPr="00A134A7">
        <w:rPr>
          <w:rFonts w:cs="Arial"/>
          <w:lang w:val="en-AU"/>
        </w:rPr>
        <w:t>To guide investment decisions, DEECA undertook a strategic planning process, including identification of performance measures for EC5, investment priorities, and a strategic framework for the tranche. The resulting 1</w:t>
      </w:r>
      <w:r w:rsidR="00041A16" w:rsidRPr="00A134A7">
        <w:rPr>
          <w:rFonts w:cs="Arial"/>
          <w:lang w:val="en-AU"/>
        </w:rPr>
        <w:t>4</w:t>
      </w:r>
      <w:r w:rsidR="00041A16" w:rsidRPr="00A134A7" w:rsidDel="00CB4835">
        <w:rPr>
          <w:rFonts w:cs="Arial"/>
          <w:lang w:val="en-AU"/>
        </w:rPr>
        <w:t xml:space="preserve"> </w:t>
      </w:r>
      <w:r w:rsidR="00CB4835" w:rsidRPr="00A134A7">
        <w:rPr>
          <w:rFonts w:cs="Arial"/>
          <w:lang w:val="en-AU"/>
        </w:rPr>
        <w:t xml:space="preserve">initiatives </w:t>
      </w:r>
      <w:r w:rsidR="00A12BCE" w:rsidRPr="00A134A7">
        <w:rPr>
          <w:rFonts w:cs="Arial"/>
          <w:lang w:val="en-AU"/>
        </w:rPr>
        <w:t xml:space="preserve">were </w:t>
      </w:r>
      <w:r w:rsidR="00041A16" w:rsidRPr="00A134A7">
        <w:rPr>
          <w:rFonts w:cs="Arial"/>
          <w:lang w:val="en-AU"/>
        </w:rPr>
        <w:t>delivered through 38</w:t>
      </w:r>
      <w:r w:rsidR="009C5863" w:rsidRPr="00A134A7">
        <w:rPr>
          <w:rFonts w:cs="Arial"/>
          <w:lang w:val="en-AU"/>
        </w:rPr>
        <w:t xml:space="preserve"> </w:t>
      </w:r>
      <w:r w:rsidR="00CB4835" w:rsidRPr="00A134A7">
        <w:rPr>
          <w:rFonts w:cs="Arial"/>
          <w:lang w:val="en-AU"/>
        </w:rPr>
        <w:t>projects</w:t>
      </w:r>
      <w:r w:rsidR="00A12BCE" w:rsidRPr="00A134A7">
        <w:rPr>
          <w:rFonts w:cs="Arial"/>
          <w:lang w:val="en-AU"/>
        </w:rPr>
        <w:t>,</w:t>
      </w:r>
      <w:r w:rsidR="009C5863" w:rsidRPr="00A134A7">
        <w:rPr>
          <w:rFonts w:cs="Arial"/>
          <w:lang w:val="en-AU"/>
        </w:rPr>
        <w:t xml:space="preserve"> cover</w:t>
      </w:r>
      <w:r w:rsidR="00A12BCE" w:rsidRPr="00A134A7">
        <w:rPr>
          <w:rFonts w:cs="Arial"/>
          <w:lang w:val="en-AU"/>
        </w:rPr>
        <w:t>ing</w:t>
      </w:r>
      <w:r w:rsidR="009C5863" w:rsidRPr="00A134A7">
        <w:rPr>
          <w:rFonts w:cs="Arial"/>
          <w:lang w:val="en-AU"/>
        </w:rPr>
        <w:t xml:space="preserve"> a range of water management priorities including:</w:t>
      </w:r>
    </w:p>
    <w:p w14:paraId="37F8CE7D" w14:textId="63CDD1F0" w:rsidR="009C5863" w:rsidRPr="005D74D1" w:rsidRDefault="00585EB4" w:rsidP="00FF456E">
      <w:pPr>
        <w:pStyle w:val="BulletLevel1"/>
        <w:keepNext/>
        <w:keepLines/>
        <w:rPr>
          <w:rFonts w:cs="Arial"/>
          <w:lang w:val="en-AU"/>
        </w:rPr>
      </w:pPr>
      <w:r w:rsidRPr="005D74D1">
        <w:rPr>
          <w:rFonts w:cs="Arial"/>
          <w:lang w:val="en-AU"/>
        </w:rPr>
        <w:lastRenderedPageBreak/>
        <w:t>w</w:t>
      </w:r>
      <w:r w:rsidR="009C5863" w:rsidRPr="005D74D1">
        <w:rPr>
          <w:rFonts w:cs="Arial"/>
          <w:lang w:val="en-AU"/>
        </w:rPr>
        <w:t>ater security</w:t>
      </w:r>
    </w:p>
    <w:p w14:paraId="5F166208" w14:textId="231EECCA" w:rsidR="009C5863" w:rsidRPr="005D74D1" w:rsidRDefault="00585EB4" w:rsidP="00FF456E">
      <w:pPr>
        <w:pStyle w:val="BulletLevel1"/>
        <w:keepNext/>
        <w:keepLines/>
        <w:rPr>
          <w:rFonts w:cs="Arial"/>
          <w:lang w:val="en-AU"/>
        </w:rPr>
      </w:pPr>
      <w:r w:rsidRPr="005D74D1">
        <w:rPr>
          <w:rFonts w:cs="Arial"/>
          <w:lang w:val="en-AU"/>
        </w:rPr>
        <w:t>w</w:t>
      </w:r>
      <w:r w:rsidR="009C5863" w:rsidRPr="005D74D1">
        <w:rPr>
          <w:rFonts w:cs="Arial"/>
          <w:lang w:val="en-AU"/>
        </w:rPr>
        <w:t>ater efficiency</w:t>
      </w:r>
    </w:p>
    <w:p w14:paraId="78BBB7D3" w14:textId="75987ED1" w:rsidR="009C5863" w:rsidRPr="005D74D1" w:rsidRDefault="00585EB4" w:rsidP="00FF456E">
      <w:pPr>
        <w:pStyle w:val="BulletLevel1"/>
        <w:keepNext/>
        <w:keepLines/>
        <w:rPr>
          <w:rFonts w:cs="Arial"/>
          <w:lang w:val="en-AU"/>
        </w:rPr>
      </w:pPr>
      <w:r w:rsidRPr="005D74D1">
        <w:rPr>
          <w:rFonts w:cs="Arial"/>
          <w:lang w:val="en-AU"/>
        </w:rPr>
        <w:t>w</w:t>
      </w:r>
      <w:r w:rsidR="009C5863" w:rsidRPr="005D74D1">
        <w:rPr>
          <w:rFonts w:cs="Arial"/>
          <w:lang w:val="en-AU"/>
        </w:rPr>
        <w:t>aterway and catchment health</w:t>
      </w:r>
    </w:p>
    <w:p w14:paraId="54882192" w14:textId="77777777" w:rsidR="009C5863" w:rsidRPr="005D74D1" w:rsidRDefault="009C5863" w:rsidP="00FF456E">
      <w:pPr>
        <w:pStyle w:val="BulletLevel1"/>
        <w:keepNext/>
        <w:keepLines/>
        <w:rPr>
          <w:rFonts w:cs="Arial"/>
          <w:lang w:val="en-AU"/>
        </w:rPr>
      </w:pPr>
      <w:r w:rsidRPr="005D74D1">
        <w:rPr>
          <w:rFonts w:cs="Arial"/>
          <w:lang w:val="en-AU"/>
        </w:rPr>
        <w:t>Traditional Owner priorities</w:t>
      </w:r>
    </w:p>
    <w:p w14:paraId="0196BB13" w14:textId="77777777" w:rsidR="00A50E7D" w:rsidRPr="005D74D1" w:rsidRDefault="00585EB4" w:rsidP="00FF456E">
      <w:pPr>
        <w:pStyle w:val="BulletLevel1"/>
        <w:keepNext/>
        <w:keepLines/>
        <w:rPr>
          <w:rFonts w:cs="Arial"/>
          <w:lang w:val="en-AU"/>
        </w:rPr>
      </w:pPr>
      <w:r w:rsidRPr="005D74D1">
        <w:rPr>
          <w:rFonts w:cs="Arial"/>
          <w:lang w:val="en-AU"/>
        </w:rPr>
        <w:t>i</w:t>
      </w:r>
      <w:r w:rsidR="009C5863" w:rsidRPr="005D74D1">
        <w:rPr>
          <w:rFonts w:cs="Arial"/>
          <w:lang w:val="en-AU"/>
        </w:rPr>
        <w:t>nclusive management</w:t>
      </w:r>
    </w:p>
    <w:p w14:paraId="21E44104" w14:textId="77777777" w:rsidR="00A50E7D" w:rsidRPr="005D74D1" w:rsidRDefault="00585EB4" w:rsidP="00FF456E">
      <w:pPr>
        <w:pStyle w:val="BulletLevel1"/>
        <w:keepNext/>
        <w:keepLines/>
        <w:rPr>
          <w:rFonts w:cs="Arial"/>
          <w:lang w:val="en-AU"/>
        </w:rPr>
      </w:pPr>
      <w:r w:rsidRPr="005D74D1">
        <w:rPr>
          <w:rFonts w:cs="Arial"/>
          <w:lang w:val="en-AU"/>
        </w:rPr>
        <w:t>w</w:t>
      </w:r>
      <w:r w:rsidR="009C5863" w:rsidRPr="005D74D1">
        <w:rPr>
          <w:rFonts w:cs="Arial"/>
          <w:lang w:val="en-AU"/>
        </w:rPr>
        <w:t>ater governance.</w:t>
      </w:r>
    </w:p>
    <w:p w14:paraId="379F3C6F" w14:textId="4D17B76A" w:rsidR="00963A13" w:rsidRPr="005D74D1" w:rsidRDefault="006D7422" w:rsidP="0036107F">
      <w:pPr>
        <w:pStyle w:val="Heading2"/>
        <w:rPr>
          <w:rFonts w:cs="Arial"/>
        </w:rPr>
      </w:pPr>
      <w:bookmarkStart w:id="45" w:name="_Ref147065581"/>
      <w:bookmarkStart w:id="46" w:name="_Ref147137671"/>
      <w:bookmarkStart w:id="47" w:name="_Toc147329315"/>
      <w:bookmarkStart w:id="48" w:name="_Toc183777352"/>
      <w:r w:rsidRPr="005D74D1">
        <w:rPr>
          <w:rFonts w:cs="Arial"/>
        </w:rPr>
        <w:t xml:space="preserve">Purpose and </w:t>
      </w:r>
      <w:bookmarkEnd w:id="45"/>
      <w:bookmarkEnd w:id="46"/>
      <w:r w:rsidR="00A8036E" w:rsidRPr="005D74D1">
        <w:rPr>
          <w:rFonts w:cs="Arial"/>
        </w:rPr>
        <w:t>s</w:t>
      </w:r>
      <w:r w:rsidRPr="005D74D1">
        <w:rPr>
          <w:rFonts w:cs="Arial"/>
        </w:rPr>
        <w:t>cope</w:t>
      </w:r>
      <w:bookmarkEnd w:id="47"/>
      <w:bookmarkEnd w:id="48"/>
    </w:p>
    <w:p w14:paraId="330171CB" w14:textId="029B269E" w:rsidR="00E34142" w:rsidRPr="005D74D1" w:rsidRDefault="00761A97" w:rsidP="00E34142">
      <w:pPr>
        <w:widowControl w:val="0"/>
        <w:autoSpaceDE w:val="0"/>
        <w:autoSpaceDN w:val="0"/>
        <w:adjustRightInd w:val="0"/>
        <w:spacing w:line="254" w:lineRule="exact"/>
        <w:ind w:right="25"/>
        <w:rPr>
          <w:rFonts w:cs="Arial"/>
          <w:sz w:val="22"/>
        </w:rPr>
      </w:pPr>
      <w:r w:rsidRPr="005D74D1">
        <w:rPr>
          <w:rFonts w:cs="Arial"/>
          <w:sz w:val="22"/>
        </w:rPr>
        <w:t xml:space="preserve">Section 196 of the Act requires that a review of the operation of </w:t>
      </w:r>
      <w:r w:rsidR="00BA00D7" w:rsidRPr="005D74D1">
        <w:rPr>
          <w:rFonts w:cs="Arial"/>
          <w:sz w:val="22"/>
        </w:rPr>
        <w:t xml:space="preserve">each tranche of </w:t>
      </w:r>
      <w:r w:rsidRPr="005D74D1">
        <w:rPr>
          <w:rFonts w:cs="Arial"/>
          <w:sz w:val="22"/>
        </w:rPr>
        <w:t xml:space="preserve">the EC is conducted and that its conclusions are reported to the Minister. </w:t>
      </w:r>
      <w:r w:rsidR="00E34142" w:rsidRPr="005D74D1">
        <w:rPr>
          <w:rFonts w:cs="Arial"/>
          <w:sz w:val="22"/>
        </w:rPr>
        <w:t xml:space="preserve">A phased approach </w:t>
      </w:r>
      <w:r w:rsidR="008A7709" w:rsidRPr="005D74D1">
        <w:rPr>
          <w:rFonts w:cs="Arial"/>
          <w:sz w:val="22"/>
        </w:rPr>
        <w:t>was</w:t>
      </w:r>
      <w:r w:rsidR="00E34142" w:rsidRPr="005D74D1">
        <w:rPr>
          <w:rFonts w:cs="Arial"/>
          <w:sz w:val="22"/>
        </w:rPr>
        <w:t xml:space="preserve"> taken to evaluat</w:t>
      </w:r>
      <w:r w:rsidR="00BA00D7" w:rsidRPr="005D74D1">
        <w:rPr>
          <w:rFonts w:cs="Arial"/>
          <w:sz w:val="22"/>
        </w:rPr>
        <w:t>e</w:t>
      </w:r>
      <w:r w:rsidR="00E34142" w:rsidRPr="005D74D1">
        <w:rPr>
          <w:rFonts w:cs="Arial"/>
          <w:sz w:val="22"/>
        </w:rPr>
        <w:t xml:space="preserve"> EC5 </w:t>
      </w:r>
      <w:r w:rsidR="008A7709" w:rsidRPr="005D74D1">
        <w:rPr>
          <w:rFonts w:cs="Arial"/>
          <w:sz w:val="22"/>
        </w:rPr>
        <w:t>as follows</w:t>
      </w:r>
      <w:r w:rsidR="00E34142" w:rsidRPr="005D74D1">
        <w:rPr>
          <w:rFonts w:cs="Arial"/>
          <w:sz w:val="22"/>
        </w:rPr>
        <w:t>:</w:t>
      </w:r>
    </w:p>
    <w:p w14:paraId="59774E76" w14:textId="2D332887" w:rsidR="00E34142" w:rsidRPr="005D74D1" w:rsidRDefault="00A53DF5" w:rsidP="00B25D3A">
      <w:pPr>
        <w:pStyle w:val="BulletLevel1"/>
        <w:rPr>
          <w:rFonts w:cs="Arial"/>
          <w:lang w:val="en-AU"/>
        </w:rPr>
      </w:pPr>
      <w:r w:rsidRPr="005D74D1">
        <w:rPr>
          <w:rFonts w:cs="Arial"/>
          <w:lang w:val="en-AU"/>
        </w:rPr>
        <w:t>E</w:t>
      </w:r>
      <w:r w:rsidR="00A133E4" w:rsidRPr="005D74D1">
        <w:rPr>
          <w:rFonts w:cs="Arial"/>
          <w:lang w:val="en-AU"/>
        </w:rPr>
        <w:t>nd</w:t>
      </w:r>
      <w:r w:rsidRPr="005D74D1">
        <w:rPr>
          <w:rFonts w:cs="Arial"/>
          <w:lang w:val="en-AU"/>
        </w:rPr>
        <w:t>-of-</w:t>
      </w:r>
      <w:r w:rsidR="00C836BF" w:rsidRPr="005D74D1">
        <w:rPr>
          <w:rFonts w:cs="Arial"/>
          <w:lang w:val="en-AU"/>
        </w:rPr>
        <w:t>third</w:t>
      </w:r>
      <w:r w:rsidR="00674A4F" w:rsidRPr="005D74D1" w:rsidDel="00674A4F">
        <w:rPr>
          <w:rFonts w:cs="Arial"/>
          <w:lang w:val="en-AU"/>
        </w:rPr>
        <w:t xml:space="preserve"> </w:t>
      </w:r>
      <w:r w:rsidR="00E34142" w:rsidRPr="005D74D1">
        <w:rPr>
          <w:rFonts w:cs="Arial"/>
          <w:lang w:val="en-AU"/>
        </w:rPr>
        <w:t xml:space="preserve">year </w:t>
      </w:r>
      <w:r w:rsidR="006D15C0" w:rsidRPr="005D74D1">
        <w:rPr>
          <w:rFonts w:cs="Arial"/>
          <w:lang w:val="en-AU"/>
        </w:rPr>
        <w:t>EC5</w:t>
      </w:r>
      <w:r w:rsidR="00E34142" w:rsidRPr="005D74D1">
        <w:rPr>
          <w:rFonts w:cs="Arial"/>
          <w:lang w:val="en-AU"/>
        </w:rPr>
        <w:t xml:space="preserve"> evaluation (up to </w:t>
      </w:r>
      <w:r w:rsidR="00BA00D7" w:rsidRPr="005D74D1">
        <w:rPr>
          <w:rFonts w:cs="Arial"/>
          <w:lang w:val="en-AU"/>
        </w:rPr>
        <w:t xml:space="preserve">30 </w:t>
      </w:r>
      <w:r w:rsidR="00E34142" w:rsidRPr="005D74D1">
        <w:rPr>
          <w:rFonts w:cs="Arial"/>
          <w:lang w:val="en-AU"/>
        </w:rPr>
        <w:t>J</w:t>
      </w:r>
      <w:r w:rsidR="00C060F4" w:rsidRPr="005D74D1">
        <w:rPr>
          <w:rFonts w:cs="Arial"/>
          <w:lang w:val="en-AU"/>
        </w:rPr>
        <w:t xml:space="preserve">une </w:t>
      </w:r>
      <w:r w:rsidR="00E34142" w:rsidRPr="005D74D1">
        <w:rPr>
          <w:rFonts w:cs="Arial"/>
          <w:lang w:val="en-AU"/>
        </w:rPr>
        <w:t>2023)</w:t>
      </w:r>
      <w:r w:rsidR="00A12268" w:rsidRPr="005D74D1">
        <w:rPr>
          <w:rFonts w:cs="Arial"/>
          <w:lang w:val="en-AU"/>
        </w:rPr>
        <w:t xml:space="preserve"> – </w:t>
      </w:r>
      <w:r w:rsidR="00044048" w:rsidRPr="005D74D1">
        <w:rPr>
          <w:rFonts w:cs="Arial"/>
          <w:lang w:val="en-AU"/>
        </w:rPr>
        <w:t xml:space="preserve">previous </w:t>
      </w:r>
      <w:r w:rsidR="00025ABA" w:rsidRPr="005D74D1">
        <w:rPr>
          <w:rFonts w:cs="Arial"/>
          <w:lang w:val="en-AU"/>
        </w:rPr>
        <w:t>report</w:t>
      </w:r>
    </w:p>
    <w:p w14:paraId="5109FD47" w14:textId="3CECD9A4" w:rsidR="00E34142" w:rsidRPr="005D74D1" w:rsidRDefault="00A53DF5" w:rsidP="00B25D3A">
      <w:pPr>
        <w:pStyle w:val="BulletLevel1"/>
        <w:rPr>
          <w:rFonts w:cs="Arial"/>
          <w:lang w:val="en-AU"/>
        </w:rPr>
      </w:pPr>
      <w:r w:rsidRPr="005D74D1">
        <w:rPr>
          <w:rFonts w:cs="Arial"/>
          <w:lang w:val="en-AU"/>
        </w:rPr>
        <w:t>E</w:t>
      </w:r>
      <w:r w:rsidR="00A133E4" w:rsidRPr="005D74D1">
        <w:rPr>
          <w:rFonts w:cs="Arial"/>
          <w:lang w:val="en-AU"/>
        </w:rPr>
        <w:t>nd</w:t>
      </w:r>
      <w:r w:rsidRPr="005D74D1">
        <w:rPr>
          <w:rFonts w:cs="Arial"/>
          <w:lang w:val="en-AU"/>
        </w:rPr>
        <w:t>-of-</w:t>
      </w:r>
      <w:r w:rsidR="00674A4F" w:rsidRPr="005D74D1">
        <w:rPr>
          <w:rFonts w:cs="Arial"/>
          <w:lang w:val="en-AU"/>
        </w:rPr>
        <w:t xml:space="preserve">Tranche </w:t>
      </w:r>
      <w:r w:rsidR="006D15C0" w:rsidRPr="005D74D1">
        <w:rPr>
          <w:rFonts w:cs="Arial"/>
          <w:lang w:val="en-AU"/>
        </w:rPr>
        <w:t>EC5</w:t>
      </w:r>
      <w:r w:rsidR="00E34142" w:rsidRPr="005D74D1">
        <w:rPr>
          <w:rFonts w:cs="Arial"/>
          <w:lang w:val="en-AU"/>
        </w:rPr>
        <w:t xml:space="preserve"> evaluation (</w:t>
      </w:r>
      <w:r w:rsidR="00C060F4" w:rsidRPr="005D74D1">
        <w:rPr>
          <w:rFonts w:cs="Arial"/>
          <w:lang w:val="en-AU"/>
        </w:rPr>
        <w:t xml:space="preserve">up to </w:t>
      </w:r>
      <w:r w:rsidR="00BA00D7" w:rsidRPr="005D74D1">
        <w:rPr>
          <w:rFonts w:cs="Arial"/>
          <w:lang w:val="en-AU"/>
        </w:rPr>
        <w:t xml:space="preserve">30 </w:t>
      </w:r>
      <w:r w:rsidR="00C060F4" w:rsidRPr="005D74D1">
        <w:rPr>
          <w:rFonts w:cs="Arial"/>
          <w:lang w:val="en-AU"/>
        </w:rPr>
        <w:t xml:space="preserve">June </w:t>
      </w:r>
      <w:r w:rsidR="00E34142" w:rsidRPr="005D74D1">
        <w:rPr>
          <w:rFonts w:cs="Arial"/>
          <w:lang w:val="en-AU"/>
        </w:rPr>
        <w:t>2024)</w:t>
      </w:r>
      <w:r w:rsidR="00044048" w:rsidRPr="005D74D1">
        <w:rPr>
          <w:rFonts w:cs="Arial"/>
          <w:lang w:val="en-AU"/>
        </w:rPr>
        <w:t xml:space="preserve"> – this report</w:t>
      </w:r>
      <w:r w:rsidR="00A12268" w:rsidRPr="005D74D1">
        <w:rPr>
          <w:rFonts w:cs="Arial"/>
          <w:lang w:val="en-AU"/>
        </w:rPr>
        <w:t>.</w:t>
      </w:r>
    </w:p>
    <w:p w14:paraId="1DC80F38" w14:textId="7AE5FD79" w:rsidR="00A50E7D" w:rsidRPr="005D74D1" w:rsidRDefault="001335A9" w:rsidP="649162C7">
      <w:pPr>
        <w:pStyle w:val="BodyText"/>
        <w:rPr>
          <w:rFonts w:cs="Arial"/>
        </w:rPr>
      </w:pPr>
      <w:r w:rsidRPr="005D74D1">
        <w:rPr>
          <w:rFonts w:cs="Arial"/>
        </w:rPr>
        <w:fldChar w:fldCharType="begin"/>
      </w:r>
      <w:r w:rsidRPr="005D74D1">
        <w:rPr>
          <w:rFonts w:cs="Arial"/>
        </w:rPr>
        <w:instrText xml:space="preserve"> REF _Ref183439846 \h </w:instrText>
      </w:r>
      <w:r w:rsidR="005D74D1" w:rsidRPr="005D74D1">
        <w:rPr>
          <w:rFonts w:cs="Arial"/>
        </w:rPr>
        <w:instrText xml:space="preserve"> \* MERGEFORMAT </w:instrText>
      </w:r>
      <w:r w:rsidRPr="005D74D1">
        <w:rPr>
          <w:rFonts w:cs="Arial"/>
        </w:rPr>
      </w:r>
      <w:r w:rsidRPr="005D74D1">
        <w:rPr>
          <w:rFonts w:cs="Arial"/>
        </w:rPr>
        <w:fldChar w:fldCharType="separate"/>
      </w:r>
      <w:r w:rsidR="003870A0" w:rsidRPr="005D74D1">
        <w:rPr>
          <w:rFonts w:cs="Arial"/>
        </w:rPr>
        <w:t>Table </w:t>
      </w:r>
      <w:r w:rsidR="003870A0">
        <w:rPr>
          <w:rFonts w:cs="Arial"/>
        </w:rPr>
        <w:t>2</w:t>
      </w:r>
      <w:r w:rsidRPr="005D74D1">
        <w:rPr>
          <w:rFonts w:cs="Arial"/>
        </w:rPr>
        <w:fldChar w:fldCharType="end"/>
      </w:r>
      <w:r w:rsidRPr="005D74D1">
        <w:rPr>
          <w:rFonts w:cs="Arial"/>
        </w:rPr>
        <w:t xml:space="preserve"> </w:t>
      </w:r>
      <w:r w:rsidR="00F73B8D" w:rsidRPr="005D74D1">
        <w:rPr>
          <w:rFonts w:cs="Arial"/>
        </w:rPr>
        <w:t>sets</w:t>
      </w:r>
      <w:r w:rsidR="00E34142" w:rsidRPr="005D74D1">
        <w:rPr>
          <w:rFonts w:cs="Arial"/>
        </w:rPr>
        <w:t xml:space="preserve"> out the objectives, evaluation domains and audience for each </w:t>
      </w:r>
      <w:r w:rsidR="00E6343B" w:rsidRPr="005D74D1">
        <w:rPr>
          <w:rFonts w:cs="Arial"/>
        </w:rPr>
        <w:t>phase</w:t>
      </w:r>
      <w:r w:rsidR="00E34142" w:rsidRPr="005D74D1">
        <w:rPr>
          <w:rFonts w:cs="Arial"/>
        </w:rPr>
        <w:t>, showing that whil</w:t>
      </w:r>
      <w:r w:rsidR="68D1812F" w:rsidRPr="005D74D1">
        <w:rPr>
          <w:rFonts w:cs="Arial"/>
        </w:rPr>
        <w:t>e</w:t>
      </w:r>
      <w:r w:rsidR="00E34142" w:rsidRPr="005D74D1">
        <w:rPr>
          <w:rFonts w:cs="Arial"/>
        </w:rPr>
        <w:t xml:space="preserve"> the key evaluation domains are the same, each </w:t>
      </w:r>
      <w:r w:rsidR="008A7709" w:rsidRPr="005D74D1">
        <w:rPr>
          <w:rFonts w:cs="Arial"/>
        </w:rPr>
        <w:t xml:space="preserve">phase </w:t>
      </w:r>
      <w:r w:rsidR="00E34142" w:rsidRPr="005D74D1">
        <w:rPr>
          <w:rFonts w:cs="Arial"/>
        </w:rPr>
        <w:t xml:space="preserve">has separate objectives and audiences. </w:t>
      </w:r>
      <w:r w:rsidR="00A36C19" w:rsidRPr="005D74D1">
        <w:rPr>
          <w:rFonts w:cs="Arial"/>
        </w:rPr>
        <w:t xml:space="preserve">The </w:t>
      </w:r>
      <w:r w:rsidR="00F80CAB" w:rsidRPr="005D74D1">
        <w:rPr>
          <w:rFonts w:cs="Arial"/>
        </w:rPr>
        <w:t xml:space="preserve">focus and key dimensions of the evaluation were discussed and developed </w:t>
      </w:r>
      <w:r w:rsidR="005D010C" w:rsidRPr="005D74D1">
        <w:rPr>
          <w:rFonts w:cs="Arial"/>
        </w:rPr>
        <w:t>as part of an Evaluation Plan prepared by Jacobs in early 2023. They align with common program evaluation domains outlined in the Commonwealth Evaluation Policy</w:t>
      </w:r>
      <w:r w:rsidR="001F1796" w:rsidRPr="005D74D1">
        <w:rPr>
          <w:rStyle w:val="FootnoteReference"/>
          <w:rFonts w:cs="Arial"/>
        </w:rPr>
        <w:footnoteReference w:id="2"/>
      </w:r>
      <w:r w:rsidR="005D010C" w:rsidRPr="005D74D1">
        <w:rPr>
          <w:rFonts w:cs="Arial"/>
        </w:rPr>
        <w:t>.</w:t>
      </w:r>
    </w:p>
    <w:p w14:paraId="5A0CB079" w14:textId="7BC97E5D" w:rsidR="00E34142" w:rsidRPr="005D74D1" w:rsidRDefault="00E34142" w:rsidP="005452C4">
      <w:pPr>
        <w:pStyle w:val="TableCaption"/>
        <w:rPr>
          <w:rFonts w:cs="Arial"/>
        </w:rPr>
      </w:pPr>
      <w:bookmarkStart w:id="49" w:name="tab5"/>
      <w:bookmarkStart w:id="50" w:name="_Ref183439846"/>
      <w:bookmarkStart w:id="51" w:name="_Toc184904989"/>
      <w:bookmarkEnd w:id="49"/>
      <w:r w:rsidRPr="005D74D1">
        <w:rPr>
          <w:rFonts w:cs="Arial"/>
        </w:rPr>
        <w:t>Table</w:t>
      </w:r>
      <w:r w:rsidR="005452C4" w:rsidRPr="005D74D1">
        <w:rPr>
          <w:rFonts w:cs="Arial"/>
        </w:rPr>
        <w:t> </w:t>
      </w:r>
      <w:r w:rsidRPr="005D74D1">
        <w:rPr>
          <w:rFonts w:cs="Arial"/>
        </w:rPr>
        <w:fldChar w:fldCharType="begin"/>
      </w:r>
      <w:r w:rsidRPr="005D74D1">
        <w:rPr>
          <w:rFonts w:cs="Arial"/>
        </w:rPr>
        <w:instrText>SEQ Table \* ARABIC</w:instrText>
      </w:r>
      <w:r w:rsidRPr="005D74D1">
        <w:rPr>
          <w:rFonts w:cs="Arial"/>
        </w:rPr>
        <w:fldChar w:fldCharType="separate"/>
      </w:r>
      <w:r w:rsidR="003870A0">
        <w:rPr>
          <w:rFonts w:cs="Arial"/>
          <w:noProof/>
        </w:rPr>
        <w:t>2</w:t>
      </w:r>
      <w:r w:rsidRPr="005D74D1">
        <w:rPr>
          <w:rFonts w:cs="Arial"/>
        </w:rPr>
        <w:fldChar w:fldCharType="end"/>
      </w:r>
      <w:bookmarkEnd w:id="50"/>
      <w:r w:rsidRPr="005D74D1">
        <w:rPr>
          <w:rFonts w:cs="Arial"/>
        </w:rPr>
        <w:t>. Focus of the evaluations</w:t>
      </w:r>
      <w:bookmarkEnd w:id="51"/>
    </w:p>
    <w:tbl>
      <w:tblPr>
        <w:tblStyle w:val="TableGridLight"/>
        <w:tblW w:w="5000" w:type="pct"/>
        <w:tblBorders>
          <w:top w:val="single" w:sz="4" w:space="0" w:color="231EDC" w:themeColor="accent1"/>
          <w:left w:val="single" w:sz="4" w:space="0" w:color="231EDC" w:themeColor="accent1"/>
          <w:bottom w:val="single" w:sz="4" w:space="0" w:color="231EDC" w:themeColor="accent1"/>
          <w:right w:val="single" w:sz="4" w:space="0" w:color="231EDC" w:themeColor="accent1"/>
          <w:insideH w:val="single" w:sz="4" w:space="0" w:color="231EDC" w:themeColor="accent1"/>
          <w:insideV w:val="single" w:sz="4" w:space="0" w:color="231EDC" w:themeColor="accent1"/>
        </w:tblBorders>
        <w:tblLook w:val="04A0" w:firstRow="1" w:lastRow="0" w:firstColumn="1" w:lastColumn="0" w:noHBand="0" w:noVBand="1"/>
      </w:tblPr>
      <w:tblGrid>
        <w:gridCol w:w="1248"/>
        <w:gridCol w:w="3930"/>
        <w:gridCol w:w="4450"/>
      </w:tblGrid>
      <w:tr w:rsidR="0021299F" w:rsidRPr="005D74D1" w14:paraId="5F6D46BA" w14:textId="77777777" w:rsidTr="00140664">
        <w:trPr>
          <w:tblHeader/>
        </w:trPr>
        <w:tc>
          <w:tcPr>
            <w:tcW w:w="648" w:type="pct"/>
            <w:shd w:val="clear" w:color="auto" w:fill="231EDC" w:themeFill="accent1"/>
          </w:tcPr>
          <w:p w14:paraId="33DAF6E3" w14:textId="77777777" w:rsidR="0021299F" w:rsidRPr="00A134A7" w:rsidRDefault="0021299F" w:rsidP="00FF456E">
            <w:pPr>
              <w:pStyle w:val="TableHeadingWhite"/>
              <w:rPr>
                <w:rFonts w:cs="Arial"/>
                <w:lang w:val="en-AU"/>
              </w:rPr>
            </w:pPr>
          </w:p>
        </w:tc>
        <w:tc>
          <w:tcPr>
            <w:tcW w:w="2041" w:type="pct"/>
            <w:shd w:val="clear" w:color="auto" w:fill="231EDC" w:themeFill="accent1"/>
            <w:vAlign w:val="center"/>
          </w:tcPr>
          <w:p w14:paraId="723E2FA3" w14:textId="191532F1" w:rsidR="0021299F" w:rsidRPr="00A134A7" w:rsidRDefault="0021299F" w:rsidP="003F62F7">
            <w:pPr>
              <w:pStyle w:val="TableHeadingWhite"/>
              <w:rPr>
                <w:rFonts w:cs="Arial"/>
                <w:lang w:val="en-AU"/>
              </w:rPr>
            </w:pPr>
            <w:r w:rsidRPr="005D74D1">
              <w:rPr>
                <w:rFonts w:cs="Arial"/>
              </w:rPr>
              <w:t>Objectives and evaluation domains</w:t>
            </w:r>
          </w:p>
        </w:tc>
        <w:tc>
          <w:tcPr>
            <w:tcW w:w="2311" w:type="pct"/>
            <w:shd w:val="clear" w:color="auto" w:fill="231EDC" w:themeFill="accent1"/>
            <w:vAlign w:val="center"/>
          </w:tcPr>
          <w:p w14:paraId="32ED94AC" w14:textId="77777777" w:rsidR="0021299F" w:rsidRPr="00A134A7" w:rsidRDefault="0021299F" w:rsidP="003F62F7">
            <w:pPr>
              <w:pStyle w:val="TableHeadingWhite"/>
              <w:rPr>
                <w:rFonts w:cs="Arial"/>
                <w:lang w:val="en-AU"/>
              </w:rPr>
            </w:pPr>
            <w:r w:rsidRPr="005D74D1">
              <w:rPr>
                <w:rFonts w:cs="Arial"/>
              </w:rPr>
              <w:t>Audiences</w:t>
            </w:r>
          </w:p>
        </w:tc>
      </w:tr>
      <w:tr w:rsidR="0021299F" w:rsidRPr="005D74D1" w14:paraId="4F6A7754" w14:textId="77777777" w:rsidTr="00140664">
        <w:tc>
          <w:tcPr>
            <w:tcW w:w="648" w:type="pct"/>
          </w:tcPr>
          <w:p w14:paraId="7E3F28E8" w14:textId="75AD0080" w:rsidR="0021299F" w:rsidRPr="005D74D1" w:rsidRDefault="0021299F" w:rsidP="00FF456E">
            <w:pPr>
              <w:pStyle w:val="TableText"/>
              <w:rPr>
                <w:rFonts w:cs="Arial"/>
                <w:lang w:val="en-AU"/>
              </w:rPr>
            </w:pPr>
            <w:r w:rsidRPr="005D74D1">
              <w:rPr>
                <w:rFonts w:cs="Arial"/>
                <w:lang w:val="en-AU"/>
              </w:rPr>
              <w:t>End-of-</w:t>
            </w:r>
            <w:r w:rsidR="006352DD" w:rsidRPr="005D74D1">
              <w:rPr>
                <w:rFonts w:cs="Arial"/>
                <w:lang w:val="en-AU"/>
              </w:rPr>
              <w:t>third</w:t>
            </w:r>
            <w:r w:rsidR="00674A4F" w:rsidRPr="005D74D1" w:rsidDel="00674A4F">
              <w:rPr>
                <w:rFonts w:cs="Arial"/>
                <w:lang w:val="en-AU"/>
              </w:rPr>
              <w:t xml:space="preserve"> </w:t>
            </w:r>
            <w:r w:rsidRPr="005D74D1">
              <w:rPr>
                <w:rFonts w:cs="Arial"/>
                <w:lang w:val="en-AU"/>
              </w:rPr>
              <w:t>year EC5 evaluation</w:t>
            </w:r>
          </w:p>
        </w:tc>
        <w:tc>
          <w:tcPr>
            <w:tcW w:w="2041" w:type="pct"/>
          </w:tcPr>
          <w:p w14:paraId="674B871B" w14:textId="77777777" w:rsidR="00A50E7D" w:rsidRPr="005D74D1" w:rsidRDefault="0021299F" w:rsidP="00FF456E">
            <w:pPr>
              <w:pStyle w:val="TableText"/>
              <w:rPr>
                <w:rFonts w:cs="Arial"/>
                <w:lang w:val="en-AU"/>
              </w:rPr>
            </w:pPr>
            <w:r w:rsidRPr="005D74D1">
              <w:rPr>
                <w:rFonts w:cs="Arial"/>
                <w:lang w:val="en-AU"/>
              </w:rPr>
              <w:t>To inform EC6 investment decisions through an understanding of:</w:t>
            </w:r>
          </w:p>
          <w:p w14:paraId="275A4948" w14:textId="28C6A242" w:rsidR="0021299F" w:rsidRPr="00A134A7" w:rsidRDefault="0021299F" w:rsidP="0031747A">
            <w:pPr>
              <w:pStyle w:val="TableBullet"/>
              <w:rPr>
                <w:rFonts w:cs="Arial"/>
                <w:lang w:val="en-AU"/>
              </w:rPr>
            </w:pPr>
            <w:r w:rsidRPr="00A134A7">
              <w:rPr>
                <w:rFonts w:cs="Arial"/>
                <w:lang w:val="en-AU"/>
              </w:rPr>
              <w:t>Progress made by projects to date towards achieving identified outcomes (Impact)</w:t>
            </w:r>
          </w:p>
          <w:p w14:paraId="4DBA0C72" w14:textId="7EBE0028" w:rsidR="0021299F" w:rsidRPr="00A134A7" w:rsidRDefault="0021299F" w:rsidP="0031747A">
            <w:pPr>
              <w:pStyle w:val="TableBullet"/>
              <w:rPr>
                <w:rFonts w:cs="Arial"/>
                <w:lang w:val="en-AU"/>
              </w:rPr>
            </w:pPr>
            <w:r w:rsidRPr="00A134A7">
              <w:rPr>
                <w:rFonts w:cs="Arial"/>
                <w:lang w:val="en-AU"/>
              </w:rPr>
              <w:t>Appropriateness, efficiency, effectiveness and legacy of project delivery</w:t>
            </w:r>
          </w:p>
          <w:p w14:paraId="757C6194" w14:textId="0A3977E9" w:rsidR="0021299F" w:rsidRPr="005D74D1" w:rsidRDefault="0021299F" w:rsidP="00FF456E">
            <w:pPr>
              <w:pStyle w:val="TableBullet"/>
              <w:rPr>
                <w:rFonts w:cs="Arial"/>
                <w:lang w:val="en-AU"/>
              </w:rPr>
            </w:pPr>
            <w:r w:rsidRPr="00A134A7">
              <w:rPr>
                <w:rFonts w:cs="Arial"/>
                <w:lang w:val="en-AU"/>
              </w:rPr>
              <w:t>Key lessons and opportunities from implementation to date</w:t>
            </w:r>
          </w:p>
        </w:tc>
        <w:tc>
          <w:tcPr>
            <w:tcW w:w="2311" w:type="pct"/>
          </w:tcPr>
          <w:p w14:paraId="4D07DF9F" w14:textId="77777777" w:rsidR="0021299F" w:rsidRPr="00A134A7" w:rsidRDefault="0021299F" w:rsidP="00FF456E">
            <w:pPr>
              <w:pStyle w:val="TableBullet"/>
              <w:rPr>
                <w:rFonts w:cs="Arial"/>
                <w:lang w:val="en-AU"/>
              </w:rPr>
            </w:pPr>
            <w:r w:rsidRPr="00A134A7">
              <w:rPr>
                <w:rFonts w:cs="Arial"/>
                <w:lang w:val="en-AU"/>
              </w:rPr>
              <w:t>Minister for Water</w:t>
            </w:r>
          </w:p>
          <w:p w14:paraId="421AB3D3" w14:textId="5A3B95F1" w:rsidR="0021299F" w:rsidRPr="00A134A7" w:rsidRDefault="0021299F" w:rsidP="008D4654">
            <w:pPr>
              <w:pStyle w:val="TableBullet"/>
              <w:rPr>
                <w:rFonts w:cs="Arial"/>
                <w:lang w:val="en-AU"/>
              </w:rPr>
            </w:pPr>
            <w:r w:rsidRPr="00A134A7">
              <w:rPr>
                <w:rFonts w:cs="Arial"/>
                <w:lang w:val="en-AU"/>
              </w:rPr>
              <w:t>Cabinet (evaluation findings will inform DEECA’s Cabinet submission for EC6)</w:t>
            </w:r>
          </w:p>
          <w:p w14:paraId="1571700F" w14:textId="6072EF67" w:rsidR="0021299F" w:rsidRPr="00A134A7" w:rsidRDefault="0021299F" w:rsidP="008D4654">
            <w:pPr>
              <w:pStyle w:val="TableBullet"/>
              <w:rPr>
                <w:rFonts w:cs="Arial"/>
                <w:lang w:val="en-AU"/>
              </w:rPr>
            </w:pPr>
            <w:r w:rsidRPr="00A134A7">
              <w:rPr>
                <w:rFonts w:cs="Arial"/>
                <w:lang w:val="en-AU"/>
              </w:rPr>
              <w:t>Central agencies – Department of Treasury and Finance and Department of Premier and Cabinet</w:t>
            </w:r>
          </w:p>
          <w:p w14:paraId="3BE4B116" w14:textId="77777777" w:rsidR="0021299F" w:rsidRPr="005D74D1" w:rsidRDefault="0021299F" w:rsidP="008D4654">
            <w:pPr>
              <w:pStyle w:val="TableBullet"/>
              <w:rPr>
                <w:rFonts w:cs="Arial"/>
                <w:lang w:val="en-AU"/>
              </w:rPr>
            </w:pPr>
            <w:r w:rsidRPr="00A134A7">
              <w:rPr>
                <w:rFonts w:cs="Arial"/>
                <w:lang w:val="en-AU"/>
              </w:rPr>
              <w:t>DEECA Secretary, Water and Catchments Deputy Secretary and executive leadership team, EC6 business case authors, EC5 initiative leads and policy/program teams.</w:t>
            </w:r>
          </w:p>
        </w:tc>
      </w:tr>
      <w:tr w:rsidR="0021299F" w:rsidRPr="005D74D1" w14:paraId="6FB1AC16" w14:textId="77777777" w:rsidTr="00140664">
        <w:trPr>
          <w:trHeight w:val="647"/>
        </w:trPr>
        <w:tc>
          <w:tcPr>
            <w:tcW w:w="648" w:type="pct"/>
          </w:tcPr>
          <w:p w14:paraId="42709F4B" w14:textId="133A8275" w:rsidR="0021299F" w:rsidRPr="005D74D1" w:rsidRDefault="0021299F" w:rsidP="00FF456E">
            <w:pPr>
              <w:pStyle w:val="TableText"/>
              <w:rPr>
                <w:rFonts w:cs="Arial"/>
                <w:lang w:val="en-AU"/>
              </w:rPr>
            </w:pPr>
            <w:r w:rsidRPr="005D74D1">
              <w:rPr>
                <w:rFonts w:cs="Arial"/>
                <w:lang w:val="en-AU"/>
              </w:rPr>
              <w:t>End-of-</w:t>
            </w:r>
            <w:r w:rsidR="00674A4F" w:rsidRPr="005D74D1">
              <w:rPr>
                <w:rFonts w:cs="Arial"/>
                <w:lang w:val="en-AU"/>
              </w:rPr>
              <w:t>Tranch</w:t>
            </w:r>
            <w:r w:rsidR="00FC2FAF" w:rsidRPr="005D74D1">
              <w:rPr>
                <w:rFonts w:cs="Arial"/>
                <w:lang w:val="en-AU"/>
              </w:rPr>
              <w:t>e</w:t>
            </w:r>
            <w:r w:rsidRPr="005D74D1">
              <w:rPr>
                <w:rFonts w:cs="Arial"/>
                <w:lang w:val="en-AU"/>
              </w:rPr>
              <w:t xml:space="preserve"> EC5 evaluation</w:t>
            </w:r>
          </w:p>
        </w:tc>
        <w:tc>
          <w:tcPr>
            <w:tcW w:w="2041" w:type="pct"/>
          </w:tcPr>
          <w:p w14:paraId="759BC88D" w14:textId="39864E90" w:rsidR="0021299F" w:rsidRPr="005D74D1" w:rsidRDefault="0021299F" w:rsidP="00FF456E">
            <w:pPr>
              <w:pStyle w:val="TableText"/>
              <w:rPr>
                <w:rFonts w:cs="Arial"/>
                <w:lang w:val="en-AU"/>
              </w:rPr>
            </w:pPr>
            <w:r w:rsidRPr="005D74D1">
              <w:rPr>
                <w:rFonts w:cs="Arial"/>
                <w:lang w:val="en-AU"/>
              </w:rPr>
              <w:t>To provide accountability and transparency of investment and support continuous improvement through an understanding of:</w:t>
            </w:r>
          </w:p>
          <w:p w14:paraId="7469ADEC" w14:textId="3BD27899" w:rsidR="0021299F" w:rsidRPr="00A134A7" w:rsidRDefault="0021299F" w:rsidP="003D28D9">
            <w:pPr>
              <w:pStyle w:val="TableBullet"/>
              <w:keepNext/>
              <w:keepLines/>
              <w:rPr>
                <w:rFonts w:cs="Arial"/>
                <w:lang w:val="en-AU"/>
              </w:rPr>
            </w:pPr>
            <w:r w:rsidRPr="00A134A7">
              <w:rPr>
                <w:rFonts w:cs="Arial"/>
                <w:lang w:val="en-AU"/>
              </w:rPr>
              <w:t>What has and has not worked across projects, and as a tranche of funding</w:t>
            </w:r>
            <w:r w:rsidR="004F40AC" w:rsidRPr="00A134A7">
              <w:rPr>
                <w:rFonts w:cs="Arial"/>
                <w:lang w:val="en-AU"/>
              </w:rPr>
              <w:t>?</w:t>
            </w:r>
          </w:p>
          <w:p w14:paraId="15423BBC" w14:textId="2105CD34" w:rsidR="0021299F" w:rsidRPr="00A134A7" w:rsidRDefault="0021299F" w:rsidP="003D28D9">
            <w:pPr>
              <w:pStyle w:val="TableBullet"/>
              <w:keepNext/>
              <w:keepLines/>
              <w:rPr>
                <w:rFonts w:cs="Arial"/>
                <w:lang w:val="en-AU"/>
              </w:rPr>
            </w:pPr>
            <w:r w:rsidRPr="00A134A7">
              <w:rPr>
                <w:rFonts w:cs="Arial"/>
                <w:lang w:val="en-AU"/>
              </w:rPr>
              <w:t>Impact and achievement of outcomes</w:t>
            </w:r>
          </w:p>
          <w:p w14:paraId="28FA5EA9" w14:textId="7C21B766" w:rsidR="0021299F" w:rsidRPr="005D74D1" w:rsidRDefault="0021299F" w:rsidP="003D28D9">
            <w:pPr>
              <w:pStyle w:val="TableBullet"/>
              <w:keepNext/>
              <w:keepLines/>
              <w:rPr>
                <w:rFonts w:cs="Arial"/>
                <w:lang w:val="en-AU"/>
              </w:rPr>
            </w:pPr>
            <w:r w:rsidRPr="00A134A7">
              <w:rPr>
                <w:rFonts w:cs="Arial"/>
                <w:lang w:val="en-AU"/>
              </w:rPr>
              <w:t>Lessons and opportunities for the future</w:t>
            </w:r>
          </w:p>
        </w:tc>
        <w:tc>
          <w:tcPr>
            <w:tcW w:w="2311" w:type="pct"/>
          </w:tcPr>
          <w:p w14:paraId="13A4BC0B" w14:textId="77777777" w:rsidR="00A50E7D" w:rsidRPr="005D74D1" w:rsidRDefault="0021299F" w:rsidP="00FF456E">
            <w:pPr>
              <w:pStyle w:val="TableText"/>
              <w:rPr>
                <w:rFonts w:cs="Arial"/>
                <w:lang w:val="en-AU"/>
              </w:rPr>
            </w:pPr>
            <w:r w:rsidRPr="005D74D1">
              <w:rPr>
                <w:rFonts w:cs="Arial"/>
                <w:lang w:val="en-AU"/>
              </w:rPr>
              <w:t xml:space="preserve">In addition to the audiences above, </w:t>
            </w:r>
            <w:r w:rsidR="003F62F7" w:rsidRPr="005D74D1">
              <w:rPr>
                <w:rFonts w:cs="Arial"/>
                <w:lang w:val="en-AU"/>
              </w:rPr>
              <w:t xml:space="preserve">the </w:t>
            </w:r>
            <w:r w:rsidR="00615878" w:rsidRPr="005D74D1">
              <w:rPr>
                <w:rFonts w:cs="Arial"/>
                <w:lang w:val="en-AU"/>
              </w:rPr>
              <w:t>End-Of-Tranche</w:t>
            </w:r>
            <w:r w:rsidR="004F40AC" w:rsidRPr="005D74D1">
              <w:rPr>
                <w:rFonts w:cs="Arial"/>
                <w:lang w:val="en-AU"/>
              </w:rPr>
              <w:t xml:space="preserve"> </w:t>
            </w:r>
            <w:r w:rsidRPr="005D74D1">
              <w:rPr>
                <w:rFonts w:cs="Arial"/>
                <w:lang w:val="en-AU"/>
              </w:rPr>
              <w:t>evaluation will be made publicly available, as part of DEECA's commitment to improve public reporting on the EC.</w:t>
            </w:r>
          </w:p>
          <w:p w14:paraId="36C2F159" w14:textId="770B9D76" w:rsidR="0021299F" w:rsidRPr="005D74D1" w:rsidRDefault="0021299F" w:rsidP="003D28D9">
            <w:pPr>
              <w:pStyle w:val="TableText"/>
              <w:keepNext/>
              <w:keepLines/>
              <w:rPr>
                <w:rFonts w:cs="Arial"/>
                <w:lang w:val="en-AU"/>
              </w:rPr>
            </w:pPr>
            <w:r w:rsidRPr="005D74D1">
              <w:rPr>
                <w:rFonts w:cs="Arial"/>
                <w:lang w:val="en-AU"/>
              </w:rPr>
              <w:t>Delivery partners and other stakeholders, including CMAs, Traditional Owner groups, local councils, water corporations, Agriculture Victoria.</w:t>
            </w:r>
          </w:p>
        </w:tc>
      </w:tr>
    </w:tbl>
    <w:p w14:paraId="2E05792E" w14:textId="77777777" w:rsidR="00127F63" w:rsidRPr="005D74D1" w:rsidRDefault="00127F63" w:rsidP="00140664">
      <w:pPr>
        <w:pStyle w:val="BodyText"/>
        <w:rPr>
          <w:rFonts w:cs="Arial"/>
        </w:rPr>
      </w:pPr>
      <w:bookmarkStart w:id="52" w:name="_Toc147329316"/>
    </w:p>
    <w:p w14:paraId="0A6A69F4" w14:textId="3B224D8A" w:rsidR="00A50E7D" w:rsidRPr="005D74D1" w:rsidRDefault="006D7422" w:rsidP="0036107F">
      <w:pPr>
        <w:pStyle w:val="Heading2"/>
        <w:rPr>
          <w:rFonts w:cs="Arial"/>
        </w:rPr>
      </w:pPr>
      <w:bookmarkStart w:id="53" w:name="_Toc183777353"/>
      <w:r w:rsidRPr="005D74D1">
        <w:rPr>
          <w:rFonts w:cs="Arial"/>
        </w:rPr>
        <w:lastRenderedPageBreak/>
        <w:t xml:space="preserve">Structure of the </w:t>
      </w:r>
      <w:r w:rsidR="00A8036E" w:rsidRPr="005D74D1">
        <w:rPr>
          <w:rFonts w:cs="Arial"/>
        </w:rPr>
        <w:t>r</w:t>
      </w:r>
      <w:r w:rsidRPr="005D74D1">
        <w:rPr>
          <w:rFonts w:cs="Arial"/>
        </w:rPr>
        <w:t>eport</w:t>
      </w:r>
      <w:bookmarkEnd w:id="52"/>
      <w:bookmarkEnd w:id="53"/>
    </w:p>
    <w:p w14:paraId="7B6F4B07" w14:textId="77777777" w:rsidR="00A50E7D" w:rsidRPr="005D74D1" w:rsidRDefault="00C25E26" w:rsidP="003D28D9">
      <w:pPr>
        <w:pStyle w:val="BodyText"/>
        <w:rPr>
          <w:rFonts w:cs="Arial"/>
        </w:rPr>
      </w:pPr>
      <w:r w:rsidRPr="005D74D1">
        <w:rPr>
          <w:rFonts w:cs="Arial"/>
        </w:rPr>
        <w:t>This report is structured as follows:</w:t>
      </w:r>
    </w:p>
    <w:p w14:paraId="181F15B8" w14:textId="407FA1CF" w:rsidR="00C25E26" w:rsidRPr="00A134A7" w:rsidRDefault="00C25E26" w:rsidP="00BF29E3">
      <w:pPr>
        <w:pStyle w:val="BulletLevel1"/>
        <w:rPr>
          <w:rFonts w:cs="Arial"/>
          <w:lang w:val="en-AU"/>
        </w:rPr>
      </w:pPr>
      <w:r w:rsidRPr="00A134A7">
        <w:rPr>
          <w:rFonts w:cs="Arial"/>
          <w:lang w:val="en-AU"/>
        </w:rPr>
        <w:t xml:space="preserve">Section 2 </w:t>
      </w:r>
      <w:r w:rsidR="00407207" w:rsidRPr="00A134A7">
        <w:rPr>
          <w:rFonts w:cs="Arial"/>
          <w:lang w:val="en-AU"/>
        </w:rPr>
        <w:t xml:space="preserve">explains the collection of EC5 funds and their allocation </w:t>
      </w:r>
      <w:r w:rsidR="004F40AC" w:rsidRPr="00A134A7">
        <w:rPr>
          <w:rFonts w:cs="Arial"/>
          <w:lang w:val="en-AU"/>
        </w:rPr>
        <w:t xml:space="preserve">across </w:t>
      </w:r>
      <w:r w:rsidR="00407207" w:rsidRPr="00A134A7">
        <w:rPr>
          <w:rFonts w:cs="Arial"/>
          <w:lang w:val="en-AU"/>
        </w:rPr>
        <w:t>initiatives and projects</w:t>
      </w:r>
      <w:r w:rsidR="00214AD9" w:rsidRPr="00A134A7">
        <w:rPr>
          <w:rFonts w:cs="Arial"/>
          <w:lang w:val="en-AU"/>
        </w:rPr>
        <w:t>.</w:t>
      </w:r>
    </w:p>
    <w:p w14:paraId="0040AF63" w14:textId="29D6992A" w:rsidR="00C25E26" w:rsidRPr="00A134A7" w:rsidRDefault="00C25E26" w:rsidP="00BF29E3">
      <w:pPr>
        <w:pStyle w:val="BulletLevel1"/>
        <w:rPr>
          <w:rFonts w:cs="Arial"/>
          <w:lang w:val="en-AU"/>
        </w:rPr>
      </w:pPr>
      <w:r w:rsidRPr="00A134A7">
        <w:rPr>
          <w:rFonts w:cs="Arial"/>
          <w:lang w:val="en-AU"/>
        </w:rPr>
        <w:t xml:space="preserve">Section 3 </w:t>
      </w:r>
      <w:r w:rsidR="00407207" w:rsidRPr="00A134A7">
        <w:rPr>
          <w:rFonts w:cs="Arial"/>
          <w:lang w:val="en-AU"/>
        </w:rPr>
        <w:t xml:space="preserve">describes the evaluation approach and defines evaluation </w:t>
      </w:r>
      <w:r w:rsidR="00E961B9" w:rsidRPr="00A134A7">
        <w:rPr>
          <w:rFonts w:cs="Arial"/>
          <w:lang w:val="en-AU"/>
        </w:rPr>
        <w:t>domains</w:t>
      </w:r>
      <w:r w:rsidR="00214AD9" w:rsidRPr="00A134A7">
        <w:rPr>
          <w:rFonts w:cs="Arial"/>
          <w:lang w:val="en-AU"/>
        </w:rPr>
        <w:t>.</w:t>
      </w:r>
    </w:p>
    <w:p w14:paraId="4C952BE0" w14:textId="7722E097" w:rsidR="00C25E26" w:rsidRPr="00A134A7" w:rsidRDefault="00C25E26" w:rsidP="00BF29E3">
      <w:pPr>
        <w:pStyle w:val="BulletLevel1"/>
        <w:rPr>
          <w:rFonts w:cs="Arial"/>
          <w:lang w:val="en-AU"/>
        </w:rPr>
      </w:pPr>
      <w:r w:rsidRPr="00A134A7">
        <w:rPr>
          <w:rFonts w:cs="Arial"/>
          <w:lang w:val="en-AU"/>
        </w:rPr>
        <w:t xml:space="preserve">Section 4 </w:t>
      </w:r>
      <w:r w:rsidR="00CF0D1F" w:rsidRPr="00A134A7">
        <w:rPr>
          <w:rFonts w:cs="Arial"/>
          <w:lang w:val="en-AU"/>
        </w:rPr>
        <w:t xml:space="preserve">presents the findings on </w:t>
      </w:r>
      <w:r w:rsidRPr="00A134A7">
        <w:rPr>
          <w:rFonts w:cs="Arial"/>
          <w:lang w:val="en-AU"/>
        </w:rPr>
        <w:t xml:space="preserve">the </w:t>
      </w:r>
      <w:r w:rsidR="009D2451" w:rsidRPr="00A134A7">
        <w:rPr>
          <w:rFonts w:cs="Arial"/>
          <w:lang w:val="en-AU"/>
        </w:rPr>
        <w:t>progress of</w:t>
      </w:r>
      <w:r w:rsidR="00316158" w:rsidRPr="00A134A7">
        <w:rPr>
          <w:rFonts w:cs="Arial"/>
          <w:lang w:val="en-AU"/>
        </w:rPr>
        <w:t xml:space="preserve"> EC5 in achieving the intended outcomes</w:t>
      </w:r>
      <w:r w:rsidRPr="00A134A7">
        <w:rPr>
          <w:rFonts w:cs="Arial"/>
          <w:lang w:val="en-AU"/>
        </w:rPr>
        <w:t xml:space="preserve"> </w:t>
      </w:r>
      <w:r w:rsidR="00D949A1" w:rsidRPr="00A134A7">
        <w:rPr>
          <w:rFonts w:cs="Arial"/>
          <w:lang w:val="en-AU"/>
        </w:rPr>
        <w:t>(impact)</w:t>
      </w:r>
      <w:r w:rsidR="00214AD9" w:rsidRPr="00A134A7">
        <w:rPr>
          <w:rFonts w:cs="Arial"/>
          <w:lang w:val="en-AU"/>
        </w:rPr>
        <w:t>.</w:t>
      </w:r>
    </w:p>
    <w:p w14:paraId="11C11216" w14:textId="3FA61583" w:rsidR="00C25E26" w:rsidRPr="00A134A7" w:rsidRDefault="00C25E26" w:rsidP="00BF29E3">
      <w:pPr>
        <w:pStyle w:val="BulletLevel1"/>
        <w:rPr>
          <w:rFonts w:cs="Arial"/>
          <w:lang w:val="en-AU"/>
        </w:rPr>
      </w:pPr>
      <w:r w:rsidRPr="00A134A7">
        <w:rPr>
          <w:rFonts w:cs="Arial"/>
          <w:lang w:val="en-AU"/>
        </w:rPr>
        <w:t xml:space="preserve">Section 5 </w:t>
      </w:r>
      <w:r w:rsidR="00217A55" w:rsidRPr="00A134A7">
        <w:rPr>
          <w:rFonts w:cs="Arial"/>
          <w:lang w:val="en-AU"/>
        </w:rPr>
        <w:t xml:space="preserve">presents the findings on </w:t>
      </w:r>
      <w:r w:rsidR="004C0AE7" w:rsidRPr="00A134A7">
        <w:rPr>
          <w:rFonts w:cs="Arial"/>
          <w:lang w:val="en-AU"/>
        </w:rPr>
        <w:t>the</w:t>
      </w:r>
      <w:r w:rsidR="009D2451" w:rsidRPr="00A134A7">
        <w:rPr>
          <w:rFonts w:cs="Arial"/>
          <w:lang w:val="en-AU"/>
        </w:rPr>
        <w:t xml:space="preserve"> extent to which </w:t>
      </w:r>
      <w:r w:rsidR="00981668" w:rsidRPr="00A134A7">
        <w:rPr>
          <w:rFonts w:cs="Arial"/>
          <w:lang w:val="en-AU"/>
        </w:rPr>
        <w:t xml:space="preserve">projects </w:t>
      </w:r>
      <w:r w:rsidR="009D2451" w:rsidRPr="00A134A7">
        <w:rPr>
          <w:rFonts w:cs="Arial"/>
          <w:lang w:val="en-AU"/>
        </w:rPr>
        <w:t>were designed and delivered effectively</w:t>
      </w:r>
      <w:r w:rsidR="007C3544" w:rsidRPr="00A134A7">
        <w:rPr>
          <w:rFonts w:cs="Arial"/>
          <w:lang w:val="en-AU"/>
        </w:rPr>
        <w:t xml:space="preserve"> (effectiveness)</w:t>
      </w:r>
      <w:r w:rsidR="00214AD9" w:rsidRPr="00A134A7">
        <w:rPr>
          <w:rFonts w:cs="Arial"/>
          <w:lang w:val="en-AU"/>
        </w:rPr>
        <w:t>.</w:t>
      </w:r>
    </w:p>
    <w:p w14:paraId="3A0282BF" w14:textId="61B2B0CC" w:rsidR="00C25E26" w:rsidRPr="00A134A7" w:rsidRDefault="00C25E26" w:rsidP="00BF29E3">
      <w:pPr>
        <w:pStyle w:val="BulletLevel1"/>
        <w:rPr>
          <w:rFonts w:cs="Arial"/>
          <w:lang w:val="en-AU"/>
        </w:rPr>
      </w:pPr>
      <w:r w:rsidRPr="00A134A7">
        <w:rPr>
          <w:rFonts w:cs="Arial"/>
          <w:lang w:val="en-AU"/>
        </w:rPr>
        <w:t xml:space="preserve">Section 6 </w:t>
      </w:r>
      <w:r w:rsidR="006061BE" w:rsidRPr="00A134A7">
        <w:rPr>
          <w:rFonts w:cs="Arial"/>
          <w:lang w:val="en-AU"/>
        </w:rPr>
        <w:t>presents the findings on the</w:t>
      </w:r>
      <w:r w:rsidR="00B03112" w:rsidRPr="00A134A7">
        <w:rPr>
          <w:rFonts w:cs="Arial"/>
          <w:lang w:val="en-AU"/>
        </w:rPr>
        <w:t xml:space="preserve"> degree to which investments were appropriate and aligned with the legislated objectives</w:t>
      </w:r>
      <w:r w:rsidR="007C3544" w:rsidRPr="00A134A7">
        <w:rPr>
          <w:rFonts w:cs="Arial"/>
          <w:lang w:val="en-AU"/>
        </w:rPr>
        <w:t xml:space="preserve"> (appropriateness)</w:t>
      </w:r>
      <w:r w:rsidR="00214AD9" w:rsidRPr="00A134A7">
        <w:rPr>
          <w:rFonts w:cs="Arial"/>
          <w:lang w:val="en-AU"/>
        </w:rPr>
        <w:t>.</w:t>
      </w:r>
    </w:p>
    <w:p w14:paraId="3830C9DD" w14:textId="77777777" w:rsidR="00A50E7D" w:rsidRPr="00A134A7" w:rsidRDefault="00C25E26" w:rsidP="00BF29E3">
      <w:pPr>
        <w:pStyle w:val="BulletLevel1"/>
        <w:rPr>
          <w:rFonts w:cs="Arial"/>
          <w:lang w:val="en-AU"/>
        </w:rPr>
      </w:pPr>
      <w:r w:rsidRPr="00A134A7">
        <w:rPr>
          <w:rFonts w:cs="Arial"/>
          <w:lang w:val="en-AU"/>
        </w:rPr>
        <w:t>Section 7</w:t>
      </w:r>
      <w:r w:rsidRPr="00A134A7" w:rsidDel="00B05DAB">
        <w:rPr>
          <w:rFonts w:cs="Arial"/>
          <w:lang w:val="en-AU"/>
        </w:rPr>
        <w:t xml:space="preserve"> </w:t>
      </w:r>
      <w:r w:rsidR="00B05DAB" w:rsidRPr="00A134A7">
        <w:rPr>
          <w:rFonts w:cs="Arial"/>
          <w:lang w:val="en-AU"/>
        </w:rPr>
        <w:t xml:space="preserve">presents </w:t>
      </w:r>
      <w:r w:rsidR="00712C78" w:rsidRPr="00A134A7">
        <w:rPr>
          <w:rFonts w:cs="Arial"/>
          <w:lang w:val="en-AU"/>
        </w:rPr>
        <w:t xml:space="preserve">the </w:t>
      </w:r>
      <w:r w:rsidR="00B05DAB" w:rsidRPr="00A134A7">
        <w:rPr>
          <w:rFonts w:cs="Arial"/>
          <w:lang w:val="en-AU"/>
        </w:rPr>
        <w:t xml:space="preserve">findings on </w:t>
      </w:r>
      <w:r w:rsidR="00B03112" w:rsidRPr="00A134A7">
        <w:rPr>
          <w:rFonts w:cs="Arial"/>
          <w:lang w:val="en-AU"/>
        </w:rPr>
        <w:t xml:space="preserve">how well delivery of EC5 has demonstrated efficient delivery and value for money </w:t>
      </w:r>
      <w:r w:rsidR="007C3544" w:rsidRPr="00A134A7">
        <w:rPr>
          <w:rFonts w:cs="Arial"/>
          <w:lang w:val="en-AU"/>
        </w:rPr>
        <w:t>(efficiency)</w:t>
      </w:r>
      <w:r w:rsidR="00214AD9" w:rsidRPr="00A134A7">
        <w:rPr>
          <w:rFonts w:cs="Arial"/>
          <w:lang w:val="en-AU"/>
        </w:rPr>
        <w:t>.</w:t>
      </w:r>
    </w:p>
    <w:p w14:paraId="74CF4049" w14:textId="26D799B7" w:rsidR="0097177D" w:rsidRPr="00A134A7" w:rsidRDefault="00C25E26" w:rsidP="00BF29E3">
      <w:pPr>
        <w:pStyle w:val="BulletLevel1"/>
        <w:rPr>
          <w:rFonts w:cs="Arial"/>
          <w:lang w:val="en-AU"/>
        </w:rPr>
      </w:pPr>
      <w:r w:rsidRPr="00A134A7">
        <w:rPr>
          <w:rFonts w:cs="Arial"/>
          <w:lang w:val="en-AU"/>
        </w:rPr>
        <w:t xml:space="preserve">Section 8 </w:t>
      </w:r>
      <w:r w:rsidR="00712C78" w:rsidRPr="00A134A7">
        <w:rPr>
          <w:rFonts w:cs="Arial"/>
          <w:lang w:val="en-AU"/>
        </w:rPr>
        <w:t xml:space="preserve">presents the findings on </w:t>
      </w:r>
      <w:r w:rsidR="00E961F1" w:rsidRPr="00A134A7">
        <w:rPr>
          <w:rFonts w:cs="Arial"/>
          <w:lang w:val="en-AU"/>
        </w:rPr>
        <w:t>the</w:t>
      </w:r>
      <w:r w:rsidRPr="00A134A7">
        <w:rPr>
          <w:rFonts w:cs="Arial"/>
          <w:lang w:val="en-AU"/>
        </w:rPr>
        <w:t xml:space="preserve"> </w:t>
      </w:r>
      <w:r w:rsidR="00D949A1" w:rsidRPr="00A134A7">
        <w:rPr>
          <w:rFonts w:cs="Arial"/>
          <w:lang w:val="en-AU"/>
        </w:rPr>
        <w:t xml:space="preserve">extent to which </w:t>
      </w:r>
      <w:r w:rsidR="00A23228" w:rsidRPr="00A134A7">
        <w:rPr>
          <w:rFonts w:cs="Arial"/>
          <w:lang w:val="en-AU"/>
        </w:rPr>
        <w:t>EC5 impacts are expected to be sustained over time</w:t>
      </w:r>
      <w:r w:rsidRPr="00A134A7">
        <w:rPr>
          <w:rFonts w:cs="Arial"/>
          <w:lang w:val="en-AU"/>
        </w:rPr>
        <w:t xml:space="preserve"> </w:t>
      </w:r>
      <w:r w:rsidR="007C3544" w:rsidRPr="00A134A7">
        <w:rPr>
          <w:rFonts w:cs="Arial"/>
          <w:lang w:val="en-AU"/>
        </w:rPr>
        <w:t>(legacy)</w:t>
      </w:r>
      <w:r w:rsidR="00214AD9" w:rsidRPr="00A134A7">
        <w:rPr>
          <w:rFonts w:cs="Arial"/>
          <w:lang w:val="en-AU"/>
        </w:rPr>
        <w:t>.</w:t>
      </w:r>
    </w:p>
    <w:p w14:paraId="4828B05D" w14:textId="0FBFB241" w:rsidR="000B3FB3" w:rsidRPr="00A134A7" w:rsidRDefault="000B3FB3" w:rsidP="00BF29E3">
      <w:pPr>
        <w:pStyle w:val="BulletLevel1"/>
        <w:rPr>
          <w:rFonts w:cs="Arial"/>
          <w:lang w:val="en-AU"/>
        </w:rPr>
      </w:pPr>
      <w:r w:rsidRPr="00A134A7">
        <w:rPr>
          <w:rFonts w:cs="Arial"/>
          <w:lang w:val="en-AU"/>
        </w:rPr>
        <w:t xml:space="preserve">Section 9 </w:t>
      </w:r>
      <w:r w:rsidR="00BF4DC9" w:rsidRPr="00A134A7">
        <w:rPr>
          <w:rFonts w:cs="Arial"/>
          <w:lang w:val="en-AU"/>
        </w:rPr>
        <w:t>presents the conclusions and recommendations</w:t>
      </w:r>
      <w:r w:rsidR="008263E5" w:rsidRPr="00A134A7">
        <w:rPr>
          <w:rFonts w:cs="Arial"/>
          <w:lang w:val="en-AU"/>
        </w:rPr>
        <w:t>.</w:t>
      </w:r>
    </w:p>
    <w:p w14:paraId="635155AA" w14:textId="77777777" w:rsidR="00A50E7D" w:rsidRPr="005D74D1" w:rsidRDefault="00C25E26" w:rsidP="003D28D9">
      <w:pPr>
        <w:pStyle w:val="BodyText"/>
        <w:rPr>
          <w:rFonts w:cs="Arial"/>
        </w:rPr>
      </w:pPr>
      <w:r w:rsidRPr="005D74D1">
        <w:rPr>
          <w:rFonts w:cs="Arial"/>
        </w:rPr>
        <w:t xml:space="preserve">Appendix A contains </w:t>
      </w:r>
      <w:r w:rsidR="00315DA6" w:rsidRPr="005D74D1">
        <w:rPr>
          <w:rFonts w:cs="Arial"/>
        </w:rPr>
        <w:t xml:space="preserve">summaries of </w:t>
      </w:r>
      <w:r w:rsidR="00612964" w:rsidRPr="005D74D1">
        <w:rPr>
          <w:rFonts w:cs="Arial"/>
        </w:rPr>
        <w:t xml:space="preserve">the </w:t>
      </w:r>
      <w:r w:rsidR="00315DA6" w:rsidRPr="005D74D1">
        <w:rPr>
          <w:rFonts w:cs="Arial"/>
        </w:rPr>
        <w:t xml:space="preserve">evaluation reports </w:t>
      </w:r>
      <w:r w:rsidR="00612964" w:rsidRPr="005D74D1">
        <w:rPr>
          <w:rFonts w:cs="Arial"/>
        </w:rPr>
        <w:t xml:space="preserve">prepared by DEECA </w:t>
      </w:r>
      <w:r w:rsidR="00315DA6" w:rsidRPr="005D74D1">
        <w:rPr>
          <w:rFonts w:cs="Arial"/>
        </w:rPr>
        <w:t>for the 38</w:t>
      </w:r>
      <w:r w:rsidRPr="005D74D1">
        <w:rPr>
          <w:rFonts w:cs="Arial"/>
        </w:rPr>
        <w:t xml:space="preserve"> </w:t>
      </w:r>
      <w:r w:rsidR="00981668" w:rsidRPr="005D74D1">
        <w:rPr>
          <w:rFonts w:cs="Arial"/>
        </w:rPr>
        <w:t>project</w:t>
      </w:r>
      <w:r w:rsidR="00315DA6" w:rsidRPr="005D74D1">
        <w:rPr>
          <w:rFonts w:cs="Arial"/>
        </w:rPr>
        <w:t xml:space="preserve">s </w:t>
      </w:r>
      <w:r w:rsidRPr="005D74D1">
        <w:rPr>
          <w:rFonts w:cs="Arial"/>
        </w:rPr>
        <w:t xml:space="preserve">and key aspects that are pertinent to the </w:t>
      </w:r>
      <w:r w:rsidR="007C3544" w:rsidRPr="005D74D1">
        <w:rPr>
          <w:rFonts w:cs="Arial"/>
        </w:rPr>
        <w:t>EC5</w:t>
      </w:r>
      <w:r w:rsidRPr="005D74D1">
        <w:rPr>
          <w:rFonts w:cs="Arial"/>
        </w:rPr>
        <w:t xml:space="preserve"> evaluation.</w:t>
      </w:r>
    </w:p>
    <w:p w14:paraId="131B7F43" w14:textId="00C2B865" w:rsidR="00432AB1" w:rsidRPr="005D74D1" w:rsidRDefault="00A735F1" w:rsidP="003D28D9">
      <w:pPr>
        <w:pStyle w:val="BodyText"/>
        <w:rPr>
          <w:rFonts w:cs="Arial"/>
        </w:rPr>
      </w:pPr>
      <w:r w:rsidRPr="005D74D1">
        <w:rPr>
          <w:rFonts w:cs="Arial"/>
        </w:rPr>
        <w:t xml:space="preserve">Appendix B </w:t>
      </w:r>
      <w:r w:rsidR="007D3CC3" w:rsidRPr="005D74D1">
        <w:rPr>
          <w:rFonts w:cs="Arial"/>
        </w:rPr>
        <w:t xml:space="preserve">supports </w:t>
      </w:r>
      <w:r w:rsidR="00CA7856" w:rsidRPr="005D74D1">
        <w:rPr>
          <w:rFonts w:cs="Arial"/>
        </w:rPr>
        <w:t>S</w:t>
      </w:r>
      <w:r w:rsidR="007D3CC3" w:rsidRPr="005D74D1">
        <w:rPr>
          <w:rFonts w:cs="Arial"/>
        </w:rPr>
        <w:t xml:space="preserve">ection 4 (impact domain) by </w:t>
      </w:r>
      <w:r w:rsidRPr="005D74D1">
        <w:rPr>
          <w:rFonts w:cs="Arial"/>
        </w:rPr>
        <w:t>summaris</w:t>
      </w:r>
      <w:r w:rsidR="007D3CC3" w:rsidRPr="005D74D1">
        <w:rPr>
          <w:rFonts w:cs="Arial"/>
        </w:rPr>
        <w:t>ing</w:t>
      </w:r>
      <w:r w:rsidRPr="005D74D1">
        <w:rPr>
          <w:rFonts w:cs="Arial"/>
        </w:rPr>
        <w:t xml:space="preserve"> project level</w:t>
      </w:r>
      <w:r w:rsidR="007D3CC3" w:rsidRPr="005D74D1">
        <w:rPr>
          <w:rFonts w:cs="Arial"/>
        </w:rPr>
        <w:t xml:space="preserve"> </w:t>
      </w:r>
      <w:r w:rsidR="00794795" w:rsidRPr="005D74D1">
        <w:rPr>
          <w:rFonts w:cs="Arial"/>
        </w:rPr>
        <w:t xml:space="preserve">contributions to </w:t>
      </w:r>
      <w:r w:rsidR="00612964" w:rsidRPr="005D74D1">
        <w:rPr>
          <w:rFonts w:cs="Arial"/>
        </w:rPr>
        <w:t xml:space="preserve">each of </w:t>
      </w:r>
      <w:r w:rsidR="00794795" w:rsidRPr="005D74D1">
        <w:rPr>
          <w:rFonts w:cs="Arial"/>
        </w:rPr>
        <w:t>the EC5 outcomes.</w:t>
      </w:r>
    </w:p>
    <w:p w14:paraId="44D843B5" w14:textId="68B4C489" w:rsidR="00F47CB3" w:rsidRPr="005D74D1" w:rsidRDefault="00F47CB3" w:rsidP="003D28D9">
      <w:pPr>
        <w:pStyle w:val="BodyText"/>
        <w:rPr>
          <w:rFonts w:cs="Arial"/>
        </w:rPr>
        <w:sectPr w:rsidR="00F47CB3" w:rsidRPr="005D74D1" w:rsidSect="004104B3">
          <w:headerReference w:type="default" r:id="rId52"/>
          <w:footerReference w:type="even" r:id="rId53"/>
          <w:footerReference w:type="default" r:id="rId54"/>
          <w:footerReference w:type="first" r:id="rId55"/>
          <w:pgSz w:w="11906" w:h="16838" w:code="9"/>
          <w:pgMar w:top="1134" w:right="1134" w:bottom="567" w:left="1134" w:header="567" w:footer="0" w:gutter="0"/>
          <w:pgNumType w:start="1"/>
          <w:cols w:space="720"/>
          <w:docGrid w:linePitch="360"/>
        </w:sectPr>
      </w:pPr>
      <w:r w:rsidRPr="005D74D1">
        <w:rPr>
          <w:rFonts w:cs="Arial"/>
        </w:rPr>
        <w:t xml:space="preserve">Appendix C provides a </w:t>
      </w:r>
      <w:r w:rsidR="00AB6B38" w:rsidRPr="005D74D1">
        <w:rPr>
          <w:rFonts w:cs="Arial"/>
        </w:rPr>
        <w:t xml:space="preserve">graphical </w:t>
      </w:r>
      <w:r w:rsidRPr="005D74D1">
        <w:rPr>
          <w:rFonts w:cs="Arial"/>
        </w:rPr>
        <w:t xml:space="preserve">summary of the </w:t>
      </w:r>
      <w:r w:rsidR="00AB6B38" w:rsidRPr="005D74D1">
        <w:rPr>
          <w:rFonts w:cs="Arial"/>
        </w:rPr>
        <w:t>short answer questions from project evaluation reports</w:t>
      </w:r>
    </w:p>
    <w:p w14:paraId="0426B415" w14:textId="25A79F42" w:rsidR="00432AB1" w:rsidRPr="00A134A7" w:rsidRDefault="00432AB1" w:rsidP="00432AB1">
      <w:pPr>
        <w:spacing w:before="100" w:beforeAutospacing="1" w:after="100" w:afterAutospacing="1"/>
        <w:rPr>
          <w:rFonts w:eastAsia="Times New Roman" w:cs="Arial"/>
          <w:sz w:val="24"/>
          <w:szCs w:val="24"/>
        </w:rPr>
      </w:pPr>
      <w:r w:rsidRPr="00A134A7">
        <w:rPr>
          <w:rFonts w:eastAsia="Times New Roman" w:cs="Arial"/>
          <w:noProof/>
          <w:sz w:val="24"/>
          <w:szCs w:val="24"/>
        </w:rPr>
        <w:lastRenderedPageBreak/>
        <w:drawing>
          <wp:anchor distT="0" distB="0" distL="114300" distR="114300" simplePos="0" relativeHeight="251629568" behindDoc="0" locked="0" layoutInCell="1" allowOverlap="1" wp14:anchorId="20BCC037" wp14:editId="3A00E3CF">
            <wp:simplePos x="0" y="0"/>
            <wp:positionH relativeFrom="page">
              <wp:align>left</wp:align>
            </wp:positionH>
            <wp:positionV relativeFrom="page">
              <wp:align>top</wp:align>
            </wp:positionV>
            <wp:extent cx="7562088" cy="10689336"/>
            <wp:effectExtent l="0" t="0" r="1270" b="0"/>
            <wp:wrapNone/>
            <wp:docPr id="14863512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7562088" cy="1068933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21E60C" w14:textId="77777777" w:rsidR="00432AB1" w:rsidRPr="005D74D1" w:rsidRDefault="00432AB1" w:rsidP="003D28D9">
      <w:pPr>
        <w:pStyle w:val="BodyText"/>
        <w:rPr>
          <w:rFonts w:cs="Arial"/>
        </w:rPr>
      </w:pPr>
    </w:p>
    <w:p w14:paraId="514E7307" w14:textId="77777777" w:rsidR="00432AB1" w:rsidRPr="005D74D1" w:rsidRDefault="00432AB1" w:rsidP="003D28D9">
      <w:pPr>
        <w:pStyle w:val="BodyText"/>
        <w:rPr>
          <w:rFonts w:cs="Arial"/>
        </w:rPr>
      </w:pPr>
    </w:p>
    <w:p w14:paraId="3CA84751" w14:textId="77777777" w:rsidR="00432AB1" w:rsidRPr="005D74D1" w:rsidRDefault="00432AB1" w:rsidP="003D28D9">
      <w:pPr>
        <w:pStyle w:val="BodyText"/>
        <w:rPr>
          <w:rFonts w:cs="Arial"/>
        </w:rPr>
        <w:sectPr w:rsidR="00432AB1" w:rsidRPr="005D74D1" w:rsidSect="00253DEE">
          <w:pgSz w:w="11906" w:h="16838" w:code="9"/>
          <w:pgMar w:top="1134" w:right="1134" w:bottom="567" w:left="1134" w:header="567" w:footer="0" w:gutter="0"/>
          <w:cols w:space="720"/>
          <w:docGrid w:linePitch="360"/>
        </w:sectPr>
      </w:pPr>
    </w:p>
    <w:p w14:paraId="46134618" w14:textId="28BE9A2E" w:rsidR="00794795" w:rsidRPr="005D74D1" w:rsidRDefault="00BF4A19" w:rsidP="00794795">
      <w:pPr>
        <w:pStyle w:val="Heading1"/>
        <w:rPr>
          <w:rFonts w:cs="Arial"/>
        </w:rPr>
      </w:pPr>
      <w:bookmarkStart w:id="54" w:name="_Toc147329317"/>
      <w:bookmarkStart w:id="55" w:name="_Toc183777354"/>
      <w:r w:rsidRPr="005D74D1">
        <w:rPr>
          <w:rFonts w:cs="Arial"/>
        </w:rPr>
        <w:lastRenderedPageBreak/>
        <w:t xml:space="preserve">EC </w:t>
      </w:r>
      <w:r w:rsidR="00794795" w:rsidRPr="005D74D1">
        <w:rPr>
          <w:rFonts w:cs="Arial"/>
        </w:rPr>
        <w:t>background and summary</w:t>
      </w:r>
      <w:bookmarkEnd w:id="54"/>
      <w:bookmarkEnd w:id="55"/>
    </w:p>
    <w:p w14:paraId="6C74ED4B" w14:textId="022F3977" w:rsidR="00794795" w:rsidRPr="005D74D1" w:rsidRDefault="00794795" w:rsidP="00794795">
      <w:pPr>
        <w:pStyle w:val="Heading2"/>
        <w:rPr>
          <w:rFonts w:cs="Arial"/>
        </w:rPr>
      </w:pPr>
      <w:bookmarkStart w:id="56" w:name="_Toc147329318"/>
      <w:bookmarkStart w:id="57" w:name="_Toc183777355"/>
      <w:r w:rsidRPr="005D74D1">
        <w:rPr>
          <w:rFonts w:cs="Arial"/>
        </w:rPr>
        <w:t>Policy alignment</w:t>
      </w:r>
      <w:bookmarkEnd w:id="56"/>
      <w:bookmarkEnd w:id="57"/>
    </w:p>
    <w:p w14:paraId="5CC049A2" w14:textId="7773EA14" w:rsidR="00794795" w:rsidRPr="005D74D1" w:rsidRDefault="00794795" w:rsidP="00794795">
      <w:pPr>
        <w:pStyle w:val="BodyText"/>
        <w:rPr>
          <w:rFonts w:cs="Arial"/>
        </w:rPr>
      </w:pPr>
      <w:r w:rsidRPr="005D74D1">
        <w:rPr>
          <w:rFonts w:cs="Arial"/>
        </w:rPr>
        <w:t xml:space="preserve">Funding allocated through the EC aligns with key Victorian water legislation and policies and the intended outcomes. The </w:t>
      </w:r>
      <w:r w:rsidR="00D43A6B" w:rsidRPr="005D74D1">
        <w:rPr>
          <w:rFonts w:cs="Arial"/>
        </w:rPr>
        <w:t xml:space="preserve">following </w:t>
      </w:r>
      <w:r w:rsidRPr="005D74D1">
        <w:rPr>
          <w:rFonts w:cs="Arial"/>
        </w:rPr>
        <w:t xml:space="preserve">legislation, policies and guidance documents </w:t>
      </w:r>
      <w:r w:rsidR="00D43A6B" w:rsidRPr="005D74D1">
        <w:rPr>
          <w:rFonts w:cs="Arial"/>
        </w:rPr>
        <w:t>guide investment decisions across the range of</w:t>
      </w:r>
      <w:r w:rsidRPr="005D74D1">
        <w:rPr>
          <w:rFonts w:cs="Arial"/>
        </w:rPr>
        <w:t xml:space="preserve"> initiatives</w:t>
      </w:r>
      <w:r w:rsidR="00B15506" w:rsidRPr="005D74D1">
        <w:rPr>
          <w:rFonts w:cs="Arial"/>
        </w:rPr>
        <w:t xml:space="preserve"> and projects</w:t>
      </w:r>
      <w:r w:rsidRPr="005D74D1">
        <w:rPr>
          <w:rFonts w:cs="Arial"/>
        </w:rPr>
        <w:t xml:space="preserve"> </w:t>
      </w:r>
      <w:r w:rsidR="00D43A6B" w:rsidRPr="005D74D1">
        <w:rPr>
          <w:rFonts w:cs="Arial"/>
        </w:rPr>
        <w:t xml:space="preserve">that </w:t>
      </w:r>
      <w:r w:rsidRPr="005D74D1">
        <w:rPr>
          <w:rFonts w:cs="Arial"/>
        </w:rPr>
        <w:t>are funded under the EC</w:t>
      </w:r>
      <w:r w:rsidR="0023242A" w:rsidRPr="005D74D1">
        <w:rPr>
          <w:rFonts w:cs="Arial"/>
        </w:rPr>
        <w:t>,</w:t>
      </w:r>
      <w:r w:rsidRPr="005D74D1">
        <w:rPr>
          <w:rFonts w:cs="Arial"/>
        </w:rPr>
        <w:t xml:space="preserve"> and wh</w:t>
      </w:r>
      <w:r w:rsidR="00D43A6B" w:rsidRPr="005D74D1">
        <w:rPr>
          <w:rFonts w:cs="Arial"/>
        </w:rPr>
        <w:t>ich</w:t>
      </w:r>
      <w:r w:rsidRPr="005D74D1">
        <w:rPr>
          <w:rFonts w:cs="Arial"/>
        </w:rPr>
        <w:t xml:space="preserve"> outcomes they are intended to contribute toward in the long-term:</w:t>
      </w:r>
    </w:p>
    <w:p w14:paraId="5D152A29" w14:textId="77777777" w:rsidR="00A50E7D" w:rsidRPr="005D74D1" w:rsidRDefault="00794795" w:rsidP="0002410C">
      <w:pPr>
        <w:pStyle w:val="BulletLevel1"/>
        <w:rPr>
          <w:rFonts w:cs="Arial"/>
          <w:lang w:val="en-AU"/>
        </w:rPr>
      </w:pPr>
      <w:r w:rsidRPr="005D74D1">
        <w:rPr>
          <w:rFonts w:cs="Arial"/>
          <w:i/>
          <w:iCs/>
          <w:lang w:val="en-AU"/>
        </w:rPr>
        <w:t>Water Industry Act</w:t>
      </w:r>
      <w:r w:rsidRPr="005D74D1">
        <w:rPr>
          <w:rFonts w:cs="Arial"/>
          <w:lang w:val="en-AU"/>
        </w:rPr>
        <w:t xml:space="preserve"> 1994</w:t>
      </w:r>
    </w:p>
    <w:p w14:paraId="3E6F98DD" w14:textId="22561FF8" w:rsidR="00794795" w:rsidRPr="005D74D1" w:rsidRDefault="00794795" w:rsidP="0002410C">
      <w:pPr>
        <w:pStyle w:val="BulletLevel1"/>
        <w:rPr>
          <w:rFonts w:cs="Arial"/>
          <w:i/>
          <w:iCs/>
          <w:lang w:val="en-AU"/>
        </w:rPr>
      </w:pPr>
      <w:r w:rsidRPr="005D74D1">
        <w:rPr>
          <w:rFonts w:cs="Arial"/>
          <w:i/>
          <w:iCs/>
          <w:lang w:val="en-AU"/>
        </w:rPr>
        <w:t>Water for Victoria (2016)</w:t>
      </w:r>
    </w:p>
    <w:p w14:paraId="5A48312C" w14:textId="4607E75D" w:rsidR="00794795" w:rsidRPr="005D74D1" w:rsidRDefault="00794795" w:rsidP="0002410C">
      <w:pPr>
        <w:pStyle w:val="BulletLevel1"/>
        <w:rPr>
          <w:rFonts w:cs="Arial"/>
          <w:i/>
          <w:iCs/>
          <w:lang w:val="en-AU"/>
        </w:rPr>
      </w:pPr>
      <w:r w:rsidRPr="005D74D1">
        <w:rPr>
          <w:rFonts w:cs="Arial"/>
          <w:i/>
          <w:iCs/>
          <w:lang w:val="en-AU"/>
        </w:rPr>
        <w:t xml:space="preserve">Central and Gippsland Region Sustainable Water Strategy </w:t>
      </w:r>
      <w:r w:rsidR="0075284E" w:rsidRPr="005D74D1">
        <w:rPr>
          <w:rFonts w:cs="Arial"/>
          <w:i/>
          <w:iCs/>
          <w:lang w:val="en-AU"/>
        </w:rPr>
        <w:t>2022 (CGRSWS)</w:t>
      </w:r>
    </w:p>
    <w:p w14:paraId="1E934B7D" w14:textId="77777777" w:rsidR="00794795" w:rsidRPr="005D74D1" w:rsidRDefault="00794795" w:rsidP="0002410C">
      <w:pPr>
        <w:pStyle w:val="BulletLevel1"/>
        <w:rPr>
          <w:rFonts w:cs="Arial"/>
          <w:i/>
          <w:iCs/>
          <w:lang w:val="en-AU"/>
        </w:rPr>
      </w:pPr>
      <w:r w:rsidRPr="005D74D1">
        <w:rPr>
          <w:rFonts w:cs="Arial"/>
          <w:i/>
          <w:iCs/>
          <w:lang w:val="en-AU"/>
        </w:rPr>
        <w:t>Water is Life: Traditional Owner Access to Water Roadmap (2022)</w:t>
      </w:r>
    </w:p>
    <w:p w14:paraId="13C3C079" w14:textId="77777777" w:rsidR="00794795" w:rsidRPr="005D74D1" w:rsidRDefault="00794795" w:rsidP="0002410C">
      <w:pPr>
        <w:pStyle w:val="BulletLevel1"/>
        <w:rPr>
          <w:rFonts w:cs="Arial"/>
          <w:lang w:val="en-AU"/>
        </w:rPr>
      </w:pPr>
      <w:r w:rsidRPr="005D74D1">
        <w:rPr>
          <w:rFonts w:cs="Arial"/>
          <w:lang w:val="en-AU"/>
        </w:rPr>
        <w:t>DEECA portfolio priorities</w:t>
      </w:r>
    </w:p>
    <w:p w14:paraId="57BB8F10" w14:textId="77777777" w:rsidR="00794795" w:rsidRPr="005D74D1" w:rsidRDefault="00794795" w:rsidP="0002410C">
      <w:pPr>
        <w:pStyle w:val="BulletLevel1"/>
        <w:rPr>
          <w:rFonts w:cs="Arial"/>
          <w:lang w:val="en-AU"/>
        </w:rPr>
      </w:pPr>
      <w:r w:rsidRPr="005D74D1">
        <w:rPr>
          <w:rFonts w:cs="Arial"/>
          <w:lang w:val="en-AU"/>
        </w:rPr>
        <w:t>EC5 strategic plan/framework</w:t>
      </w:r>
    </w:p>
    <w:p w14:paraId="516C3FFD" w14:textId="560725DC" w:rsidR="00794795" w:rsidRPr="005D74D1" w:rsidRDefault="00794795" w:rsidP="0002410C">
      <w:pPr>
        <w:pStyle w:val="BulletLevel1"/>
        <w:rPr>
          <w:rFonts w:cs="Arial"/>
          <w:lang w:val="en-AU"/>
        </w:rPr>
      </w:pPr>
      <w:r w:rsidRPr="005D74D1">
        <w:rPr>
          <w:rFonts w:cs="Arial"/>
          <w:lang w:val="en-AU"/>
        </w:rPr>
        <w:t>EC investment criteria</w:t>
      </w:r>
      <w:r w:rsidR="004153BE" w:rsidRPr="005D74D1">
        <w:rPr>
          <w:rFonts w:cs="Arial"/>
          <w:lang w:val="en-AU"/>
        </w:rPr>
        <w:t>.</w:t>
      </w:r>
    </w:p>
    <w:p w14:paraId="40DFAB52" w14:textId="7C4EA90A" w:rsidR="00794795" w:rsidRPr="005D74D1" w:rsidRDefault="00794795" w:rsidP="00794795">
      <w:pPr>
        <w:pStyle w:val="Heading2"/>
        <w:rPr>
          <w:rFonts w:cs="Arial"/>
        </w:rPr>
      </w:pPr>
      <w:bookmarkStart w:id="58" w:name="_Toc147329319"/>
      <w:bookmarkStart w:id="59" w:name="_Toc183777356"/>
      <w:r w:rsidRPr="005D74D1">
        <w:rPr>
          <w:rFonts w:cs="Arial"/>
        </w:rPr>
        <w:t>Revenue collected</w:t>
      </w:r>
      <w:bookmarkEnd w:id="58"/>
      <w:bookmarkEnd w:id="59"/>
    </w:p>
    <w:p w14:paraId="0DF9F1E8" w14:textId="509AAD2C" w:rsidR="00794795" w:rsidRPr="005D74D1" w:rsidRDefault="00794795" w:rsidP="00794795">
      <w:pPr>
        <w:pStyle w:val="BodyText"/>
        <w:rPr>
          <w:rFonts w:cs="Arial"/>
        </w:rPr>
      </w:pPr>
      <w:r w:rsidRPr="005D74D1">
        <w:rPr>
          <w:rFonts w:cs="Arial"/>
        </w:rPr>
        <w:t xml:space="preserve">The EC is collected from water </w:t>
      </w:r>
      <w:r w:rsidR="00BA6F57" w:rsidRPr="005D74D1">
        <w:rPr>
          <w:rFonts w:cs="Arial"/>
        </w:rPr>
        <w:t>corporations</w:t>
      </w:r>
      <w:r w:rsidRPr="005D74D1">
        <w:rPr>
          <w:rFonts w:cs="Arial"/>
        </w:rPr>
        <w:t xml:space="preserve"> based on their revenue. The amount of EC to be collected for each tranche is determined by a rate applied to each water </w:t>
      </w:r>
      <w:r w:rsidR="00D76330" w:rsidRPr="005D74D1">
        <w:rPr>
          <w:rFonts w:cs="Arial"/>
        </w:rPr>
        <w:t xml:space="preserve">corporation’s </w:t>
      </w:r>
      <w:r w:rsidRPr="005D74D1">
        <w:rPr>
          <w:rFonts w:cs="Arial"/>
        </w:rPr>
        <w:t xml:space="preserve">revenue in a specified base year. </w:t>
      </w:r>
      <w:r w:rsidR="4DB4A6EF" w:rsidRPr="005D74D1">
        <w:rPr>
          <w:rFonts w:cs="Arial"/>
        </w:rPr>
        <w:t xml:space="preserve">EC5 continued the historical rates of 2% of revenue for rural and 5% for urban water corporations, indexed to 2018-19 </w:t>
      </w:r>
      <w:r w:rsidR="00976A30" w:rsidRPr="005D74D1">
        <w:rPr>
          <w:rFonts w:cs="Arial"/>
        </w:rPr>
        <w:t xml:space="preserve">financial year </w:t>
      </w:r>
      <w:r w:rsidR="4DB4A6EF" w:rsidRPr="005D74D1">
        <w:rPr>
          <w:rFonts w:cs="Arial"/>
        </w:rPr>
        <w:t>audited revenue figures. This rate of 2% and 5% collected from rural and urban water corporations respectively has been applied for all EC tranches so far since the establishment in 2004.</w:t>
      </w:r>
    </w:p>
    <w:p w14:paraId="5FBC3D88" w14:textId="465C3107" w:rsidR="00794795" w:rsidRPr="005D74D1" w:rsidRDefault="00794795" w:rsidP="00794795">
      <w:pPr>
        <w:pStyle w:val="BodyText"/>
        <w:rPr>
          <w:rFonts w:cs="Arial"/>
        </w:rPr>
      </w:pPr>
      <w:r w:rsidRPr="005D74D1">
        <w:rPr>
          <w:rFonts w:cs="Arial"/>
        </w:rPr>
        <w:t xml:space="preserve">The contributions to EC from </w:t>
      </w:r>
      <w:r w:rsidR="0027022C" w:rsidRPr="005D74D1">
        <w:rPr>
          <w:rFonts w:cs="Arial"/>
        </w:rPr>
        <w:t>each of the</w:t>
      </w:r>
      <w:r w:rsidRPr="005D74D1">
        <w:rPr>
          <w:rFonts w:cs="Arial"/>
        </w:rPr>
        <w:t xml:space="preserve"> Victorian </w:t>
      </w:r>
      <w:r w:rsidR="00BA6F57" w:rsidRPr="005D74D1">
        <w:rPr>
          <w:rFonts w:cs="Arial"/>
        </w:rPr>
        <w:t>w</w:t>
      </w:r>
      <w:r w:rsidRPr="005D74D1">
        <w:rPr>
          <w:rFonts w:cs="Arial"/>
        </w:rPr>
        <w:t xml:space="preserve">ater </w:t>
      </w:r>
      <w:r w:rsidR="00BA6F57" w:rsidRPr="005D74D1">
        <w:rPr>
          <w:rFonts w:cs="Arial"/>
        </w:rPr>
        <w:t>c</w:t>
      </w:r>
      <w:r w:rsidRPr="005D74D1">
        <w:rPr>
          <w:rFonts w:cs="Arial"/>
        </w:rPr>
        <w:t xml:space="preserve">orporations are </w:t>
      </w:r>
      <w:r w:rsidR="0027022C" w:rsidRPr="005D74D1">
        <w:rPr>
          <w:rFonts w:cs="Arial"/>
        </w:rPr>
        <w:t xml:space="preserve">presented </w:t>
      </w:r>
      <w:r w:rsidR="00F73B8D" w:rsidRPr="005D74D1">
        <w:rPr>
          <w:rFonts w:cs="Arial"/>
        </w:rPr>
        <w:t xml:space="preserve">in </w:t>
      </w:r>
      <w:r w:rsidR="00220F40" w:rsidRPr="005D74D1">
        <w:rPr>
          <w:rFonts w:cs="Arial"/>
        </w:rPr>
        <w:fldChar w:fldCharType="begin"/>
      </w:r>
      <w:r w:rsidR="00220F40" w:rsidRPr="005D74D1">
        <w:rPr>
          <w:rFonts w:cs="Arial"/>
        </w:rPr>
        <w:instrText xml:space="preserve"> REF _Ref183440353 \h </w:instrText>
      </w:r>
      <w:r w:rsidR="005D74D1" w:rsidRPr="005D74D1">
        <w:rPr>
          <w:rFonts w:cs="Arial"/>
        </w:rPr>
        <w:instrText xml:space="preserve"> \* MERGEFORMAT </w:instrText>
      </w:r>
      <w:r w:rsidR="00220F40" w:rsidRPr="005D74D1">
        <w:rPr>
          <w:rFonts w:cs="Arial"/>
        </w:rPr>
      </w:r>
      <w:r w:rsidR="00220F40" w:rsidRPr="005D74D1">
        <w:rPr>
          <w:rFonts w:cs="Arial"/>
        </w:rPr>
        <w:fldChar w:fldCharType="separate"/>
      </w:r>
      <w:r w:rsidR="003870A0" w:rsidRPr="005D74D1">
        <w:rPr>
          <w:rFonts w:cs="Arial"/>
        </w:rPr>
        <w:t>Table </w:t>
      </w:r>
      <w:r w:rsidR="003870A0">
        <w:rPr>
          <w:rFonts w:cs="Arial"/>
        </w:rPr>
        <w:t>3</w:t>
      </w:r>
      <w:r w:rsidR="00220F40" w:rsidRPr="005D74D1">
        <w:rPr>
          <w:rFonts w:cs="Arial"/>
        </w:rPr>
        <w:fldChar w:fldCharType="end"/>
      </w:r>
      <w:r w:rsidR="00220F40" w:rsidRPr="005D74D1">
        <w:rPr>
          <w:rFonts w:cs="Arial"/>
        </w:rPr>
        <w:t>.</w:t>
      </w:r>
    </w:p>
    <w:p w14:paraId="539174F4" w14:textId="155370EA" w:rsidR="00794795" w:rsidRPr="005D74D1" w:rsidRDefault="00794795" w:rsidP="00DD3194">
      <w:pPr>
        <w:pStyle w:val="TableCaption"/>
        <w:rPr>
          <w:rFonts w:cs="Arial"/>
        </w:rPr>
      </w:pPr>
      <w:bookmarkStart w:id="60" w:name="tab6"/>
      <w:bookmarkStart w:id="61" w:name="_Ref183440353"/>
      <w:bookmarkStart w:id="62" w:name="_Toc184904990"/>
      <w:bookmarkEnd w:id="60"/>
      <w:r w:rsidRPr="005D74D1">
        <w:rPr>
          <w:rFonts w:cs="Arial"/>
        </w:rPr>
        <w:t>Table</w:t>
      </w:r>
      <w:r w:rsidR="0002410C" w:rsidRPr="005D74D1">
        <w:rPr>
          <w:rFonts w:cs="Arial"/>
        </w:rPr>
        <w:t> </w:t>
      </w:r>
      <w:r w:rsidRPr="005D74D1">
        <w:rPr>
          <w:rFonts w:cs="Arial"/>
        </w:rPr>
        <w:fldChar w:fldCharType="begin"/>
      </w:r>
      <w:r w:rsidRPr="005D74D1">
        <w:rPr>
          <w:rFonts w:cs="Arial"/>
        </w:rPr>
        <w:instrText>SEQ Table \* ARABIC</w:instrText>
      </w:r>
      <w:r w:rsidRPr="005D74D1">
        <w:rPr>
          <w:rFonts w:cs="Arial"/>
        </w:rPr>
        <w:fldChar w:fldCharType="separate"/>
      </w:r>
      <w:r w:rsidR="003870A0">
        <w:rPr>
          <w:rFonts w:cs="Arial"/>
          <w:noProof/>
        </w:rPr>
        <w:t>3</w:t>
      </w:r>
      <w:r w:rsidRPr="005D74D1">
        <w:rPr>
          <w:rFonts w:cs="Arial"/>
        </w:rPr>
        <w:fldChar w:fldCharType="end"/>
      </w:r>
      <w:bookmarkEnd w:id="61"/>
      <w:r w:rsidRPr="005D74D1">
        <w:rPr>
          <w:rFonts w:cs="Arial"/>
        </w:rPr>
        <w:t xml:space="preserve">. Contributions to EC from revenue of Victorian </w:t>
      </w:r>
      <w:r w:rsidR="00AA02E0" w:rsidRPr="005D74D1">
        <w:rPr>
          <w:rFonts w:cs="Arial"/>
        </w:rPr>
        <w:t>w</w:t>
      </w:r>
      <w:r w:rsidRPr="005D74D1">
        <w:rPr>
          <w:rFonts w:cs="Arial"/>
        </w:rPr>
        <w:t xml:space="preserve">ater </w:t>
      </w:r>
      <w:r w:rsidR="00AA02E0" w:rsidRPr="005D74D1">
        <w:rPr>
          <w:rFonts w:cs="Arial"/>
        </w:rPr>
        <w:t>c</w:t>
      </w:r>
      <w:r w:rsidRPr="005D74D1">
        <w:rPr>
          <w:rFonts w:cs="Arial"/>
        </w:rPr>
        <w:t>orporations</w:t>
      </w:r>
      <w:bookmarkEnd w:id="62"/>
    </w:p>
    <w:tbl>
      <w:tblPr>
        <w:tblStyle w:val="TableGridLight"/>
        <w:tblW w:w="5000" w:type="pct"/>
        <w:tblBorders>
          <w:top w:val="single" w:sz="4" w:space="0" w:color="231EDC" w:themeColor="accent1"/>
          <w:left w:val="single" w:sz="4" w:space="0" w:color="231EDC" w:themeColor="accent1"/>
          <w:bottom w:val="single" w:sz="4" w:space="0" w:color="231EDC" w:themeColor="accent1"/>
          <w:right w:val="single" w:sz="4" w:space="0" w:color="231EDC" w:themeColor="accent1"/>
          <w:insideH w:val="single" w:sz="4" w:space="0" w:color="231EDC" w:themeColor="accent1"/>
          <w:insideV w:val="single" w:sz="4" w:space="0" w:color="231EDC" w:themeColor="accent1"/>
        </w:tblBorders>
        <w:tblLook w:val="04A0" w:firstRow="1" w:lastRow="0" w:firstColumn="1" w:lastColumn="0" w:noHBand="0" w:noVBand="1"/>
      </w:tblPr>
      <w:tblGrid>
        <w:gridCol w:w="2081"/>
        <w:gridCol w:w="1402"/>
        <w:gridCol w:w="1400"/>
        <w:gridCol w:w="1400"/>
        <w:gridCol w:w="1400"/>
        <w:gridCol w:w="1945"/>
      </w:tblGrid>
      <w:tr w:rsidR="00794795" w:rsidRPr="005D74D1" w14:paraId="01BC460D" w14:textId="77777777" w:rsidTr="00140664">
        <w:trPr>
          <w:tblHeader/>
        </w:trPr>
        <w:tc>
          <w:tcPr>
            <w:tcW w:w="1081" w:type="pct"/>
            <w:vMerge w:val="restart"/>
            <w:shd w:val="clear" w:color="auto" w:fill="231EDC" w:themeFill="accent1"/>
            <w:vAlign w:val="center"/>
          </w:tcPr>
          <w:p w14:paraId="0E4099B9" w14:textId="674E1B8E" w:rsidR="00794795" w:rsidRPr="00A134A7" w:rsidRDefault="00794795" w:rsidP="00140664">
            <w:pPr>
              <w:pStyle w:val="TableHeadingWhite"/>
              <w:jc w:val="center"/>
              <w:rPr>
                <w:rFonts w:cs="Arial"/>
                <w:lang w:val="en-AU"/>
              </w:rPr>
            </w:pPr>
            <w:r w:rsidRPr="005D74D1">
              <w:rPr>
                <w:rFonts w:cs="Arial"/>
              </w:rPr>
              <w:t xml:space="preserve">Water </w:t>
            </w:r>
            <w:r w:rsidR="0027022C" w:rsidRPr="005D74D1">
              <w:rPr>
                <w:rFonts w:cs="Arial"/>
              </w:rPr>
              <w:t>corporation</w:t>
            </w:r>
          </w:p>
        </w:tc>
        <w:tc>
          <w:tcPr>
            <w:tcW w:w="3919" w:type="pct"/>
            <w:gridSpan w:val="5"/>
            <w:shd w:val="clear" w:color="auto" w:fill="231EDC" w:themeFill="accent1"/>
            <w:vAlign w:val="center"/>
          </w:tcPr>
          <w:p w14:paraId="5F5602F4" w14:textId="77777777" w:rsidR="00794795" w:rsidRPr="00A134A7" w:rsidRDefault="00794795" w:rsidP="00140664">
            <w:pPr>
              <w:pStyle w:val="TableHeadingWhite"/>
              <w:jc w:val="center"/>
              <w:rPr>
                <w:rFonts w:cs="Arial"/>
                <w:lang w:val="en-AU"/>
              </w:rPr>
            </w:pPr>
            <w:r w:rsidRPr="005D74D1">
              <w:rPr>
                <w:rFonts w:cs="Arial"/>
              </w:rPr>
              <w:t>Contribution to the EC ($ million)</w:t>
            </w:r>
          </w:p>
        </w:tc>
      </w:tr>
      <w:tr w:rsidR="00794795" w:rsidRPr="005D74D1" w14:paraId="28FED81C" w14:textId="77777777" w:rsidTr="00140664">
        <w:trPr>
          <w:trHeight w:val="291"/>
          <w:tblHeader/>
        </w:trPr>
        <w:tc>
          <w:tcPr>
            <w:tcW w:w="1081" w:type="pct"/>
            <w:vMerge/>
            <w:vAlign w:val="center"/>
          </w:tcPr>
          <w:p w14:paraId="2ED81A6B" w14:textId="77777777" w:rsidR="00794795" w:rsidRPr="00A134A7" w:rsidRDefault="00794795" w:rsidP="00140664">
            <w:pPr>
              <w:pStyle w:val="TableHeadingWhite"/>
              <w:jc w:val="center"/>
              <w:rPr>
                <w:rFonts w:cs="Arial"/>
                <w:lang w:val="en-AU"/>
              </w:rPr>
            </w:pPr>
          </w:p>
        </w:tc>
        <w:tc>
          <w:tcPr>
            <w:tcW w:w="728" w:type="pct"/>
            <w:shd w:val="clear" w:color="auto" w:fill="231EDC" w:themeFill="accent1"/>
            <w:vAlign w:val="center"/>
          </w:tcPr>
          <w:p w14:paraId="337A4F78" w14:textId="77777777" w:rsidR="00794795" w:rsidRPr="00A134A7" w:rsidRDefault="00794795" w:rsidP="00140664">
            <w:pPr>
              <w:pStyle w:val="TableHeadingWhite"/>
              <w:jc w:val="center"/>
              <w:rPr>
                <w:rFonts w:cs="Arial"/>
                <w:lang w:val="en-AU"/>
              </w:rPr>
            </w:pPr>
            <w:r w:rsidRPr="005D74D1">
              <w:rPr>
                <w:rFonts w:cs="Arial"/>
              </w:rPr>
              <w:t>2020/21</w:t>
            </w:r>
          </w:p>
        </w:tc>
        <w:tc>
          <w:tcPr>
            <w:tcW w:w="727" w:type="pct"/>
            <w:shd w:val="clear" w:color="auto" w:fill="231EDC" w:themeFill="accent1"/>
            <w:vAlign w:val="center"/>
          </w:tcPr>
          <w:p w14:paraId="76477BD8" w14:textId="77777777" w:rsidR="00794795" w:rsidRPr="00A134A7" w:rsidRDefault="00794795" w:rsidP="00140664">
            <w:pPr>
              <w:pStyle w:val="TableHeadingWhite"/>
              <w:jc w:val="center"/>
              <w:rPr>
                <w:rFonts w:cs="Arial"/>
                <w:lang w:val="en-AU"/>
              </w:rPr>
            </w:pPr>
            <w:r w:rsidRPr="005D74D1">
              <w:rPr>
                <w:rFonts w:cs="Arial"/>
              </w:rPr>
              <w:t>2021/22</w:t>
            </w:r>
          </w:p>
        </w:tc>
        <w:tc>
          <w:tcPr>
            <w:tcW w:w="727" w:type="pct"/>
            <w:shd w:val="clear" w:color="auto" w:fill="231EDC" w:themeFill="accent1"/>
            <w:vAlign w:val="center"/>
          </w:tcPr>
          <w:p w14:paraId="2F66F1B9" w14:textId="77777777" w:rsidR="00794795" w:rsidRPr="00A134A7" w:rsidRDefault="00794795" w:rsidP="00140664">
            <w:pPr>
              <w:pStyle w:val="TableHeadingWhite"/>
              <w:jc w:val="center"/>
              <w:rPr>
                <w:rFonts w:cs="Arial"/>
                <w:lang w:val="en-AU"/>
              </w:rPr>
            </w:pPr>
            <w:r w:rsidRPr="005D74D1">
              <w:rPr>
                <w:rFonts w:cs="Arial"/>
              </w:rPr>
              <w:t>2022/23</w:t>
            </w:r>
          </w:p>
        </w:tc>
        <w:tc>
          <w:tcPr>
            <w:tcW w:w="727" w:type="pct"/>
            <w:shd w:val="clear" w:color="auto" w:fill="231EDC" w:themeFill="accent1"/>
            <w:vAlign w:val="center"/>
          </w:tcPr>
          <w:p w14:paraId="1B54218C" w14:textId="77777777" w:rsidR="00794795" w:rsidRPr="00A134A7" w:rsidRDefault="00794795" w:rsidP="00140664">
            <w:pPr>
              <w:pStyle w:val="TableHeadingWhite"/>
              <w:jc w:val="center"/>
              <w:rPr>
                <w:rFonts w:cs="Arial"/>
                <w:lang w:val="en-AU"/>
              </w:rPr>
            </w:pPr>
            <w:r w:rsidRPr="005D74D1">
              <w:rPr>
                <w:rFonts w:cs="Arial"/>
              </w:rPr>
              <w:t>2023/24</w:t>
            </w:r>
          </w:p>
        </w:tc>
        <w:tc>
          <w:tcPr>
            <w:tcW w:w="1010" w:type="pct"/>
            <w:shd w:val="clear" w:color="auto" w:fill="231EDC" w:themeFill="accent1"/>
            <w:vAlign w:val="center"/>
          </w:tcPr>
          <w:p w14:paraId="0597BB73" w14:textId="77777777" w:rsidR="00794795" w:rsidRPr="00A134A7" w:rsidRDefault="00794795" w:rsidP="00140664">
            <w:pPr>
              <w:pStyle w:val="TableHeadingWhite"/>
              <w:jc w:val="center"/>
              <w:rPr>
                <w:rFonts w:cs="Arial"/>
                <w:lang w:val="en-AU"/>
              </w:rPr>
            </w:pPr>
            <w:r w:rsidRPr="005D74D1">
              <w:rPr>
                <w:rFonts w:cs="Arial"/>
              </w:rPr>
              <w:t>Total</w:t>
            </w:r>
          </w:p>
        </w:tc>
      </w:tr>
      <w:tr w:rsidR="00794795" w:rsidRPr="005D74D1" w14:paraId="74F81FDF" w14:textId="77777777" w:rsidTr="00140664">
        <w:tc>
          <w:tcPr>
            <w:tcW w:w="5000" w:type="pct"/>
            <w:gridSpan w:val="6"/>
            <w:shd w:val="clear" w:color="auto" w:fill="C8C8C8" w:themeFill="accent6"/>
          </w:tcPr>
          <w:p w14:paraId="53B57FE4" w14:textId="77777777" w:rsidR="00794795" w:rsidRPr="005D74D1" w:rsidRDefault="00794795" w:rsidP="003D28D9">
            <w:pPr>
              <w:pStyle w:val="TableText"/>
              <w:rPr>
                <w:rFonts w:cs="Arial"/>
                <w:b/>
                <w:bCs/>
                <w:lang w:val="en-AU"/>
              </w:rPr>
            </w:pPr>
            <w:r w:rsidRPr="005D74D1">
              <w:rPr>
                <w:rFonts w:cs="Arial"/>
                <w:b/>
                <w:bCs/>
                <w:lang w:val="en-AU"/>
              </w:rPr>
              <w:t>Metropolitan Melbourne water corporations</w:t>
            </w:r>
          </w:p>
        </w:tc>
      </w:tr>
      <w:tr w:rsidR="00794795" w:rsidRPr="005D74D1" w14:paraId="581B307B" w14:textId="77777777" w:rsidTr="00140664">
        <w:tc>
          <w:tcPr>
            <w:tcW w:w="1081" w:type="pct"/>
            <w:vAlign w:val="center"/>
          </w:tcPr>
          <w:p w14:paraId="6DEBAA3E" w14:textId="1B86732F" w:rsidR="00794795" w:rsidRPr="005D74D1" w:rsidRDefault="00A70C12" w:rsidP="003D28D9">
            <w:pPr>
              <w:pStyle w:val="TableText"/>
              <w:rPr>
                <w:rFonts w:cs="Arial"/>
                <w:lang w:val="en-AU"/>
              </w:rPr>
            </w:pPr>
            <w:r w:rsidRPr="005D74D1">
              <w:rPr>
                <w:rFonts w:cs="Arial"/>
                <w:lang w:val="en-AU"/>
              </w:rPr>
              <w:t>Greater Western Water (formerly City West Water)</w:t>
            </w:r>
          </w:p>
        </w:tc>
        <w:tc>
          <w:tcPr>
            <w:tcW w:w="728" w:type="pct"/>
          </w:tcPr>
          <w:p w14:paraId="04EEECA9" w14:textId="4B5D9330" w:rsidR="00794795" w:rsidRPr="005D74D1" w:rsidRDefault="00A70C12" w:rsidP="003D28D9">
            <w:pPr>
              <w:pStyle w:val="TableText"/>
              <w:jc w:val="center"/>
              <w:rPr>
                <w:rFonts w:cs="Arial"/>
                <w:lang w:val="en-AU"/>
              </w:rPr>
            </w:pPr>
            <w:r w:rsidRPr="005D74D1">
              <w:rPr>
                <w:rFonts w:cs="Arial"/>
                <w:lang w:val="en-AU"/>
              </w:rPr>
              <w:t>29.843</w:t>
            </w:r>
          </w:p>
        </w:tc>
        <w:tc>
          <w:tcPr>
            <w:tcW w:w="727" w:type="pct"/>
          </w:tcPr>
          <w:p w14:paraId="5CF9C4AB" w14:textId="35A680F7" w:rsidR="00794795" w:rsidRPr="005D74D1" w:rsidRDefault="00A70C12" w:rsidP="003D28D9">
            <w:pPr>
              <w:pStyle w:val="TableText"/>
              <w:jc w:val="center"/>
              <w:rPr>
                <w:rFonts w:cs="Arial"/>
                <w:lang w:val="en-AU"/>
              </w:rPr>
            </w:pPr>
            <w:r w:rsidRPr="00A134A7">
              <w:rPr>
                <w:rFonts w:cs="Arial"/>
              </w:rPr>
              <w:t>33.912</w:t>
            </w:r>
          </w:p>
        </w:tc>
        <w:tc>
          <w:tcPr>
            <w:tcW w:w="727" w:type="pct"/>
          </w:tcPr>
          <w:p w14:paraId="74FAB394" w14:textId="4FAE51BB" w:rsidR="00794795" w:rsidRPr="005D74D1" w:rsidRDefault="00A70C12" w:rsidP="003D28D9">
            <w:pPr>
              <w:pStyle w:val="TableText"/>
              <w:jc w:val="center"/>
              <w:rPr>
                <w:rFonts w:cs="Arial"/>
                <w:lang w:val="en-AU"/>
              </w:rPr>
            </w:pPr>
            <w:r w:rsidRPr="00A134A7">
              <w:rPr>
                <w:rFonts w:cs="Arial"/>
              </w:rPr>
              <w:t>33.912</w:t>
            </w:r>
          </w:p>
        </w:tc>
        <w:tc>
          <w:tcPr>
            <w:tcW w:w="727" w:type="pct"/>
          </w:tcPr>
          <w:p w14:paraId="50C81E57" w14:textId="6D825024" w:rsidR="00794795" w:rsidRPr="005D74D1" w:rsidRDefault="00A70C12" w:rsidP="003D28D9">
            <w:pPr>
              <w:pStyle w:val="TableText"/>
              <w:jc w:val="center"/>
              <w:rPr>
                <w:rFonts w:cs="Arial"/>
                <w:lang w:val="en-AU"/>
              </w:rPr>
            </w:pPr>
            <w:r w:rsidRPr="00A134A7">
              <w:rPr>
                <w:rFonts w:cs="Arial"/>
              </w:rPr>
              <w:t>33.912</w:t>
            </w:r>
          </w:p>
        </w:tc>
        <w:tc>
          <w:tcPr>
            <w:tcW w:w="1010" w:type="pct"/>
          </w:tcPr>
          <w:p w14:paraId="2840C6E6" w14:textId="3B4973C8" w:rsidR="00794795" w:rsidRPr="005D74D1" w:rsidRDefault="00A70C12" w:rsidP="003D28D9">
            <w:pPr>
              <w:pStyle w:val="TableText"/>
              <w:jc w:val="center"/>
              <w:rPr>
                <w:rFonts w:cs="Arial"/>
                <w:lang w:val="en-AU"/>
              </w:rPr>
            </w:pPr>
            <w:r w:rsidRPr="00A134A7">
              <w:rPr>
                <w:rFonts w:cs="Arial"/>
              </w:rPr>
              <w:t>135.647</w:t>
            </w:r>
          </w:p>
        </w:tc>
      </w:tr>
      <w:tr w:rsidR="00794795" w:rsidRPr="005D74D1" w14:paraId="030FFFDE" w14:textId="77777777" w:rsidTr="00140664">
        <w:tc>
          <w:tcPr>
            <w:tcW w:w="1081" w:type="pct"/>
            <w:vAlign w:val="center"/>
          </w:tcPr>
          <w:p w14:paraId="261FD11A" w14:textId="0FC67FC8" w:rsidR="00794795" w:rsidRPr="005D74D1" w:rsidRDefault="00A70C12" w:rsidP="003D28D9">
            <w:pPr>
              <w:pStyle w:val="TableText"/>
              <w:rPr>
                <w:rFonts w:cs="Arial"/>
                <w:lang w:val="en-AU"/>
              </w:rPr>
            </w:pPr>
            <w:r w:rsidRPr="005D74D1">
              <w:rPr>
                <w:rFonts w:cs="Arial"/>
                <w:lang w:val="en-AU"/>
              </w:rPr>
              <w:t>Western Water</w:t>
            </w:r>
            <w:r w:rsidR="00936EF6" w:rsidRPr="005D74D1">
              <w:rPr>
                <w:rFonts w:cs="Arial"/>
                <w:lang w:val="en-AU"/>
              </w:rPr>
              <w:t>*</w:t>
            </w:r>
          </w:p>
        </w:tc>
        <w:tc>
          <w:tcPr>
            <w:tcW w:w="728" w:type="pct"/>
          </w:tcPr>
          <w:p w14:paraId="2DA593EF" w14:textId="6A9AB709" w:rsidR="00794795" w:rsidRPr="005D74D1" w:rsidRDefault="00A70C12" w:rsidP="003D28D9">
            <w:pPr>
              <w:pStyle w:val="TableText"/>
              <w:jc w:val="center"/>
              <w:rPr>
                <w:rFonts w:cs="Arial"/>
                <w:lang w:val="en-AU"/>
              </w:rPr>
            </w:pPr>
            <w:r w:rsidRPr="005D74D1">
              <w:rPr>
                <w:rFonts w:cs="Arial"/>
                <w:lang w:val="en-AU"/>
              </w:rPr>
              <w:t>4.069</w:t>
            </w:r>
          </w:p>
        </w:tc>
        <w:tc>
          <w:tcPr>
            <w:tcW w:w="727" w:type="pct"/>
          </w:tcPr>
          <w:p w14:paraId="44290839" w14:textId="77777777" w:rsidR="00794795" w:rsidRPr="005D74D1" w:rsidRDefault="00794795" w:rsidP="003D28D9">
            <w:pPr>
              <w:pStyle w:val="TableText"/>
              <w:jc w:val="center"/>
              <w:rPr>
                <w:rFonts w:cs="Arial"/>
                <w:lang w:val="en-AU"/>
              </w:rPr>
            </w:pPr>
          </w:p>
        </w:tc>
        <w:tc>
          <w:tcPr>
            <w:tcW w:w="727" w:type="pct"/>
          </w:tcPr>
          <w:p w14:paraId="752D48B9" w14:textId="77777777" w:rsidR="00794795" w:rsidRPr="005D74D1" w:rsidRDefault="00794795" w:rsidP="003D28D9">
            <w:pPr>
              <w:pStyle w:val="TableText"/>
              <w:jc w:val="center"/>
              <w:rPr>
                <w:rFonts w:cs="Arial"/>
                <w:lang w:val="en-AU"/>
              </w:rPr>
            </w:pPr>
          </w:p>
        </w:tc>
        <w:tc>
          <w:tcPr>
            <w:tcW w:w="727" w:type="pct"/>
          </w:tcPr>
          <w:p w14:paraId="654BCF20" w14:textId="77777777" w:rsidR="00794795" w:rsidRPr="005D74D1" w:rsidRDefault="00794795" w:rsidP="003D28D9">
            <w:pPr>
              <w:pStyle w:val="TableText"/>
              <w:jc w:val="center"/>
              <w:rPr>
                <w:rFonts w:cs="Arial"/>
                <w:lang w:val="en-AU"/>
              </w:rPr>
            </w:pPr>
          </w:p>
        </w:tc>
        <w:tc>
          <w:tcPr>
            <w:tcW w:w="1010" w:type="pct"/>
          </w:tcPr>
          <w:p w14:paraId="2855EA73" w14:textId="77777777" w:rsidR="00794795" w:rsidRPr="005D74D1" w:rsidRDefault="00794795" w:rsidP="003D28D9">
            <w:pPr>
              <w:pStyle w:val="TableText"/>
              <w:jc w:val="center"/>
              <w:rPr>
                <w:rFonts w:cs="Arial"/>
                <w:lang w:val="en-AU"/>
              </w:rPr>
            </w:pPr>
          </w:p>
        </w:tc>
      </w:tr>
      <w:tr w:rsidR="00794795" w:rsidRPr="005D74D1" w14:paraId="2F050507" w14:textId="77777777" w:rsidTr="00140664">
        <w:tc>
          <w:tcPr>
            <w:tcW w:w="1081" w:type="pct"/>
            <w:vAlign w:val="center"/>
          </w:tcPr>
          <w:p w14:paraId="17D7A312" w14:textId="77777777" w:rsidR="00794795" w:rsidRPr="005D74D1" w:rsidRDefault="00794795" w:rsidP="003D28D9">
            <w:pPr>
              <w:pStyle w:val="TableText"/>
              <w:rPr>
                <w:rFonts w:cs="Arial"/>
                <w:lang w:val="en-AU"/>
              </w:rPr>
            </w:pPr>
            <w:r w:rsidRPr="005D74D1">
              <w:rPr>
                <w:rFonts w:cs="Arial"/>
                <w:lang w:val="en-AU"/>
              </w:rPr>
              <w:t>South East Water</w:t>
            </w:r>
          </w:p>
        </w:tc>
        <w:tc>
          <w:tcPr>
            <w:tcW w:w="728" w:type="pct"/>
          </w:tcPr>
          <w:p w14:paraId="46979E97" w14:textId="498DFD2F" w:rsidR="00794795" w:rsidRPr="005D74D1" w:rsidRDefault="00A70C12" w:rsidP="003D28D9">
            <w:pPr>
              <w:pStyle w:val="TableText"/>
              <w:jc w:val="center"/>
              <w:rPr>
                <w:rFonts w:cs="Arial"/>
                <w:lang w:val="en-AU"/>
              </w:rPr>
            </w:pPr>
            <w:r w:rsidRPr="005D74D1">
              <w:rPr>
                <w:rFonts w:cs="Arial"/>
                <w:lang w:val="en-AU"/>
              </w:rPr>
              <w:t>43.461</w:t>
            </w:r>
          </w:p>
        </w:tc>
        <w:tc>
          <w:tcPr>
            <w:tcW w:w="727" w:type="pct"/>
          </w:tcPr>
          <w:p w14:paraId="41ABE86A" w14:textId="0BEB9F7E" w:rsidR="00794795" w:rsidRPr="005D74D1" w:rsidRDefault="00A70C12" w:rsidP="003D28D9">
            <w:pPr>
              <w:pStyle w:val="TableText"/>
              <w:jc w:val="center"/>
              <w:rPr>
                <w:rFonts w:cs="Arial"/>
                <w:lang w:val="en-AU"/>
              </w:rPr>
            </w:pPr>
            <w:r w:rsidRPr="00A134A7">
              <w:rPr>
                <w:rFonts w:cs="Arial"/>
              </w:rPr>
              <w:t>43.461</w:t>
            </w:r>
          </w:p>
        </w:tc>
        <w:tc>
          <w:tcPr>
            <w:tcW w:w="727" w:type="pct"/>
          </w:tcPr>
          <w:p w14:paraId="7AFFF103" w14:textId="69526476" w:rsidR="00794795" w:rsidRPr="005D74D1" w:rsidRDefault="00A70C12" w:rsidP="003D28D9">
            <w:pPr>
              <w:pStyle w:val="TableText"/>
              <w:jc w:val="center"/>
              <w:rPr>
                <w:rFonts w:cs="Arial"/>
                <w:lang w:val="en-AU"/>
              </w:rPr>
            </w:pPr>
            <w:r w:rsidRPr="00A134A7">
              <w:rPr>
                <w:rFonts w:cs="Arial"/>
              </w:rPr>
              <w:t>43.461</w:t>
            </w:r>
          </w:p>
        </w:tc>
        <w:tc>
          <w:tcPr>
            <w:tcW w:w="727" w:type="pct"/>
          </w:tcPr>
          <w:p w14:paraId="47CDFD5F" w14:textId="18E4EBD8" w:rsidR="00794795" w:rsidRPr="005D74D1" w:rsidRDefault="00A70C12" w:rsidP="003D28D9">
            <w:pPr>
              <w:pStyle w:val="TableText"/>
              <w:jc w:val="center"/>
              <w:rPr>
                <w:rFonts w:cs="Arial"/>
                <w:lang w:val="en-AU"/>
              </w:rPr>
            </w:pPr>
            <w:r w:rsidRPr="00A134A7">
              <w:rPr>
                <w:rFonts w:cs="Arial"/>
              </w:rPr>
              <w:t>43.461</w:t>
            </w:r>
          </w:p>
        </w:tc>
        <w:tc>
          <w:tcPr>
            <w:tcW w:w="1010" w:type="pct"/>
          </w:tcPr>
          <w:p w14:paraId="447DF3F6" w14:textId="2138834E" w:rsidR="00794795" w:rsidRPr="005D74D1" w:rsidRDefault="00A70C12" w:rsidP="003D28D9">
            <w:pPr>
              <w:pStyle w:val="TableText"/>
              <w:jc w:val="center"/>
              <w:rPr>
                <w:rFonts w:cs="Arial"/>
                <w:lang w:val="en-AU"/>
              </w:rPr>
            </w:pPr>
            <w:r w:rsidRPr="00A134A7">
              <w:rPr>
                <w:rFonts w:cs="Arial"/>
              </w:rPr>
              <w:t>173.843</w:t>
            </w:r>
          </w:p>
        </w:tc>
      </w:tr>
      <w:tr w:rsidR="00794795" w:rsidRPr="005D74D1" w14:paraId="02F8E728" w14:textId="77777777" w:rsidTr="00140664">
        <w:tc>
          <w:tcPr>
            <w:tcW w:w="1081" w:type="pct"/>
            <w:vAlign w:val="center"/>
          </w:tcPr>
          <w:p w14:paraId="2B1E0B5C" w14:textId="77777777" w:rsidR="00794795" w:rsidRPr="005D74D1" w:rsidRDefault="00794795" w:rsidP="003D28D9">
            <w:pPr>
              <w:pStyle w:val="TableText"/>
              <w:rPr>
                <w:rFonts w:cs="Arial"/>
                <w:lang w:val="en-AU"/>
              </w:rPr>
            </w:pPr>
            <w:r w:rsidRPr="005D74D1">
              <w:rPr>
                <w:rFonts w:cs="Arial"/>
                <w:lang w:val="en-AU"/>
              </w:rPr>
              <w:t>Yarra Valley Water</w:t>
            </w:r>
          </w:p>
        </w:tc>
        <w:tc>
          <w:tcPr>
            <w:tcW w:w="728" w:type="pct"/>
          </w:tcPr>
          <w:p w14:paraId="3AA69BD1" w14:textId="788EF8D5" w:rsidR="00794795" w:rsidRPr="005D74D1" w:rsidRDefault="00781C4B" w:rsidP="003D28D9">
            <w:pPr>
              <w:pStyle w:val="TableText"/>
              <w:jc w:val="center"/>
              <w:rPr>
                <w:rFonts w:cs="Arial"/>
                <w:lang w:val="en-AU"/>
              </w:rPr>
            </w:pPr>
            <w:r w:rsidRPr="005D74D1">
              <w:rPr>
                <w:rFonts w:cs="Arial"/>
                <w:lang w:val="en-AU"/>
              </w:rPr>
              <w:t>47.430</w:t>
            </w:r>
          </w:p>
        </w:tc>
        <w:tc>
          <w:tcPr>
            <w:tcW w:w="727" w:type="pct"/>
          </w:tcPr>
          <w:p w14:paraId="24B48123" w14:textId="23FB167F" w:rsidR="00794795" w:rsidRPr="005D74D1" w:rsidRDefault="00781C4B" w:rsidP="003D28D9">
            <w:pPr>
              <w:pStyle w:val="TableText"/>
              <w:jc w:val="center"/>
              <w:rPr>
                <w:rFonts w:cs="Arial"/>
                <w:lang w:val="en-AU"/>
              </w:rPr>
            </w:pPr>
            <w:r w:rsidRPr="00A134A7">
              <w:rPr>
                <w:rFonts w:cs="Arial"/>
              </w:rPr>
              <w:t>47.430</w:t>
            </w:r>
          </w:p>
        </w:tc>
        <w:tc>
          <w:tcPr>
            <w:tcW w:w="727" w:type="pct"/>
          </w:tcPr>
          <w:p w14:paraId="3BCAD7E2" w14:textId="729AD196" w:rsidR="00794795" w:rsidRPr="005D74D1" w:rsidRDefault="00781C4B" w:rsidP="003D28D9">
            <w:pPr>
              <w:pStyle w:val="TableText"/>
              <w:jc w:val="center"/>
              <w:rPr>
                <w:rFonts w:cs="Arial"/>
                <w:lang w:val="en-AU"/>
              </w:rPr>
            </w:pPr>
            <w:r w:rsidRPr="00A134A7">
              <w:rPr>
                <w:rFonts w:cs="Arial"/>
              </w:rPr>
              <w:t>47.430</w:t>
            </w:r>
          </w:p>
        </w:tc>
        <w:tc>
          <w:tcPr>
            <w:tcW w:w="727" w:type="pct"/>
          </w:tcPr>
          <w:p w14:paraId="6FC8CD78" w14:textId="38676453" w:rsidR="00794795" w:rsidRPr="005D74D1" w:rsidRDefault="00781C4B" w:rsidP="003D28D9">
            <w:pPr>
              <w:pStyle w:val="TableText"/>
              <w:jc w:val="center"/>
              <w:rPr>
                <w:rFonts w:cs="Arial"/>
                <w:lang w:val="en-AU"/>
              </w:rPr>
            </w:pPr>
            <w:r w:rsidRPr="00A134A7">
              <w:rPr>
                <w:rFonts w:cs="Arial"/>
              </w:rPr>
              <w:t>47.430</w:t>
            </w:r>
          </w:p>
        </w:tc>
        <w:tc>
          <w:tcPr>
            <w:tcW w:w="1010" w:type="pct"/>
          </w:tcPr>
          <w:p w14:paraId="057F62AB" w14:textId="71808F4D" w:rsidR="00794795" w:rsidRPr="005D74D1" w:rsidRDefault="00781C4B" w:rsidP="003D28D9">
            <w:pPr>
              <w:pStyle w:val="TableText"/>
              <w:jc w:val="center"/>
              <w:rPr>
                <w:rFonts w:cs="Arial"/>
                <w:lang w:val="en-AU"/>
              </w:rPr>
            </w:pPr>
            <w:r w:rsidRPr="00A134A7">
              <w:rPr>
                <w:rFonts w:cs="Arial"/>
              </w:rPr>
              <w:t>189.720</w:t>
            </w:r>
          </w:p>
        </w:tc>
      </w:tr>
      <w:tr w:rsidR="00890BB3" w:rsidRPr="005D74D1" w14:paraId="4596C2DF" w14:textId="77777777" w:rsidTr="00140664">
        <w:trPr>
          <w:trHeight w:val="300"/>
        </w:trPr>
        <w:tc>
          <w:tcPr>
            <w:tcW w:w="1081" w:type="pct"/>
            <w:vAlign w:val="center"/>
          </w:tcPr>
          <w:p w14:paraId="7E9087DE" w14:textId="1DA36E63" w:rsidR="00781C4B" w:rsidRPr="005D74D1" w:rsidRDefault="00781C4B" w:rsidP="003D28D9">
            <w:pPr>
              <w:pStyle w:val="TableText"/>
              <w:rPr>
                <w:rFonts w:cs="Arial"/>
                <w:lang w:val="en-AU"/>
              </w:rPr>
            </w:pPr>
            <w:r w:rsidRPr="005D74D1">
              <w:rPr>
                <w:rFonts w:cs="Arial"/>
                <w:lang w:val="en-AU"/>
              </w:rPr>
              <w:t>Melbourne Water</w:t>
            </w:r>
          </w:p>
        </w:tc>
        <w:tc>
          <w:tcPr>
            <w:tcW w:w="728" w:type="pct"/>
          </w:tcPr>
          <w:p w14:paraId="36B8D340" w14:textId="2BDEC04E" w:rsidR="00781C4B" w:rsidRPr="005D74D1" w:rsidRDefault="00781C4B" w:rsidP="003D28D9">
            <w:pPr>
              <w:pStyle w:val="TableText"/>
              <w:jc w:val="center"/>
              <w:rPr>
                <w:rFonts w:cs="Arial"/>
                <w:lang w:val="en-AU"/>
              </w:rPr>
            </w:pPr>
            <w:r w:rsidRPr="005D74D1">
              <w:rPr>
                <w:rFonts w:cs="Arial"/>
                <w:lang w:val="en-AU"/>
              </w:rPr>
              <w:t>0.947</w:t>
            </w:r>
          </w:p>
        </w:tc>
        <w:tc>
          <w:tcPr>
            <w:tcW w:w="727" w:type="pct"/>
          </w:tcPr>
          <w:p w14:paraId="3033D0C1" w14:textId="6C06844A" w:rsidR="00781C4B" w:rsidRPr="005D74D1" w:rsidRDefault="00781C4B" w:rsidP="003D28D9">
            <w:pPr>
              <w:pStyle w:val="TableText"/>
              <w:jc w:val="center"/>
              <w:rPr>
                <w:rFonts w:cs="Arial"/>
                <w:lang w:val="en-AU"/>
              </w:rPr>
            </w:pPr>
            <w:r w:rsidRPr="00A134A7">
              <w:rPr>
                <w:rFonts w:cs="Arial"/>
              </w:rPr>
              <w:t>0.947</w:t>
            </w:r>
          </w:p>
        </w:tc>
        <w:tc>
          <w:tcPr>
            <w:tcW w:w="727" w:type="pct"/>
          </w:tcPr>
          <w:p w14:paraId="21749E8D" w14:textId="510E0CE2" w:rsidR="00781C4B" w:rsidRPr="005D74D1" w:rsidRDefault="00781C4B" w:rsidP="003D28D9">
            <w:pPr>
              <w:pStyle w:val="TableText"/>
              <w:jc w:val="center"/>
              <w:rPr>
                <w:rFonts w:cs="Arial"/>
                <w:lang w:val="en-AU"/>
              </w:rPr>
            </w:pPr>
            <w:r w:rsidRPr="00A134A7">
              <w:rPr>
                <w:rFonts w:cs="Arial"/>
              </w:rPr>
              <w:t>0.947</w:t>
            </w:r>
          </w:p>
        </w:tc>
        <w:tc>
          <w:tcPr>
            <w:tcW w:w="727" w:type="pct"/>
          </w:tcPr>
          <w:p w14:paraId="4B2ACA65" w14:textId="231119A3" w:rsidR="00781C4B" w:rsidRPr="005D74D1" w:rsidRDefault="00781C4B" w:rsidP="003D28D9">
            <w:pPr>
              <w:pStyle w:val="TableText"/>
              <w:jc w:val="center"/>
              <w:rPr>
                <w:rFonts w:cs="Arial"/>
                <w:lang w:val="en-AU"/>
              </w:rPr>
            </w:pPr>
            <w:r w:rsidRPr="00A134A7">
              <w:rPr>
                <w:rFonts w:cs="Arial"/>
              </w:rPr>
              <w:t>0.947</w:t>
            </w:r>
          </w:p>
        </w:tc>
        <w:tc>
          <w:tcPr>
            <w:tcW w:w="1010" w:type="pct"/>
          </w:tcPr>
          <w:p w14:paraId="11BEFF22" w14:textId="62114C64" w:rsidR="00781C4B" w:rsidRPr="005D74D1" w:rsidRDefault="00781C4B" w:rsidP="003D28D9">
            <w:pPr>
              <w:pStyle w:val="TableText"/>
              <w:jc w:val="center"/>
              <w:rPr>
                <w:rFonts w:cs="Arial"/>
                <w:lang w:val="en-AU"/>
              </w:rPr>
            </w:pPr>
            <w:r w:rsidRPr="00A134A7">
              <w:rPr>
                <w:rFonts w:cs="Arial"/>
              </w:rPr>
              <w:t>3.790</w:t>
            </w:r>
          </w:p>
        </w:tc>
      </w:tr>
      <w:tr w:rsidR="00794795" w:rsidRPr="005D74D1" w14:paraId="72CC10D9" w14:textId="77777777" w:rsidTr="00140664">
        <w:tc>
          <w:tcPr>
            <w:tcW w:w="1081" w:type="pct"/>
          </w:tcPr>
          <w:p w14:paraId="21C8A361" w14:textId="77777777" w:rsidR="00794795" w:rsidRPr="005D74D1" w:rsidRDefault="00794795" w:rsidP="003D28D9">
            <w:pPr>
              <w:pStyle w:val="TableText"/>
              <w:rPr>
                <w:rFonts w:cs="Arial"/>
                <w:b/>
                <w:bCs/>
                <w:lang w:val="en-AU"/>
              </w:rPr>
            </w:pPr>
            <w:r w:rsidRPr="005D74D1">
              <w:rPr>
                <w:rFonts w:cs="Arial"/>
                <w:b/>
                <w:bCs/>
                <w:lang w:val="en-AU"/>
              </w:rPr>
              <w:t>SUB-TOTAL</w:t>
            </w:r>
          </w:p>
        </w:tc>
        <w:tc>
          <w:tcPr>
            <w:tcW w:w="728" w:type="pct"/>
          </w:tcPr>
          <w:p w14:paraId="29307C69" w14:textId="4A89334C" w:rsidR="00794795" w:rsidRPr="005D74D1" w:rsidRDefault="00781C4B" w:rsidP="003D28D9">
            <w:pPr>
              <w:pStyle w:val="TableText"/>
              <w:jc w:val="center"/>
              <w:rPr>
                <w:rFonts w:cs="Arial"/>
                <w:b/>
                <w:bCs/>
                <w:lang w:val="en-AU"/>
              </w:rPr>
            </w:pPr>
            <w:r w:rsidRPr="005D74D1">
              <w:rPr>
                <w:rFonts w:cs="Arial"/>
                <w:b/>
                <w:bCs/>
                <w:lang w:val="en-AU"/>
              </w:rPr>
              <w:t>125.750</w:t>
            </w:r>
          </w:p>
        </w:tc>
        <w:tc>
          <w:tcPr>
            <w:tcW w:w="727" w:type="pct"/>
          </w:tcPr>
          <w:p w14:paraId="44218D27" w14:textId="4CAC91C9" w:rsidR="00794795" w:rsidRPr="005D74D1" w:rsidRDefault="00781C4B" w:rsidP="003D28D9">
            <w:pPr>
              <w:pStyle w:val="TableText"/>
              <w:jc w:val="center"/>
              <w:rPr>
                <w:rFonts w:cs="Arial"/>
                <w:b/>
                <w:bCs/>
                <w:lang w:val="en-AU"/>
              </w:rPr>
            </w:pPr>
            <w:r w:rsidRPr="00A134A7">
              <w:rPr>
                <w:rFonts w:cs="Arial"/>
                <w:b/>
                <w:bCs/>
              </w:rPr>
              <w:t>125.750</w:t>
            </w:r>
          </w:p>
        </w:tc>
        <w:tc>
          <w:tcPr>
            <w:tcW w:w="727" w:type="pct"/>
          </w:tcPr>
          <w:p w14:paraId="5630F62C" w14:textId="1361B6B8" w:rsidR="00794795" w:rsidRPr="005D74D1" w:rsidRDefault="00781C4B" w:rsidP="003D28D9">
            <w:pPr>
              <w:pStyle w:val="TableText"/>
              <w:jc w:val="center"/>
              <w:rPr>
                <w:rFonts w:cs="Arial"/>
                <w:b/>
                <w:bCs/>
                <w:lang w:val="en-AU"/>
              </w:rPr>
            </w:pPr>
            <w:r w:rsidRPr="00A134A7">
              <w:rPr>
                <w:rFonts w:cs="Arial"/>
                <w:b/>
                <w:bCs/>
              </w:rPr>
              <w:t>125.750</w:t>
            </w:r>
          </w:p>
        </w:tc>
        <w:tc>
          <w:tcPr>
            <w:tcW w:w="727" w:type="pct"/>
          </w:tcPr>
          <w:p w14:paraId="2F60CA21" w14:textId="26AB7D7F" w:rsidR="00794795" w:rsidRPr="005D74D1" w:rsidRDefault="00781C4B" w:rsidP="003D28D9">
            <w:pPr>
              <w:pStyle w:val="TableText"/>
              <w:jc w:val="center"/>
              <w:rPr>
                <w:rFonts w:cs="Arial"/>
                <w:b/>
                <w:bCs/>
                <w:lang w:val="en-AU"/>
              </w:rPr>
            </w:pPr>
            <w:r w:rsidRPr="00A134A7">
              <w:rPr>
                <w:rFonts w:cs="Arial"/>
                <w:b/>
                <w:bCs/>
              </w:rPr>
              <w:t>125.750</w:t>
            </w:r>
          </w:p>
        </w:tc>
        <w:tc>
          <w:tcPr>
            <w:tcW w:w="1010" w:type="pct"/>
          </w:tcPr>
          <w:p w14:paraId="2F372D28" w14:textId="1BFA4403" w:rsidR="00794795" w:rsidRPr="005D74D1" w:rsidRDefault="00781C4B" w:rsidP="003D28D9">
            <w:pPr>
              <w:pStyle w:val="TableText"/>
              <w:jc w:val="center"/>
              <w:rPr>
                <w:rFonts w:cs="Arial"/>
                <w:b/>
                <w:bCs/>
                <w:lang w:val="en-AU"/>
              </w:rPr>
            </w:pPr>
            <w:r w:rsidRPr="00A134A7">
              <w:rPr>
                <w:rFonts w:cs="Arial"/>
                <w:b/>
                <w:bCs/>
              </w:rPr>
              <w:t>503.000</w:t>
            </w:r>
          </w:p>
        </w:tc>
      </w:tr>
      <w:tr w:rsidR="00794795" w:rsidRPr="005D74D1" w14:paraId="761BEEEA" w14:textId="77777777" w:rsidTr="00140664">
        <w:tc>
          <w:tcPr>
            <w:tcW w:w="5000" w:type="pct"/>
            <w:gridSpan w:val="6"/>
            <w:shd w:val="clear" w:color="auto" w:fill="C8C8C8" w:themeFill="accent6"/>
          </w:tcPr>
          <w:p w14:paraId="19AF5350" w14:textId="77777777" w:rsidR="00794795" w:rsidRPr="00A134A7" w:rsidRDefault="00794795" w:rsidP="003D28D9">
            <w:pPr>
              <w:pStyle w:val="TableText"/>
              <w:rPr>
                <w:rFonts w:cs="Arial"/>
                <w:b/>
                <w:lang w:val="en-AU"/>
              </w:rPr>
            </w:pPr>
            <w:r w:rsidRPr="005D74D1">
              <w:rPr>
                <w:rFonts w:cs="Arial"/>
                <w:b/>
              </w:rPr>
              <w:t xml:space="preserve">Regional urban water corporations </w:t>
            </w:r>
          </w:p>
        </w:tc>
      </w:tr>
      <w:tr w:rsidR="00794795" w:rsidRPr="005D74D1" w14:paraId="0CA3B7A0" w14:textId="77777777" w:rsidTr="00140664">
        <w:tc>
          <w:tcPr>
            <w:tcW w:w="1081" w:type="pct"/>
            <w:vAlign w:val="bottom"/>
          </w:tcPr>
          <w:p w14:paraId="28A97275" w14:textId="52807594" w:rsidR="00794795" w:rsidRPr="005D74D1" w:rsidRDefault="00107057" w:rsidP="003D28D9">
            <w:pPr>
              <w:pStyle w:val="TableText"/>
              <w:rPr>
                <w:rFonts w:cs="Arial"/>
                <w:lang w:val="en-AU"/>
              </w:rPr>
            </w:pPr>
            <w:r w:rsidRPr="005D74D1">
              <w:rPr>
                <w:rFonts w:cs="Arial"/>
                <w:lang w:val="en-AU"/>
              </w:rPr>
              <w:t>Barwon Water</w:t>
            </w:r>
          </w:p>
        </w:tc>
        <w:tc>
          <w:tcPr>
            <w:tcW w:w="728" w:type="pct"/>
          </w:tcPr>
          <w:p w14:paraId="0798B844" w14:textId="4FED3493" w:rsidR="00794795" w:rsidRPr="005D74D1" w:rsidRDefault="00107057" w:rsidP="003D28D9">
            <w:pPr>
              <w:pStyle w:val="TableText"/>
              <w:jc w:val="center"/>
              <w:rPr>
                <w:rFonts w:cs="Arial"/>
                <w:lang w:val="en-AU"/>
              </w:rPr>
            </w:pPr>
            <w:r w:rsidRPr="005D74D1">
              <w:rPr>
                <w:rFonts w:cs="Arial"/>
                <w:lang w:val="en-AU"/>
              </w:rPr>
              <w:t>9.598</w:t>
            </w:r>
          </w:p>
        </w:tc>
        <w:tc>
          <w:tcPr>
            <w:tcW w:w="727" w:type="pct"/>
          </w:tcPr>
          <w:p w14:paraId="08E1C04E" w14:textId="5A06D606" w:rsidR="00794795" w:rsidRPr="005D74D1" w:rsidRDefault="00107057" w:rsidP="003D28D9">
            <w:pPr>
              <w:pStyle w:val="TableText"/>
              <w:jc w:val="center"/>
              <w:rPr>
                <w:rFonts w:cs="Arial"/>
                <w:lang w:val="en-AU"/>
              </w:rPr>
            </w:pPr>
            <w:r w:rsidRPr="005D74D1">
              <w:rPr>
                <w:rFonts w:cs="Arial"/>
                <w:lang w:val="en-AU"/>
              </w:rPr>
              <w:t>9.598</w:t>
            </w:r>
          </w:p>
        </w:tc>
        <w:tc>
          <w:tcPr>
            <w:tcW w:w="727" w:type="pct"/>
          </w:tcPr>
          <w:p w14:paraId="579B1B45" w14:textId="534D903A" w:rsidR="00794795" w:rsidRPr="005D74D1" w:rsidRDefault="00107057" w:rsidP="003D28D9">
            <w:pPr>
              <w:pStyle w:val="TableText"/>
              <w:jc w:val="center"/>
              <w:rPr>
                <w:rFonts w:cs="Arial"/>
                <w:lang w:val="en-AU"/>
              </w:rPr>
            </w:pPr>
            <w:r w:rsidRPr="005D74D1">
              <w:rPr>
                <w:rFonts w:cs="Arial"/>
                <w:lang w:val="en-AU"/>
              </w:rPr>
              <w:t>9.598</w:t>
            </w:r>
          </w:p>
        </w:tc>
        <w:tc>
          <w:tcPr>
            <w:tcW w:w="727" w:type="pct"/>
          </w:tcPr>
          <w:p w14:paraId="747202FA" w14:textId="61A2D80F" w:rsidR="00794795" w:rsidRPr="005D74D1" w:rsidRDefault="00107057" w:rsidP="003D28D9">
            <w:pPr>
              <w:pStyle w:val="TableText"/>
              <w:jc w:val="center"/>
              <w:rPr>
                <w:rFonts w:cs="Arial"/>
                <w:lang w:val="en-AU"/>
              </w:rPr>
            </w:pPr>
            <w:r w:rsidRPr="005D74D1">
              <w:rPr>
                <w:rFonts w:cs="Arial"/>
                <w:lang w:val="en-AU"/>
              </w:rPr>
              <w:t>9.598</w:t>
            </w:r>
          </w:p>
        </w:tc>
        <w:tc>
          <w:tcPr>
            <w:tcW w:w="1010" w:type="pct"/>
          </w:tcPr>
          <w:p w14:paraId="54E913A6" w14:textId="3F47B33B" w:rsidR="00794795" w:rsidRPr="005D74D1" w:rsidRDefault="00107057" w:rsidP="003D28D9">
            <w:pPr>
              <w:pStyle w:val="TableText"/>
              <w:jc w:val="center"/>
              <w:rPr>
                <w:rFonts w:cs="Arial"/>
                <w:lang w:val="en-AU"/>
              </w:rPr>
            </w:pPr>
            <w:r w:rsidRPr="005D74D1">
              <w:rPr>
                <w:rFonts w:cs="Arial"/>
                <w:lang w:val="en-AU"/>
              </w:rPr>
              <w:t>38.393</w:t>
            </w:r>
          </w:p>
        </w:tc>
      </w:tr>
      <w:tr w:rsidR="00794795" w:rsidRPr="005D74D1" w14:paraId="5E964CE4" w14:textId="77777777" w:rsidTr="00140664">
        <w:tc>
          <w:tcPr>
            <w:tcW w:w="1081" w:type="pct"/>
            <w:vAlign w:val="bottom"/>
          </w:tcPr>
          <w:p w14:paraId="7FC83350" w14:textId="2E96B763" w:rsidR="00794795" w:rsidRPr="005D74D1" w:rsidRDefault="00C65E9B" w:rsidP="003D28D9">
            <w:pPr>
              <w:pStyle w:val="TableText"/>
              <w:rPr>
                <w:rFonts w:cs="Arial"/>
                <w:lang w:val="en-AU"/>
              </w:rPr>
            </w:pPr>
            <w:r w:rsidRPr="005D74D1">
              <w:rPr>
                <w:rFonts w:cs="Arial"/>
                <w:lang w:val="en-AU"/>
              </w:rPr>
              <w:t>Central Highlands Water</w:t>
            </w:r>
          </w:p>
        </w:tc>
        <w:tc>
          <w:tcPr>
            <w:tcW w:w="728" w:type="pct"/>
          </w:tcPr>
          <w:p w14:paraId="3E657B20" w14:textId="0A1CCDE7" w:rsidR="00794795" w:rsidRPr="005D74D1" w:rsidRDefault="00C65E9B" w:rsidP="003D28D9">
            <w:pPr>
              <w:pStyle w:val="TableText"/>
              <w:jc w:val="center"/>
              <w:rPr>
                <w:rFonts w:cs="Arial"/>
                <w:lang w:val="en-AU"/>
              </w:rPr>
            </w:pPr>
            <w:r w:rsidRPr="005D74D1">
              <w:rPr>
                <w:rFonts w:cs="Arial"/>
                <w:lang w:val="en-AU"/>
              </w:rPr>
              <w:t>4.472</w:t>
            </w:r>
          </w:p>
        </w:tc>
        <w:tc>
          <w:tcPr>
            <w:tcW w:w="727" w:type="pct"/>
          </w:tcPr>
          <w:p w14:paraId="5631463A" w14:textId="0E13CC45" w:rsidR="00794795" w:rsidRPr="005D74D1" w:rsidRDefault="00C65E9B" w:rsidP="003D28D9">
            <w:pPr>
              <w:pStyle w:val="TableText"/>
              <w:jc w:val="center"/>
              <w:rPr>
                <w:rFonts w:cs="Arial"/>
                <w:lang w:val="en-AU"/>
              </w:rPr>
            </w:pPr>
            <w:r w:rsidRPr="005D74D1">
              <w:rPr>
                <w:rFonts w:cs="Arial"/>
                <w:lang w:val="en-AU"/>
              </w:rPr>
              <w:t>4.472</w:t>
            </w:r>
          </w:p>
        </w:tc>
        <w:tc>
          <w:tcPr>
            <w:tcW w:w="727" w:type="pct"/>
          </w:tcPr>
          <w:p w14:paraId="3B60037A" w14:textId="28903322" w:rsidR="00794795" w:rsidRPr="005D74D1" w:rsidRDefault="00C65E9B" w:rsidP="003D28D9">
            <w:pPr>
              <w:pStyle w:val="TableText"/>
              <w:jc w:val="center"/>
              <w:rPr>
                <w:rFonts w:cs="Arial"/>
                <w:lang w:val="en-AU"/>
              </w:rPr>
            </w:pPr>
            <w:r w:rsidRPr="005D74D1">
              <w:rPr>
                <w:rFonts w:cs="Arial"/>
                <w:lang w:val="en-AU"/>
              </w:rPr>
              <w:t>4.472</w:t>
            </w:r>
          </w:p>
        </w:tc>
        <w:tc>
          <w:tcPr>
            <w:tcW w:w="727" w:type="pct"/>
          </w:tcPr>
          <w:p w14:paraId="6D722214" w14:textId="3F065E71" w:rsidR="00794795" w:rsidRPr="005D74D1" w:rsidRDefault="00C65E9B" w:rsidP="003D28D9">
            <w:pPr>
              <w:pStyle w:val="TableText"/>
              <w:jc w:val="center"/>
              <w:rPr>
                <w:rFonts w:cs="Arial"/>
                <w:lang w:val="en-AU"/>
              </w:rPr>
            </w:pPr>
            <w:r w:rsidRPr="005D74D1">
              <w:rPr>
                <w:rFonts w:cs="Arial"/>
                <w:lang w:val="en-AU"/>
              </w:rPr>
              <w:t>4.472</w:t>
            </w:r>
          </w:p>
        </w:tc>
        <w:tc>
          <w:tcPr>
            <w:tcW w:w="1010" w:type="pct"/>
          </w:tcPr>
          <w:p w14:paraId="4E925366" w14:textId="7261ECA4" w:rsidR="00794795" w:rsidRPr="005D74D1" w:rsidRDefault="00C65E9B" w:rsidP="003D28D9">
            <w:pPr>
              <w:pStyle w:val="TableText"/>
              <w:jc w:val="center"/>
              <w:rPr>
                <w:rFonts w:cs="Arial"/>
                <w:lang w:val="en-AU"/>
              </w:rPr>
            </w:pPr>
            <w:r w:rsidRPr="005D74D1">
              <w:rPr>
                <w:rFonts w:cs="Arial"/>
                <w:lang w:val="en-AU"/>
              </w:rPr>
              <w:t>17.889</w:t>
            </w:r>
          </w:p>
        </w:tc>
      </w:tr>
      <w:tr w:rsidR="00794795" w:rsidRPr="005D74D1" w14:paraId="5704F8BA" w14:textId="77777777" w:rsidTr="00140664">
        <w:tc>
          <w:tcPr>
            <w:tcW w:w="1081" w:type="pct"/>
            <w:vAlign w:val="bottom"/>
          </w:tcPr>
          <w:p w14:paraId="4710A2B1" w14:textId="67062A34" w:rsidR="00794795" w:rsidRPr="005D74D1" w:rsidRDefault="00C65E9B" w:rsidP="003D28D9">
            <w:pPr>
              <w:pStyle w:val="TableText"/>
              <w:rPr>
                <w:rFonts w:cs="Arial"/>
                <w:lang w:val="en-AU"/>
              </w:rPr>
            </w:pPr>
            <w:r w:rsidRPr="005D74D1">
              <w:rPr>
                <w:rFonts w:cs="Arial"/>
                <w:lang w:val="en-AU"/>
              </w:rPr>
              <w:t>Coliban Water</w:t>
            </w:r>
          </w:p>
        </w:tc>
        <w:tc>
          <w:tcPr>
            <w:tcW w:w="728" w:type="pct"/>
          </w:tcPr>
          <w:p w14:paraId="643E2E4D" w14:textId="47B39FF8" w:rsidR="00794795" w:rsidRPr="005D74D1" w:rsidRDefault="00C65E9B" w:rsidP="003D28D9">
            <w:pPr>
              <w:pStyle w:val="TableText"/>
              <w:jc w:val="center"/>
              <w:rPr>
                <w:rFonts w:cs="Arial"/>
                <w:lang w:val="en-AU"/>
              </w:rPr>
            </w:pPr>
            <w:r w:rsidRPr="005D74D1">
              <w:rPr>
                <w:rFonts w:cs="Arial"/>
                <w:lang w:val="en-AU"/>
              </w:rPr>
              <w:t>5.734</w:t>
            </w:r>
          </w:p>
        </w:tc>
        <w:tc>
          <w:tcPr>
            <w:tcW w:w="727" w:type="pct"/>
          </w:tcPr>
          <w:p w14:paraId="40831D2F" w14:textId="510CD5C5" w:rsidR="00794795" w:rsidRPr="005D74D1" w:rsidRDefault="00C65E9B" w:rsidP="003D28D9">
            <w:pPr>
              <w:pStyle w:val="TableText"/>
              <w:jc w:val="center"/>
              <w:rPr>
                <w:rFonts w:cs="Arial"/>
                <w:lang w:val="en-AU"/>
              </w:rPr>
            </w:pPr>
            <w:r w:rsidRPr="005D74D1">
              <w:rPr>
                <w:rFonts w:cs="Arial"/>
                <w:lang w:val="en-AU"/>
              </w:rPr>
              <w:t>5.734</w:t>
            </w:r>
          </w:p>
        </w:tc>
        <w:tc>
          <w:tcPr>
            <w:tcW w:w="727" w:type="pct"/>
          </w:tcPr>
          <w:p w14:paraId="01036C6B" w14:textId="7471B6E3" w:rsidR="00794795" w:rsidRPr="005D74D1" w:rsidRDefault="00C65E9B" w:rsidP="003D28D9">
            <w:pPr>
              <w:pStyle w:val="TableText"/>
              <w:jc w:val="center"/>
              <w:rPr>
                <w:rFonts w:cs="Arial"/>
                <w:lang w:val="en-AU"/>
              </w:rPr>
            </w:pPr>
            <w:r w:rsidRPr="005D74D1">
              <w:rPr>
                <w:rFonts w:cs="Arial"/>
                <w:lang w:val="en-AU"/>
              </w:rPr>
              <w:t>5.734</w:t>
            </w:r>
          </w:p>
        </w:tc>
        <w:tc>
          <w:tcPr>
            <w:tcW w:w="727" w:type="pct"/>
          </w:tcPr>
          <w:p w14:paraId="7B62FE43" w14:textId="498217E1" w:rsidR="00794795" w:rsidRPr="005D74D1" w:rsidRDefault="00C65E9B" w:rsidP="003D28D9">
            <w:pPr>
              <w:pStyle w:val="TableText"/>
              <w:jc w:val="center"/>
              <w:rPr>
                <w:rFonts w:cs="Arial"/>
                <w:lang w:val="en-AU"/>
              </w:rPr>
            </w:pPr>
            <w:r w:rsidRPr="005D74D1">
              <w:rPr>
                <w:rFonts w:cs="Arial"/>
                <w:lang w:val="en-AU"/>
              </w:rPr>
              <w:t>5.734</w:t>
            </w:r>
          </w:p>
        </w:tc>
        <w:tc>
          <w:tcPr>
            <w:tcW w:w="1010" w:type="pct"/>
          </w:tcPr>
          <w:p w14:paraId="1FC155CA" w14:textId="1EDADE7E" w:rsidR="00794795" w:rsidRPr="005D74D1" w:rsidRDefault="00C65E9B" w:rsidP="003D28D9">
            <w:pPr>
              <w:pStyle w:val="TableText"/>
              <w:jc w:val="center"/>
              <w:rPr>
                <w:rFonts w:cs="Arial"/>
                <w:lang w:val="en-AU"/>
              </w:rPr>
            </w:pPr>
            <w:r w:rsidRPr="005D74D1">
              <w:rPr>
                <w:rFonts w:cs="Arial"/>
                <w:lang w:val="en-AU"/>
              </w:rPr>
              <w:t>22.937</w:t>
            </w:r>
          </w:p>
        </w:tc>
      </w:tr>
      <w:tr w:rsidR="00794795" w:rsidRPr="005D74D1" w14:paraId="7DDE8C6F" w14:textId="77777777" w:rsidTr="00140664">
        <w:tc>
          <w:tcPr>
            <w:tcW w:w="1081" w:type="pct"/>
            <w:vAlign w:val="bottom"/>
          </w:tcPr>
          <w:p w14:paraId="74C6E94F" w14:textId="728DF38A" w:rsidR="00794795" w:rsidRPr="005D74D1" w:rsidRDefault="00107057" w:rsidP="003D28D9">
            <w:pPr>
              <w:pStyle w:val="TableText"/>
              <w:rPr>
                <w:rFonts w:cs="Arial"/>
                <w:lang w:val="en-AU"/>
              </w:rPr>
            </w:pPr>
            <w:r w:rsidRPr="005D74D1">
              <w:rPr>
                <w:rFonts w:cs="Arial"/>
                <w:lang w:val="en-AU"/>
              </w:rPr>
              <w:t>East Gippsland Water</w:t>
            </w:r>
          </w:p>
        </w:tc>
        <w:tc>
          <w:tcPr>
            <w:tcW w:w="728" w:type="pct"/>
          </w:tcPr>
          <w:p w14:paraId="0DF17191" w14:textId="7B38945E" w:rsidR="00794795" w:rsidRPr="005D74D1" w:rsidRDefault="00107057" w:rsidP="003D28D9">
            <w:pPr>
              <w:pStyle w:val="TableText"/>
              <w:jc w:val="center"/>
              <w:rPr>
                <w:rFonts w:cs="Arial"/>
                <w:lang w:val="en-AU"/>
              </w:rPr>
            </w:pPr>
            <w:r w:rsidRPr="005D74D1">
              <w:rPr>
                <w:rFonts w:cs="Arial"/>
                <w:lang w:val="en-AU"/>
              </w:rPr>
              <w:t>1.654</w:t>
            </w:r>
          </w:p>
        </w:tc>
        <w:tc>
          <w:tcPr>
            <w:tcW w:w="727" w:type="pct"/>
          </w:tcPr>
          <w:p w14:paraId="029E7084" w14:textId="44A0D628" w:rsidR="00794795" w:rsidRPr="005D74D1" w:rsidRDefault="00107057" w:rsidP="003D28D9">
            <w:pPr>
              <w:pStyle w:val="TableText"/>
              <w:jc w:val="center"/>
              <w:rPr>
                <w:rFonts w:cs="Arial"/>
                <w:lang w:val="en-AU"/>
              </w:rPr>
            </w:pPr>
            <w:r w:rsidRPr="005D74D1">
              <w:rPr>
                <w:rFonts w:cs="Arial"/>
                <w:lang w:val="en-AU"/>
              </w:rPr>
              <w:t>1.654</w:t>
            </w:r>
          </w:p>
        </w:tc>
        <w:tc>
          <w:tcPr>
            <w:tcW w:w="727" w:type="pct"/>
          </w:tcPr>
          <w:p w14:paraId="134F2B35" w14:textId="694487AF" w:rsidR="00794795" w:rsidRPr="005D74D1" w:rsidRDefault="00107057" w:rsidP="003D28D9">
            <w:pPr>
              <w:pStyle w:val="TableText"/>
              <w:jc w:val="center"/>
              <w:rPr>
                <w:rFonts w:cs="Arial"/>
                <w:lang w:val="en-AU"/>
              </w:rPr>
            </w:pPr>
            <w:r w:rsidRPr="005D74D1">
              <w:rPr>
                <w:rFonts w:cs="Arial"/>
                <w:lang w:val="en-AU"/>
              </w:rPr>
              <w:t>1.654</w:t>
            </w:r>
          </w:p>
        </w:tc>
        <w:tc>
          <w:tcPr>
            <w:tcW w:w="727" w:type="pct"/>
          </w:tcPr>
          <w:p w14:paraId="5F394D06" w14:textId="05162589" w:rsidR="00794795" w:rsidRPr="005D74D1" w:rsidRDefault="00107057" w:rsidP="003D28D9">
            <w:pPr>
              <w:pStyle w:val="TableText"/>
              <w:jc w:val="center"/>
              <w:rPr>
                <w:rFonts w:cs="Arial"/>
                <w:lang w:val="en-AU"/>
              </w:rPr>
            </w:pPr>
            <w:r w:rsidRPr="005D74D1">
              <w:rPr>
                <w:rFonts w:cs="Arial"/>
                <w:lang w:val="en-AU"/>
              </w:rPr>
              <w:t>1.654</w:t>
            </w:r>
          </w:p>
        </w:tc>
        <w:tc>
          <w:tcPr>
            <w:tcW w:w="1010" w:type="pct"/>
          </w:tcPr>
          <w:p w14:paraId="344CB593" w14:textId="77777777" w:rsidR="00794795" w:rsidRPr="005D74D1" w:rsidRDefault="00107057" w:rsidP="003D28D9">
            <w:pPr>
              <w:pStyle w:val="TableText"/>
              <w:jc w:val="center"/>
              <w:rPr>
                <w:rFonts w:cs="Arial"/>
                <w:lang w:val="en-AU"/>
              </w:rPr>
            </w:pPr>
            <w:r w:rsidRPr="005D74D1">
              <w:rPr>
                <w:rFonts w:cs="Arial"/>
                <w:lang w:val="en-AU"/>
              </w:rPr>
              <w:t>6.614</w:t>
            </w:r>
          </w:p>
        </w:tc>
      </w:tr>
      <w:tr w:rsidR="00794795" w:rsidRPr="005D74D1" w14:paraId="6A71F12E" w14:textId="77777777" w:rsidTr="00140664">
        <w:tc>
          <w:tcPr>
            <w:tcW w:w="1081" w:type="pct"/>
            <w:vAlign w:val="bottom"/>
          </w:tcPr>
          <w:p w14:paraId="5DBE7BD4" w14:textId="4AC4EF7E" w:rsidR="00794795" w:rsidRPr="005D74D1" w:rsidRDefault="00107057" w:rsidP="003D28D9">
            <w:pPr>
              <w:pStyle w:val="TableText"/>
              <w:rPr>
                <w:rFonts w:cs="Arial"/>
                <w:lang w:val="en-AU"/>
              </w:rPr>
            </w:pPr>
            <w:r w:rsidRPr="005D74D1">
              <w:rPr>
                <w:rFonts w:cs="Arial"/>
                <w:lang w:val="en-AU"/>
              </w:rPr>
              <w:lastRenderedPageBreak/>
              <w:t>Gippsland Water</w:t>
            </w:r>
          </w:p>
        </w:tc>
        <w:tc>
          <w:tcPr>
            <w:tcW w:w="728" w:type="pct"/>
          </w:tcPr>
          <w:p w14:paraId="6FA15771" w14:textId="158FB54B" w:rsidR="00794795" w:rsidRPr="005D74D1" w:rsidRDefault="00107057" w:rsidP="003D28D9">
            <w:pPr>
              <w:pStyle w:val="TableText"/>
              <w:jc w:val="center"/>
              <w:rPr>
                <w:rFonts w:cs="Arial"/>
                <w:lang w:val="en-AU"/>
              </w:rPr>
            </w:pPr>
            <w:r w:rsidRPr="005D74D1">
              <w:rPr>
                <w:rFonts w:cs="Arial"/>
                <w:lang w:val="en-AU"/>
              </w:rPr>
              <w:t>5.953</w:t>
            </w:r>
          </w:p>
        </w:tc>
        <w:tc>
          <w:tcPr>
            <w:tcW w:w="727" w:type="pct"/>
          </w:tcPr>
          <w:p w14:paraId="1BA48BAE" w14:textId="452AC966" w:rsidR="00794795" w:rsidRPr="005D74D1" w:rsidRDefault="00107057" w:rsidP="003D28D9">
            <w:pPr>
              <w:pStyle w:val="TableText"/>
              <w:jc w:val="center"/>
              <w:rPr>
                <w:rFonts w:cs="Arial"/>
                <w:lang w:val="en-AU"/>
              </w:rPr>
            </w:pPr>
            <w:r w:rsidRPr="005D74D1">
              <w:rPr>
                <w:rFonts w:cs="Arial"/>
                <w:lang w:val="en-AU"/>
              </w:rPr>
              <w:t>5.953</w:t>
            </w:r>
          </w:p>
        </w:tc>
        <w:tc>
          <w:tcPr>
            <w:tcW w:w="727" w:type="pct"/>
          </w:tcPr>
          <w:p w14:paraId="128F4EFB" w14:textId="157D2F04" w:rsidR="00794795" w:rsidRPr="005D74D1" w:rsidRDefault="00107057" w:rsidP="003D28D9">
            <w:pPr>
              <w:pStyle w:val="TableText"/>
              <w:jc w:val="center"/>
              <w:rPr>
                <w:rFonts w:cs="Arial"/>
                <w:lang w:val="en-AU"/>
              </w:rPr>
            </w:pPr>
            <w:r w:rsidRPr="005D74D1">
              <w:rPr>
                <w:rFonts w:cs="Arial"/>
                <w:lang w:val="en-AU"/>
              </w:rPr>
              <w:t>5.953</w:t>
            </w:r>
          </w:p>
        </w:tc>
        <w:tc>
          <w:tcPr>
            <w:tcW w:w="727" w:type="pct"/>
          </w:tcPr>
          <w:p w14:paraId="1ED5B293" w14:textId="7E816193" w:rsidR="00794795" w:rsidRPr="005D74D1" w:rsidRDefault="00107057" w:rsidP="003D28D9">
            <w:pPr>
              <w:pStyle w:val="TableText"/>
              <w:jc w:val="center"/>
              <w:rPr>
                <w:rFonts w:cs="Arial"/>
                <w:lang w:val="en-AU"/>
              </w:rPr>
            </w:pPr>
            <w:r w:rsidRPr="005D74D1">
              <w:rPr>
                <w:rFonts w:cs="Arial"/>
                <w:lang w:val="en-AU"/>
              </w:rPr>
              <w:t>5.953</w:t>
            </w:r>
          </w:p>
        </w:tc>
        <w:tc>
          <w:tcPr>
            <w:tcW w:w="1010" w:type="pct"/>
          </w:tcPr>
          <w:p w14:paraId="07307E82" w14:textId="44893C4A" w:rsidR="00794795" w:rsidRPr="005D74D1" w:rsidRDefault="00107057" w:rsidP="003D28D9">
            <w:pPr>
              <w:pStyle w:val="TableText"/>
              <w:jc w:val="center"/>
              <w:rPr>
                <w:rFonts w:cs="Arial"/>
                <w:lang w:val="en-AU"/>
              </w:rPr>
            </w:pPr>
            <w:r w:rsidRPr="005D74D1">
              <w:rPr>
                <w:rFonts w:cs="Arial"/>
                <w:lang w:val="en-AU"/>
              </w:rPr>
              <w:t>23.810</w:t>
            </w:r>
          </w:p>
        </w:tc>
      </w:tr>
      <w:tr w:rsidR="00794795" w:rsidRPr="005D74D1" w14:paraId="25EEECA8" w14:textId="77777777" w:rsidTr="00140664">
        <w:tc>
          <w:tcPr>
            <w:tcW w:w="1081" w:type="pct"/>
            <w:vAlign w:val="bottom"/>
          </w:tcPr>
          <w:p w14:paraId="303E5524" w14:textId="7B518634" w:rsidR="00794795" w:rsidRPr="005D74D1" w:rsidRDefault="00794795" w:rsidP="003D28D9">
            <w:pPr>
              <w:pStyle w:val="TableText"/>
              <w:rPr>
                <w:rFonts w:cs="Arial"/>
                <w:lang w:val="en-AU"/>
              </w:rPr>
            </w:pPr>
            <w:r w:rsidRPr="005D74D1">
              <w:rPr>
                <w:rFonts w:cs="Arial"/>
                <w:lang w:val="en-AU"/>
              </w:rPr>
              <w:t>Goulburn Valley Water</w:t>
            </w:r>
          </w:p>
        </w:tc>
        <w:tc>
          <w:tcPr>
            <w:tcW w:w="728" w:type="pct"/>
          </w:tcPr>
          <w:p w14:paraId="62552157" w14:textId="4C1EE41F" w:rsidR="00794795" w:rsidRPr="005D74D1" w:rsidRDefault="00C65E9B" w:rsidP="003D28D9">
            <w:pPr>
              <w:pStyle w:val="TableText"/>
              <w:jc w:val="center"/>
              <w:rPr>
                <w:rFonts w:cs="Arial"/>
                <w:lang w:val="en-AU"/>
              </w:rPr>
            </w:pPr>
            <w:r w:rsidRPr="005D74D1">
              <w:rPr>
                <w:rFonts w:cs="Arial"/>
                <w:lang w:val="en-AU"/>
              </w:rPr>
              <w:t>3.750</w:t>
            </w:r>
          </w:p>
        </w:tc>
        <w:tc>
          <w:tcPr>
            <w:tcW w:w="727" w:type="pct"/>
          </w:tcPr>
          <w:p w14:paraId="76ECE995" w14:textId="58224C48" w:rsidR="00794795" w:rsidRPr="005D74D1" w:rsidRDefault="00C65E9B" w:rsidP="003D28D9">
            <w:pPr>
              <w:pStyle w:val="TableText"/>
              <w:jc w:val="center"/>
              <w:rPr>
                <w:rFonts w:cs="Arial"/>
                <w:lang w:val="en-AU"/>
              </w:rPr>
            </w:pPr>
            <w:r w:rsidRPr="005D74D1">
              <w:rPr>
                <w:rFonts w:cs="Arial"/>
                <w:lang w:val="en-AU"/>
              </w:rPr>
              <w:t>3.750</w:t>
            </w:r>
          </w:p>
        </w:tc>
        <w:tc>
          <w:tcPr>
            <w:tcW w:w="727" w:type="pct"/>
          </w:tcPr>
          <w:p w14:paraId="79C9F74E" w14:textId="36D549E3" w:rsidR="00794795" w:rsidRPr="005D74D1" w:rsidRDefault="00C65E9B" w:rsidP="003D28D9">
            <w:pPr>
              <w:pStyle w:val="TableText"/>
              <w:jc w:val="center"/>
              <w:rPr>
                <w:rFonts w:cs="Arial"/>
                <w:lang w:val="en-AU"/>
              </w:rPr>
            </w:pPr>
            <w:r w:rsidRPr="005D74D1">
              <w:rPr>
                <w:rFonts w:cs="Arial"/>
                <w:lang w:val="en-AU"/>
              </w:rPr>
              <w:t>3.750</w:t>
            </w:r>
          </w:p>
        </w:tc>
        <w:tc>
          <w:tcPr>
            <w:tcW w:w="727" w:type="pct"/>
          </w:tcPr>
          <w:p w14:paraId="5421670B" w14:textId="2F805A3D" w:rsidR="00794795" w:rsidRPr="005D74D1" w:rsidRDefault="00C65E9B" w:rsidP="003D28D9">
            <w:pPr>
              <w:pStyle w:val="TableText"/>
              <w:jc w:val="center"/>
              <w:rPr>
                <w:rFonts w:cs="Arial"/>
                <w:lang w:val="en-AU"/>
              </w:rPr>
            </w:pPr>
            <w:r w:rsidRPr="005D74D1">
              <w:rPr>
                <w:rFonts w:cs="Arial"/>
                <w:lang w:val="en-AU"/>
              </w:rPr>
              <w:t>3.750</w:t>
            </w:r>
          </w:p>
        </w:tc>
        <w:tc>
          <w:tcPr>
            <w:tcW w:w="1010" w:type="pct"/>
          </w:tcPr>
          <w:p w14:paraId="207AE6A4" w14:textId="6A12A8A7" w:rsidR="00794795" w:rsidRPr="005D74D1" w:rsidRDefault="00C65E9B" w:rsidP="003D28D9">
            <w:pPr>
              <w:pStyle w:val="TableText"/>
              <w:jc w:val="center"/>
              <w:rPr>
                <w:rFonts w:cs="Arial"/>
                <w:lang w:val="en-AU"/>
              </w:rPr>
            </w:pPr>
            <w:r w:rsidRPr="005D74D1">
              <w:rPr>
                <w:rFonts w:cs="Arial"/>
                <w:lang w:val="en-AU"/>
              </w:rPr>
              <w:t>15.000</w:t>
            </w:r>
          </w:p>
        </w:tc>
      </w:tr>
      <w:tr w:rsidR="00794795" w:rsidRPr="005D74D1" w14:paraId="281D941D" w14:textId="77777777" w:rsidTr="00140664">
        <w:tc>
          <w:tcPr>
            <w:tcW w:w="1081" w:type="pct"/>
            <w:vAlign w:val="bottom"/>
          </w:tcPr>
          <w:p w14:paraId="59F9C305" w14:textId="3447759E" w:rsidR="00794795" w:rsidRPr="005D74D1" w:rsidRDefault="00794795" w:rsidP="003D28D9">
            <w:pPr>
              <w:pStyle w:val="TableText"/>
              <w:rPr>
                <w:rFonts w:cs="Arial"/>
                <w:lang w:val="en-AU"/>
              </w:rPr>
            </w:pPr>
            <w:r w:rsidRPr="005D74D1">
              <w:rPr>
                <w:rFonts w:cs="Arial"/>
                <w:lang w:val="en-AU"/>
              </w:rPr>
              <w:t>North East Water</w:t>
            </w:r>
          </w:p>
        </w:tc>
        <w:tc>
          <w:tcPr>
            <w:tcW w:w="728" w:type="pct"/>
          </w:tcPr>
          <w:p w14:paraId="5DBB766C" w14:textId="4ED3F7BA" w:rsidR="00794795" w:rsidRPr="005D74D1" w:rsidRDefault="00C65E9B" w:rsidP="003D28D9">
            <w:pPr>
              <w:pStyle w:val="TableText"/>
              <w:jc w:val="center"/>
              <w:rPr>
                <w:rFonts w:cs="Arial"/>
                <w:lang w:val="en-AU"/>
              </w:rPr>
            </w:pPr>
            <w:r w:rsidRPr="005D74D1">
              <w:rPr>
                <w:rFonts w:cs="Arial"/>
                <w:lang w:val="en-AU"/>
              </w:rPr>
              <w:t>2.998</w:t>
            </w:r>
          </w:p>
        </w:tc>
        <w:tc>
          <w:tcPr>
            <w:tcW w:w="727" w:type="pct"/>
          </w:tcPr>
          <w:p w14:paraId="7BBB04BE" w14:textId="34D38C8A" w:rsidR="00794795" w:rsidRPr="005D74D1" w:rsidRDefault="00C65E9B" w:rsidP="003D28D9">
            <w:pPr>
              <w:pStyle w:val="TableText"/>
              <w:jc w:val="center"/>
              <w:rPr>
                <w:rFonts w:cs="Arial"/>
                <w:lang w:val="en-AU"/>
              </w:rPr>
            </w:pPr>
            <w:r w:rsidRPr="005D74D1">
              <w:rPr>
                <w:rFonts w:cs="Arial"/>
                <w:lang w:val="en-AU"/>
              </w:rPr>
              <w:t>2.998</w:t>
            </w:r>
          </w:p>
        </w:tc>
        <w:tc>
          <w:tcPr>
            <w:tcW w:w="727" w:type="pct"/>
          </w:tcPr>
          <w:p w14:paraId="50B1E25C" w14:textId="32C3482D" w:rsidR="00794795" w:rsidRPr="005D74D1" w:rsidRDefault="00C65E9B" w:rsidP="003D28D9">
            <w:pPr>
              <w:pStyle w:val="TableText"/>
              <w:jc w:val="center"/>
              <w:rPr>
                <w:rFonts w:cs="Arial"/>
                <w:lang w:val="en-AU"/>
              </w:rPr>
            </w:pPr>
            <w:r w:rsidRPr="005D74D1">
              <w:rPr>
                <w:rFonts w:cs="Arial"/>
                <w:lang w:val="en-AU"/>
              </w:rPr>
              <w:t>2.998</w:t>
            </w:r>
          </w:p>
        </w:tc>
        <w:tc>
          <w:tcPr>
            <w:tcW w:w="727" w:type="pct"/>
          </w:tcPr>
          <w:p w14:paraId="5345CEA5" w14:textId="08B4A91D" w:rsidR="00794795" w:rsidRPr="005D74D1" w:rsidRDefault="00C65E9B" w:rsidP="003D28D9">
            <w:pPr>
              <w:pStyle w:val="TableText"/>
              <w:jc w:val="center"/>
              <w:rPr>
                <w:rFonts w:cs="Arial"/>
                <w:lang w:val="en-AU"/>
              </w:rPr>
            </w:pPr>
            <w:r w:rsidRPr="005D74D1">
              <w:rPr>
                <w:rFonts w:cs="Arial"/>
                <w:lang w:val="en-AU"/>
              </w:rPr>
              <w:t>2.998</w:t>
            </w:r>
          </w:p>
        </w:tc>
        <w:tc>
          <w:tcPr>
            <w:tcW w:w="1010" w:type="pct"/>
          </w:tcPr>
          <w:p w14:paraId="38156702" w14:textId="15C86AF2" w:rsidR="00794795" w:rsidRPr="005D74D1" w:rsidRDefault="00C65E9B" w:rsidP="003D28D9">
            <w:pPr>
              <w:pStyle w:val="TableText"/>
              <w:jc w:val="center"/>
              <w:rPr>
                <w:rFonts w:cs="Arial"/>
                <w:lang w:val="en-AU"/>
              </w:rPr>
            </w:pPr>
            <w:r w:rsidRPr="005D74D1">
              <w:rPr>
                <w:rFonts w:cs="Arial"/>
                <w:lang w:val="en-AU"/>
              </w:rPr>
              <w:t>11.992</w:t>
            </w:r>
          </w:p>
        </w:tc>
      </w:tr>
      <w:tr w:rsidR="00794795" w:rsidRPr="005D74D1" w14:paraId="2C243E94" w14:textId="77777777" w:rsidTr="00140664">
        <w:tc>
          <w:tcPr>
            <w:tcW w:w="1081" w:type="pct"/>
            <w:vAlign w:val="bottom"/>
          </w:tcPr>
          <w:p w14:paraId="11C7F4F4" w14:textId="652B13B8" w:rsidR="00794795" w:rsidRPr="005D74D1" w:rsidRDefault="00794795" w:rsidP="003D28D9">
            <w:pPr>
              <w:pStyle w:val="TableText"/>
              <w:rPr>
                <w:rFonts w:cs="Arial"/>
                <w:lang w:val="en-AU"/>
              </w:rPr>
            </w:pPr>
            <w:r w:rsidRPr="005D74D1">
              <w:rPr>
                <w:rFonts w:cs="Arial"/>
                <w:lang w:val="en-AU"/>
              </w:rPr>
              <w:t>South Gippsland Water</w:t>
            </w:r>
          </w:p>
        </w:tc>
        <w:tc>
          <w:tcPr>
            <w:tcW w:w="728" w:type="pct"/>
          </w:tcPr>
          <w:p w14:paraId="3F0CF501" w14:textId="19B5683D" w:rsidR="00794795" w:rsidRPr="005D74D1" w:rsidRDefault="00C65E9B" w:rsidP="003D28D9">
            <w:pPr>
              <w:pStyle w:val="TableText"/>
              <w:jc w:val="center"/>
              <w:rPr>
                <w:rFonts w:cs="Arial"/>
                <w:lang w:val="en-AU"/>
              </w:rPr>
            </w:pPr>
            <w:r w:rsidRPr="005D74D1">
              <w:rPr>
                <w:rFonts w:cs="Arial"/>
                <w:lang w:val="en-AU"/>
              </w:rPr>
              <w:t>1.369</w:t>
            </w:r>
          </w:p>
        </w:tc>
        <w:tc>
          <w:tcPr>
            <w:tcW w:w="727" w:type="pct"/>
          </w:tcPr>
          <w:p w14:paraId="6F200253" w14:textId="5F6CA242" w:rsidR="00794795" w:rsidRPr="005D74D1" w:rsidRDefault="00C65E9B" w:rsidP="003D28D9">
            <w:pPr>
              <w:pStyle w:val="TableText"/>
              <w:jc w:val="center"/>
              <w:rPr>
                <w:rFonts w:cs="Arial"/>
                <w:lang w:val="en-AU"/>
              </w:rPr>
            </w:pPr>
            <w:r w:rsidRPr="005D74D1">
              <w:rPr>
                <w:rFonts w:cs="Arial"/>
                <w:lang w:val="en-AU"/>
              </w:rPr>
              <w:t>1.369</w:t>
            </w:r>
          </w:p>
        </w:tc>
        <w:tc>
          <w:tcPr>
            <w:tcW w:w="727" w:type="pct"/>
          </w:tcPr>
          <w:p w14:paraId="3A0617A0" w14:textId="65999D5C" w:rsidR="00794795" w:rsidRPr="005D74D1" w:rsidRDefault="00C65E9B" w:rsidP="003D28D9">
            <w:pPr>
              <w:pStyle w:val="TableText"/>
              <w:jc w:val="center"/>
              <w:rPr>
                <w:rFonts w:cs="Arial"/>
                <w:lang w:val="en-AU"/>
              </w:rPr>
            </w:pPr>
            <w:r w:rsidRPr="005D74D1">
              <w:rPr>
                <w:rFonts w:cs="Arial"/>
                <w:lang w:val="en-AU"/>
              </w:rPr>
              <w:t>1.369</w:t>
            </w:r>
          </w:p>
        </w:tc>
        <w:tc>
          <w:tcPr>
            <w:tcW w:w="727" w:type="pct"/>
          </w:tcPr>
          <w:p w14:paraId="16C51724" w14:textId="5136B507" w:rsidR="00794795" w:rsidRPr="005D74D1" w:rsidRDefault="00C65E9B" w:rsidP="003D28D9">
            <w:pPr>
              <w:pStyle w:val="TableText"/>
              <w:jc w:val="center"/>
              <w:rPr>
                <w:rFonts w:cs="Arial"/>
                <w:lang w:val="en-AU"/>
              </w:rPr>
            </w:pPr>
            <w:r w:rsidRPr="005D74D1">
              <w:rPr>
                <w:rFonts w:cs="Arial"/>
                <w:lang w:val="en-AU"/>
              </w:rPr>
              <w:t>1.369</w:t>
            </w:r>
          </w:p>
        </w:tc>
        <w:tc>
          <w:tcPr>
            <w:tcW w:w="1010" w:type="pct"/>
          </w:tcPr>
          <w:p w14:paraId="22157488" w14:textId="3ACBA8E2" w:rsidR="00794795" w:rsidRPr="005D74D1" w:rsidRDefault="00C65E9B" w:rsidP="003D28D9">
            <w:pPr>
              <w:pStyle w:val="TableText"/>
              <w:jc w:val="center"/>
              <w:rPr>
                <w:rFonts w:cs="Arial"/>
                <w:lang w:val="en-AU"/>
              </w:rPr>
            </w:pPr>
            <w:r w:rsidRPr="005D74D1">
              <w:rPr>
                <w:rFonts w:cs="Arial"/>
                <w:lang w:val="en-AU"/>
              </w:rPr>
              <w:t>5.475</w:t>
            </w:r>
          </w:p>
        </w:tc>
      </w:tr>
      <w:tr w:rsidR="00794795" w:rsidRPr="005D74D1" w14:paraId="006735DE" w14:textId="77777777" w:rsidTr="00140664">
        <w:tc>
          <w:tcPr>
            <w:tcW w:w="1081" w:type="pct"/>
            <w:vAlign w:val="bottom"/>
          </w:tcPr>
          <w:p w14:paraId="05817DF3" w14:textId="31E94C90" w:rsidR="00794795" w:rsidRPr="005D74D1" w:rsidRDefault="00794795" w:rsidP="003D28D9">
            <w:pPr>
              <w:pStyle w:val="TableText"/>
              <w:rPr>
                <w:rFonts w:cs="Arial"/>
                <w:lang w:val="en-AU"/>
              </w:rPr>
            </w:pPr>
            <w:r w:rsidRPr="005D74D1">
              <w:rPr>
                <w:rFonts w:cs="Arial"/>
                <w:lang w:val="en-AU"/>
              </w:rPr>
              <w:t>Wannon Water</w:t>
            </w:r>
          </w:p>
        </w:tc>
        <w:tc>
          <w:tcPr>
            <w:tcW w:w="728" w:type="pct"/>
          </w:tcPr>
          <w:p w14:paraId="53C98002" w14:textId="66A85491" w:rsidR="00794795" w:rsidRPr="005D74D1" w:rsidRDefault="00C65E9B" w:rsidP="003D28D9">
            <w:pPr>
              <w:pStyle w:val="TableText"/>
              <w:jc w:val="center"/>
              <w:rPr>
                <w:rFonts w:cs="Arial"/>
                <w:lang w:val="en-AU"/>
              </w:rPr>
            </w:pPr>
            <w:r w:rsidRPr="005D74D1">
              <w:rPr>
                <w:rFonts w:cs="Arial"/>
                <w:lang w:val="en-AU"/>
              </w:rPr>
              <w:t>3.167</w:t>
            </w:r>
          </w:p>
        </w:tc>
        <w:tc>
          <w:tcPr>
            <w:tcW w:w="727" w:type="pct"/>
          </w:tcPr>
          <w:p w14:paraId="7440B76C" w14:textId="62C13715" w:rsidR="00794795" w:rsidRPr="005D74D1" w:rsidRDefault="00C65E9B" w:rsidP="003D28D9">
            <w:pPr>
              <w:pStyle w:val="TableText"/>
              <w:jc w:val="center"/>
              <w:rPr>
                <w:rFonts w:cs="Arial"/>
                <w:lang w:val="en-AU"/>
              </w:rPr>
            </w:pPr>
            <w:r w:rsidRPr="005D74D1">
              <w:rPr>
                <w:rFonts w:cs="Arial"/>
                <w:lang w:val="en-AU"/>
              </w:rPr>
              <w:t>3.167</w:t>
            </w:r>
          </w:p>
        </w:tc>
        <w:tc>
          <w:tcPr>
            <w:tcW w:w="727" w:type="pct"/>
          </w:tcPr>
          <w:p w14:paraId="71C99D3F" w14:textId="296B1CDD" w:rsidR="00794795" w:rsidRPr="005D74D1" w:rsidRDefault="00C65E9B" w:rsidP="003D28D9">
            <w:pPr>
              <w:pStyle w:val="TableText"/>
              <w:jc w:val="center"/>
              <w:rPr>
                <w:rFonts w:cs="Arial"/>
                <w:lang w:val="en-AU"/>
              </w:rPr>
            </w:pPr>
            <w:r w:rsidRPr="005D74D1">
              <w:rPr>
                <w:rFonts w:cs="Arial"/>
                <w:lang w:val="en-AU"/>
              </w:rPr>
              <w:t>3.167</w:t>
            </w:r>
          </w:p>
        </w:tc>
        <w:tc>
          <w:tcPr>
            <w:tcW w:w="727" w:type="pct"/>
          </w:tcPr>
          <w:p w14:paraId="5EA27332" w14:textId="0D3F03E9" w:rsidR="00794795" w:rsidRPr="005D74D1" w:rsidRDefault="00C65E9B" w:rsidP="003D28D9">
            <w:pPr>
              <w:pStyle w:val="TableText"/>
              <w:jc w:val="center"/>
              <w:rPr>
                <w:rFonts w:cs="Arial"/>
                <w:lang w:val="en-AU"/>
              </w:rPr>
            </w:pPr>
            <w:r w:rsidRPr="005D74D1">
              <w:rPr>
                <w:rFonts w:cs="Arial"/>
                <w:lang w:val="en-AU"/>
              </w:rPr>
              <w:t>3.167</w:t>
            </w:r>
          </w:p>
        </w:tc>
        <w:tc>
          <w:tcPr>
            <w:tcW w:w="1010" w:type="pct"/>
          </w:tcPr>
          <w:p w14:paraId="192A2201" w14:textId="4585A8E8" w:rsidR="00794795" w:rsidRPr="005D74D1" w:rsidRDefault="00C65E9B" w:rsidP="003D28D9">
            <w:pPr>
              <w:pStyle w:val="TableText"/>
              <w:jc w:val="center"/>
              <w:rPr>
                <w:rFonts w:cs="Arial"/>
                <w:lang w:val="en-AU"/>
              </w:rPr>
            </w:pPr>
            <w:r w:rsidRPr="005D74D1">
              <w:rPr>
                <w:rFonts w:cs="Arial"/>
                <w:lang w:val="en-AU"/>
              </w:rPr>
              <w:t>12.668</w:t>
            </w:r>
          </w:p>
        </w:tc>
      </w:tr>
      <w:tr w:rsidR="00794795" w:rsidRPr="005D74D1" w14:paraId="585A6905" w14:textId="77777777" w:rsidTr="00140664">
        <w:tc>
          <w:tcPr>
            <w:tcW w:w="1081" w:type="pct"/>
            <w:vAlign w:val="bottom"/>
          </w:tcPr>
          <w:p w14:paraId="128A2D4A" w14:textId="5E2AEEBA" w:rsidR="00794795" w:rsidRPr="005D74D1" w:rsidRDefault="00794795" w:rsidP="003D28D9">
            <w:pPr>
              <w:pStyle w:val="TableText"/>
              <w:rPr>
                <w:rFonts w:cs="Arial"/>
                <w:lang w:val="en-AU"/>
              </w:rPr>
            </w:pPr>
            <w:r w:rsidRPr="005D74D1">
              <w:rPr>
                <w:rFonts w:cs="Arial"/>
                <w:lang w:val="en-AU"/>
              </w:rPr>
              <w:t>Westernport Water</w:t>
            </w:r>
          </w:p>
        </w:tc>
        <w:tc>
          <w:tcPr>
            <w:tcW w:w="728" w:type="pct"/>
          </w:tcPr>
          <w:p w14:paraId="59F826BB" w14:textId="4A3FEC28" w:rsidR="00794795" w:rsidRPr="005D74D1" w:rsidRDefault="00C65E9B" w:rsidP="003D28D9">
            <w:pPr>
              <w:pStyle w:val="TableText"/>
              <w:jc w:val="center"/>
              <w:rPr>
                <w:rFonts w:cs="Arial"/>
                <w:lang w:val="en-AU"/>
              </w:rPr>
            </w:pPr>
            <w:r w:rsidRPr="005D74D1">
              <w:rPr>
                <w:rFonts w:cs="Arial"/>
                <w:lang w:val="en-AU"/>
              </w:rPr>
              <w:t>1.075</w:t>
            </w:r>
          </w:p>
        </w:tc>
        <w:tc>
          <w:tcPr>
            <w:tcW w:w="727" w:type="pct"/>
          </w:tcPr>
          <w:p w14:paraId="1FF2BAA5" w14:textId="115384DD" w:rsidR="00794795" w:rsidRPr="005D74D1" w:rsidRDefault="00C65E9B" w:rsidP="003D28D9">
            <w:pPr>
              <w:pStyle w:val="TableText"/>
              <w:jc w:val="center"/>
              <w:rPr>
                <w:rFonts w:cs="Arial"/>
                <w:lang w:val="en-AU"/>
              </w:rPr>
            </w:pPr>
            <w:r w:rsidRPr="005D74D1">
              <w:rPr>
                <w:rFonts w:cs="Arial"/>
                <w:lang w:val="en-AU"/>
              </w:rPr>
              <w:t>1.075</w:t>
            </w:r>
          </w:p>
        </w:tc>
        <w:tc>
          <w:tcPr>
            <w:tcW w:w="727" w:type="pct"/>
          </w:tcPr>
          <w:p w14:paraId="3DEF0869" w14:textId="4C1CCCF4" w:rsidR="00794795" w:rsidRPr="005D74D1" w:rsidRDefault="00C65E9B" w:rsidP="003D28D9">
            <w:pPr>
              <w:pStyle w:val="TableText"/>
              <w:jc w:val="center"/>
              <w:rPr>
                <w:rFonts w:cs="Arial"/>
                <w:lang w:val="en-AU"/>
              </w:rPr>
            </w:pPr>
            <w:r w:rsidRPr="005D74D1">
              <w:rPr>
                <w:rFonts w:cs="Arial"/>
                <w:lang w:val="en-AU"/>
              </w:rPr>
              <w:t>1.075</w:t>
            </w:r>
          </w:p>
        </w:tc>
        <w:tc>
          <w:tcPr>
            <w:tcW w:w="727" w:type="pct"/>
          </w:tcPr>
          <w:p w14:paraId="16226E07" w14:textId="07EF8F1A" w:rsidR="00794795" w:rsidRPr="005D74D1" w:rsidRDefault="00C65E9B" w:rsidP="003D28D9">
            <w:pPr>
              <w:pStyle w:val="TableText"/>
              <w:jc w:val="center"/>
              <w:rPr>
                <w:rFonts w:cs="Arial"/>
                <w:lang w:val="en-AU"/>
              </w:rPr>
            </w:pPr>
            <w:r w:rsidRPr="005D74D1">
              <w:rPr>
                <w:rFonts w:cs="Arial"/>
                <w:lang w:val="en-AU"/>
              </w:rPr>
              <w:t>1.075</w:t>
            </w:r>
          </w:p>
        </w:tc>
        <w:tc>
          <w:tcPr>
            <w:tcW w:w="1010" w:type="pct"/>
          </w:tcPr>
          <w:p w14:paraId="41E3B9C4" w14:textId="0C517F7D" w:rsidR="00794795" w:rsidRPr="005D74D1" w:rsidRDefault="00C65E9B" w:rsidP="003D28D9">
            <w:pPr>
              <w:pStyle w:val="TableText"/>
              <w:jc w:val="center"/>
              <w:rPr>
                <w:rFonts w:cs="Arial"/>
                <w:lang w:val="en-AU"/>
              </w:rPr>
            </w:pPr>
            <w:r w:rsidRPr="005D74D1">
              <w:rPr>
                <w:rFonts w:cs="Arial"/>
                <w:lang w:val="en-AU"/>
              </w:rPr>
              <w:t>4.302</w:t>
            </w:r>
          </w:p>
        </w:tc>
      </w:tr>
      <w:tr w:rsidR="00794795" w:rsidRPr="005D74D1" w14:paraId="2802A7AA" w14:textId="77777777" w:rsidTr="00140664">
        <w:tc>
          <w:tcPr>
            <w:tcW w:w="1081" w:type="pct"/>
            <w:vAlign w:val="bottom"/>
          </w:tcPr>
          <w:p w14:paraId="1F7BD656" w14:textId="30153B2D" w:rsidR="00794795" w:rsidRPr="005D74D1" w:rsidRDefault="00794795" w:rsidP="003D28D9">
            <w:pPr>
              <w:pStyle w:val="TableText"/>
              <w:rPr>
                <w:rFonts w:cs="Arial"/>
                <w:b/>
                <w:bCs/>
                <w:lang w:val="en-AU"/>
              </w:rPr>
            </w:pPr>
            <w:r w:rsidRPr="005D74D1">
              <w:rPr>
                <w:rFonts w:cs="Arial"/>
                <w:b/>
                <w:bCs/>
                <w:lang w:val="en-AU"/>
              </w:rPr>
              <w:t>SUB-TOTAL</w:t>
            </w:r>
          </w:p>
        </w:tc>
        <w:tc>
          <w:tcPr>
            <w:tcW w:w="728" w:type="pct"/>
          </w:tcPr>
          <w:p w14:paraId="6CDA5BD5" w14:textId="091D558E" w:rsidR="00794795" w:rsidRPr="005D74D1" w:rsidRDefault="00C65E9B" w:rsidP="003D28D9">
            <w:pPr>
              <w:pStyle w:val="TableText"/>
              <w:jc w:val="center"/>
              <w:rPr>
                <w:rFonts w:cs="Arial"/>
                <w:b/>
                <w:bCs/>
                <w:lang w:val="en-AU"/>
              </w:rPr>
            </w:pPr>
            <w:r w:rsidRPr="005D74D1">
              <w:rPr>
                <w:rFonts w:cs="Arial"/>
                <w:b/>
                <w:bCs/>
                <w:lang w:val="en-AU"/>
              </w:rPr>
              <w:t>39.770</w:t>
            </w:r>
          </w:p>
        </w:tc>
        <w:tc>
          <w:tcPr>
            <w:tcW w:w="727" w:type="pct"/>
          </w:tcPr>
          <w:p w14:paraId="1001FC3C" w14:textId="4567D71E" w:rsidR="00794795" w:rsidRPr="005D74D1" w:rsidRDefault="00C65E9B" w:rsidP="003D28D9">
            <w:pPr>
              <w:pStyle w:val="TableText"/>
              <w:jc w:val="center"/>
              <w:rPr>
                <w:rFonts w:cs="Arial"/>
                <w:b/>
                <w:bCs/>
                <w:lang w:val="en-AU"/>
              </w:rPr>
            </w:pPr>
            <w:r w:rsidRPr="005D74D1">
              <w:rPr>
                <w:rFonts w:cs="Arial"/>
                <w:b/>
                <w:bCs/>
                <w:lang w:val="en-AU"/>
              </w:rPr>
              <w:t>39.770</w:t>
            </w:r>
          </w:p>
        </w:tc>
        <w:tc>
          <w:tcPr>
            <w:tcW w:w="727" w:type="pct"/>
          </w:tcPr>
          <w:p w14:paraId="37363508" w14:textId="3BB46C05" w:rsidR="00794795" w:rsidRPr="005D74D1" w:rsidRDefault="00C65E9B" w:rsidP="003D28D9">
            <w:pPr>
              <w:pStyle w:val="TableText"/>
              <w:jc w:val="center"/>
              <w:rPr>
                <w:rFonts w:cs="Arial"/>
                <w:b/>
                <w:bCs/>
                <w:lang w:val="en-AU"/>
              </w:rPr>
            </w:pPr>
            <w:r w:rsidRPr="005D74D1">
              <w:rPr>
                <w:rFonts w:cs="Arial"/>
                <w:b/>
                <w:bCs/>
                <w:lang w:val="en-AU"/>
              </w:rPr>
              <w:t>39.770</w:t>
            </w:r>
          </w:p>
        </w:tc>
        <w:tc>
          <w:tcPr>
            <w:tcW w:w="727" w:type="pct"/>
          </w:tcPr>
          <w:p w14:paraId="359D4654" w14:textId="13A0D8A8" w:rsidR="00794795" w:rsidRPr="005D74D1" w:rsidRDefault="00C65E9B" w:rsidP="003D28D9">
            <w:pPr>
              <w:pStyle w:val="TableText"/>
              <w:jc w:val="center"/>
              <w:rPr>
                <w:rFonts w:cs="Arial"/>
                <w:b/>
                <w:bCs/>
                <w:lang w:val="en-AU"/>
              </w:rPr>
            </w:pPr>
            <w:r w:rsidRPr="005D74D1">
              <w:rPr>
                <w:rFonts w:cs="Arial"/>
                <w:b/>
                <w:bCs/>
                <w:lang w:val="en-AU"/>
              </w:rPr>
              <w:t>39.770</w:t>
            </w:r>
          </w:p>
        </w:tc>
        <w:tc>
          <w:tcPr>
            <w:tcW w:w="1010" w:type="pct"/>
          </w:tcPr>
          <w:p w14:paraId="6D9FD6DC" w14:textId="1CA45A88" w:rsidR="00794795" w:rsidRPr="005D74D1" w:rsidRDefault="00C65E9B" w:rsidP="003D28D9">
            <w:pPr>
              <w:pStyle w:val="TableText"/>
              <w:jc w:val="center"/>
              <w:rPr>
                <w:rFonts w:cs="Arial"/>
                <w:b/>
                <w:bCs/>
                <w:lang w:val="en-AU"/>
              </w:rPr>
            </w:pPr>
            <w:r w:rsidRPr="005D74D1">
              <w:rPr>
                <w:rFonts w:cs="Arial"/>
                <w:b/>
                <w:bCs/>
                <w:lang w:val="en-AU"/>
              </w:rPr>
              <w:t>159.080</w:t>
            </w:r>
          </w:p>
        </w:tc>
      </w:tr>
      <w:tr w:rsidR="00794795" w:rsidRPr="005D74D1" w14:paraId="1F3B16D8" w14:textId="77777777" w:rsidTr="00140664">
        <w:tc>
          <w:tcPr>
            <w:tcW w:w="5000" w:type="pct"/>
            <w:gridSpan w:val="6"/>
            <w:shd w:val="clear" w:color="auto" w:fill="C8C8C8" w:themeFill="accent6"/>
          </w:tcPr>
          <w:p w14:paraId="08E6F469" w14:textId="77777777" w:rsidR="00794795" w:rsidRPr="00A134A7" w:rsidRDefault="00794795" w:rsidP="003D28D9">
            <w:pPr>
              <w:pStyle w:val="TableText"/>
              <w:rPr>
                <w:rFonts w:cs="Arial"/>
                <w:b/>
                <w:lang w:val="en-AU"/>
              </w:rPr>
            </w:pPr>
            <w:r w:rsidRPr="005D74D1">
              <w:rPr>
                <w:rFonts w:cs="Arial"/>
                <w:b/>
              </w:rPr>
              <w:t xml:space="preserve">Rural water corporations </w:t>
            </w:r>
          </w:p>
        </w:tc>
      </w:tr>
      <w:tr w:rsidR="00794795" w:rsidRPr="005D74D1" w14:paraId="06F8E625" w14:textId="77777777" w:rsidTr="00140664">
        <w:tc>
          <w:tcPr>
            <w:tcW w:w="1081" w:type="pct"/>
          </w:tcPr>
          <w:p w14:paraId="38E826E0" w14:textId="00248015" w:rsidR="00794795" w:rsidRPr="005D74D1" w:rsidRDefault="00794795" w:rsidP="003D28D9">
            <w:pPr>
              <w:pStyle w:val="TableText"/>
              <w:rPr>
                <w:rFonts w:cs="Arial"/>
                <w:lang w:val="en-AU"/>
              </w:rPr>
            </w:pPr>
            <w:r w:rsidRPr="005D74D1">
              <w:rPr>
                <w:rFonts w:cs="Arial"/>
                <w:lang w:val="en-AU"/>
              </w:rPr>
              <w:t xml:space="preserve">Grampians Wimmera Mallee Water </w:t>
            </w:r>
          </w:p>
        </w:tc>
        <w:tc>
          <w:tcPr>
            <w:tcW w:w="728" w:type="pct"/>
          </w:tcPr>
          <w:p w14:paraId="3D282103" w14:textId="472274B5" w:rsidR="00794795" w:rsidRPr="005D74D1" w:rsidRDefault="00C65E9B" w:rsidP="003D28D9">
            <w:pPr>
              <w:pStyle w:val="TableText"/>
              <w:jc w:val="center"/>
              <w:rPr>
                <w:rFonts w:cs="Arial"/>
                <w:lang w:val="en-AU"/>
              </w:rPr>
            </w:pPr>
            <w:r w:rsidRPr="00A134A7">
              <w:rPr>
                <w:rFonts w:cs="Arial"/>
              </w:rPr>
              <w:t>2.601</w:t>
            </w:r>
          </w:p>
        </w:tc>
        <w:tc>
          <w:tcPr>
            <w:tcW w:w="727" w:type="pct"/>
          </w:tcPr>
          <w:p w14:paraId="47874E6D" w14:textId="0FE4119C" w:rsidR="00794795" w:rsidRPr="005D74D1" w:rsidRDefault="00C65E9B" w:rsidP="003D28D9">
            <w:pPr>
              <w:pStyle w:val="TableText"/>
              <w:jc w:val="center"/>
              <w:rPr>
                <w:rFonts w:cs="Arial"/>
                <w:lang w:val="en-AU"/>
              </w:rPr>
            </w:pPr>
            <w:r w:rsidRPr="00A134A7">
              <w:rPr>
                <w:rFonts w:cs="Arial"/>
              </w:rPr>
              <w:t>2.601</w:t>
            </w:r>
          </w:p>
        </w:tc>
        <w:tc>
          <w:tcPr>
            <w:tcW w:w="727" w:type="pct"/>
          </w:tcPr>
          <w:p w14:paraId="2CD87960" w14:textId="3B843695" w:rsidR="00794795" w:rsidRPr="005D74D1" w:rsidRDefault="00C65E9B" w:rsidP="003D28D9">
            <w:pPr>
              <w:pStyle w:val="TableText"/>
              <w:jc w:val="center"/>
              <w:rPr>
                <w:rFonts w:cs="Arial"/>
                <w:lang w:val="en-AU"/>
              </w:rPr>
            </w:pPr>
            <w:r w:rsidRPr="00A134A7">
              <w:rPr>
                <w:rFonts w:cs="Arial"/>
              </w:rPr>
              <w:t>2.601</w:t>
            </w:r>
          </w:p>
        </w:tc>
        <w:tc>
          <w:tcPr>
            <w:tcW w:w="727" w:type="pct"/>
          </w:tcPr>
          <w:p w14:paraId="07B5202F" w14:textId="5A2ED2B6" w:rsidR="00794795" w:rsidRPr="005D74D1" w:rsidRDefault="00C65E9B" w:rsidP="003D28D9">
            <w:pPr>
              <w:pStyle w:val="TableText"/>
              <w:jc w:val="center"/>
              <w:rPr>
                <w:rFonts w:cs="Arial"/>
                <w:lang w:val="en-AU"/>
              </w:rPr>
            </w:pPr>
            <w:r w:rsidRPr="00A134A7">
              <w:rPr>
                <w:rFonts w:cs="Arial"/>
              </w:rPr>
              <w:t>2.601</w:t>
            </w:r>
          </w:p>
        </w:tc>
        <w:tc>
          <w:tcPr>
            <w:tcW w:w="1010" w:type="pct"/>
          </w:tcPr>
          <w:p w14:paraId="4AA0696A" w14:textId="51566F20" w:rsidR="00794795" w:rsidRPr="005D74D1" w:rsidRDefault="00C65E9B" w:rsidP="003D28D9">
            <w:pPr>
              <w:pStyle w:val="TableText"/>
              <w:jc w:val="center"/>
              <w:rPr>
                <w:rFonts w:cs="Arial"/>
                <w:lang w:val="en-AU"/>
              </w:rPr>
            </w:pPr>
            <w:r w:rsidRPr="00A134A7">
              <w:rPr>
                <w:rFonts w:cs="Arial"/>
              </w:rPr>
              <w:t>10.405</w:t>
            </w:r>
          </w:p>
        </w:tc>
      </w:tr>
      <w:tr w:rsidR="00794795" w:rsidRPr="005D74D1" w14:paraId="6B505BDC" w14:textId="77777777" w:rsidTr="00140664">
        <w:tc>
          <w:tcPr>
            <w:tcW w:w="1081" w:type="pct"/>
          </w:tcPr>
          <w:p w14:paraId="15A1DCBB" w14:textId="77777777" w:rsidR="00794795" w:rsidRPr="005D74D1" w:rsidRDefault="00794795" w:rsidP="003D28D9">
            <w:pPr>
              <w:pStyle w:val="TableText"/>
              <w:rPr>
                <w:rFonts w:cs="Arial"/>
                <w:lang w:val="en-AU"/>
              </w:rPr>
            </w:pPr>
            <w:r w:rsidRPr="005D74D1">
              <w:rPr>
                <w:rFonts w:cs="Arial"/>
                <w:lang w:val="en-AU"/>
              </w:rPr>
              <w:t>Goulburn-Murray Water</w:t>
            </w:r>
          </w:p>
        </w:tc>
        <w:tc>
          <w:tcPr>
            <w:tcW w:w="728" w:type="pct"/>
          </w:tcPr>
          <w:p w14:paraId="7D9DA9C0" w14:textId="7BF204C0" w:rsidR="00794795" w:rsidRPr="005D74D1" w:rsidRDefault="00C65E9B" w:rsidP="003D28D9">
            <w:pPr>
              <w:pStyle w:val="TableText"/>
              <w:jc w:val="center"/>
              <w:rPr>
                <w:rFonts w:cs="Arial"/>
                <w:lang w:val="en-AU"/>
              </w:rPr>
            </w:pPr>
            <w:r w:rsidRPr="00A134A7">
              <w:rPr>
                <w:rFonts w:cs="Arial"/>
              </w:rPr>
              <w:t>2.577</w:t>
            </w:r>
          </w:p>
        </w:tc>
        <w:tc>
          <w:tcPr>
            <w:tcW w:w="727" w:type="pct"/>
          </w:tcPr>
          <w:p w14:paraId="24863751" w14:textId="0EAD29B2" w:rsidR="00794795" w:rsidRPr="005D74D1" w:rsidRDefault="00C65E9B" w:rsidP="003D28D9">
            <w:pPr>
              <w:pStyle w:val="TableText"/>
              <w:jc w:val="center"/>
              <w:rPr>
                <w:rFonts w:cs="Arial"/>
                <w:lang w:val="en-AU"/>
              </w:rPr>
            </w:pPr>
            <w:r w:rsidRPr="00A134A7">
              <w:rPr>
                <w:rFonts w:cs="Arial"/>
              </w:rPr>
              <w:t>2.577</w:t>
            </w:r>
          </w:p>
        </w:tc>
        <w:tc>
          <w:tcPr>
            <w:tcW w:w="727" w:type="pct"/>
          </w:tcPr>
          <w:p w14:paraId="4C04EEF9" w14:textId="24255387" w:rsidR="00794795" w:rsidRPr="005D74D1" w:rsidRDefault="00C65E9B" w:rsidP="003D28D9">
            <w:pPr>
              <w:pStyle w:val="TableText"/>
              <w:jc w:val="center"/>
              <w:rPr>
                <w:rFonts w:cs="Arial"/>
                <w:lang w:val="en-AU"/>
              </w:rPr>
            </w:pPr>
            <w:r w:rsidRPr="00A134A7">
              <w:rPr>
                <w:rFonts w:cs="Arial"/>
              </w:rPr>
              <w:t>2.577</w:t>
            </w:r>
          </w:p>
        </w:tc>
        <w:tc>
          <w:tcPr>
            <w:tcW w:w="727" w:type="pct"/>
          </w:tcPr>
          <w:p w14:paraId="7450AA69" w14:textId="47022EEB" w:rsidR="00794795" w:rsidRPr="005D74D1" w:rsidRDefault="00C65E9B" w:rsidP="003D28D9">
            <w:pPr>
              <w:pStyle w:val="TableText"/>
              <w:jc w:val="center"/>
              <w:rPr>
                <w:rFonts w:cs="Arial"/>
                <w:lang w:val="en-AU"/>
              </w:rPr>
            </w:pPr>
            <w:r w:rsidRPr="00A134A7">
              <w:rPr>
                <w:rFonts w:cs="Arial"/>
              </w:rPr>
              <w:t>2.577</w:t>
            </w:r>
          </w:p>
        </w:tc>
        <w:tc>
          <w:tcPr>
            <w:tcW w:w="1010" w:type="pct"/>
          </w:tcPr>
          <w:p w14:paraId="55A663D2" w14:textId="39CED526" w:rsidR="00794795" w:rsidRPr="005D74D1" w:rsidRDefault="00C65E9B" w:rsidP="003D28D9">
            <w:pPr>
              <w:pStyle w:val="TableText"/>
              <w:jc w:val="center"/>
              <w:rPr>
                <w:rFonts w:cs="Arial"/>
                <w:lang w:val="en-AU"/>
              </w:rPr>
            </w:pPr>
            <w:r w:rsidRPr="00A134A7">
              <w:rPr>
                <w:rFonts w:cs="Arial"/>
              </w:rPr>
              <w:t>10.309</w:t>
            </w:r>
          </w:p>
        </w:tc>
      </w:tr>
      <w:tr w:rsidR="00794795" w:rsidRPr="005D74D1" w14:paraId="14E63AF7" w14:textId="77777777" w:rsidTr="00140664">
        <w:tc>
          <w:tcPr>
            <w:tcW w:w="1081" w:type="pct"/>
          </w:tcPr>
          <w:p w14:paraId="04E0E855" w14:textId="77777777" w:rsidR="00794795" w:rsidRPr="005D74D1" w:rsidRDefault="00794795" w:rsidP="003D28D9">
            <w:pPr>
              <w:pStyle w:val="TableText"/>
              <w:rPr>
                <w:rFonts w:cs="Arial"/>
                <w:lang w:val="en-AU"/>
              </w:rPr>
            </w:pPr>
            <w:r w:rsidRPr="005D74D1">
              <w:rPr>
                <w:rFonts w:cs="Arial"/>
                <w:lang w:val="en-AU"/>
              </w:rPr>
              <w:t>Lower Murray Water</w:t>
            </w:r>
          </w:p>
        </w:tc>
        <w:tc>
          <w:tcPr>
            <w:tcW w:w="728" w:type="pct"/>
          </w:tcPr>
          <w:p w14:paraId="433DBD73" w14:textId="4ED3DC3C" w:rsidR="00794795" w:rsidRPr="005D74D1" w:rsidRDefault="00C65E9B" w:rsidP="003D28D9">
            <w:pPr>
              <w:pStyle w:val="TableText"/>
              <w:jc w:val="center"/>
              <w:rPr>
                <w:rFonts w:cs="Arial"/>
                <w:lang w:val="en-AU"/>
              </w:rPr>
            </w:pPr>
            <w:r w:rsidRPr="00A134A7">
              <w:rPr>
                <w:rFonts w:cs="Arial"/>
              </w:rPr>
              <w:t>2.251</w:t>
            </w:r>
          </w:p>
        </w:tc>
        <w:tc>
          <w:tcPr>
            <w:tcW w:w="727" w:type="pct"/>
          </w:tcPr>
          <w:p w14:paraId="3299C3F0" w14:textId="30B4C3F0" w:rsidR="00794795" w:rsidRPr="005D74D1" w:rsidRDefault="00C65E9B" w:rsidP="003D28D9">
            <w:pPr>
              <w:pStyle w:val="TableText"/>
              <w:jc w:val="center"/>
              <w:rPr>
                <w:rFonts w:cs="Arial"/>
                <w:lang w:val="en-AU"/>
              </w:rPr>
            </w:pPr>
            <w:r w:rsidRPr="00A134A7">
              <w:rPr>
                <w:rFonts w:cs="Arial"/>
              </w:rPr>
              <w:t>2.251</w:t>
            </w:r>
          </w:p>
        </w:tc>
        <w:tc>
          <w:tcPr>
            <w:tcW w:w="727" w:type="pct"/>
          </w:tcPr>
          <w:p w14:paraId="4FFE9BE3" w14:textId="21CD955F" w:rsidR="00794795" w:rsidRPr="005D74D1" w:rsidRDefault="00C65E9B" w:rsidP="003D28D9">
            <w:pPr>
              <w:pStyle w:val="TableText"/>
              <w:jc w:val="center"/>
              <w:rPr>
                <w:rFonts w:cs="Arial"/>
                <w:lang w:val="en-AU"/>
              </w:rPr>
            </w:pPr>
            <w:r w:rsidRPr="00A134A7">
              <w:rPr>
                <w:rFonts w:cs="Arial"/>
              </w:rPr>
              <w:t>2.251</w:t>
            </w:r>
          </w:p>
        </w:tc>
        <w:tc>
          <w:tcPr>
            <w:tcW w:w="727" w:type="pct"/>
          </w:tcPr>
          <w:p w14:paraId="75AF3B2A" w14:textId="66E8266A" w:rsidR="00794795" w:rsidRPr="005D74D1" w:rsidRDefault="00C65E9B" w:rsidP="003D28D9">
            <w:pPr>
              <w:pStyle w:val="TableText"/>
              <w:jc w:val="center"/>
              <w:rPr>
                <w:rFonts w:cs="Arial"/>
                <w:lang w:val="en-AU"/>
              </w:rPr>
            </w:pPr>
            <w:r w:rsidRPr="00A134A7">
              <w:rPr>
                <w:rFonts w:cs="Arial"/>
              </w:rPr>
              <w:t>2.251</w:t>
            </w:r>
          </w:p>
        </w:tc>
        <w:tc>
          <w:tcPr>
            <w:tcW w:w="1010" w:type="pct"/>
          </w:tcPr>
          <w:p w14:paraId="5E7DA315" w14:textId="7316A698" w:rsidR="00794795" w:rsidRPr="005D74D1" w:rsidRDefault="00C65E9B" w:rsidP="003D28D9">
            <w:pPr>
              <w:pStyle w:val="TableText"/>
              <w:jc w:val="center"/>
              <w:rPr>
                <w:rFonts w:cs="Arial"/>
                <w:lang w:val="en-AU"/>
              </w:rPr>
            </w:pPr>
            <w:r w:rsidRPr="00A134A7">
              <w:rPr>
                <w:rFonts w:cs="Arial"/>
              </w:rPr>
              <w:t>9.005</w:t>
            </w:r>
          </w:p>
        </w:tc>
      </w:tr>
      <w:tr w:rsidR="00794795" w:rsidRPr="005D74D1" w14:paraId="274E34A3" w14:textId="77777777" w:rsidTr="00140664">
        <w:tc>
          <w:tcPr>
            <w:tcW w:w="1081" w:type="pct"/>
          </w:tcPr>
          <w:p w14:paraId="5F70E381" w14:textId="77777777" w:rsidR="00794795" w:rsidRPr="005D74D1" w:rsidRDefault="00794795" w:rsidP="003D28D9">
            <w:pPr>
              <w:pStyle w:val="TableText"/>
              <w:rPr>
                <w:rFonts w:cs="Arial"/>
                <w:lang w:val="en-AU"/>
              </w:rPr>
            </w:pPr>
            <w:r w:rsidRPr="005D74D1">
              <w:rPr>
                <w:rFonts w:cs="Arial"/>
                <w:lang w:val="en-AU"/>
              </w:rPr>
              <w:t xml:space="preserve">Southern Rural Water </w:t>
            </w:r>
          </w:p>
        </w:tc>
        <w:tc>
          <w:tcPr>
            <w:tcW w:w="728" w:type="pct"/>
          </w:tcPr>
          <w:p w14:paraId="08D4BA89" w14:textId="4701F93F" w:rsidR="00794795" w:rsidRPr="005D74D1" w:rsidRDefault="00C65E9B" w:rsidP="003D28D9">
            <w:pPr>
              <w:pStyle w:val="TableText"/>
              <w:jc w:val="center"/>
              <w:rPr>
                <w:rFonts w:cs="Arial"/>
                <w:lang w:val="en-AU"/>
              </w:rPr>
            </w:pPr>
            <w:r w:rsidRPr="00A134A7">
              <w:rPr>
                <w:rFonts w:cs="Arial"/>
              </w:rPr>
              <w:t>0.530</w:t>
            </w:r>
          </w:p>
        </w:tc>
        <w:tc>
          <w:tcPr>
            <w:tcW w:w="727" w:type="pct"/>
          </w:tcPr>
          <w:p w14:paraId="6404D81C" w14:textId="31C3D29C" w:rsidR="00794795" w:rsidRPr="005D74D1" w:rsidRDefault="00C65E9B" w:rsidP="003D28D9">
            <w:pPr>
              <w:pStyle w:val="TableText"/>
              <w:jc w:val="center"/>
              <w:rPr>
                <w:rFonts w:cs="Arial"/>
                <w:lang w:val="en-AU"/>
              </w:rPr>
            </w:pPr>
            <w:r w:rsidRPr="00A134A7">
              <w:rPr>
                <w:rFonts w:cs="Arial"/>
              </w:rPr>
              <w:t>0.530</w:t>
            </w:r>
          </w:p>
        </w:tc>
        <w:tc>
          <w:tcPr>
            <w:tcW w:w="727" w:type="pct"/>
          </w:tcPr>
          <w:p w14:paraId="28E388CF" w14:textId="407373A7" w:rsidR="00794795" w:rsidRPr="005D74D1" w:rsidRDefault="00C65E9B" w:rsidP="003D28D9">
            <w:pPr>
              <w:pStyle w:val="TableText"/>
              <w:jc w:val="center"/>
              <w:rPr>
                <w:rFonts w:cs="Arial"/>
                <w:lang w:val="en-AU"/>
              </w:rPr>
            </w:pPr>
            <w:r w:rsidRPr="00A134A7">
              <w:rPr>
                <w:rFonts w:cs="Arial"/>
              </w:rPr>
              <w:t>0.530</w:t>
            </w:r>
          </w:p>
        </w:tc>
        <w:tc>
          <w:tcPr>
            <w:tcW w:w="727" w:type="pct"/>
          </w:tcPr>
          <w:p w14:paraId="3C04307C" w14:textId="2828A45D" w:rsidR="00794795" w:rsidRPr="005D74D1" w:rsidRDefault="00C65E9B" w:rsidP="003D28D9">
            <w:pPr>
              <w:pStyle w:val="TableText"/>
              <w:jc w:val="center"/>
              <w:rPr>
                <w:rFonts w:cs="Arial"/>
                <w:lang w:val="en-AU"/>
              </w:rPr>
            </w:pPr>
            <w:r w:rsidRPr="00A134A7">
              <w:rPr>
                <w:rFonts w:cs="Arial"/>
              </w:rPr>
              <w:t>0.530</w:t>
            </w:r>
          </w:p>
        </w:tc>
        <w:tc>
          <w:tcPr>
            <w:tcW w:w="1010" w:type="pct"/>
          </w:tcPr>
          <w:p w14:paraId="07C4E33C" w14:textId="3A363D55" w:rsidR="00794795" w:rsidRPr="005D74D1" w:rsidRDefault="00C65E9B" w:rsidP="003D28D9">
            <w:pPr>
              <w:pStyle w:val="TableText"/>
              <w:jc w:val="center"/>
              <w:rPr>
                <w:rFonts w:cs="Arial"/>
                <w:lang w:val="en-AU"/>
              </w:rPr>
            </w:pPr>
            <w:r w:rsidRPr="00A134A7">
              <w:rPr>
                <w:rFonts w:cs="Arial"/>
              </w:rPr>
              <w:t>2.121</w:t>
            </w:r>
          </w:p>
        </w:tc>
      </w:tr>
      <w:tr w:rsidR="00794795" w:rsidRPr="005D74D1" w14:paraId="79233832" w14:textId="77777777" w:rsidTr="00140664">
        <w:tc>
          <w:tcPr>
            <w:tcW w:w="1081" w:type="pct"/>
          </w:tcPr>
          <w:p w14:paraId="7E4621C2" w14:textId="77777777" w:rsidR="00794795" w:rsidRPr="005D74D1" w:rsidRDefault="00794795" w:rsidP="003D28D9">
            <w:pPr>
              <w:pStyle w:val="TableText"/>
              <w:rPr>
                <w:rFonts w:cs="Arial"/>
                <w:b/>
                <w:bCs/>
                <w:lang w:val="en-AU"/>
              </w:rPr>
            </w:pPr>
            <w:r w:rsidRPr="005D74D1">
              <w:rPr>
                <w:rFonts w:cs="Arial"/>
                <w:b/>
                <w:bCs/>
                <w:lang w:val="en-AU"/>
              </w:rPr>
              <w:t>SUB-TOTAL</w:t>
            </w:r>
          </w:p>
        </w:tc>
        <w:tc>
          <w:tcPr>
            <w:tcW w:w="728" w:type="pct"/>
          </w:tcPr>
          <w:p w14:paraId="638A19CB" w14:textId="4DDBAC89" w:rsidR="00794795" w:rsidRPr="005D74D1" w:rsidRDefault="00C65E9B" w:rsidP="003D28D9">
            <w:pPr>
              <w:pStyle w:val="TableText"/>
              <w:jc w:val="center"/>
              <w:rPr>
                <w:rFonts w:cs="Arial"/>
                <w:b/>
                <w:bCs/>
                <w:lang w:val="en-AU"/>
              </w:rPr>
            </w:pPr>
            <w:r w:rsidRPr="005D74D1">
              <w:rPr>
                <w:rFonts w:cs="Arial"/>
                <w:b/>
                <w:bCs/>
                <w:lang w:val="en-AU"/>
              </w:rPr>
              <w:t>7.960</w:t>
            </w:r>
          </w:p>
        </w:tc>
        <w:tc>
          <w:tcPr>
            <w:tcW w:w="727" w:type="pct"/>
          </w:tcPr>
          <w:p w14:paraId="440C6693" w14:textId="7F76E89F" w:rsidR="00794795" w:rsidRPr="005D74D1" w:rsidRDefault="00C65E9B" w:rsidP="003D28D9">
            <w:pPr>
              <w:pStyle w:val="TableText"/>
              <w:jc w:val="center"/>
              <w:rPr>
                <w:rFonts w:cs="Arial"/>
                <w:b/>
                <w:bCs/>
                <w:lang w:val="en-AU"/>
              </w:rPr>
            </w:pPr>
            <w:r w:rsidRPr="005D74D1">
              <w:rPr>
                <w:rFonts w:cs="Arial"/>
                <w:b/>
                <w:bCs/>
                <w:lang w:val="en-AU"/>
              </w:rPr>
              <w:t>7.960</w:t>
            </w:r>
          </w:p>
        </w:tc>
        <w:tc>
          <w:tcPr>
            <w:tcW w:w="727" w:type="pct"/>
          </w:tcPr>
          <w:p w14:paraId="2AC7E979" w14:textId="0FC70856" w:rsidR="00794795" w:rsidRPr="005D74D1" w:rsidRDefault="00C65E9B" w:rsidP="003D28D9">
            <w:pPr>
              <w:pStyle w:val="TableText"/>
              <w:jc w:val="center"/>
              <w:rPr>
                <w:rFonts w:cs="Arial"/>
                <w:b/>
                <w:bCs/>
                <w:lang w:val="en-AU"/>
              </w:rPr>
            </w:pPr>
            <w:r w:rsidRPr="005D74D1">
              <w:rPr>
                <w:rFonts w:cs="Arial"/>
                <w:b/>
                <w:bCs/>
                <w:lang w:val="en-AU"/>
              </w:rPr>
              <w:t>7.960</w:t>
            </w:r>
          </w:p>
        </w:tc>
        <w:tc>
          <w:tcPr>
            <w:tcW w:w="727" w:type="pct"/>
          </w:tcPr>
          <w:p w14:paraId="52549927" w14:textId="6197865C" w:rsidR="00794795" w:rsidRPr="005D74D1" w:rsidRDefault="00C65E9B" w:rsidP="003D28D9">
            <w:pPr>
              <w:pStyle w:val="TableText"/>
              <w:jc w:val="center"/>
              <w:rPr>
                <w:rFonts w:cs="Arial"/>
                <w:b/>
                <w:bCs/>
                <w:lang w:val="en-AU"/>
              </w:rPr>
            </w:pPr>
            <w:r w:rsidRPr="005D74D1">
              <w:rPr>
                <w:rFonts w:cs="Arial"/>
                <w:b/>
                <w:bCs/>
                <w:lang w:val="en-AU"/>
              </w:rPr>
              <w:t>7.960</w:t>
            </w:r>
          </w:p>
        </w:tc>
        <w:tc>
          <w:tcPr>
            <w:tcW w:w="1010" w:type="pct"/>
          </w:tcPr>
          <w:p w14:paraId="128450FA" w14:textId="0D0A5D54" w:rsidR="00794795" w:rsidRPr="005D74D1" w:rsidRDefault="00C65E9B" w:rsidP="003D28D9">
            <w:pPr>
              <w:pStyle w:val="TableText"/>
              <w:jc w:val="center"/>
              <w:rPr>
                <w:rFonts w:cs="Arial"/>
                <w:b/>
                <w:bCs/>
                <w:lang w:val="en-AU"/>
              </w:rPr>
            </w:pPr>
            <w:r w:rsidRPr="005D74D1">
              <w:rPr>
                <w:rFonts w:cs="Arial"/>
                <w:b/>
                <w:bCs/>
                <w:lang w:val="en-AU"/>
              </w:rPr>
              <w:t>31.840</w:t>
            </w:r>
          </w:p>
        </w:tc>
      </w:tr>
      <w:tr w:rsidR="00890BB3" w:rsidRPr="005D74D1" w14:paraId="22578E17" w14:textId="77777777" w:rsidTr="00C72306">
        <w:tc>
          <w:tcPr>
            <w:tcW w:w="1081" w:type="pct"/>
            <w:tcBorders>
              <w:bottom w:val="single" w:sz="4" w:space="0" w:color="231EDC" w:themeColor="accent1"/>
            </w:tcBorders>
          </w:tcPr>
          <w:p w14:paraId="14DA7FAB" w14:textId="4979A7C2" w:rsidR="00F36257" w:rsidRPr="005D74D1" w:rsidRDefault="00F36257" w:rsidP="003D28D9">
            <w:pPr>
              <w:pStyle w:val="TableText"/>
              <w:rPr>
                <w:rFonts w:cs="Arial"/>
                <w:b/>
                <w:bCs/>
                <w:lang w:val="en-AU"/>
              </w:rPr>
            </w:pPr>
            <w:r w:rsidRPr="005D74D1">
              <w:rPr>
                <w:rFonts w:cs="Arial"/>
                <w:b/>
                <w:bCs/>
                <w:lang w:val="en-AU"/>
              </w:rPr>
              <w:t>TOTAL ALL</w:t>
            </w:r>
          </w:p>
        </w:tc>
        <w:tc>
          <w:tcPr>
            <w:tcW w:w="728" w:type="pct"/>
            <w:tcBorders>
              <w:bottom w:val="single" w:sz="4" w:space="0" w:color="231EDC" w:themeColor="accent1"/>
            </w:tcBorders>
          </w:tcPr>
          <w:p w14:paraId="1D607D92" w14:textId="22EF561C" w:rsidR="00F36257" w:rsidRPr="005D74D1" w:rsidRDefault="00F36257" w:rsidP="003D28D9">
            <w:pPr>
              <w:pStyle w:val="TableText"/>
              <w:jc w:val="center"/>
              <w:rPr>
                <w:rFonts w:cs="Arial"/>
                <w:b/>
                <w:bCs/>
                <w:lang w:val="en-AU"/>
              </w:rPr>
            </w:pPr>
            <w:r w:rsidRPr="005D74D1">
              <w:rPr>
                <w:rFonts w:cs="Arial"/>
                <w:b/>
                <w:bCs/>
                <w:lang w:val="en-AU"/>
              </w:rPr>
              <w:t>173.480</w:t>
            </w:r>
          </w:p>
        </w:tc>
        <w:tc>
          <w:tcPr>
            <w:tcW w:w="727" w:type="pct"/>
            <w:tcBorders>
              <w:bottom w:val="single" w:sz="4" w:space="0" w:color="231EDC" w:themeColor="accent1"/>
            </w:tcBorders>
          </w:tcPr>
          <w:p w14:paraId="19BDFCBB" w14:textId="52C72299" w:rsidR="00F36257" w:rsidRPr="005D74D1" w:rsidRDefault="00F36257" w:rsidP="003D28D9">
            <w:pPr>
              <w:pStyle w:val="TableText"/>
              <w:jc w:val="center"/>
              <w:rPr>
                <w:rFonts w:cs="Arial"/>
                <w:b/>
                <w:bCs/>
                <w:lang w:val="en-AU"/>
              </w:rPr>
            </w:pPr>
            <w:r w:rsidRPr="005D74D1">
              <w:rPr>
                <w:rFonts w:cs="Arial"/>
                <w:b/>
                <w:bCs/>
                <w:lang w:val="en-AU"/>
              </w:rPr>
              <w:t>173.480</w:t>
            </w:r>
          </w:p>
        </w:tc>
        <w:tc>
          <w:tcPr>
            <w:tcW w:w="727" w:type="pct"/>
            <w:tcBorders>
              <w:bottom w:val="single" w:sz="4" w:space="0" w:color="231EDC" w:themeColor="accent1"/>
            </w:tcBorders>
          </w:tcPr>
          <w:p w14:paraId="289553FC" w14:textId="3C872ACA" w:rsidR="00F36257" w:rsidRPr="005D74D1" w:rsidRDefault="00F36257" w:rsidP="003D28D9">
            <w:pPr>
              <w:pStyle w:val="TableText"/>
              <w:jc w:val="center"/>
              <w:rPr>
                <w:rFonts w:cs="Arial"/>
                <w:b/>
                <w:bCs/>
                <w:lang w:val="en-AU"/>
              </w:rPr>
            </w:pPr>
            <w:r w:rsidRPr="005D74D1">
              <w:rPr>
                <w:rFonts w:cs="Arial"/>
                <w:b/>
                <w:bCs/>
                <w:lang w:val="en-AU"/>
              </w:rPr>
              <w:t>173.480</w:t>
            </w:r>
          </w:p>
        </w:tc>
        <w:tc>
          <w:tcPr>
            <w:tcW w:w="727" w:type="pct"/>
            <w:tcBorders>
              <w:bottom w:val="single" w:sz="4" w:space="0" w:color="231EDC" w:themeColor="accent1"/>
            </w:tcBorders>
          </w:tcPr>
          <w:p w14:paraId="03C3B5AB" w14:textId="28814DBE" w:rsidR="00F36257" w:rsidRPr="005D74D1" w:rsidRDefault="00F36257" w:rsidP="003D28D9">
            <w:pPr>
              <w:pStyle w:val="TableText"/>
              <w:jc w:val="center"/>
              <w:rPr>
                <w:rFonts w:cs="Arial"/>
                <w:b/>
                <w:bCs/>
                <w:lang w:val="en-AU"/>
              </w:rPr>
            </w:pPr>
            <w:r w:rsidRPr="005D74D1">
              <w:rPr>
                <w:rFonts w:cs="Arial"/>
                <w:b/>
                <w:bCs/>
                <w:lang w:val="en-AU"/>
              </w:rPr>
              <w:t>173.480</w:t>
            </w:r>
          </w:p>
        </w:tc>
        <w:tc>
          <w:tcPr>
            <w:tcW w:w="1010" w:type="pct"/>
            <w:tcBorders>
              <w:bottom w:val="single" w:sz="4" w:space="0" w:color="231EDC" w:themeColor="accent1"/>
            </w:tcBorders>
          </w:tcPr>
          <w:p w14:paraId="061D050E" w14:textId="03903B02" w:rsidR="00F36257" w:rsidRPr="005D74D1" w:rsidRDefault="00F36257" w:rsidP="003D28D9">
            <w:pPr>
              <w:pStyle w:val="TableText"/>
              <w:jc w:val="center"/>
              <w:rPr>
                <w:rFonts w:cs="Arial"/>
                <w:b/>
                <w:bCs/>
                <w:lang w:val="en-AU"/>
              </w:rPr>
            </w:pPr>
            <w:r w:rsidRPr="005D74D1">
              <w:rPr>
                <w:rFonts w:cs="Arial"/>
                <w:b/>
                <w:bCs/>
                <w:lang w:val="en-AU"/>
              </w:rPr>
              <w:t>693.921</w:t>
            </w:r>
          </w:p>
        </w:tc>
      </w:tr>
      <w:tr w:rsidR="00794795" w:rsidRPr="005D74D1" w14:paraId="5F87D9C1" w14:textId="77777777" w:rsidTr="00C72306">
        <w:tc>
          <w:tcPr>
            <w:tcW w:w="5000" w:type="pct"/>
            <w:gridSpan w:val="6"/>
            <w:tcBorders>
              <w:top w:val="single" w:sz="4" w:space="0" w:color="231EDC" w:themeColor="accent1"/>
              <w:left w:val="nil"/>
              <w:bottom w:val="nil"/>
              <w:right w:val="nil"/>
            </w:tcBorders>
          </w:tcPr>
          <w:p w14:paraId="01107456" w14:textId="77777777" w:rsidR="00794795" w:rsidRPr="005D74D1" w:rsidRDefault="0009151E" w:rsidP="003D28D9">
            <w:pPr>
              <w:pStyle w:val="SourceCitation0"/>
              <w:rPr>
                <w:rFonts w:cs="Arial"/>
                <w:lang w:val="en-AU"/>
              </w:rPr>
            </w:pPr>
            <w:r w:rsidRPr="005D74D1">
              <w:rPr>
                <w:rFonts w:cs="Arial"/>
                <w:lang w:val="en-AU"/>
              </w:rPr>
              <w:t xml:space="preserve">Source: </w:t>
            </w:r>
            <w:r w:rsidR="00FC14E2" w:rsidRPr="005D74D1">
              <w:rPr>
                <w:rFonts w:cs="Arial"/>
                <w:lang w:val="en-AU"/>
              </w:rPr>
              <w:t>DEECA</w:t>
            </w:r>
          </w:p>
          <w:p w14:paraId="572FCAE7" w14:textId="61731DF3" w:rsidR="00936EF6" w:rsidRPr="005D74D1" w:rsidRDefault="008F2742" w:rsidP="003D28D9">
            <w:pPr>
              <w:pStyle w:val="SourceCitation0"/>
              <w:rPr>
                <w:rFonts w:cs="Arial"/>
                <w:lang w:val="en-AU"/>
              </w:rPr>
            </w:pPr>
            <w:r w:rsidRPr="005D74D1">
              <w:rPr>
                <w:rFonts w:cs="Arial"/>
                <w:lang w:val="en-AU"/>
              </w:rPr>
              <w:t xml:space="preserve">*Note: In mid-2021, Western Water </w:t>
            </w:r>
            <w:r w:rsidR="00C80B57" w:rsidRPr="005D74D1">
              <w:rPr>
                <w:rFonts w:cs="Arial"/>
                <w:lang w:val="en-AU"/>
              </w:rPr>
              <w:t>and</w:t>
            </w:r>
            <w:r w:rsidRPr="005D74D1">
              <w:rPr>
                <w:rFonts w:cs="Arial"/>
                <w:lang w:val="en-AU"/>
              </w:rPr>
              <w:t xml:space="preserve"> City West Water</w:t>
            </w:r>
            <w:r w:rsidR="00C80B57" w:rsidRPr="005D74D1">
              <w:rPr>
                <w:rFonts w:cs="Arial"/>
                <w:lang w:val="en-AU"/>
              </w:rPr>
              <w:t xml:space="preserve"> merged, forming a new entity named</w:t>
            </w:r>
            <w:r w:rsidRPr="005D74D1">
              <w:rPr>
                <w:rFonts w:cs="Arial"/>
                <w:lang w:val="en-AU"/>
              </w:rPr>
              <w:t xml:space="preserve"> Greater Western Water.</w:t>
            </w:r>
          </w:p>
        </w:tc>
      </w:tr>
    </w:tbl>
    <w:p w14:paraId="1ED13383" w14:textId="77777777" w:rsidR="00A85EE4" w:rsidRPr="005D74D1" w:rsidRDefault="00A85EE4" w:rsidP="00A85EE4">
      <w:pPr>
        <w:pStyle w:val="Heading2"/>
        <w:rPr>
          <w:rFonts w:cs="Arial"/>
        </w:rPr>
      </w:pPr>
      <w:bookmarkStart w:id="63" w:name="tab7"/>
      <w:bookmarkStart w:id="64" w:name="_Toc147342372"/>
      <w:bookmarkStart w:id="65" w:name="_Toc147352262"/>
      <w:bookmarkStart w:id="66" w:name="_Toc147329320"/>
      <w:bookmarkStart w:id="67" w:name="_Toc147411783"/>
      <w:bookmarkStart w:id="68" w:name="_Toc183777357"/>
      <w:bookmarkStart w:id="69" w:name="_Toc147329321"/>
      <w:bookmarkEnd w:id="63"/>
      <w:bookmarkEnd w:id="64"/>
      <w:bookmarkEnd w:id="65"/>
      <w:r w:rsidRPr="005D74D1">
        <w:rPr>
          <w:rFonts w:cs="Arial"/>
        </w:rPr>
        <w:t>Summary of EC5 investment</w:t>
      </w:r>
      <w:bookmarkEnd w:id="66"/>
      <w:bookmarkEnd w:id="67"/>
      <w:bookmarkEnd w:id="68"/>
    </w:p>
    <w:p w14:paraId="5AB1FD8F" w14:textId="79AC63A3" w:rsidR="00A85EE4" w:rsidRPr="005D74D1" w:rsidRDefault="0038676A" w:rsidP="00A85EE4">
      <w:pPr>
        <w:pStyle w:val="BodyText"/>
        <w:rPr>
          <w:rFonts w:cs="Arial"/>
        </w:rPr>
      </w:pPr>
      <w:r w:rsidRPr="005D74D1">
        <w:rPr>
          <w:rFonts w:cs="Arial"/>
        </w:rPr>
        <w:fldChar w:fldCharType="begin"/>
      </w:r>
      <w:r w:rsidRPr="005D74D1">
        <w:rPr>
          <w:rFonts w:cs="Arial"/>
        </w:rPr>
        <w:instrText xml:space="preserve"> REF _Ref178856329 \h </w:instrText>
      </w:r>
      <w:r w:rsidR="005D74D1" w:rsidRPr="005D74D1">
        <w:rPr>
          <w:rFonts w:cs="Arial"/>
        </w:rPr>
        <w:instrText xml:space="preserve"> \* MERGEFORMAT </w:instrText>
      </w:r>
      <w:r w:rsidRPr="005D74D1">
        <w:rPr>
          <w:rFonts w:cs="Arial"/>
        </w:rPr>
      </w:r>
      <w:r w:rsidRPr="005D74D1">
        <w:rPr>
          <w:rFonts w:cs="Arial"/>
        </w:rPr>
        <w:fldChar w:fldCharType="separate"/>
      </w:r>
      <w:r w:rsidR="003870A0" w:rsidRPr="005D74D1">
        <w:rPr>
          <w:rFonts w:cs="Arial"/>
        </w:rPr>
        <w:t>Table </w:t>
      </w:r>
      <w:r w:rsidR="003870A0">
        <w:rPr>
          <w:rFonts w:cs="Arial"/>
        </w:rPr>
        <w:t>4</w:t>
      </w:r>
      <w:r w:rsidRPr="005D74D1">
        <w:rPr>
          <w:rFonts w:cs="Arial"/>
        </w:rPr>
        <w:fldChar w:fldCharType="end"/>
      </w:r>
      <w:r w:rsidRPr="005D74D1">
        <w:rPr>
          <w:rFonts w:cs="Arial"/>
        </w:rPr>
        <w:t xml:space="preserve"> </w:t>
      </w:r>
      <w:r w:rsidR="00A85EE4" w:rsidRPr="005D74D1">
        <w:rPr>
          <w:rFonts w:cs="Arial"/>
        </w:rPr>
        <w:t>shows the distribution of expenditure of the EC</w:t>
      </w:r>
      <w:r w:rsidR="00DE5971" w:rsidRPr="005D74D1">
        <w:rPr>
          <w:rFonts w:cs="Arial"/>
        </w:rPr>
        <w:t>5</w:t>
      </w:r>
      <w:r w:rsidR="00A85EE4" w:rsidRPr="005D74D1">
        <w:rPr>
          <w:rFonts w:cs="Arial"/>
        </w:rPr>
        <w:t xml:space="preserve"> investment </w:t>
      </w:r>
      <w:r w:rsidRPr="005D74D1">
        <w:rPr>
          <w:rFonts w:cs="Arial"/>
        </w:rPr>
        <w:t>against</w:t>
      </w:r>
      <w:r w:rsidR="00A85EE4" w:rsidRPr="005D74D1">
        <w:rPr>
          <w:rFonts w:cs="Arial"/>
        </w:rPr>
        <w:t xml:space="preserve"> the 14 initiatives and 38 projects</w:t>
      </w:r>
      <w:r w:rsidR="0035349D" w:rsidRPr="005D74D1">
        <w:rPr>
          <w:rFonts w:cs="Arial"/>
        </w:rPr>
        <w:t xml:space="preserve"> to </w:t>
      </w:r>
      <w:r w:rsidR="00A85EE4" w:rsidRPr="005D74D1">
        <w:rPr>
          <w:rFonts w:cs="Arial"/>
        </w:rPr>
        <w:t>30 June 2024</w:t>
      </w:r>
      <w:r w:rsidR="0035349D" w:rsidRPr="005D74D1">
        <w:rPr>
          <w:rFonts w:cs="Arial"/>
        </w:rPr>
        <w:t xml:space="preserve">. </w:t>
      </w:r>
      <w:r w:rsidR="00DE5971" w:rsidRPr="005D74D1">
        <w:rPr>
          <w:rFonts w:cs="Arial"/>
        </w:rPr>
        <w:t xml:space="preserve">Note that </w:t>
      </w:r>
      <w:r w:rsidR="00485086" w:rsidRPr="005D74D1">
        <w:rPr>
          <w:rFonts w:cs="Arial"/>
        </w:rPr>
        <w:t xml:space="preserve">some projects received funding from </w:t>
      </w:r>
      <w:r w:rsidR="006C2353" w:rsidRPr="005D74D1">
        <w:rPr>
          <w:rFonts w:cs="Arial"/>
        </w:rPr>
        <w:t>other</w:t>
      </w:r>
      <w:r w:rsidR="00485086" w:rsidRPr="005D74D1">
        <w:rPr>
          <w:rFonts w:cs="Arial"/>
        </w:rPr>
        <w:t xml:space="preserve"> </w:t>
      </w:r>
      <w:r w:rsidR="00EE5CB5" w:rsidRPr="005D74D1">
        <w:rPr>
          <w:rFonts w:cs="Arial"/>
        </w:rPr>
        <w:t>fund sources</w:t>
      </w:r>
      <w:r w:rsidR="00485086" w:rsidRPr="005D74D1">
        <w:rPr>
          <w:rFonts w:cs="Arial"/>
        </w:rPr>
        <w:t xml:space="preserve">, and </w:t>
      </w:r>
      <w:r w:rsidR="00EE5CB5" w:rsidRPr="005D74D1">
        <w:rPr>
          <w:rFonts w:cs="Arial"/>
        </w:rPr>
        <w:t>a small proportion of</w:t>
      </w:r>
      <w:r w:rsidR="00485086" w:rsidRPr="005D74D1">
        <w:rPr>
          <w:rFonts w:cs="Arial"/>
        </w:rPr>
        <w:t xml:space="preserve"> initiative funding </w:t>
      </w:r>
      <w:r w:rsidR="00EE5CB5" w:rsidRPr="005D74D1">
        <w:rPr>
          <w:rFonts w:cs="Arial"/>
        </w:rPr>
        <w:t>was appropriated for EC administrative</w:t>
      </w:r>
      <w:r w:rsidR="00485086" w:rsidRPr="005D74D1">
        <w:rPr>
          <w:rFonts w:cs="Arial"/>
        </w:rPr>
        <w:t xml:space="preserve"> costs</w:t>
      </w:r>
      <w:r w:rsidR="006C2353" w:rsidRPr="005D74D1">
        <w:rPr>
          <w:rFonts w:cs="Arial"/>
        </w:rPr>
        <w:t>.</w:t>
      </w:r>
    </w:p>
    <w:p w14:paraId="6D94C858" w14:textId="103940FD" w:rsidR="00A85EE4" w:rsidRPr="005D74D1" w:rsidRDefault="00A85EE4" w:rsidP="00A85EE4">
      <w:pPr>
        <w:pStyle w:val="TableCaption"/>
        <w:rPr>
          <w:rFonts w:cs="Arial"/>
        </w:rPr>
      </w:pPr>
      <w:bookmarkStart w:id="70" w:name="_Ref178856329"/>
      <w:bookmarkStart w:id="71" w:name="_Toc147411828"/>
      <w:bookmarkStart w:id="72" w:name="_Toc184904991"/>
      <w:r w:rsidRPr="005D74D1">
        <w:rPr>
          <w:rFonts w:cs="Arial"/>
        </w:rPr>
        <w:t>Table </w:t>
      </w:r>
      <w:r w:rsidRPr="005D74D1">
        <w:rPr>
          <w:rFonts w:cs="Arial"/>
        </w:rPr>
        <w:fldChar w:fldCharType="begin"/>
      </w:r>
      <w:r w:rsidRPr="005D74D1">
        <w:rPr>
          <w:rFonts w:cs="Arial"/>
        </w:rPr>
        <w:instrText>SEQ Table \* ARABIC</w:instrText>
      </w:r>
      <w:r w:rsidRPr="005D74D1">
        <w:rPr>
          <w:rFonts w:cs="Arial"/>
        </w:rPr>
        <w:fldChar w:fldCharType="separate"/>
      </w:r>
      <w:r w:rsidR="003870A0">
        <w:rPr>
          <w:rFonts w:cs="Arial"/>
          <w:noProof/>
        </w:rPr>
        <w:t>4</w:t>
      </w:r>
      <w:r w:rsidRPr="005D74D1">
        <w:rPr>
          <w:rFonts w:cs="Arial"/>
        </w:rPr>
        <w:fldChar w:fldCharType="end"/>
      </w:r>
      <w:bookmarkEnd w:id="70"/>
      <w:r w:rsidRPr="005D74D1">
        <w:rPr>
          <w:rFonts w:cs="Arial"/>
        </w:rPr>
        <w:t>. EC5 expenditure by project</w:t>
      </w:r>
      <w:bookmarkEnd w:id="71"/>
      <w:r w:rsidR="0019752A" w:rsidRPr="005D74D1">
        <w:rPr>
          <w:rFonts w:cs="Arial"/>
        </w:rPr>
        <w:t xml:space="preserve"> (approximate)</w:t>
      </w:r>
      <w:bookmarkEnd w:id="72"/>
    </w:p>
    <w:tbl>
      <w:tblPr>
        <w:tblStyle w:val="TableGridLight"/>
        <w:tblW w:w="9638" w:type="dxa"/>
        <w:tblBorders>
          <w:top w:val="single" w:sz="4" w:space="0" w:color="E6E6E6"/>
          <w:left w:val="single" w:sz="4" w:space="0" w:color="E6E6E6"/>
          <w:bottom w:val="single" w:sz="4" w:space="0" w:color="E6E6E6"/>
          <w:right w:val="single" w:sz="4" w:space="0" w:color="E6E6E6"/>
          <w:insideH w:val="single" w:sz="4" w:space="0" w:color="E6E6E6"/>
          <w:insideV w:val="single" w:sz="4" w:space="0" w:color="E6E6E6"/>
        </w:tblBorders>
        <w:tblLayout w:type="fixed"/>
        <w:tblLook w:val="04A0" w:firstRow="1" w:lastRow="0" w:firstColumn="1" w:lastColumn="0" w:noHBand="0" w:noVBand="1"/>
      </w:tblPr>
      <w:tblGrid>
        <w:gridCol w:w="2965"/>
        <w:gridCol w:w="4680"/>
        <w:gridCol w:w="1993"/>
      </w:tblGrid>
      <w:tr w:rsidR="00A85EE4" w:rsidRPr="005D74D1" w14:paraId="425924C9" w14:textId="77777777" w:rsidTr="00140664">
        <w:trPr>
          <w:trHeight w:val="288"/>
          <w:tblHeader/>
        </w:trPr>
        <w:tc>
          <w:tcPr>
            <w:tcW w:w="2965"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shd w:val="clear" w:color="auto" w:fill="231EDC" w:themeFill="accent1"/>
          </w:tcPr>
          <w:p w14:paraId="7FD6DA91" w14:textId="77777777" w:rsidR="00A85EE4" w:rsidRPr="00A134A7" w:rsidRDefault="00A85EE4">
            <w:pPr>
              <w:pStyle w:val="TableHeadingWhite"/>
              <w:rPr>
                <w:rFonts w:cs="Arial"/>
                <w:lang w:val="en-AU"/>
              </w:rPr>
            </w:pPr>
            <w:r w:rsidRPr="005D74D1">
              <w:rPr>
                <w:rFonts w:cs="Arial"/>
              </w:rPr>
              <w:t>EC5 initiatives</w:t>
            </w:r>
          </w:p>
        </w:tc>
        <w:tc>
          <w:tcPr>
            <w:tcW w:w="4680"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shd w:val="clear" w:color="auto" w:fill="231EDC" w:themeFill="accent1"/>
          </w:tcPr>
          <w:p w14:paraId="708BDD97" w14:textId="77777777" w:rsidR="00A85EE4" w:rsidRPr="00A134A7" w:rsidRDefault="00A85EE4">
            <w:pPr>
              <w:pStyle w:val="TableHeadingWhite"/>
              <w:rPr>
                <w:rFonts w:cs="Arial"/>
                <w:lang w:val="en-AU"/>
              </w:rPr>
            </w:pPr>
            <w:r w:rsidRPr="005D74D1">
              <w:rPr>
                <w:rFonts w:cs="Arial"/>
              </w:rPr>
              <w:t>Projects</w:t>
            </w:r>
          </w:p>
        </w:tc>
        <w:tc>
          <w:tcPr>
            <w:tcW w:w="1993"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shd w:val="clear" w:color="auto" w:fill="231EDC" w:themeFill="accent1"/>
          </w:tcPr>
          <w:p w14:paraId="40C0DFDE" w14:textId="77777777" w:rsidR="00A85EE4" w:rsidRPr="00A134A7" w:rsidRDefault="00A85EE4">
            <w:pPr>
              <w:pStyle w:val="TableHeadingWhite"/>
              <w:rPr>
                <w:rFonts w:cs="Arial"/>
                <w:lang w:val="en-AU"/>
              </w:rPr>
            </w:pPr>
            <w:r w:rsidRPr="005D74D1">
              <w:rPr>
                <w:rFonts w:cs="Arial"/>
              </w:rPr>
              <w:t>EC5 Funding</w:t>
            </w:r>
          </w:p>
        </w:tc>
      </w:tr>
      <w:tr w:rsidR="00A85EE4" w:rsidRPr="005D74D1" w14:paraId="7159D4DA" w14:textId="77777777" w:rsidTr="00140664">
        <w:trPr>
          <w:trHeight w:val="288"/>
        </w:trPr>
        <w:tc>
          <w:tcPr>
            <w:tcW w:w="2965" w:type="dxa"/>
            <w:vMerge w:val="restart"/>
            <w:tcBorders>
              <w:top w:val="single" w:sz="4" w:space="0" w:color="231EDC" w:themeColor="accent1"/>
              <w:left w:val="single" w:sz="4" w:space="0" w:color="231EDC" w:themeColor="accent1"/>
              <w:bottom w:val="single" w:sz="4" w:space="0" w:color="231EDC" w:themeColor="accent1"/>
              <w:right w:val="single" w:sz="4" w:space="0" w:color="231EDC" w:themeColor="accent1"/>
            </w:tcBorders>
            <w:hideMark/>
          </w:tcPr>
          <w:p w14:paraId="70E50464" w14:textId="636745FE" w:rsidR="00A85EE4" w:rsidRPr="00A134A7" w:rsidRDefault="00A85EE4" w:rsidP="00755C8B">
            <w:pPr>
              <w:pStyle w:val="TableNumber"/>
              <w:numPr>
                <w:ilvl w:val="0"/>
                <w:numId w:val="24"/>
              </w:numPr>
              <w:rPr>
                <w:rFonts w:cs="Arial"/>
                <w:lang w:val="en-AU"/>
              </w:rPr>
            </w:pPr>
            <w:r w:rsidRPr="005D74D1">
              <w:rPr>
                <w:rFonts w:cs="Arial"/>
              </w:rPr>
              <w:t>Enhancing urban water security, iconic urban waterways and recreational water</w:t>
            </w:r>
          </w:p>
        </w:tc>
        <w:tc>
          <w:tcPr>
            <w:tcW w:w="4680"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vAlign w:val="center"/>
            <w:hideMark/>
          </w:tcPr>
          <w:p w14:paraId="1CE65436" w14:textId="77777777" w:rsidR="00A85EE4" w:rsidRPr="00A134A7" w:rsidRDefault="00A85EE4" w:rsidP="003D28D9">
            <w:pPr>
              <w:pStyle w:val="TableText"/>
              <w:rPr>
                <w:rFonts w:cs="Arial"/>
                <w:lang w:val="en-AU"/>
              </w:rPr>
            </w:pPr>
            <w:r w:rsidRPr="005D74D1">
              <w:rPr>
                <w:rFonts w:cs="Arial"/>
              </w:rPr>
              <w:t>CWCT01: Integrated Water Management</w:t>
            </w:r>
            <w:r w:rsidRPr="005D74D1">
              <w:rPr>
                <w:rFonts w:cs="Arial"/>
              </w:rPr>
              <w:br/>
              <w:t xml:space="preserve">(includes both Regional and Metro) </w:t>
            </w:r>
          </w:p>
        </w:tc>
        <w:tc>
          <w:tcPr>
            <w:tcW w:w="1993"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vAlign w:val="center"/>
            <w:hideMark/>
          </w:tcPr>
          <w:p w14:paraId="4B39540A" w14:textId="77777777" w:rsidR="00A85EE4" w:rsidRPr="00A134A7" w:rsidRDefault="00A85EE4" w:rsidP="003D28D9">
            <w:pPr>
              <w:pStyle w:val="TableText"/>
              <w:rPr>
                <w:rFonts w:cs="Arial"/>
                <w:lang w:val="en-AU"/>
              </w:rPr>
            </w:pPr>
            <w:r w:rsidRPr="005D74D1">
              <w:rPr>
                <w:rFonts w:cs="Arial"/>
              </w:rPr>
              <w:t>$28, 217,000</w:t>
            </w:r>
          </w:p>
        </w:tc>
      </w:tr>
      <w:tr w:rsidR="00A85EE4" w:rsidRPr="005D74D1" w14:paraId="0A7377F1" w14:textId="77777777" w:rsidTr="00140664">
        <w:trPr>
          <w:trHeight w:val="288"/>
        </w:trPr>
        <w:tc>
          <w:tcPr>
            <w:tcW w:w="2965" w:type="dxa"/>
            <w:vMerge/>
            <w:tcBorders>
              <w:top w:val="single" w:sz="4" w:space="0" w:color="231EDC" w:themeColor="accent1"/>
              <w:left w:val="single" w:sz="4" w:space="0" w:color="231EDC" w:themeColor="accent1"/>
              <w:bottom w:val="single" w:sz="4" w:space="0" w:color="231EDC" w:themeColor="accent1"/>
              <w:right w:val="single" w:sz="4" w:space="0" w:color="231EDC" w:themeColor="accent1"/>
            </w:tcBorders>
            <w:hideMark/>
          </w:tcPr>
          <w:p w14:paraId="1E47AB81" w14:textId="77777777" w:rsidR="00A85EE4" w:rsidRPr="00A134A7" w:rsidRDefault="00A85EE4" w:rsidP="003D28D9">
            <w:pPr>
              <w:pStyle w:val="TableNumber"/>
              <w:rPr>
                <w:rFonts w:cs="Arial"/>
                <w:lang w:val="en-AU"/>
              </w:rPr>
            </w:pPr>
          </w:p>
        </w:tc>
        <w:tc>
          <w:tcPr>
            <w:tcW w:w="4680"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vAlign w:val="center"/>
            <w:hideMark/>
          </w:tcPr>
          <w:p w14:paraId="3E8B3487" w14:textId="77777777" w:rsidR="00A85EE4" w:rsidRPr="00A134A7" w:rsidRDefault="00A85EE4" w:rsidP="003D28D9">
            <w:pPr>
              <w:pStyle w:val="TableText"/>
              <w:rPr>
                <w:rFonts w:cs="Arial"/>
                <w:lang w:val="en-AU"/>
              </w:rPr>
            </w:pPr>
            <w:r w:rsidRPr="005D74D1">
              <w:rPr>
                <w:rFonts w:cs="Arial"/>
              </w:rPr>
              <w:t>CWCT02: Iconic Urban Waterways Program</w:t>
            </w:r>
          </w:p>
        </w:tc>
        <w:tc>
          <w:tcPr>
            <w:tcW w:w="1993"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vAlign w:val="center"/>
            <w:hideMark/>
          </w:tcPr>
          <w:p w14:paraId="7D6AEF83" w14:textId="572762FE" w:rsidR="00A85EE4" w:rsidRPr="00A134A7" w:rsidRDefault="00A85EE4" w:rsidP="003D28D9">
            <w:pPr>
              <w:pStyle w:val="TableText"/>
              <w:rPr>
                <w:rFonts w:cs="Arial"/>
                <w:lang w:val="en-AU"/>
              </w:rPr>
            </w:pPr>
            <w:r w:rsidRPr="005D74D1">
              <w:rPr>
                <w:rFonts w:cs="Arial"/>
              </w:rPr>
              <w:t xml:space="preserve">$17,128,000 </w:t>
            </w:r>
          </w:p>
        </w:tc>
      </w:tr>
      <w:tr w:rsidR="00A85EE4" w:rsidRPr="005D74D1" w14:paraId="3D23FB34" w14:textId="77777777" w:rsidTr="00140664">
        <w:trPr>
          <w:trHeight w:val="288"/>
        </w:trPr>
        <w:tc>
          <w:tcPr>
            <w:tcW w:w="2965" w:type="dxa"/>
            <w:vMerge/>
            <w:tcBorders>
              <w:top w:val="single" w:sz="4" w:space="0" w:color="231EDC" w:themeColor="accent1"/>
              <w:left w:val="single" w:sz="4" w:space="0" w:color="231EDC" w:themeColor="accent1"/>
              <w:bottom w:val="single" w:sz="4" w:space="0" w:color="231EDC" w:themeColor="accent1"/>
              <w:right w:val="single" w:sz="4" w:space="0" w:color="231EDC" w:themeColor="accent1"/>
            </w:tcBorders>
            <w:hideMark/>
          </w:tcPr>
          <w:p w14:paraId="0ACD1C11" w14:textId="77777777" w:rsidR="00A85EE4" w:rsidRPr="00A134A7" w:rsidRDefault="00A85EE4" w:rsidP="003D28D9">
            <w:pPr>
              <w:pStyle w:val="TableNumber"/>
              <w:rPr>
                <w:rFonts w:cs="Arial"/>
                <w:lang w:val="en-AU"/>
              </w:rPr>
            </w:pPr>
          </w:p>
        </w:tc>
        <w:tc>
          <w:tcPr>
            <w:tcW w:w="4680"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vAlign w:val="center"/>
            <w:hideMark/>
          </w:tcPr>
          <w:p w14:paraId="79BA5E89" w14:textId="3027EBD6" w:rsidR="00A85EE4" w:rsidRPr="00A134A7" w:rsidRDefault="00A85EE4" w:rsidP="003D28D9">
            <w:pPr>
              <w:pStyle w:val="TableText"/>
              <w:rPr>
                <w:rFonts w:cs="Arial"/>
                <w:lang w:val="en-AU"/>
              </w:rPr>
            </w:pPr>
            <w:r w:rsidRPr="005D74D1">
              <w:rPr>
                <w:rFonts w:cs="Arial"/>
              </w:rPr>
              <w:t>CWCT03:</w:t>
            </w:r>
            <w:r w:rsidR="00AC5B2C" w:rsidRPr="005D74D1">
              <w:rPr>
                <w:rFonts w:cs="Arial"/>
              </w:rPr>
              <w:t xml:space="preserve"> </w:t>
            </w:r>
            <w:r w:rsidRPr="005D74D1">
              <w:rPr>
                <w:rFonts w:cs="Arial"/>
              </w:rPr>
              <w:t>Recreational Values Program</w:t>
            </w:r>
          </w:p>
        </w:tc>
        <w:tc>
          <w:tcPr>
            <w:tcW w:w="1993"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noWrap/>
            <w:vAlign w:val="center"/>
            <w:hideMark/>
          </w:tcPr>
          <w:p w14:paraId="7DC9ADF8" w14:textId="77777777" w:rsidR="00A85EE4" w:rsidRPr="00A134A7" w:rsidRDefault="00A85EE4" w:rsidP="003D28D9">
            <w:pPr>
              <w:pStyle w:val="TableText"/>
              <w:rPr>
                <w:rFonts w:cs="Arial"/>
                <w:lang w:val="en-AU"/>
              </w:rPr>
            </w:pPr>
            <w:r w:rsidRPr="005D74D1">
              <w:rPr>
                <w:rFonts w:cs="Arial"/>
              </w:rPr>
              <w:t xml:space="preserve">$5,840,000 </w:t>
            </w:r>
          </w:p>
        </w:tc>
      </w:tr>
      <w:tr w:rsidR="00A85EE4" w:rsidRPr="005D74D1" w14:paraId="6F000818" w14:textId="77777777" w:rsidTr="00140664">
        <w:trPr>
          <w:trHeight w:val="288"/>
        </w:trPr>
        <w:tc>
          <w:tcPr>
            <w:tcW w:w="2965" w:type="dxa"/>
            <w:vMerge/>
            <w:tcBorders>
              <w:top w:val="single" w:sz="4" w:space="0" w:color="231EDC" w:themeColor="accent1"/>
              <w:left w:val="single" w:sz="4" w:space="0" w:color="231EDC" w:themeColor="accent1"/>
              <w:bottom w:val="single" w:sz="4" w:space="0" w:color="231EDC" w:themeColor="accent1"/>
              <w:right w:val="single" w:sz="4" w:space="0" w:color="231EDC" w:themeColor="accent1"/>
            </w:tcBorders>
            <w:hideMark/>
          </w:tcPr>
          <w:p w14:paraId="2868DA53" w14:textId="77777777" w:rsidR="00A85EE4" w:rsidRPr="00A134A7" w:rsidRDefault="00A85EE4" w:rsidP="003D28D9">
            <w:pPr>
              <w:pStyle w:val="TableNumber"/>
              <w:rPr>
                <w:rFonts w:cs="Arial"/>
                <w:lang w:val="en-AU"/>
              </w:rPr>
            </w:pPr>
          </w:p>
        </w:tc>
        <w:tc>
          <w:tcPr>
            <w:tcW w:w="4680"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vAlign w:val="center"/>
            <w:hideMark/>
          </w:tcPr>
          <w:p w14:paraId="598C7339" w14:textId="1455753D" w:rsidR="00A85EE4" w:rsidRPr="00A134A7" w:rsidRDefault="00A85EE4" w:rsidP="003D28D9">
            <w:pPr>
              <w:pStyle w:val="TableText"/>
              <w:rPr>
                <w:rFonts w:cs="Arial"/>
                <w:lang w:val="en-AU"/>
              </w:rPr>
            </w:pPr>
            <w:r w:rsidRPr="005D74D1">
              <w:rPr>
                <w:rFonts w:cs="Arial"/>
              </w:rPr>
              <w:t>CWCT04:</w:t>
            </w:r>
            <w:r w:rsidR="00AC5B2C" w:rsidRPr="005D74D1">
              <w:rPr>
                <w:rFonts w:cs="Arial"/>
              </w:rPr>
              <w:t xml:space="preserve"> </w:t>
            </w:r>
            <w:r w:rsidRPr="005D74D1">
              <w:rPr>
                <w:rFonts w:cs="Arial"/>
              </w:rPr>
              <w:t xml:space="preserve">Recycled </w:t>
            </w:r>
            <w:r w:rsidR="00AC5B2C" w:rsidRPr="005D74D1">
              <w:rPr>
                <w:rFonts w:cs="Arial"/>
              </w:rPr>
              <w:t>W</w:t>
            </w:r>
            <w:r w:rsidRPr="005D74D1">
              <w:rPr>
                <w:rFonts w:cs="Arial"/>
              </w:rPr>
              <w:t xml:space="preserve">ater, </w:t>
            </w:r>
            <w:r w:rsidR="00AC5B2C" w:rsidRPr="005D74D1">
              <w:rPr>
                <w:rFonts w:cs="Arial"/>
              </w:rPr>
              <w:t>S</w:t>
            </w:r>
            <w:r w:rsidRPr="005D74D1">
              <w:rPr>
                <w:rFonts w:cs="Arial"/>
              </w:rPr>
              <w:t xml:space="preserve">tormwater and </w:t>
            </w:r>
            <w:r w:rsidR="00AC5B2C" w:rsidRPr="005D74D1">
              <w:rPr>
                <w:rFonts w:cs="Arial"/>
              </w:rPr>
              <w:t>O</w:t>
            </w:r>
            <w:r w:rsidRPr="005D74D1">
              <w:rPr>
                <w:rFonts w:cs="Arial"/>
              </w:rPr>
              <w:t xml:space="preserve">nsite </w:t>
            </w:r>
            <w:r w:rsidR="00AC5B2C" w:rsidRPr="005D74D1">
              <w:rPr>
                <w:rFonts w:cs="Arial"/>
              </w:rPr>
              <w:t>W</w:t>
            </w:r>
            <w:r w:rsidRPr="005D74D1">
              <w:rPr>
                <w:rFonts w:cs="Arial"/>
              </w:rPr>
              <w:t xml:space="preserve">astewater </w:t>
            </w:r>
            <w:r w:rsidR="00005AAA" w:rsidRPr="005D74D1">
              <w:rPr>
                <w:rFonts w:cs="Arial"/>
              </w:rPr>
              <w:t>P</w:t>
            </w:r>
            <w:r w:rsidRPr="005D74D1">
              <w:rPr>
                <w:rFonts w:cs="Arial"/>
              </w:rPr>
              <w:t>olicy</w:t>
            </w:r>
          </w:p>
        </w:tc>
        <w:tc>
          <w:tcPr>
            <w:tcW w:w="1993"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vAlign w:val="center"/>
            <w:hideMark/>
          </w:tcPr>
          <w:p w14:paraId="7C2D4013" w14:textId="77777777" w:rsidR="00A85EE4" w:rsidRPr="00A134A7" w:rsidRDefault="00A85EE4" w:rsidP="003D28D9">
            <w:pPr>
              <w:pStyle w:val="TableText"/>
              <w:rPr>
                <w:rFonts w:cs="Arial"/>
                <w:lang w:val="en-AU"/>
              </w:rPr>
            </w:pPr>
            <w:r w:rsidRPr="005D74D1">
              <w:rPr>
                <w:rFonts w:cs="Arial"/>
              </w:rPr>
              <w:t xml:space="preserve">$9,000,000 </w:t>
            </w:r>
          </w:p>
        </w:tc>
      </w:tr>
      <w:tr w:rsidR="00A85EE4" w:rsidRPr="005D74D1" w14:paraId="100CFBBE" w14:textId="77777777" w:rsidTr="00140664">
        <w:trPr>
          <w:trHeight w:val="288"/>
        </w:trPr>
        <w:tc>
          <w:tcPr>
            <w:tcW w:w="2965" w:type="dxa"/>
            <w:vMerge w:val="restart"/>
            <w:tcBorders>
              <w:top w:val="single" w:sz="4" w:space="0" w:color="231EDC" w:themeColor="accent1"/>
              <w:left w:val="single" w:sz="4" w:space="0" w:color="231EDC" w:themeColor="accent1"/>
              <w:bottom w:val="single" w:sz="4" w:space="0" w:color="231EDC" w:themeColor="accent1"/>
              <w:right w:val="single" w:sz="4" w:space="0" w:color="231EDC" w:themeColor="accent1"/>
            </w:tcBorders>
            <w:hideMark/>
          </w:tcPr>
          <w:p w14:paraId="6F436FD6" w14:textId="29CB9FE2" w:rsidR="00A85EE4" w:rsidRPr="00A134A7" w:rsidRDefault="00A85EE4" w:rsidP="003D28D9">
            <w:pPr>
              <w:pStyle w:val="TableNumber"/>
              <w:rPr>
                <w:rFonts w:cs="Arial"/>
                <w:lang w:val="en-AU"/>
              </w:rPr>
            </w:pPr>
            <w:r w:rsidRPr="005D74D1">
              <w:rPr>
                <w:rFonts w:cs="Arial"/>
              </w:rPr>
              <w:t>Strong foundations for Victoria's water: compliance, markets, water entitlements and oversight of the water grid</w:t>
            </w:r>
            <w:r w:rsidR="003D28D9" w:rsidRPr="005D74D1">
              <w:rPr>
                <w:rFonts w:cs="Arial"/>
              </w:rPr>
              <w:t xml:space="preserve">. </w:t>
            </w:r>
            <w:r w:rsidRPr="005D74D1">
              <w:rPr>
                <w:rFonts w:cs="Arial"/>
              </w:rPr>
              <w:t xml:space="preserve">Compliance and interceptions: protect </w:t>
            </w:r>
            <w:r w:rsidRPr="005D74D1">
              <w:rPr>
                <w:rFonts w:cs="Arial"/>
              </w:rPr>
              <w:lastRenderedPageBreak/>
              <w:t>reliability of water entitlements and maximise water resources for regional business and communities</w:t>
            </w:r>
            <w:r w:rsidRPr="005D74D1">
              <w:rPr>
                <w:rFonts w:cs="Arial"/>
              </w:rPr>
              <w:br/>
              <w:t>(Water Compliance Project only)</w:t>
            </w:r>
          </w:p>
        </w:tc>
        <w:tc>
          <w:tcPr>
            <w:tcW w:w="4680"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vAlign w:val="center"/>
            <w:hideMark/>
          </w:tcPr>
          <w:p w14:paraId="09264CF9" w14:textId="1E7DECE4" w:rsidR="00A85EE4" w:rsidRPr="00A134A7" w:rsidRDefault="00A85EE4" w:rsidP="003D28D9">
            <w:pPr>
              <w:pStyle w:val="TableText"/>
              <w:rPr>
                <w:rFonts w:cs="Arial"/>
                <w:lang w:val="en-AU"/>
              </w:rPr>
            </w:pPr>
            <w:r w:rsidRPr="005D74D1">
              <w:rPr>
                <w:rFonts w:cs="Arial"/>
              </w:rPr>
              <w:lastRenderedPageBreak/>
              <w:t>WRS1:</w:t>
            </w:r>
            <w:r w:rsidR="00AC5B2C" w:rsidRPr="005D74D1">
              <w:rPr>
                <w:rFonts w:cs="Arial"/>
              </w:rPr>
              <w:t xml:space="preserve"> </w:t>
            </w:r>
            <w:r w:rsidRPr="005D74D1">
              <w:rPr>
                <w:rFonts w:cs="Arial"/>
              </w:rPr>
              <w:t>Retail Entitlements and Markets</w:t>
            </w:r>
          </w:p>
        </w:tc>
        <w:tc>
          <w:tcPr>
            <w:tcW w:w="1993"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vAlign w:val="center"/>
            <w:hideMark/>
          </w:tcPr>
          <w:p w14:paraId="1D63930C" w14:textId="77777777" w:rsidR="00A85EE4" w:rsidRPr="00A134A7" w:rsidRDefault="00A85EE4" w:rsidP="003D28D9">
            <w:pPr>
              <w:pStyle w:val="TableText"/>
              <w:rPr>
                <w:rFonts w:cs="Arial"/>
                <w:lang w:val="en-AU"/>
              </w:rPr>
            </w:pPr>
            <w:r w:rsidRPr="005D74D1">
              <w:rPr>
                <w:rFonts w:cs="Arial"/>
              </w:rPr>
              <w:t xml:space="preserve">$7,215,000 </w:t>
            </w:r>
          </w:p>
        </w:tc>
      </w:tr>
      <w:tr w:rsidR="00A85EE4" w:rsidRPr="005D74D1" w14:paraId="7AC7955B" w14:textId="77777777" w:rsidTr="00140664">
        <w:trPr>
          <w:trHeight w:val="288"/>
        </w:trPr>
        <w:tc>
          <w:tcPr>
            <w:tcW w:w="2965" w:type="dxa"/>
            <w:vMerge/>
            <w:tcBorders>
              <w:top w:val="single" w:sz="4" w:space="0" w:color="231EDC" w:themeColor="accent1"/>
              <w:left w:val="single" w:sz="4" w:space="0" w:color="231EDC" w:themeColor="accent1"/>
              <w:bottom w:val="single" w:sz="4" w:space="0" w:color="231EDC" w:themeColor="accent1"/>
              <w:right w:val="single" w:sz="4" w:space="0" w:color="231EDC" w:themeColor="accent1"/>
            </w:tcBorders>
            <w:hideMark/>
          </w:tcPr>
          <w:p w14:paraId="5D226D55" w14:textId="77777777" w:rsidR="00A85EE4" w:rsidRPr="00A134A7" w:rsidRDefault="00A85EE4" w:rsidP="003D28D9">
            <w:pPr>
              <w:pStyle w:val="TableNumber"/>
              <w:rPr>
                <w:rFonts w:cs="Arial"/>
                <w:lang w:val="en-AU"/>
              </w:rPr>
            </w:pPr>
          </w:p>
        </w:tc>
        <w:tc>
          <w:tcPr>
            <w:tcW w:w="4680"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vAlign w:val="center"/>
            <w:hideMark/>
          </w:tcPr>
          <w:p w14:paraId="0CC93065" w14:textId="77777777" w:rsidR="00A85EE4" w:rsidRPr="00A134A7" w:rsidRDefault="00A85EE4" w:rsidP="003D28D9">
            <w:pPr>
              <w:pStyle w:val="TableText"/>
              <w:rPr>
                <w:rFonts w:cs="Arial"/>
                <w:lang w:val="en-AU"/>
              </w:rPr>
            </w:pPr>
            <w:r w:rsidRPr="005D74D1">
              <w:rPr>
                <w:rFonts w:cs="Arial"/>
              </w:rPr>
              <w:t>WRS2: Water Grid Oversight</w:t>
            </w:r>
          </w:p>
        </w:tc>
        <w:tc>
          <w:tcPr>
            <w:tcW w:w="1993"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noWrap/>
            <w:vAlign w:val="center"/>
            <w:hideMark/>
          </w:tcPr>
          <w:p w14:paraId="1D52565B" w14:textId="77777777" w:rsidR="00A85EE4" w:rsidRPr="00A134A7" w:rsidRDefault="00A85EE4" w:rsidP="003D28D9">
            <w:pPr>
              <w:pStyle w:val="TableText"/>
              <w:rPr>
                <w:rFonts w:cs="Arial"/>
                <w:lang w:val="en-AU"/>
              </w:rPr>
            </w:pPr>
            <w:r w:rsidRPr="005D74D1">
              <w:rPr>
                <w:rFonts w:cs="Arial"/>
              </w:rPr>
              <w:t xml:space="preserve">$1,688,000 </w:t>
            </w:r>
          </w:p>
        </w:tc>
      </w:tr>
      <w:tr w:rsidR="00A85EE4" w:rsidRPr="005D74D1" w14:paraId="0ED75C80" w14:textId="77777777" w:rsidTr="00140664">
        <w:trPr>
          <w:trHeight w:val="288"/>
        </w:trPr>
        <w:tc>
          <w:tcPr>
            <w:tcW w:w="2965" w:type="dxa"/>
            <w:vMerge/>
            <w:tcBorders>
              <w:top w:val="single" w:sz="4" w:space="0" w:color="231EDC" w:themeColor="accent1"/>
              <w:left w:val="single" w:sz="4" w:space="0" w:color="231EDC" w:themeColor="accent1"/>
              <w:bottom w:val="single" w:sz="4" w:space="0" w:color="231EDC" w:themeColor="accent1"/>
              <w:right w:val="single" w:sz="4" w:space="0" w:color="231EDC" w:themeColor="accent1"/>
            </w:tcBorders>
            <w:hideMark/>
          </w:tcPr>
          <w:p w14:paraId="55B9BC05" w14:textId="77777777" w:rsidR="00A85EE4" w:rsidRPr="00A134A7" w:rsidRDefault="00A85EE4" w:rsidP="003D28D9">
            <w:pPr>
              <w:pStyle w:val="TableNumber"/>
              <w:rPr>
                <w:rFonts w:cs="Arial"/>
                <w:lang w:val="en-AU"/>
              </w:rPr>
            </w:pPr>
          </w:p>
        </w:tc>
        <w:tc>
          <w:tcPr>
            <w:tcW w:w="4680"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vAlign w:val="center"/>
            <w:hideMark/>
          </w:tcPr>
          <w:p w14:paraId="516EDE50" w14:textId="77777777" w:rsidR="00A85EE4" w:rsidRPr="00A134A7" w:rsidRDefault="00A85EE4" w:rsidP="003D28D9">
            <w:pPr>
              <w:pStyle w:val="TableText"/>
              <w:rPr>
                <w:rFonts w:cs="Arial"/>
                <w:lang w:val="en-AU"/>
              </w:rPr>
            </w:pPr>
            <w:r w:rsidRPr="005D74D1">
              <w:rPr>
                <w:rFonts w:cs="Arial"/>
              </w:rPr>
              <w:t>WRS3: Water Market Reform</w:t>
            </w:r>
          </w:p>
        </w:tc>
        <w:tc>
          <w:tcPr>
            <w:tcW w:w="1993"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noWrap/>
            <w:vAlign w:val="center"/>
            <w:hideMark/>
          </w:tcPr>
          <w:p w14:paraId="25537C61" w14:textId="77777777" w:rsidR="00A85EE4" w:rsidRPr="00A134A7" w:rsidRDefault="00A85EE4" w:rsidP="003D28D9">
            <w:pPr>
              <w:pStyle w:val="TableText"/>
              <w:rPr>
                <w:rFonts w:cs="Arial"/>
                <w:lang w:val="en-AU"/>
              </w:rPr>
            </w:pPr>
            <w:r w:rsidRPr="005D74D1">
              <w:rPr>
                <w:rFonts w:cs="Arial"/>
              </w:rPr>
              <w:t xml:space="preserve">$2,700,000 </w:t>
            </w:r>
          </w:p>
        </w:tc>
      </w:tr>
      <w:tr w:rsidR="00A85EE4" w:rsidRPr="005D74D1" w14:paraId="4C994676" w14:textId="77777777" w:rsidTr="00140664">
        <w:trPr>
          <w:trHeight w:val="288"/>
        </w:trPr>
        <w:tc>
          <w:tcPr>
            <w:tcW w:w="2965" w:type="dxa"/>
            <w:vMerge/>
            <w:tcBorders>
              <w:top w:val="single" w:sz="4" w:space="0" w:color="231EDC" w:themeColor="accent1"/>
              <w:left w:val="single" w:sz="4" w:space="0" w:color="231EDC" w:themeColor="accent1"/>
              <w:bottom w:val="single" w:sz="4" w:space="0" w:color="231EDC" w:themeColor="accent1"/>
              <w:right w:val="single" w:sz="4" w:space="0" w:color="231EDC" w:themeColor="accent1"/>
            </w:tcBorders>
            <w:hideMark/>
          </w:tcPr>
          <w:p w14:paraId="77044402" w14:textId="77777777" w:rsidR="00A85EE4" w:rsidRPr="00A134A7" w:rsidRDefault="00A85EE4" w:rsidP="003D28D9">
            <w:pPr>
              <w:pStyle w:val="TableNumber"/>
              <w:rPr>
                <w:rFonts w:cs="Arial"/>
                <w:lang w:val="en-AU"/>
              </w:rPr>
            </w:pPr>
          </w:p>
        </w:tc>
        <w:tc>
          <w:tcPr>
            <w:tcW w:w="4680"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vAlign w:val="center"/>
            <w:hideMark/>
          </w:tcPr>
          <w:p w14:paraId="79B1F2B0" w14:textId="77777777" w:rsidR="00A85EE4" w:rsidRPr="00A134A7" w:rsidRDefault="00A85EE4" w:rsidP="003D28D9">
            <w:pPr>
              <w:pStyle w:val="TableText"/>
              <w:rPr>
                <w:rFonts w:cs="Arial"/>
                <w:lang w:val="en-AU"/>
              </w:rPr>
            </w:pPr>
            <w:r w:rsidRPr="005D74D1">
              <w:rPr>
                <w:rFonts w:cs="Arial"/>
              </w:rPr>
              <w:t>WRS4: Water Market Transparency</w:t>
            </w:r>
          </w:p>
        </w:tc>
        <w:tc>
          <w:tcPr>
            <w:tcW w:w="1993"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vAlign w:val="center"/>
            <w:hideMark/>
          </w:tcPr>
          <w:p w14:paraId="3AB854C8" w14:textId="77777777" w:rsidR="00A85EE4" w:rsidRPr="00A134A7" w:rsidRDefault="00A85EE4" w:rsidP="003D28D9">
            <w:pPr>
              <w:pStyle w:val="TableText"/>
              <w:rPr>
                <w:rFonts w:cs="Arial"/>
                <w:lang w:val="en-AU"/>
              </w:rPr>
            </w:pPr>
            <w:r w:rsidRPr="005D74D1">
              <w:rPr>
                <w:rFonts w:cs="Arial"/>
              </w:rPr>
              <w:t xml:space="preserve">$448,453 </w:t>
            </w:r>
          </w:p>
        </w:tc>
      </w:tr>
      <w:tr w:rsidR="00A85EE4" w:rsidRPr="005D74D1" w14:paraId="483CFC6B" w14:textId="77777777" w:rsidTr="00140664">
        <w:trPr>
          <w:trHeight w:val="288"/>
        </w:trPr>
        <w:tc>
          <w:tcPr>
            <w:tcW w:w="2965" w:type="dxa"/>
            <w:vMerge/>
            <w:tcBorders>
              <w:top w:val="single" w:sz="4" w:space="0" w:color="231EDC" w:themeColor="accent1"/>
              <w:left w:val="single" w:sz="4" w:space="0" w:color="231EDC" w:themeColor="accent1"/>
              <w:bottom w:val="single" w:sz="4" w:space="0" w:color="231EDC" w:themeColor="accent1"/>
              <w:right w:val="single" w:sz="4" w:space="0" w:color="231EDC" w:themeColor="accent1"/>
            </w:tcBorders>
            <w:hideMark/>
          </w:tcPr>
          <w:p w14:paraId="2F30F37C" w14:textId="77777777" w:rsidR="00A85EE4" w:rsidRPr="00A134A7" w:rsidRDefault="00A85EE4" w:rsidP="003D28D9">
            <w:pPr>
              <w:pStyle w:val="TableNumber"/>
              <w:rPr>
                <w:rFonts w:cs="Arial"/>
                <w:lang w:val="en-AU"/>
              </w:rPr>
            </w:pPr>
          </w:p>
        </w:tc>
        <w:tc>
          <w:tcPr>
            <w:tcW w:w="4680"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vAlign w:val="center"/>
            <w:hideMark/>
          </w:tcPr>
          <w:p w14:paraId="03F9B4FE" w14:textId="77777777" w:rsidR="00A85EE4" w:rsidRPr="00A134A7" w:rsidRDefault="00A85EE4" w:rsidP="003D28D9">
            <w:pPr>
              <w:pStyle w:val="TableText"/>
              <w:rPr>
                <w:rFonts w:cs="Arial"/>
                <w:lang w:val="en-AU"/>
              </w:rPr>
            </w:pPr>
            <w:r w:rsidRPr="005D74D1">
              <w:rPr>
                <w:rFonts w:cs="Arial"/>
              </w:rPr>
              <w:t>WRS5: Managing Victoria’s Water Sharing Framework</w:t>
            </w:r>
          </w:p>
        </w:tc>
        <w:tc>
          <w:tcPr>
            <w:tcW w:w="1993"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vAlign w:val="center"/>
            <w:hideMark/>
          </w:tcPr>
          <w:p w14:paraId="1DA118B1" w14:textId="77777777" w:rsidR="00A85EE4" w:rsidRPr="00A134A7" w:rsidRDefault="00A85EE4" w:rsidP="003D28D9">
            <w:pPr>
              <w:pStyle w:val="TableText"/>
              <w:rPr>
                <w:rFonts w:cs="Arial"/>
                <w:lang w:val="en-AU"/>
              </w:rPr>
            </w:pPr>
            <w:r w:rsidRPr="005D74D1">
              <w:rPr>
                <w:rFonts w:cs="Arial"/>
              </w:rPr>
              <w:t xml:space="preserve">$7,442,567 </w:t>
            </w:r>
          </w:p>
        </w:tc>
      </w:tr>
      <w:tr w:rsidR="00A85EE4" w:rsidRPr="005D74D1" w14:paraId="10F439B7" w14:textId="77777777" w:rsidTr="00140664">
        <w:trPr>
          <w:trHeight w:val="288"/>
        </w:trPr>
        <w:tc>
          <w:tcPr>
            <w:tcW w:w="2965" w:type="dxa"/>
            <w:vMerge/>
            <w:tcBorders>
              <w:top w:val="single" w:sz="4" w:space="0" w:color="231EDC" w:themeColor="accent1"/>
              <w:left w:val="single" w:sz="4" w:space="0" w:color="231EDC" w:themeColor="accent1"/>
              <w:bottom w:val="single" w:sz="4" w:space="0" w:color="231EDC" w:themeColor="accent1"/>
              <w:right w:val="single" w:sz="4" w:space="0" w:color="231EDC" w:themeColor="accent1"/>
            </w:tcBorders>
            <w:hideMark/>
          </w:tcPr>
          <w:p w14:paraId="66AC5E99" w14:textId="77777777" w:rsidR="00A85EE4" w:rsidRPr="00A134A7" w:rsidRDefault="00A85EE4" w:rsidP="003D28D9">
            <w:pPr>
              <w:pStyle w:val="TableNumber"/>
              <w:rPr>
                <w:rFonts w:cs="Arial"/>
                <w:lang w:val="en-AU"/>
              </w:rPr>
            </w:pPr>
          </w:p>
        </w:tc>
        <w:tc>
          <w:tcPr>
            <w:tcW w:w="4680"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vAlign w:val="center"/>
            <w:hideMark/>
          </w:tcPr>
          <w:p w14:paraId="7DB60997" w14:textId="77777777" w:rsidR="00A85EE4" w:rsidRPr="00A134A7" w:rsidRDefault="00A85EE4" w:rsidP="003D28D9">
            <w:pPr>
              <w:pStyle w:val="TableText"/>
              <w:rPr>
                <w:rFonts w:cs="Arial"/>
                <w:lang w:val="en-AU"/>
              </w:rPr>
            </w:pPr>
            <w:r w:rsidRPr="005D74D1">
              <w:rPr>
                <w:rFonts w:cs="Arial"/>
              </w:rPr>
              <w:t>WRS6: Licensing framework groundwater and unregulated systems</w:t>
            </w:r>
          </w:p>
        </w:tc>
        <w:tc>
          <w:tcPr>
            <w:tcW w:w="1993"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vAlign w:val="center"/>
            <w:hideMark/>
          </w:tcPr>
          <w:p w14:paraId="4B9AE948" w14:textId="77777777" w:rsidR="00A85EE4" w:rsidRPr="00A134A7" w:rsidRDefault="00A85EE4" w:rsidP="003D28D9">
            <w:pPr>
              <w:pStyle w:val="TableText"/>
              <w:rPr>
                <w:rFonts w:cs="Arial"/>
                <w:lang w:val="en-AU"/>
              </w:rPr>
            </w:pPr>
            <w:r w:rsidRPr="005D74D1">
              <w:rPr>
                <w:rFonts w:cs="Arial"/>
              </w:rPr>
              <w:t xml:space="preserve">$6,144,000 </w:t>
            </w:r>
          </w:p>
        </w:tc>
      </w:tr>
      <w:tr w:rsidR="00A85EE4" w:rsidRPr="005D74D1" w14:paraId="0056E09C" w14:textId="77777777" w:rsidTr="00140664">
        <w:trPr>
          <w:trHeight w:val="288"/>
        </w:trPr>
        <w:tc>
          <w:tcPr>
            <w:tcW w:w="2965" w:type="dxa"/>
            <w:vMerge/>
            <w:tcBorders>
              <w:top w:val="single" w:sz="4" w:space="0" w:color="231EDC" w:themeColor="accent1"/>
              <w:left w:val="single" w:sz="4" w:space="0" w:color="231EDC" w:themeColor="accent1"/>
              <w:bottom w:val="single" w:sz="4" w:space="0" w:color="231EDC" w:themeColor="accent1"/>
              <w:right w:val="single" w:sz="4" w:space="0" w:color="231EDC" w:themeColor="accent1"/>
            </w:tcBorders>
            <w:hideMark/>
          </w:tcPr>
          <w:p w14:paraId="0456CAB2" w14:textId="77777777" w:rsidR="00A85EE4" w:rsidRPr="00A134A7" w:rsidRDefault="00A85EE4" w:rsidP="003D28D9">
            <w:pPr>
              <w:pStyle w:val="TableNumber"/>
              <w:rPr>
                <w:rFonts w:cs="Arial"/>
                <w:lang w:val="en-AU"/>
              </w:rPr>
            </w:pPr>
          </w:p>
        </w:tc>
        <w:tc>
          <w:tcPr>
            <w:tcW w:w="4680"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vAlign w:val="center"/>
            <w:hideMark/>
          </w:tcPr>
          <w:p w14:paraId="10AABE66" w14:textId="0BD3DBBB" w:rsidR="00A85EE4" w:rsidRPr="00A134A7" w:rsidRDefault="00A85EE4" w:rsidP="003D28D9">
            <w:pPr>
              <w:pStyle w:val="TableText"/>
              <w:rPr>
                <w:rFonts w:cs="Arial"/>
                <w:lang w:val="en-AU"/>
              </w:rPr>
            </w:pPr>
            <w:r w:rsidRPr="005D74D1">
              <w:rPr>
                <w:rFonts w:cs="Arial"/>
              </w:rPr>
              <w:t xml:space="preserve">WRS7: Water </w:t>
            </w:r>
            <w:r w:rsidR="00005AAA" w:rsidRPr="005D74D1">
              <w:rPr>
                <w:rFonts w:cs="Arial"/>
              </w:rPr>
              <w:t>C</w:t>
            </w:r>
            <w:r w:rsidRPr="005D74D1">
              <w:rPr>
                <w:rFonts w:cs="Arial"/>
              </w:rPr>
              <w:t xml:space="preserve">ompliance </w:t>
            </w:r>
            <w:r w:rsidR="00005AAA" w:rsidRPr="005D74D1">
              <w:rPr>
                <w:rFonts w:cs="Arial"/>
              </w:rPr>
              <w:t>R</w:t>
            </w:r>
            <w:r w:rsidRPr="005D74D1">
              <w:rPr>
                <w:rFonts w:cs="Arial"/>
              </w:rPr>
              <w:t xml:space="preserve">eform </w:t>
            </w:r>
          </w:p>
        </w:tc>
        <w:tc>
          <w:tcPr>
            <w:tcW w:w="1993"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noWrap/>
            <w:vAlign w:val="center"/>
            <w:hideMark/>
          </w:tcPr>
          <w:p w14:paraId="0156F738" w14:textId="77777777" w:rsidR="00A85EE4" w:rsidRPr="00A134A7" w:rsidRDefault="00A85EE4" w:rsidP="003D28D9">
            <w:pPr>
              <w:pStyle w:val="TableText"/>
              <w:rPr>
                <w:rFonts w:cs="Arial"/>
                <w:lang w:val="en-AU"/>
              </w:rPr>
            </w:pPr>
            <w:r w:rsidRPr="005D74D1">
              <w:rPr>
                <w:rFonts w:cs="Arial"/>
              </w:rPr>
              <w:t xml:space="preserve">$2,351,959 </w:t>
            </w:r>
          </w:p>
        </w:tc>
      </w:tr>
      <w:tr w:rsidR="00A85EE4" w:rsidRPr="005D74D1" w14:paraId="291866FB" w14:textId="77777777" w:rsidTr="00140664">
        <w:trPr>
          <w:trHeight w:val="288"/>
        </w:trPr>
        <w:tc>
          <w:tcPr>
            <w:tcW w:w="2965" w:type="dxa"/>
            <w:vMerge/>
            <w:tcBorders>
              <w:top w:val="single" w:sz="4" w:space="0" w:color="231EDC" w:themeColor="accent1"/>
              <w:left w:val="single" w:sz="4" w:space="0" w:color="231EDC" w:themeColor="accent1"/>
              <w:bottom w:val="single" w:sz="4" w:space="0" w:color="231EDC" w:themeColor="accent1"/>
              <w:right w:val="single" w:sz="4" w:space="0" w:color="231EDC" w:themeColor="accent1"/>
            </w:tcBorders>
            <w:hideMark/>
          </w:tcPr>
          <w:p w14:paraId="1FF37C2B" w14:textId="77777777" w:rsidR="00A85EE4" w:rsidRPr="00A134A7" w:rsidRDefault="00A85EE4" w:rsidP="003D28D9">
            <w:pPr>
              <w:pStyle w:val="TableNumber"/>
              <w:rPr>
                <w:rFonts w:cs="Arial"/>
                <w:lang w:val="en-AU"/>
              </w:rPr>
            </w:pPr>
          </w:p>
        </w:tc>
        <w:tc>
          <w:tcPr>
            <w:tcW w:w="4680"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vAlign w:val="center"/>
            <w:hideMark/>
          </w:tcPr>
          <w:p w14:paraId="5AEF4523" w14:textId="77777777" w:rsidR="00A85EE4" w:rsidRPr="00A134A7" w:rsidRDefault="00A85EE4" w:rsidP="003D28D9">
            <w:pPr>
              <w:pStyle w:val="TableText"/>
              <w:rPr>
                <w:rFonts w:cs="Arial"/>
                <w:lang w:val="en-AU"/>
              </w:rPr>
            </w:pPr>
            <w:r w:rsidRPr="005D74D1">
              <w:rPr>
                <w:rFonts w:cs="Arial"/>
              </w:rPr>
              <w:t>WRS8: Accounting for Water Recovery</w:t>
            </w:r>
          </w:p>
        </w:tc>
        <w:tc>
          <w:tcPr>
            <w:tcW w:w="1993"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noWrap/>
            <w:vAlign w:val="center"/>
            <w:hideMark/>
          </w:tcPr>
          <w:p w14:paraId="283C370B" w14:textId="77777777" w:rsidR="00A85EE4" w:rsidRPr="00A134A7" w:rsidRDefault="00A85EE4" w:rsidP="003D28D9">
            <w:pPr>
              <w:pStyle w:val="TableText"/>
              <w:rPr>
                <w:rFonts w:cs="Arial"/>
                <w:lang w:val="en-AU"/>
              </w:rPr>
            </w:pPr>
            <w:r w:rsidRPr="005D74D1">
              <w:rPr>
                <w:rFonts w:cs="Arial"/>
              </w:rPr>
              <w:t xml:space="preserve">$2,500,000 </w:t>
            </w:r>
          </w:p>
        </w:tc>
      </w:tr>
      <w:tr w:rsidR="00A85EE4" w:rsidRPr="005D74D1" w14:paraId="7FFDC09F" w14:textId="77777777" w:rsidTr="00140664">
        <w:trPr>
          <w:trHeight w:val="288"/>
        </w:trPr>
        <w:tc>
          <w:tcPr>
            <w:tcW w:w="2965"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hideMark/>
          </w:tcPr>
          <w:p w14:paraId="283377B0" w14:textId="1C2E9A23" w:rsidR="00A85EE4" w:rsidRPr="00A134A7" w:rsidRDefault="00A85EE4" w:rsidP="003D28D9">
            <w:pPr>
              <w:pStyle w:val="TableNumber"/>
              <w:rPr>
                <w:rFonts w:cs="Arial"/>
                <w:lang w:val="en-AU"/>
              </w:rPr>
            </w:pPr>
            <w:r w:rsidRPr="005D74D1">
              <w:rPr>
                <w:rFonts w:cs="Arial"/>
              </w:rPr>
              <w:t>Sustaining a Resilient and Secure Water Register for Victoria</w:t>
            </w:r>
          </w:p>
        </w:tc>
        <w:tc>
          <w:tcPr>
            <w:tcW w:w="4680"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vAlign w:val="center"/>
            <w:hideMark/>
          </w:tcPr>
          <w:p w14:paraId="59835FDF" w14:textId="77777777" w:rsidR="00A85EE4" w:rsidRPr="00A134A7" w:rsidRDefault="00A85EE4" w:rsidP="003D28D9">
            <w:pPr>
              <w:pStyle w:val="TableText"/>
              <w:rPr>
                <w:rFonts w:cs="Arial"/>
                <w:lang w:val="en-AU"/>
              </w:rPr>
            </w:pPr>
            <w:r w:rsidRPr="005D74D1">
              <w:rPr>
                <w:rFonts w:cs="Arial"/>
              </w:rPr>
              <w:t>WRS9: Water Register Operations and Improvements</w:t>
            </w:r>
          </w:p>
        </w:tc>
        <w:tc>
          <w:tcPr>
            <w:tcW w:w="1993"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vAlign w:val="center"/>
            <w:hideMark/>
          </w:tcPr>
          <w:p w14:paraId="2001CC0D" w14:textId="77777777" w:rsidR="00A85EE4" w:rsidRPr="00A134A7" w:rsidRDefault="00A85EE4" w:rsidP="003D28D9">
            <w:pPr>
              <w:pStyle w:val="TableText"/>
              <w:rPr>
                <w:rFonts w:cs="Arial"/>
                <w:lang w:val="en-AU"/>
              </w:rPr>
            </w:pPr>
            <w:r w:rsidRPr="005D74D1">
              <w:rPr>
                <w:rFonts w:cs="Arial"/>
              </w:rPr>
              <w:t xml:space="preserve">$35,920,000 </w:t>
            </w:r>
          </w:p>
        </w:tc>
      </w:tr>
      <w:tr w:rsidR="00A85EE4" w:rsidRPr="005D74D1" w14:paraId="42971E7A" w14:textId="77777777" w:rsidTr="00140664">
        <w:trPr>
          <w:trHeight w:val="288"/>
        </w:trPr>
        <w:tc>
          <w:tcPr>
            <w:tcW w:w="2965" w:type="dxa"/>
            <w:vMerge w:val="restart"/>
            <w:tcBorders>
              <w:top w:val="single" w:sz="4" w:space="0" w:color="231EDC" w:themeColor="accent1"/>
              <w:left w:val="single" w:sz="4" w:space="0" w:color="231EDC" w:themeColor="accent1"/>
              <w:bottom w:val="single" w:sz="4" w:space="0" w:color="231EDC" w:themeColor="accent1"/>
              <w:right w:val="single" w:sz="4" w:space="0" w:color="231EDC" w:themeColor="accent1"/>
            </w:tcBorders>
            <w:hideMark/>
          </w:tcPr>
          <w:p w14:paraId="44D392EA" w14:textId="70F7C86F" w:rsidR="00A85EE4" w:rsidRPr="00A134A7" w:rsidRDefault="00A85EE4" w:rsidP="003D28D9">
            <w:pPr>
              <w:pStyle w:val="TableNumber"/>
              <w:rPr>
                <w:rFonts w:cs="Arial"/>
                <w:lang w:val="en-AU"/>
              </w:rPr>
            </w:pPr>
            <w:r w:rsidRPr="005D74D1">
              <w:rPr>
                <w:rFonts w:cs="Arial"/>
              </w:rPr>
              <w:t>The evidence base for Victorian water: availability and knowledge</w:t>
            </w:r>
          </w:p>
        </w:tc>
        <w:tc>
          <w:tcPr>
            <w:tcW w:w="4680"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vAlign w:val="center"/>
            <w:hideMark/>
          </w:tcPr>
          <w:p w14:paraId="03B7FE4B" w14:textId="77777777" w:rsidR="00A85EE4" w:rsidRPr="00A134A7" w:rsidRDefault="00A85EE4" w:rsidP="003D28D9">
            <w:pPr>
              <w:pStyle w:val="TableText"/>
              <w:rPr>
                <w:rFonts w:cs="Arial"/>
                <w:lang w:val="en-AU"/>
              </w:rPr>
            </w:pPr>
            <w:r w:rsidRPr="005D74D1">
              <w:rPr>
                <w:rFonts w:cs="Arial"/>
              </w:rPr>
              <w:t>WRS10: Understand and Apply Climate Science to Water</w:t>
            </w:r>
          </w:p>
        </w:tc>
        <w:tc>
          <w:tcPr>
            <w:tcW w:w="1993"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noWrap/>
            <w:vAlign w:val="center"/>
            <w:hideMark/>
          </w:tcPr>
          <w:p w14:paraId="44A32A35" w14:textId="77777777" w:rsidR="00A85EE4" w:rsidRPr="00A134A7" w:rsidRDefault="00A85EE4" w:rsidP="003D28D9">
            <w:pPr>
              <w:pStyle w:val="TableText"/>
              <w:rPr>
                <w:rFonts w:cs="Arial"/>
                <w:lang w:val="en-AU"/>
              </w:rPr>
            </w:pPr>
            <w:r w:rsidRPr="005D74D1">
              <w:rPr>
                <w:rFonts w:cs="Arial"/>
              </w:rPr>
              <w:t xml:space="preserve">$5,280,000 </w:t>
            </w:r>
          </w:p>
        </w:tc>
      </w:tr>
      <w:tr w:rsidR="00A85EE4" w:rsidRPr="005D74D1" w14:paraId="34ADD4E6" w14:textId="77777777" w:rsidTr="00140664">
        <w:trPr>
          <w:trHeight w:val="288"/>
        </w:trPr>
        <w:tc>
          <w:tcPr>
            <w:tcW w:w="2965" w:type="dxa"/>
            <w:vMerge/>
            <w:tcBorders>
              <w:top w:val="single" w:sz="4" w:space="0" w:color="231EDC" w:themeColor="accent1"/>
              <w:left w:val="single" w:sz="4" w:space="0" w:color="231EDC" w:themeColor="accent1"/>
              <w:bottom w:val="single" w:sz="4" w:space="0" w:color="231EDC" w:themeColor="accent1"/>
              <w:right w:val="single" w:sz="4" w:space="0" w:color="231EDC" w:themeColor="accent1"/>
            </w:tcBorders>
            <w:hideMark/>
          </w:tcPr>
          <w:p w14:paraId="3A790563" w14:textId="77777777" w:rsidR="00A85EE4" w:rsidRPr="00A134A7" w:rsidRDefault="00A85EE4" w:rsidP="003D28D9">
            <w:pPr>
              <w:pStyle w:val="TableNumber"/>
              <w:rPr>
                <w:rFonts w:cs="Arial"/>
                <w:lang w:val="en-AU"/>
              </w:rPr>
            </w:pPr>
          </w:p>
        </w:tc>
        <w:tc>
          <w:tcPr>
            <w:tcW w:w="4680"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vAlign w:val="center"/>
            <w:hideMark/>
          </w:tcPr>
          <w:p w14:paraId="4FD0835A" w14:textId="77777777" w:rsidR="00A85EE4" w:rsidRPr="00A134A7" w:rsidRDefault="00A85EE4" w:rsidP="003D28D9">
            <w:pPr>
              <w:pStyle w:val="TableText"/>
              <w:rPr>
                <w:rFonts w:cs="Arial"/>
                <w:lang w:val="en-AU"/>
              </w:rPr>
            </w:pPr>
            <w:r w:rsidRPr="005D74D1">
              <w:rPr>
                <w:rFonts w:cs="Arial"/>
              </w:rPr>
              <w:t>WRS11: Surface Water Assessment and Modelling</w:t>
            </w:r>
          </w:p>
        </w:tc>
        <w:tc>
          <w:tcPr>
            <w:tcW w:w="1993"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noWrap/>
            <w:vAlign w:val="center"/>
            <w:hideMark/>
          </w:tcPr>
          <w:p w14:paraId="0D4BEC1D" w14:textId="77777777" w:rsidR="00A85EE4" w:rsidRPr="00A134A7" w:rsidRDefault="00A85EE4" w:rsidP="003D28D9">
            <w:pPr>
              <w:pStyle w:val="TableText"/>
              <w:rPr>
                <w:rFonts w:cs="Arial"/>
                <w:lang w:val="en-AU"/>
              </w:rPr>
            </w:pPr>
            <w:r w:rsidRPr="005D74D1">
              <w:rPr>
                <w:rFonts w:cs="Arial"/>
              </w:rPr>
              <w:t xml:space="preserve">$4,075,000 </w:t>
            </w:r>
          </w:p>
        </w:tc>
      </w:tr>
      <w:tr w:rsidR="00A85EE4" w:rsidRPr="005D74D1" w14:paraId="4B9E819D" w14:textId="77777777" w:rsidTr="00140664">
        <w:trPr>
          <w:trHeight w:val="288"/>
        </w:trPr>
        <w:tc>
          <w:tcPr>
            <w:tcW w:w="2965" w:type="dxa"/>
            <w:vMerge/>
            <w:tcBorders>
              <w:top w:val="single" w:sz="4" w:space="0" w:color="231EDC" w:themeColor="accent1"/>
              <w:left w:val="single" w:sz="4" w:space="0" w:color="231EDC" w:themeColor="accent1"/>
              <w:bottom w:val="single" w:sz="4" w:space="0" w:color="231EDC" w:themeColor="accent1"/>
              <w:right w:val="single" w:sz="4" w:space="0" w:color="231EDC" w:themeColor="accent1"/>
            </w:tcBorders>
            <w:hideMark/>
          </w:tcPr>
          <w:p w14:paraId="0BCD5685" w14:textId="77777777" w:rsidR="00A85EE4" w:rsidRPr="00A134A7" w:rsidRDefault="00A85EE4" w:rsidP="003D28D9">
            <w:pPr>
              <w:pStyle w:val="TableNumber"/>
              <w:rPr>
                <w:rFonts w:cs="Arial"/>
                <w:lang w:val="en-AU"/>
              </w:rPr>
            </w:pPr>
          </w:p>
        </w:tc>
        <w:tc>
          <w:tcPr>
            <w:tcW w:w="4680"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vAlign w:val="center"/>
            <w:hideMark/>
          </w:tcPr>
          <w:p w14:paraId="5F7CF36C" w14:textId="77777777" w:rsidR="00A85EE4" w:rsidRPr="00A134A7" w:rsidRDefault="00A85EE4" w:rsidP="003D28D9">
            <w:pPr>
              <w:pStyle w:val="TableText"/>
              <w:rPr>
                <w:rFonts w:cs="Arial"/>
                <w:lang w:val="en-AU"/>
              </w:rPr>
            </w:pPr>
            <w:r w:rsidRPr="005D74D1">
              <w:rPr>
                <w:rFonts w:cs="Arial"/>
              </w:rPr>
              <w:t>WRS12: Long-Term Water Resource Assessment</w:t>
            </w:r>
          </w:p>
        </w:tc>
        <w:tc>
          <w:tcPr>
            <w:tcW w:w="1993"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vAlign w:val="center"/>
            <w:hideMark/>
          </w:tcPr>
          <w:p w14:paraId="57935E89" w14:textId="54C8687C" w:rsidR="00A85EE4" w:rsidRPr="00A134A7" w:rsidRDefault="004A774E" w:rsidP="003D28D9">
            <w:pPr>
              <w:pStyle w:val="TableText"/>
              <w:rPr>
                <w:rFonts w:cs="Arial"/>
                <w:lang w:val="en-AU"/>
              </w:rPr>
            </w:pPr>
            <w:r w:rsidRPr="005D74D1">
              <w:rPr>
                <w:rFonts w:cs="Arial"/>
              </w:rPr>
              <w:t>$</w:t>
            </w:r>
            <w:r w:rsidR="00A85EE4" w:rsidRPr="005D74D1">
              <w:rPr>
                <w:rFonts w:cs="Arial"/>
              </w:rPr>
              <w:t>2</w:t>
            </w:r>
            <w:r w:rsidRPr="005D74D1">
              <w:rPr>
                <w:rFonts w:cs="Arial"/>
              </w:rPr>
              <w:t>,</w:t>
            </w:r>
            <w:r w:rsidR="00A85EE4" w:rsidRPr="005D74D1">
              <w:rPr>
                <w:rFonts w:cs="Arial"/>
              </w:rPr>
              <w:t>355</w:t>
            </w:r>
            <w:r w:rsidRPr="005D74D1">
              <w:rPr>
                <w:rFonts w:cs="Arial"/>
              </w:rPr>
              <w:t>,</w:t>
            </w:r>
            <w:r w:rsidR="00A85EE4" w:rsidRPr="005D74D1">
              <w:rPr>
                <w:rFonts w:cs="Arial"/>
              </w:rPr>
              <w:t>000</w:t>
            </w:r>
          </w:p>
        </w:tc>
      </w:tr>
      <w:tr w:rsidR="00A85EE4" w:rsidRPr="005D74D1" w14:paraId="748D7B89" w14:textId="77777777" w:rsidTr="00140664">
        <w:trPr>
          <w:trHeight w:val="288"/>
        </w:trPr>
        <w:tc>
          <w:tcPr>
            <w:tcW w:w="2965" w:type="dxa"/>
            <w:vMerge/>
            <w:tcBorders>
              <w:top w:val="single" w:sz="4" w:space="0" w:color="231EDC" w:themeColor="accent1"/>
              <w:left w:val="single" w:sz="4" w:space="0" w:color="231EDC" w:themeColor="accent1"/>
              <w:bottom w:val="single" w:sz="4" w:space="0" w:color="231EDC" w:themeColor="accent1"/>
              <w:right w:val="single" w:sz="4" w:space="0" w:color="231EDC" w:themeColor="accent1"/>
            </w:tcBorders>
            <w:hideMark/>
          </w:tcPr>
          <w:p w14:paraId="1ADF47B1" w14:textId="77777777" w:rsidR="00A85EE4" w:rsidRPr="00A134A7" w:rsidRDefault="00A85EE4" w:rsidP="003D28D9">
            <w:pPr>
              <w:pStyle w:val="TableNumber"/>
              <w:rPr>
                <w:rFonts w:cs="Arial"/>
                <w:lang w:val="en-AU"/>
              </w:rPr>
            </w:pPr>
          </w:p>
        </w:tc>
        <w:tc>
          <w:tcPr>
            <w:tcW w:w="4680"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vAlign w:val="center"/>
            <w:hideMark/>
          </w:tcPr>
          <w:p w14:paraId="02CE1B1C" w14:textId="1DDC195E" w:rsidR="00A85EE4" w:rsidRPr="00A134A7" w:rsidRDefault="00A85EE4" w:rsidP="003D28D9">
            <w:pPr>
              <w:pStyle w:val="TableText"/>
              <w:rPr>
                <w:rFonts w:cs="Arial"/>
                <w:lang w:val="en-AU"/>
              </w:rPr>
            </w:pPr>
            <w:r w:rsidRPr="005D74D1">
              <w:rPr>
                <w:rFonts w:cs="Arial"/>
              </w:rPr>
              <w:t xml:space="preserve">WRS13: Groundwater </w:t>
            </w:r>
            <w:r w:rsidR="00005AAA" w:rsidRPr="005D74D1">
              <w:rPr>
                <w:rFonts w:cs="Arial"/>
              </w:rPr>
              <w:t>A</w:t>
            </w:r>
            <w:r w:rsidRPr="005D74D1">
              <w:rPr>
                <w:rFonts w:cs="Arial"/>
              </w:rPr>
              <w:t xml:space="preserve">ssessment and </w:t>
            </w:r>
            <w:r w:rsidR="00005AAA" w:rsidRPr="005D74D1">
              <w:rPr>
                <w:rFonts w:cs="Arial"/>
              </w:rPr>
              <w:t>M</w:t>
            </w:r>
            <w:r w:rsidRPr="005D74D1">
              <w:rPr>
                <w:rFonts w:cs="Arial"/>
              </w:rPr>
              <w:t>odelling</w:t>
            </w:r>
          </w:p>
        </w:tc>
        <w:tc>
          <w:tcPr>
            <w:tcW w:w="1993"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vAlign w:val="center"/>
            <w:hideMark/>
          </w:tcPr>
          <w:p w14:paraId="37F2B16D" w14:textId="77777777" w:rsidR="00A85EE4" w:rsidRPr="00A134A7" w:rsidRDefault="00A85EE4" w:rsidP="003D28D9">
            <w:pPr>
              <w:pStyle w:val="TableText"/>
              <w:rPr>
                <w:rFonts w:cs="Arial"/>
                <w:lang w:val="en-AU"/>
              </w:rPr>
            </w:pPr>
            <w:r w:rsidRPr="005D74D1">
              <w:rPr>
                <w:rFonts w:cs="Arial"/>
              </w:rPr>
              <w:t xml:space="preserve">$8,285,000 </w:t>
            </w:r>
          </w:p>
        </w:tc>
      </w:tr>
      <w:tr w:rsidR="00A85EE4" w:rsidRPr="005D74D1" w14:paraId="0E2B55B9" w14:textId="77777777" w:rsidTr="00140664">
        <w:trPr>
          <w:trHeight w:val="288"/>
        </w:trPr>
        <w:tc>
          <w:tcPr>
            <w:tcW w:w="2965" w:type="dxa"/>
            <w:vMerge/>
            <w:tcBorders>
              <w:top w:val="single" w:sz="4" w:space="0" w:color="231EDC" w:themeColor="accent1"/>
              <w:left w:val="single" w:sz="4" w:space="0" w:color="231EDC" w:themeColor="accent1"/>
              <w:bottom w:val="single" w:sz="4" w:space="0" w:color="231EDC" w:themeColor="accent1"/>
              <w:right w:val="single" w:sz="4" w:space="0" w:color="231EDC" w:themeColor="accent1"/>
            </w:tcBorders>
            <w:hideMark/>
          </w:tcPr>
          <w:p w14:paraId="72C93EE9" w14:textId="77777777" w:rsidR="00A85EE4" w:rsidRPr="00A134A7" w:rsidRDefault="00A85EE4" w:rsidP="003D28D9">
            <w:pPr>
              <w:pStyle w:val="TableNumber"/>
              <w:rPr>
                <w:rFonts w:cs="Arial"/>
                <w:lang w:val="en-AU"/>
              </w:rPr>
            </w:pPr>
          </w:p>
        </w:tc>
        <w:tc>
          <w:tcPr>
            <w:tcW w:w="4680"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vAlign w:val="center"/>
            <w:hideMark/>
          </w:tcPr>
          <w:p w14:paraId="2D7F727F" w14:textId="77777777" w:rsidR="00A85EE4" w:rsidRPr="00A134A7" w:rsidRDefault="00A85EE4" w:rsidP="003D28D9">
            <w:pPr>
              <w:pStyle w:val="TableText"/>
              <w:rPr>
                <w:rFonts w:cs="Arial"/>
                <w:lang w:val="en-AU"/>
              </w:rPr>
            </w:pPr>
            <w:r w:rsidRPr="005D74D1">
              <w:rPr>
                <w:rFonts w:cs="Arial"/>
              </w:rPr>
              <w:t>WRS14: Surface Water and Ground Water Monitoring</w:t>
            </w:r>
          </w:p>
        </w:tc>
        <w:tc>
          <w:tcPr>
            <w:tcW w:w="1993"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noWrap/>
            <w:vAlign w:val="center"/>
            <w:hideMark/>
          </w:tcPr>
          <w:p w14:paraId="0D5843BD" w14:textId="77777777" w:rsidR="00A85EE4" w:rsidRPr="00A134A7" w:rsidRDefault="00A85EE4" w:rsidP="003D28D9">
            <w:pPr>
              <w:pStyle w:val="TableText"/>
              <w:rPr>
                <w:rFonts w:cs="Arial"/>
                <w:lang w:val="en-AU"/>
              </w:rPr>
            </w:pPr>
            <w:r w:rsidRPr="005D74D1">
              <w:rPr>
                <w:rFonts w:cs="Arial"/>
              </w:rPr>
              <w:t xml:space="preserve">$26,631,000 </w:t>
            </w:r>
          </w:p>
        </w:tc>
      </w:tr>
      <w:tr w:rsidR="00A85EE4" w:rsidRPr="005D74D1" w14:paraId="11E123BF" w14:textId="77777777" w:rsidTr="00140664">
        <w:trPr>
          <w:trHeight w:val="288"/>
        </w:trPr>
        <w:tc>
          <w:tcPr>
            <w:tcW w:w="2965" w:type="dxa"/>
            <w:vMerge/>
            <w:tcBorders>
              <w:top w:val="single" w:sz="4" w:space="0" w:color="231EDC" w:themeColor="accent1"/>
              <w:left w:val="single" w:sz="4" w:space="0" w:color="231EDC" w:themeColor="accent1"/>
              <w:bottom w:val="single" w:sz="4" w:space="0" w:color="231EDC" w:themeColor="accent1"/>
              <w:right w:val="single" w:sz="4" w:space="0" w:color="231EDC" w:themeColor="accent1"/>
            </w:tcBorders>
            <w:hideMark/>
          </w:tcPr>
          <w:p w14:paraId="2F844631" w14:textId="77777777" w:rsidR="00A85EE4" w:rsidRPr="00A134A7" w:rsidRDefault="00A85EE4" w:rsidP="003D28D9">
            <w:pPr>
              <w:pStyle w:val="TableNumber"/>
              <w:rPr>
                <w:rFonts w:cs="Arial"/>
                <w:lang w:val="en-AU"/>
              </w:rPr>
            </w:pPr>
          </w:p>
        </w:tc>
        <w:tc>
          <w:tcPr>
            <w:tcW w:w="4680"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vAlign w:val="center"/>
            <w:hideMark/>
          </w:tcPr>
          <w:p w14:paraId="0085912F" w14:textId="77777777" w:rsidR="00A85EE4" w:rsidRPr="00A134A7" w:rsidRDefault="00A85EE4" w:rsidP="003D28D9">
            <w:pPr>
              <w:pStyle w:val="TableText"/>
              <w:rPr>
                <w:rFonts w:cs="Arial"/>
                <w:lang w:val="en-AU"/>
              </w:rPr>
            </w:pPr>
            <w:r w:rsidRPr="005D74D1">
              <w:rPr>
                <w:rFonts w:cs="Arial"/>
              </w:rPr>
              <w:t>WRS15: Water Accounting and Reporting</w:t>
            </w:r>
          </w:p>
        </w:tc>
        <w:tc>
          <w:tcPr>
            <w:tcW w:w="1993"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vAlign w:val="center"/>
            <w:hideMark/>
          </w:tcPr>
          <w:p w14:paraId="1F1F6136" w14:textId="77777777" w:rsidR="00A85EE4" w:rsidRPr="00A134A7" w:rsidRDefault="00A85EE4" w:rsidP="003D28D9">
            <w:pPr>
              <w:pStyle w:val="TableText"/>
              <w:rPr>
                <w:rFonts w:cs="Arial"/>
                <w:lang w:val="en-AU"/>
              </w:rPr>
            </w:pPr>
            <w:r w:rsidRPr="005D74D1">
              <w:rPr>
                <w:rFonts w:cs="Arial"/>
              </w:rPr>
              <w:t xml:space="preserve">$2,332,053 </w:t>
            </w:r>
          </w:p>
        </w:tc>
      </w:tr>
      <w:tr w:rsidR="00A85EE4" w:rsidRPr="005D74D1" w14:paraId="5A6618B0" w14:textId="77777777" w:rsidTr="00140664">
        <w:trPr>
          <w:trHeight w:val="288"/>
        </w:trPr>
        <w:tc>
          <w:tcPr>
            <w:tcW w:w="2965" w:type="dxa"/>
            <w:vMerge/>
            <w:tcBorders>
              <w:top w:val="single" w:sz="4" w:space="0" w:color="231EDC" w:themeColor="accent1"/>
              <w:left w:val="single" w:sz="4" w:space="0" w:color="231EDC" w:themeColor="accent1"/>
              <w:bottom w:val="single" w:sz="4" w:space="0" w:color="231EDC" w:themeColor="accent1"/>
              <w:right w:val="single" w:sz="4" w:space="0" w:color="231EDC" w:themeColor="accent1"/>
            </w:tcBorders>
            <w:hideMark/>
          </w:tcPr>
          <w:p w14:paraId="05250E2D" w14:textId="77777777" w:rsidR="00A85EE4" w:rsidRPr="00A134A7" w:rsidRDefault="00A85EE4" w:rsidP="003D28D9">
            <w:pPr>
              <w:pStyle w:val="TableNumber"/>
              <w:rPr>
                <w:rFonts w:cs="Arial"/>
                <w:lang w:val="en-AU"/>
              </w:rPr>
            </w:pPr>
          </w:p>
        </w:tc>
        <w:tc>
          <w:tcPr>
            <w:tcW w:w="4680"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vAlign w:val="center"/>
            <w:hideMark/>
          </w:tcPr>
          <w:p w14:paraId="799D7D84" w14:textId="1FC5EC43" w:rsidR="00A85EE4" w:rsidRPr="00A134A7" w:rsidRDefault="00A85EE4" w:rsidP="003D28D9">
            <w:pPr>
              <w:pStyle w:val="TableText"/>
              <w:rPr>
                <w:rFonts w:cs="Arial"/>
                <w:lang w:val="en-AU"/>
              </w:rPr>
            </w:pPr>
            <w:r w:rsidRPr="005D74D1">
              <w:rPr>
                <w:rFonts w:cs="Arial"/>
              </w:rPr>
              <w:t xml:space="preserve">WRS16: Knowledge and </w:t>
            </w:r>
            <w:r w:rsidR="00005AAA" w:rsidRPr="005D74D1">
              <w:rPr>
                <w:rFonts w:cs="Arial"/>
              </w:rPr>
              <w:t>I</w:t>
            </w:r>
            <w:r w:rsidRPr="005D74D1">
              <w:rPr>
                <w:rFonts w:cs="Arial"/>
              </w:rPr>
              <w:t xml:space="preserve">nsights </w:t>
            </w:r>
          </w:p>
        </w:tc>
        <w:tc>
          <w:tcPr>
            <w:tcW w:w="1993"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noWrap/>
            <w:vAlign w:val="center"/>
            <w:hideMark/>
          </w:tcPr>
          <w:p w14:paraId="29E53D1C" w14:textId="77777777" w:rsidR="00A85EE4" w:rsidRPr="00A134A7" w:rsidRDefault="00A85EE4" w:rsidP="003D28D9">
            <w:pPr>
              <w:pStyle w:val="TableText"/>
              <w:rPr>
                <w:rFonts w:cs="Arial"/>
                <w:lang w:val="en-AU"/>
              </w:rPr>
            </w:pPr>
            <w:r w:rsidRPr="005D74D1">
              <w:rPr>
                <w:rFonts w:cs="Arial"/>
              </w:rPr>
              <w:t xml:space="preserve">$703,000 </w:t>
            </w:r>
          </w:p>
        </w:tc>
      </w:tr>
      <w:tr w:rsidR="00A85EE4" w:rsidRPr="005D74D1" w14:paraId="2D7BC9AB" w14:textId="77777777" w:rsidTr="00140664">
        <w:trPr>
          <w:trHeight w:val="288"/>
        </w:trPr>
        <w:tc>
          <w:tcPr>
            <w:tcW w:w="2965"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hideMark/>
          </w:tcPr>
          <w:p w14:paraId="19CDF6A6" w14:textId="414592A0" w:rsidR="00A85EE4" w:rsidRPr="00A134A7" w:rsidRDefault="00A85EE4" w:rsidP="003D28D9">
            <w:pPr>
              <w:pStyle w:val="TableNumber"/>
              <w:rPr>
                <w:rFonts w:cs="Arial"/>
                <w:lang w:val="en-AU"/>
              </w:rPr>
            </w:pPr>
            <w:r w:rsidRPr="005D74D1">
              <w:rPr>
                <w:rFonts w:cs="Arial"/>
              </w:rPr>
              <w:t>Making Victorians Water Wise</w:t>
            </w:r>
          </w:p>
        </w:tc>
        <w:tc>
          <w:tcPr>
            <w:tcW w:w="4680"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noWrap/>
            <w:vAlign w:val="center"/>
            <w:hideMark/>
          </w:tcPr>
          <w:p w14:paraId="0D7C0890" w14:textId="77777777" w:rsidR="00A85EE4" w:rsidRPr="00A134A7" w:rsidRDefault="00A85EE4" w:rsidP="003D28D9">
            <w:pPr>
              <w:pStyle w:val="TableText"/>
              <w:rPr>
                <w:rFonts w:cs="Arial"/>
                <w:lang w:val="en-AU"/>
              </w:rPr>
            </w:pPr>
            <w:r w:rsidRPr="005D74D1">
              <w:rPr>
                <w:rFonts w:cs="Arial"/>
              </w:rPr>
              <w:t>CWCT05: Water Efficiency Program</w:t>
            </w:r>
          </w:p>
        </w:tc>
        <w:tc>
          <w:tcPr>
            <w:tcW w:w="1993"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noWrap/>
            <w:vAlign w:val="center"/>
            <w:hideMark/>
          </w:tcPr>
          <w:p w14:paraId="6A613003" w14:textId="77777777" w:rsidR="00A85EE4" w:rsidRPr="00A134A7" w:rsidRDefault="00A85EE4" w:rsidP="003D28D9">
            <w:pPr>
              <w:pStyle w:val="TableText"/>
              <w:rPr>
                <w:rFonts w:cs="Arial"/>
                <w:lang w:val="en-AU"/>
              </w:rPr>
            </w:pPr>
            <w:r w:rsidRPr="005D74D1">
              <w:rPr>
                <w:rFonts w:cs="Arial"/>
              </w:rPr>
              <w:t xml:space="preserve">$11,140,000 </w:t>
            </w:r>
          </w:p>
        </w:tc>
      </w:tr>
      <w:tr w:rsidR="00A85EE4" w:rsidRPr="005D74D1" w14:paraId="56EC5F32" w14:textId="77777777" w:rsidTr="00140664">
        <w:trPr>
          <w:trHeight w:val="288"/>
        </w:trPr>
        <w:tc>
          <w:tcPr>
            <w:tcW w:w="2965" w:type="dxa"/>
            <w:vMerge w:val="restart"/>
            <w:tcBorders>
              <w:top w:val="single" w:sz="4" w:space="0" w:color="231EDC" w:themeColor="accent1"/>
              <w:left w:val="single" w:sz="4" w:space="0" w:color="231EDC" w:themeColor="accent1"/>
              <w:bottom w:val="single" w:sz="4" w:space="0" w:color="231EDC" w:themeColor="accent1"/>
              <w:right w:val="single" w:sz="4" w:space="0" w:color="231EDC" w:themeColor="accent1"/>
            </w:tcBorders>
            <w:hideMark/>
          </w:tcPr>
          <w:p w14:paraId="00F47227" w14:textId="195FAA5D" w:rsidR="00A85EE4" w:rsidRPr="00A134A7" w:rsidRDefault="00A85EE4" w:rsidP="003D28D9">
            <w:pPr>
              <w:pStyle w:val="TableNumber"/>
              <w:rPr>
                <w:rFonts w:cs="Arial"/>
                <w:lang w:val="en-AU"/>
              </w:rPr>
            </w:pPr>
            <w:r w:rsidRPr="005D74D1">
              <w:rPr>
                <w:rFonts w:cs="Arial"/>
              </w:rPr>
              <w:t>Water Wise Rural Communities: Rural-Infrastructure and Sustainable Irrigation Streams</w:t>
            </w:r>
          </w:p>
        </w:tc>
        <w:tc>
          <w:tcPr>
            <w:tcW w:w="4680"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vAlign w:val="center"/>
            <w:hideMark/>
          </w:tcPr>
          <w:p w14:paraId="3CCBEB27" w14:textId="0081DFD9" w:rsidR="00A85EE4" w:rsidRPr="00A134A7" w:rsidRDefault="00A85EE4" w:rsidP="003D28D9">
            <w:pPr>
              <w:pStyle w:val="TableText"/>
              <w:rPr>
                <w:rFonts w:cs="Arial"/>
                <w:lang w:val="en-AU"/>
              </w:rPr>
            </w:pPr>
            <w:r w:rsidRPr="005D74D1">
              <w:rPr>
                <w:rFonts w:cs="Arial"/>
              </w:rPr>
              <w:t xml:space="preserve">SIRS1: Rural </w:t>
            </w:r>
            <w:r w:rsidR="00005AAA" w:rsidRPr="005D74D1">
              <w:rPr>
                <w:rFonts w:cs="Arial"/>
              </w:rPr>
              <w:t>W</w:t>
            </w:r>
            <w:r w:rsidRPr="005D74D1">
              <w:rPr>
                <w:rFonts w:cs="Arial"/>
              </w:rPr>
              <w:t xml:space="preserve">ater </w:t>
            </w:r>
            <w:r w:rsidR="00005AAA" w:rsidRPr="005D74D1">
              <w:rPr>
                <w:rFonts w:cs="Arial"/>
              </w:rPr>
              <w:t>I</w:t>
            </w:r>
            <w:r w:rsidRPr="005D74D1">
              <w:rPr>
                <w:rFonts w:cs="Arial"/>
              </w:rPr>
              <w:t xml:space="preserve">nfrastructure </w:t>
            </w:r>
            <w:r w:rsidR="00005AAA" w:rsidRPr="005D74D1">
              <w:rPr>
                <w:rFonts w:cs="Arial"/>
              </w:rPr>
              <w:t>P</w:t>
            </w:r>
            <w:r w:rsidRPr="005D74D1">
              <w:rPr>
                <w:rFonts w:cs="Arial"/>
              </w:rPr>
              <w:t xml:space="preserve">roject </w:t>
            </w:r>
            <w:r w:rsidR="00005AAA" w:rsidRPr="005D74D1">
              <w:rPr>
                <w:rFonts w:cs="Arial"/>
              </w:rPr>
              <w:t>O</w:t>
            </w:r>
            <w:r w:rsidRPr="005D74D1">
              <w:rPr>
                <w:rFonts w:cs="Arial"/>
              </w:rPr>
              <w:t xml:space="preserve">versight and </w:t>
            </w:r>
            <w:r w:rsidR="00005AAA" w:rsidRPr="005D74D1">
              <w:rPr>
                <w:rFonts w:cs="Arial"/>
              </w:rPr>
              <w:t>G</w:t>
            </w:r>
            <w:r w:rsidRPr="005D74D1">
              <w:rPr>
                <w:rFonts w:cs="Arial"/>
              </w:rPr>
              <w:t>overnance</w:t>
            </w:r>
          </w:p>
        </w:tc>
        <w:tc>
          <w:tcPr>
            <w:tcW w:w="1993"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vAlign w:val="center"/>
            <w:hideMark/>
          </w:tcPr>
          <w:p w14:paraId="76091EB8" w14:textId="77777777" w:rsidR="00A85EE4" w:rsidRPr="00A134A7" w:rsidRDefault="00A85EE4" w:rsidP="003D28D9">
            <w:pPr>
              <w:pStyle w:val="TableText"/>
              <w:rPr>
                <w:rFonts w:cs="Arial"/>
                <w:lang w:val="en-AU"/>
              </w:rPr>
            </w:pPr>
            <w:r w:rsidRPr="005D74D1">
              <w:rPr>
                <w:rFonts w:cs="Arial"/>
              </w:rPr>
              <w:t xml:space="preserve">$9,501,000 </w:t>
            </w:r>
          </w:p>
        </w:tc>
      </w:tr>
      <w:tr w:rsidR="00A85EE4" w:rsidRPr="005D74D1" w14:paraId="1B6D5799" w14:textId="77777777" w:rsidTr="00140664">
        <w:trPr>
          <w:trHeight w:val="386"/>
        </w:trPr>
        <w:tc>
          <w:tcPr>
            <w:tcW w:w="2965" w:type="dxa"/>
            <w:vMerge/>
            <w:tcBorders>
              <w:top w:val="single" w:sz="4" w:space="0" w:color="231EDC" w:themeColor="accent1"/>
              <w:left w:val="single" w:sz="4" w:space="0" w:color="231EDC" w:themeColor="accent1"/>
              <w:bottom w:val="single" w:sz="4" w:space="0" w:color="231EDC" w:themeColor="accent1"/>
              <w:right w:val="single" w:sz="4" w:space="0" w:color="231EDC" w:themeColor="accent1"/>
            </w:tcBorders>
            <w:hideMark/>
          </w:tcPr>
          <w:p w14:paraId="450CDFCC" w14:textId="77777777" w:rsidR="00A85EE4" w:rsidRPr="00A134A7" w:rsidRDefault="00A85EE4" w:rsidP="003D28D9">
            <w:pPr>
              <w:pStyle w:val="TableNumber"/>
              <w:rPr>
                <w:rFonts w:cs="Arial"/>
                <w:lang w:val="en-AU"/>
              </w:rPr>
            </w:pPr>
          </w:p>
        </w:tc>
        <w:tc>
          <w:tcPr>
            <w:tcW w:w="4680"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vAlign w:val="center"/>
            <w:hideMark/>
          </w:tcPr>
          <w:p w14:paraId="19F27EC3" w14:textId="77777777" w:rsidR="00A85EE4" w:rsidRPr="00A134A7" w:rsidRDefault="00A85EE4" w:rsidP="003D28D9">
            <w:pPr>
              <w:pStyle w:val="TableText"/>
              <w:rPr>
                <w:rFonts w:cs="Arial"/>
                <w:lang w:val="en-AU"/>
              </w:rPr>
            </w:pPr>
            <w:r w:rsidRPr="005D74D1">
              <w:rPr>
                <w:rFonts w:cs="Arial"/>
              </w:rPr>
              <w:t>SIRS2: Sustainable Irrigation Program Implementation</w:t>
            </w:r>
          </w:p>
        </w:tc>
        <w:tc>
          <w:tcPr>
            <w:tcW w:w="1993"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vAlign w:val="center"/>
            <w:hideMark/>
          </w:tcPr>
          <w:p w14:paraId="06F5B6AA" w14:textId="77777777" w:rsidR="00A85EE4" w:rsidRPr="00A134A7" w:rsidRDefault="00A85EE4" w:rsidP="003D28D9">
            <w:pPr>
              <w:pStyle w:val="TableText"/>
              <w:rPr>
                <w:rFonts w:cs="Arial"/>
                <w:lang w:val="en-AU"/>
              </w:rPr>
            </w:pPr>
            <w:r w:rsidRPr="005D74D1">
              <w:rPr>
                <w:rFonts w:cs="Arial"/>
              </w:rPr>
              <w:t xml:space="preserve">$49,000,000 </w:t>
            </w:r>
          </w:p>
        </w:tc>
      </w:tr>
      <w:tr w:rsidR="00A85EE4" w:rsidRPr="005D74D1" w14:paraId="68FEAEA4" w14:textId="77777777" w:rsidTr="00140664">
        <w:trPr>
          <w:trHeight w:val="288"/>
        </w:trPr>
        <w:tc>
          <w:tcPr>
            <w:tcW w:w="2965"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hideMark/>
          </w:tcPr>
          <w:p w14:paraId="4CC65921" w14:textId="50F30C28" w:rsidR="00A85EE4" w:rsidRPr="00A134A7" w:rsidRDefault="00A85EE4" w:rsidP="003D28D9">
            <w:pPr>
              <w:pStyle w:val="TableNumber"/>
              <w:rPr>
                <w:rFonts w:cs="Arial"/>
                <w:lang w:val="en-AU"/>
              </w:rPr>
            </w:pPr>
            <w:r w:rsidRPr="005D74D1">
              <w:rPr>
                <w:rFonts w:cs="Arial"/>
              </w:rPr>
              <w:t>Improving recognition and management of water by Traditional Owners and Aboriginal Victorians</w:t>
            </w:r>
          </w:p>
        </w:tc>
        <w:tc>
          <w:tcPr>
            <w:tcW w:w="4680"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vAlign w:val="center"/>
            <w:hideMark/>
          </w:tcPr>
          <w:p w14:paraId="70562AF1" w14:textId="77777777" w:rsidR="00A85EE4" w:rsidRPr="00A134A7" w:rsidRDefault="00A85EE4" w:rsidP="003D28D9">
            <w:pPr>
              <w:pStyle w:val="TableText"/>
              <w:rPr>
                <w:rFonts w:cs="Arial"/>
                <w:lang w:val="en-AU"/>
              </w:rPr>
            </w:pPr>
            <w:r w:rsidRPr="005D74D1">
              <w:rPr>
                <w:rFonts w:cs="Arial"/>
              </w:rPr>
              <w:t>CWCT06: Aboriginal Water Program</w:t>
            </w:r>
          </w:p>
        </w:tc>
        <w:tc>
          <w:tcPr>
            <w:tcW w:w="1993"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noWrap/>
            <w:vAlign w:val="center"/>
            <w:hideMark/>
          </w:tcPr>
          <w:p w14:paraId="34BA453B" w14:textId="77777777" w:rsidR="00A85EE4" w:rsidRPr="00A134A7" w:rsidRDefault="00A85EE4" w:rsidP="003D28D9">
            <w:pPr>
              <w:pStyle w:val="TableText"/>
              <w:rPr>
                <w:rFonts w:cs="Arial"/>
                <w:lang w:val="en-AU"/>
              </w:rPr>
            </w:pPr>
            <w:r w:rsidRPr="005D74D1">
              <w:rPr>
                <w:rFonts w:cs="Arial"/>
              </w:rPr>
              <w:t xml:space="preserve">$24,373,000 </w:t>
            </w:r>
          </w:p>
        </w:tc>
      </w:tr>
      <w:tr w:rsidR="00A85EE4" w:rsidRPr="005D74D1" w14:paraId="0B9EA92C" w14:textId="77777777" w:rsidTr="00140664">
        <w:trPr>
          <w:trHeight w:val="288"/>
        </w:trPr>
        <w:tc>
          <w:tcPr>
            <w:tcW w:w="2965" w:type="dxa"/>
            <w:vMerge w:val="restart"/>
            <w:tcBorders>
              <w:top w:val="single" w:sz="4" w:space="0" w:color="231EDC" w:themeColor="accent1"/>
              <w:left w:val="single" w:sz="4" w:space="0" w:color="231EDC" w:themeColor="accent1"/>
              <w:bottom w:val="single" w:sz="4" w:space="0" w:color="231EDC" w:themeColor="accent1"/>
              <w:right w:val="single" w:sz="4" w:space="0" w:color="231EDC" w:themeColor="accent1"/>
            </w:tcBorders>
            <w:hideMark/>
          </w:tcPr>
          <w:p w14:paraId="0D7EAAFD" w14:textId="4293B51F" w:rsidR="00A85EE4" w:rsidRPr="00A134A7" w:rsidRDefault="00A85EE4" w:rsidP="003D28D9">
            <w:pPr>
              <w:pStyle w:val="TableNumber"/>
              <w:rPr>
                <w:rFonts w:cs="Arial"/>
                <w:lang w:val="en-AU"/>
              </w:rPr>
            </w:pPr>
            <w:r w:rsidRPr="005D74D1">
              <w:rPr>
                <w:rFonts w:cs="Arial"/>
              </w:rPr>
              <w:t xml:space="preserve">Building a Sustainable Water Sector </w:t>
            </w:r>
          </w:p>
        </w:tc>
        <w:tc>
          <w:tcPr>
            <w:tcW w:w="4680"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vAlign w:val="center"/>
            <w:hideMark/>
          </w:tcPr>
          <w:p w14:paraId="4F72647B" w14:textId="77777777" w:rsidR="00A85EE4" w:rsidRPr="00A134A7" w:rsidRDefault="00A85EE4" w:rsidP="003D28D9">
            <w:pPr>
              <w:pStyle w:val="TableText"/>
              <w:rPr>
                <w:rFonts w:cs="Arial"/>
                <w:lang w:val="en-AU"/>
              </w:rPr>
            </w:pPr>
            <w:r w:rsidRPr="005D74D1">
              <w:rPr>
                <w:rFonts w:cs="Arial"/>
              </w:rPr>
              <w:t>PSP1: Long-term Water Security</w:t>
            </w:r>
          </w:p>
        </w:tc>
        <w:tc>
          <w:tcPr>
            <w:tcW w:w="1993"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noWrap/>
            <w:vAlign w:val="center"/>
            <w:hideMark/>
          </w:tcPr>
          <w:p w14:paraId="7285A1D7" w14:textId="77777777" w:rsidR="00A85EE4" w:rsidRPr="00A134A7" w:rsidRDefault="00A85EE4" w:rsidP="003D28D9">
            <w:pPr>
              <w:pStyle w:val="TableText"/>
              <w:rPr>
                <w:rFonts w:cs="Arial"/>
                <w:lang w:val="en-AU"/>
              </w:rPr>
            </w:pPr>
            <w:r w:rsidRPr="005D74D1">
              <w:rPr>
                <w:rFonts w:cs="Arial"/>
              </w:rPr>
              <w:t xml:space="preserve">$7,103,000 </w:t>
            </w:r>
          </w:p>
        </w:tc>
      </w:tr>
      <w:tr w:rsidR="00A85EE4" w:rsidRPr="005D74D1" w14:paraId="02BD23A0" w14:textId="77777777" w:rsidTr="00140664">
        <w:trPr>
          <w:trHeight w:val="288"/>
        </w:trPr>
        <w:tc>
          <w:tcPr>
            <w:tcW w:w="2965" w:type="dxa"/>
            <w:vMerge/>
            <w:tcBorders>
              <w:top w:val="single" w:sz="4" w:space="0" w:color="231EDC" w:themeColor="accent1"/>
              <w:left w:val="single" w:sz="4" w:space="0" w:color="231EDC" w:themeColor="accent1"/>
              <w:bottom w:val="single" w:sz="4" w:space="0" w:color="231EDC" w:themeColor="accent1"/>
              <w:right w:val="single" w:sz="4" w:space="0" w:color="231EDC" w:themeColor="accent1"/>
            </w:tcBorders>
            <w:hideMark/>
          </w:tcPr>
          <w:p w14:paraId="60CCBE65" w14:textId="77777777" w:rsidR="00A85EE4" w:rsidRPr="00A134A7" w:rsidRDefault="00A85EE4" w:rsidP="003D28D9">
            <w:pPr>
              <w:pStyle w:val="TableNumber"/>
              <w:rPr>
                <w:rFonts w:cs="Arial"/>
                <w:lang w:val="en-AU"/>
              </w:rPr>
            </w:pPr>
          </w:p>
        </w:tc>
        <w:tc>
          <w:tcPr>
            <w:tcW w:w="4680"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vAlign w:val="center"/>
            <w:hideMark/>
          </w:tcPr>
          <w:p w14:paraId="29B1187C" w14:textId="77777777" w:rsidR="00A85EE4" w:rsidRPr="00A134A7" w:rsidRDefault="00A85EE4" w:rsidP="003D28D9">
            <w:pPr>
              <w:pStyle w:val="TableText"/>
              <w:rPr>
                <w:rFonts w:cs="Arial"/>
                <w:lang w:val="en-AU"/>
              </w:rPr>
            </w:pPr>
            <w:r w:rsidRPr="005D74D1">
              <w:rPr>
                <w:rFonts w:cs="Arial"/>
              </w:rPr>
              <w:t>PSP2: Sustainable Water Strategies</w:t>
            </w:r>
          </w:p>
        </w:tc>
        <w:tc>
          <w:tcPr>
            <w:tcW w:w="1993"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noWrap/>
            <w:vAlign w:val="center"/>
            <w:hideMark/>
          </w:tcPr>
          <w:p w14:paraId="0A052730" w14:textId="77777777" w:rsidR="00A85EE4" w:rsidRPr="00A134A7" w:rsidRDefault="00A85EE4" w:rsidP="003D28D9">
            <w:pPr>
              <w:pStyle w:val="TableText"/>
              <w:rPr>
                <w:rFonts w:cs="Arial"/>
                <w:lang w:val="en-AU"/>
              </w:rPr>
            </w:pPr>
            <w:r w:rsidRPr="005D74D1">
              <w:rPr>
                <w:rFonts w:cs="Arial"/>
              </w:rPr>
              <w:t xml:space="preserve">$7,660,000 </w:t>
            </w:r>
          </w:p>
        </w:tc>
      </w:tr>
      <w:tr w:rsidR="00A85EE4" w:rsidRPr="005D74D1" w14:paraId="23052D15" w14:textId="77777777" w:rsidTr="00140664">
        <w:trPr>
          <w:trHeight w:val="386"/>
        </w:trPr>
        <w:tc>
          <w:tcPr>
            <w:tcW w:w="2965" w:type="dxa"/>
            <w:vMerge/>
            <w:tcBorders>
              <w:top w:val="single" w:sz="4" w:space="0" w:color="231EDC" w:themeColor="accent1"/>
              <w:left w:val="single" w:sz="4" w:space="0" w:color="231EDC" w:themeColor="accent1"/>
              <w:bottom w:val="single" w:sz="4" w:space="0" w:color="231EDC" w:themeColor="accent1"/>
              <w:right w:val="single" w:sz="4" w:space="0" w:color="231EDC" w:themeColor="accent1"/>
            </w:tcBorders>
            <w:hideMark/>
          </w:tcPr>
          <w:p w14:paraId="2D0C53AB" w14:textId="77777777" w:rsidR="00A85EE4" w:rsidRPr="00A134A7" w:rsidRDefault="00A85EE4" w:rsidP="003D28D9">
            <w:pPr>
              <w:pStyle w:val="TableNumber"/>
              <w:rPr>
                <w:rFonts w:cs="Arial"/>
                <w:lang w:val="en-AU"/>
              </w:rPr>
            </w:pPr>
          </w:p>
        </w:tc>
        <w:tc>
          <w:tcPr>
            <w:tcW w:w="4680"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vAlign w:val="center"/>
            <w:hideMark/>
          </w:tcPr>
          <w:p w14:paraId="4CF296D9" w14:textId="77777777" w:rsidR="00A85EE4" w:rsidRPr="00A134A7" w:rsidRDefault="00A85EE4" w:rsidP="003D28D9">
            <w:pPr>
              <w:pStyle w:val="TableText"/>
              <w:rPr>
                <w:rFonts w:cs="Arial"/>
                <w:lang w:val="en-AU"/>
              </w:rPr>
            </w:pPr>
            <w:r w:rsidRPr="005D74D1">
              <w:rPr>
                <w:rFonts w:cs="Arial"/>
              </w:rPr>
              <w:t>PSP3: Mitigating the risks of small dams</w:t>
            </w:r>
          </w:p>
        </w:tc>
        <w:tc>
          <w:tcPr>
            <w:tcW w:w="1993"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noWrap/>
            <w:vAlign w:val="center"/>
            <w:hideMark/>
          </w:tcPr>
          <w:p w14:paraId="1191D781" w14:textId="77777777" w:rsidR="00A85EE4" w:rsidRPr="00A134A7" w:rsidRDefault="00A85EE4" w:rsidP="003D28D9">
            <w:pPr>
              <w:pStyle w:val="TableText"/>
              <w:rPr>
                <w:rFonts w:cs="Arial"/>
                <w:lang w:val="en-AU"/>
              </w:rPr>
            </w:pPr>
            <w:r w:rsidRPr="005D74D1">
              <w:rPr>
                <w:rFonts w:cs="Arial"/>
              </w:rPr>
              <w:t xml:space="preserve">$3,000,000 </w:t>
            </w:r>
          </w:p>
        </w:tc>
      </w:tr>
      <w:tr w:rsidR="00A85EE4" w:rsidRPr="005D74D1" w14:paraId="64CB87B1" w14:textId="77777777" w:rsidTr="00140664">
        <w:trPr>
          <w:trHeight w:val="586"/>
        </w:trPr>
        <w:tc>
          <w:tcPr>
            <w:tcW w:w="2965" w:type="dxa"/>
            <w:vMerge w:val="restart"/>
            <w:tcBorders>
              <w:top w:val="single" w:sz="4" w:space="0" w:color="231EDC" w:themeColor="accent1"/>
              <w:left w:val="single" w:sz="4" w:space="0" w:color="231EDC" w:themeColor="accent1"/>
              <w:bottom w:val="single" w:sz="4" w:space="0" w:color="231EDC" w:themeColor="accent1"/>
              <w:right w:val="single" w:sz="4" w:space="0" w:color="231EDC" w:themeColor="accent1"/>
            </w:tcBorders>
            <w:shd w:val="clear" w:color="auto" w:fill="auto"/>
            <w:hideMark/>
          </w:tcPr>
          <w:p w14:paraId="189F4178" w14:textId="64103C98" w:rsidR="00A85EE4" w:rsidRPr="00A134A7" w:rsidRDefault="00A85EE4" w:rsidP="003D28D9">
            <w:pPr>
              <w:pStyle w:val="TableNumber"/>
              <w:rPr>
                <w:rFonts w:cs="Arial"/>
                <w:lang w:val="en-AU"/>
              </w:rPr>
            </w:pPr>
            <w:r w:rsidRPr="005D74D1">
              <w:rPr>
                <w:rFonts w:cs="Arial"/>
              </w:rPr>
              <w:t>Phase One Implementation of the Central and Gippsland Region Sustainable Water Strategy</w:t>
            </w:r>
            <w:r w:rsidR="007063E4" w:rsidRPr="005D74D1">
              <w:rPr>
                <w:rFonts w:cs="Arial"/>
              </w:rPr>
              <w:t xml:space="preserve"> </w:t>
            </w:r>
          </w:p>
        </w:tc>
        <w:tc>
          <w:tcPr>
            <w:tcW w:w="4680"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vAlign w:val="center"/>
          </w:tcPr>
          <w:p w14:paraId="309F4CF8" w14:textId="3B9C98C3" w:rsidR="00A85EE4" w:rsidRPr="00A134A7" w:rsidRDefault="00A85EE4" w:rsidP="003D28D9">
            <w:pPr>
              <w:pStyle w:val="TableText"/>
              <w:rPr>
                <w:rFonts w:cs="Arial"/>
                <w:lang w:val="en-AU"/>
              </w:rPr>
            </w:pPr>
            <w:r w:rsidRPr="005D74D1">
              <w:rPr>
                <w:rFonts w:cs="Arial"/>
              </w:rPr>
              <w:t xml:space="preserve">CWCT07: CGRSWS </w:t>
            </w:r>
            <w:r w:rsidR="005707E5" w:rsidRPr="005D74D1">
              <w:rPr>
                <w:rFonts w:cs="Arial"/>
              </w:rPr>
              <w:t>Funding</w:t>
            </w:r>
            <w:r w:rsidRPr="005D74D1">
              <w:rPr>
                <w:rFonts w:cs="Arial"/>
              </w:rPr>
              <w:t xml:space="preserve"> Stream 2 Diversify </w:t>
            </w:r>
            <w:r w:rsidR="00005AAA" w:rsidRPr="005D74D1">
              <w:rPr>
                <w:rFonts w:cs="Arial"/>
              </w:rPr>
              <w:t>W</w:t>
            </w:r>
            <w:r w:rsidRPr="005D74D1">
              <w:rPr>
                <w:rFonts w:cs="Arial"/>
              </w:rPr>
              <w:t xml:space="preserve">ater </w:t>
            </w:r>
            <w:r w:rsidR="00005AAA" w:rsidRPr="005D74D1">
              <w:rPr>
                <w:rFonts w:cs="Arial"/>
              </w:rPr>
              <w:t>S</w:t>
            </w:r>
            <w:r w:rsidRPr="005D74D1">
              <w:rPr>
                <w:rFonts w:cs="Arial"/>
              </w:rPr>
              <w:t xml:space="preserve">ources and </w:t>
            </w:r>
            <w:r w:rsidR="00005AAA" w:rsidRPr="005D74D1">
              <w:rPr>
                <w:rFonts w:cs="Arial"/>
              </w:rPr>
              <w:t>I</w:t>
            </w:r>
            <w:r w:rsidRPr="005D74D1">
              <w:rPr>
                <w:rFonts w:cs="Arial"/>
              </w:rPr>
              <w:t xml:space="preserve">ncrease </w:t>
            </w:r>
            <w:r w:rsidR="00005AAA" w:rsidRPr="005D74D1">
              <w:rPr>
                <w:rFonts w:cs="Arial"/>
              </w:rPr>
              <w:t>W</w:t>
            </w:r>
            <w:r w:rsidRPr="005D74D1">
              <w:rPr>
                <w:rFonts w:cs="Arial"/>
              </w:rPr>
              <w:t xml:space="preserve">ater </w:t>
            </w:r>
            <w:r w:rsidR="00005AAA" w:rsidRPr="005D74D1">
              <w:rPr>
                <w:rFonts w:cs="Arial"/>
              </w:rPr>
              <w:t>E</w:t>
            </w:r>
            <w:r w:rsidRPr="005D74D1">
              <w:rPr>
                <w:rFonts w:cs="Arial"/>
              </w:rPr>
              <w:t xml:space="preserve">fficiency </w:t>
            </w:r>
          </w:p>
        </w:tc>
        <w:tc>
          <w:tcPr>
            <w:tcW w:w="1993"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vAlign w:val="center"/>
          </w:tcPr>
          <w:p w14:paraId="6A589EA8" w14:textId="7C9B7E4F" w:rsidR="00A85EE4" w:rsidRPr="00A134A7" w:rsidRDefault="1676D7D3" w:rsidP="003D28D9">
            <w:pPr>
              <w:pStyle w:val="TableText"/>
              <w:rPr>
                <w:rFonts w:cs="Arial"/>
                <w:lang w:val="en-AU"/>
              </w:rPr>
            </w:pPr>
            <w:r w:rsidRPr="005D74D1">
              <w:rPr>
                <w:rFonts w:cs="Arial"/>
              </w:rPr>
              <w:t>$39,029,000</w:t>
            </w:r>
          </w:p>
        </w:tc>
      </w:tr>
      <w:tr w:rsidR="00A85EE4" w:rsidRPr="005D74D1" w14:paraId="7B85F7CD" w14:textId="77777777" w:rsidTr="00140664">
        <w:trPr>
          <w:trHeight w:val="288"/>
        </w:trPr>
        <w:tc>
          <w:tcPr>
            <w:tcW w:w="2965" w:type="dxa"/>
            <w:vMerge/>
            <w:tcBorders>
              <w:top w:val="single" w:sz="4" w:space="0" w:color="231EDC" w:themeColor="accent1"/>
              <w:left w:val="single" w:sz="4" w:space="0" w:color="231EDC" w:themeColor="accent1"/>
              <w:bottom w:val="single" w:sz="4" w:space="0" w:color="231EDC" w:themeColor="accent1"/>
              <w:right w:val="single" w:sz="4" w:space="0" w:color="231EDC" w:themeColor="accent1"/>
            </w:tcBorders>
            <w:hideMark/>
          </w:tcPr>
          <w:p w14:paraId="6F218A62" w14:textId="77777777" w:rsidR="00A85EE4" w:rsidRPr="00A134A7" w:rsidRDefault="00A85EE4" w:rsidP="003D28D9">
            <w:pPr>
              <w:pStyle w:val="TableNumber"/>
              <w:rPr>
                <w:rFonts w:cs="Arial"/>
                <w:lang w:val="en-AU"/>
              </w:rPr>
            </w:pPr>
          </w:p>
        </w:tc>
        <w:tc>
          <w:tcPr>
            <w:tcW w:w="4680"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vAlign w:val="center"/>
            <w:hideMark/>
          </w:tcPr>
          <w:p w14:paraId="74C6BFD1" w14:textId="3531AA26" w:rsidR="00A85EE4" w:rsidRPr="00A134A7" w:rsidRDefault="00A85EE4" w:rsidP="003D28D9">
            <w:pPr>
              <w:pStyle w:val="TableText"/>
              <w:rPr>
                <w:rFonts w:cs="Arial"/>
                <w:lang w:val="en-AU"/>
              </w:rPr>
            </w:pPr>
            <w:r w:rsidRPr="005D74D1">
              <w:rPr>
                <w:rFonts w:cs="Arial"/>
              </w:rPr>
              <w:t xml:space="preserve">CWCT08: CGRSWS </w:t>
            </w:r>
            <w:r w:rsidR="005707E5" w:rsidRPr="005D74D1">
              <w:rPr>
                <w:rFonts w:cs="Arial"/>
              </w:rPr>
              <w:t>Funding</w:t>
            </w:r>
            <w:r w:rsidRPr="005D74D1">
              <w:rPr>
                <w:rFonts w:cs="Arial"/>
              </w:rPr>
              <w:t xml:space="preserve"> Stream 3 Waterway Health </w:t>
            </w:r>
            <w:r w:rsidR="00005AAA" w:rsidRPr="005D74D1">
              <w:rPr>
                <w:rFonts w:cs="Arial"/>
              </w:rPr>
              <w:t>C</w:t>
            </w:r>
            <w:r w:rsidRPr="005D74D1">
              <w:rPr>
                <w:rFonts w:cs="Arial"/>
              </w:rPr>
              <w:t xml:space="preserve">omplementary </w:t>
            </w:r>
            <w:r w:rsidR="00005AAA" w:rsidRPr="005D74D1">
              <w:rPr>
                <w:rFonts w:cs="Arial"/>
              </w:rPr>
              <w:t>M</w:t>
            </w:r>
            <w:r w:rsidRPr="005D74D1">
              <w:rPr>
                <w:rFonts w:cs="Arial"/>
              </w:rPr>
              <w:t xml:space="preserve">easures and </w:t>
            </w:r>
            <w:r w:rsidR="00005AAA" w:rsidRPr="005D74D1">
              <w:rPr>
                <w:rFonts w:cs="Arial"/>
              </w:rPr>
              <w:t>C</w:t>
            </w:r>
            <w:r w:rsidRPr="005D74D1">
              <w:rPr>
                <w:rFonts w:cs="Arial"/>
              </w:rPr>
              <w:t xml:space="preserve">atchment </w:t>
            </w:r>
            <w:r w:rsidR="00005AAA" w:rsidRPr="005D74D1">
              <w:rPr>
                <w:rFonts w:cs="Arial"/>
              </w:rPr>
              <w:t>M</w:t>
            </w:r>
            <w:r w:rsidRPr="005D74D1">
              <w:rPr>
                <w:rFonts w:cs="Arial"/>
              </w:rPr>
              <w:t xml:space="preserve">anagement </w:t>
            </w:r>
            <w:r w:rsidR="00005AAA" w:rsidRPr="005D74D1">
              <w:rPr>
                <w:rFonts w:cs="Arial"/>
              </w:rPr>
              <w:t>I</w:t>
            </w:r>
            <w:r w:rsidRPr="005D74D1">
              <w:rPr>
                <w:rFonts w:cs="Arial"/>
              </w:rPr>
              <w:t xml:space="preserve">mprovement </w:t>
            </w:r>
          </w:p>
        </w:tc>
        <w:tc>
          <w:tcPr>
            <w:tcW w:w="1993"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noWrap/>
            <w:vAlign w:val="center"/>
            <w:hideMark/>
          </w:tcPr>
          <w:p w14:paraId="07B9BCA0" w14:textId="7449A058" w:rsidR="00A85EE4" w:rsidRPr="00A134A7" w:rsidRDefault="299D381D" w:rsidP="003D28D9">
            <w:pPr>
              <w:pStyle w:val="TableText"/>
              <w:rPr>
                <w:rFonts w:cs="Arial"/>
                <w:lang w:val="en-AU"/>
              </w:rPr>
            </w:pPr>
            <w:r w:rsidRPr="005D74D1">
              <w:rPr>
                <w:rFonts w:cs="Arial"/>
              </w:rPr>
              <w:t>$9,975,000</w:t>
            </w:r>
          </w:p>
        </w:tc>
      </w:tr>
      <w:tr w:rsidR="00A85EE4" w:rsidRPr="005D74D1" w14:paraId="0DDAAE5A" w14:textId="77777777" w:rsidTr="00140664">
        <w:trPr>
          <w:trHeight w:val="288"/>
        </w:trPr>
        <w:tc>
          <w:tcPr>
            <w:tcW w:w="2965" w:type="dxa"/>
            <w:vMerge/>
            <w:tcBorders>
              <w:top w:val="single" w:sz="4" w:space="0" w:color="231EDC" w:themeColor="accent1"/>
              <w:left w:val="single" w:sz="4" w:space="0" w:color="231EDC" w:themeColor="accent1"/>
              <w:bottom w:val="single" w:sz="4" w:space="0" w:color="231EDC" w:themeColor="accent1"/>
              <w:right w:val="single" w:sz="4" w:space="0" w:color="231EDC" w:themeColor="accent1"/>
            </w:tcBorders>
            <w:hideMark/>
          </w:tcPr>
          <w:p w14:paraId="5D805DB8" w14:textId="77777777" w:rsidR="00A85EE4" w:rsidRPr="00A134A7" w:rsidRDefault="00A85EE4" w:rsidP="003D28D9">
            <w:pPr>
              <w:pStyle w:val="TableNumber"/>
              <w:rPr>
                <w:rFonts w:cs="Arial"/>
                <w:lang w:val="en-AU"/>
              </w:rPr>
            </w:pPr>
          </w:p>
        </w:tc>
        <w:tc>
          <w:tcPr>
            <w:tcW w:w="4680"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vAlign w:val="center"/>
            <w:hideMark/>
          </w:tcPr>
          <w:p w14:paraId="20984B90" w14:textId="3207E706" w:rsidR="00A85EE4" w:rsidRPr="00A134A7" w:rsidRDefault="00A85EE4" w:rsidP="003D28D9">
            <w:pPr>
              <w:pStyle w:val="TableText"/>
              <w:rPr>
                <w:rFonts w:cs="Arial"/>
                <w:lang w:val="en-AU"/>
              </w:rPr>
            </w:pPr>
            <w:r w:rsidRPr="005D74D1">
              <w:rPr>
                <w:rFonts w:cs="Arial"/>
              </w:rPr>
              <w:t xml:space="preserve">PSP4: CGRSWS - </w:t>
            </w:r>
            <w:r w:rsidR="1EE3E1A1" w:rsidRPr="005D74D1">
              <w:rPr>
                <w:rFonts w:cs="Arial"/>
              </w:rPr>
              <w:t>Funding</w:t>
            </w:r>
            <w:r w:rsidRPr="005D74D1">
              <w:rPr>
                <w:rFonts w:cs="Arial"/>
              </w:rPr>
              <w:t xml:space="preserve"> Stream 4 Enable </w:t>
            </w:r>
            <w:r w:rsidR="00005AAA" w:rsidRPr="005D74D1">
              <w:rPr>
                <w:rFonts w:cs="Arial"/>
              </w:rPr>
              <w:t>A</w:t>
            </w:r>
            <w:r w:rsidRPr="005D74D1">
              <w:rPr>
                <w:rFonts w:cs="Arial"/>
              </w:rPr>
              <w:t xml:space="preserve">daptation to a </w:t>
            </w:r>
            <w:r w:rsidR="00005AAA" w:rsidRPr="005D74D1">
              <w:rPr>
                <w:rFonts w:cs="Arial"/>
              </w:rPr>
              <w:t>V</w:t>
            </w:r>
            <w:r w:rsidRPr="005D74D1">
              <w:rPr>
                <w:rFonts w:cs="Arial"/>
              </w:rPr>
              <w:t xml:space="preserve">ariable </w:t>
            </w:r>
            <w:r w:rsidR="00005AAA" w:rsidRPr="005D74D1">
              <w:rPr>
                <w:rFonts w:cs="Arial"/>
              </w:rPr>
              <w:t>C</w:t>
            </w:r>
            <w:r w:rsidRPr="005D74D1">
              <w:rPr>
                <w:rFonts w:cs="Arial"/>
              </w:rPr>
              <w:t xml:space="preserve">limate </w:t>
            </w:r>
          </w:p>
        </w:tc>
        <w:tc>
          <w:tcPr>
            <w:tcW w:w="1993"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noWrap/>
            <w:vAlign w:val="center"/>
            <w:hideMark/>
          </w:tcPr>
          <w:p w14:paraId="0D97A67C" w14:textId="77777777" w:rsidR="00A85EE4" w:rsidRPr="00A134A7" w:rsidRDefault="00A85EE4" w:rsidP="003D28D9">
            <w:pPr>
              <w:pStyle w:val="TableText"/>
              <w:rPr>
                <w:rFonts w:cs="Arial"/>
                <w:lang w:val="en-AU"/>
              </w:rPr>
            </w:pPr>
            <w:r w:rsidRPr="005D74D1">
              <w:rPr>
                <w:rFonts w:cs="Arial"/>
              </w:rPr>
              <w:t xml:space="preserve">$5,987,000 </w:t>
            </w:r>
          </w:p>
        </w:tc>
      </w:tr>
      <w:tr w:rsidR="00A85EE4" w:rsidRPr="005D74D1" w14:paraId="41E4A396" w14:textId="77777777" w:rsidTr="00140664">
        <w:trPr>
          <w:trHeight w:val="288"/>
        </w:trPr>
        <w:tc>
          <w:tcPr>
            <w:tcW w:w="2965"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shd w:val="clear" w:color="auto" w:fill="auto"/>
            <w:hideMark/>
          </w:tcPr>
          <w:p w14:paraId="195F7B3B" w14:textId="5A67AE29" w:rsidR="00A85EE4" w:rsidRPr="00A134A7" w:rsidRDefault="00A85EE4" w:rsidP="003D28D9">
            <w:pPr>
              <w:pStyle w:val="TableNumber"/>
              <w:rPr>
                <w:rFonts w:cs="Arial"/>
                <w:lang w:val="en-AU"/>
              </w:rPr>
            </w:pPr>
            <w:r w:rsidRPr="005D74D1">
              <w:rPr>
                <w:rFonts w:cs="Arial"/>
              </w:rPr>
              <w:t>Building flood resilience in Victoria</w:t>
            </w:r>
          </w:p>
        </w:tc>
        <w:tc>
          <w:tcPr>
            <w:tcW w:w="4680"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vAlign w:val="center"/>
            <w:hideMark/>
          </w:tcPr>
          <w:p w14:paraId="7F073350" w14:textId="77777777" w:rsidR="00A85EE4" w:rsidRPr="00A134A7" w:rsidRDefault="00A85EE4" w:rsidP="003D28D9">
            <w:pPr>
              <w:pStyle w:val="TableText"/>
              <w:rPr>
                <w:rFonts w:cs="Arial"/>
                <w:lang w:val="en-AU"/>
              </w:rPr>
            </w:pPr>
            <w:r w:rsidRPr="005D74D1">
              <w:rPr>
                <w:rFonts w:cs="Arial"/>
              </w:rPr>
              <w:t xml:space="preserve">SIRS3: Building Flood Resilience in Victoria </w:t>
            </w:r>
          </w:p>
        </w:tc>
        <w:tc>
          <w:tcPr>
            <w:tcW w:w="1993"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noWrap/>
            <w:vAlign w:val="center"/>
            <w:hideMark/>
          </w:tcPr>
          <w:p w14:paraId="52487CB2" w14:textId="77777777" w:rsidR="00A85EE4" w:rsidRPr="00A134A7" w:rsidRDefault="00A85EE4" w:rsidP="003D28D9">
            <w:pPr>
              <w:pStyle w:val="TableText"/>
              <w:rPr>
                <w:rFonts w:cs="Arial"/>
                <w:lang w:val="en-AU"/>
              </w:rPr>
            </w:pPr>
            <w:r w:rsidRPr="005D74D1">
              <w:rPr>
                <w:rFonts w:cs="Arial"/>
              </w:rPr>
              <w:t xml:space="preserve">$26,700,000 </w:t>
            </w:r>
          </w:p>
        </w:tc>
      </w:tr>
      <w:tr w:rsidR="00A85EE4" w:rsidRPr="005D74D1" w14:paraId="72C48103" w14:textId="77777777" w:rsidTr="00140664">
        <w:trPr>
          <w:trHeight w:val="288"/>
        </w:trPr>
        <w:tc>
          <w:tcPr>
            <w:tcW w:w="2965"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shd w:val="clear" w:color="auto" w:fill="auto"/>
            <w:hideMark/>
          </w:tcPr>
          <w:p w14:paraId="7B64930C" w14:textId="68EC74AF" w:rsidR="00A85EE4" w:rsidRPr="00A134A7" w:rsidRDefault="00A85EE4" w:rsidP="003D28D9">
            <w:pPr>
              <w:pStyle w:val="TableNumber"/>
              <w:rPr>
                <w:rFonts w:cs="Arial"/>
                <w:lang w:val="en-AU"/>
              </w:rPr>
            </w:pPr>
            <w:r w:rsidRPr="005D74D1">
              <w:rPr>
                <w:rFonts w:cs="Arial"/>
              </w:rPr>
              <w:t>Bendigo Groundwater Management</w:t>
            </w:r>
          </w:p>
        </w:tc>
        <w:tc>
          <w:tcPr>
            <w:tcW w:w="4680"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vAlign w:val="center"/>
            <w:hideMark/>
          </w:tcPr>
          <w:p w14:paraId="5C6A203B" w14:textId="175B2BCA" w:rsidR="00A85EE4" w:rsidRPr="00A134A7" w:rsidRDefault="00A85EE4" w:rsidP="003D28D9">
            <w:pPr>
              <w:pStyle w:val="TableText"/>
              <w:rPr>
                <w:rFonts w:cs="Arial"/>
                <w:lang w:val="en-AU"/>
              </w:rPr>
            </w:pPr>
            <w:r w:rsidRPr="005D74D1">
              <w:rPr>
                <w:rFonts w:cs="Arial"/>
              </w:rPr>
              <w:t xml:space="preserve">SIRS4: Central Bendigo Mine Rehabilitation Project - Groundwater </w:t>
            </w:r>
          </w:p>
        </w:tc>
        <w:tc>
          <w:tcPr>
            <w:tcW w:w="1993"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noWrap/>
            <w:vAlign w:val="center"/>
            <w:hideMark/>
          </w:tcPr>
          <w:p w14:paraId="6E634E6C" w14:textId="77777777" w:rsidR="00A85EE4" w:rsidRPr="00A134A7" w:rsidRDefault="00A85EE4" w:rsidP="003D28D9">
            <w:pPr>
              <w:pStyle w:val="TableText"/>
              <w:rPr>
                <w:rFonts w:cs="Arial"/>
                <w:lang w:val="en-AU"/>
              </w:rPr>
            </w:pPr>
            <w:r w:rsidRPr="005D74D1">
              <w:rPr>
                <w:rFonts w:cs="Arial"/>
              </w:rPr>
              <w:t xml:space="preserve"> $4,353,000</w:t>
            </w:r>
          </w:p>
        </w:tc>
      </w:tr>
      <w:tr w:rsidR="00A85EE4" w:rsidRPr="005D74D1" w14:paraId="31ACF621" w14:textId="77777777" w:rsidTr="00140664">
        <w:trPr>
          <w:trHeight w:val="495"/>
        </w:trPr>
        <w:tc>
          <w:tcPr>
            <w:tcW w:w="2965" w:type="dxa"/>
            <w:vMerge w:val="restart"/>
            <w:tcBorders>
              <w:top w:val="single" w:sz="4" w:space="0" w:color="231EDC" w:themeColor="accent1"/>
              <w:left w:val="single" w:sz="4" w:space="0" w:color="231EDC" w:themeColor="accent1"/>
              <w:bottom w:val="single" w:sz="4" w:space="0" w:color="231EDC" w:themeColor="accent1"/>
              <w:right w:val="single" w:sz="4" w:space="0" w:color="231EDC" w:themeColor="accent1"/>
            </w:tcBorders>
            <w:shd w:val="clear" w:color="auto" w:fill="auto"/>
            <w:hideMark/>
          </w:tcPr>
          <w:p w14:paraId="779652FD" w14:textId="5E38A54F" w:rsidR="00A85EE4" w:rsidRPr="00A134A7" w:rsidRDefault="00A85EE4" w:rsidP="003D28D9">
            <w:pPr>
              <w:pStyle w:val="TableNumber"/>
              <w:rPr>
                <w:rFonts w:cs="Arial"/>
                <w:lang w:val="en-AU"/>
              </w:rPr>
            </w:pPr>
            <w:r w:rsidRPr="005D74D1">
              <w:rPr>
                <w:rFonts w:cs="Arial"/>
              </w:rPr>
              <w:t xml:space="preserve">Improving the health of Victoria’s waterways and catchments in the face of escalating impacts of </w:t>
            </w:r>
            <w:r w:rsidRPr="005D74D1">
              <w:rPr>
                <w:rFonts w:cs="Arial"/>
              </w:rPr>
              <w:lastRenderedPageBreak/>
              <w:t>climate change</w:t>
            </w:r>
            <w:r w:rsidRPr="005D74D1">
              <w:rPr>
                <w:rFonts w:cs="Arial"/>
              </w:rPr>
              <w:br/>
              <w:t>Supporting regional communities and economic recovery through healthy waterways</w:t>
            </w:r>
          </w:p>
        </w:tc>
        <w:tc>
          <w:tcPr>
            <w:tcW w:w="4680"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vAlign w:val="center"/>
            <w:hideMark/>
          </w:tcPr>
          <w:p w14:paraId="5CFA9A56" w14:textId="77777777" w:rsidR="00A85EE4" w:rsidRPr="00A134A7" w:rsidRDefault="00A85EE4" w:rsidP="003D28D9">
            <w:pPr>
              <w:pStyle w:val="TableText"/>
              <w:rPr>
                <w:rFonts w:cs="Arial"/>
                <w:lang w:val="en-AU"/>
              </w:rPr>
            </w:pPr>
            <w:r w:rsidRPr="005D74D1">
              <w:rPr>
                <w:rFonts w:cs="Arial"/>
              </w:rPr>
              <w:lastRenderedPageBreak/>
              <w:t>CWCT09: Waterway Health</w:t>
            </w:r>
          </w:p>
        </w:tc>
        <w:tc>
          <w:tcPr>
            <w:tcW w:w="1993"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noWrap/>
            <w:vAlign w:val="center"/>
            <w:hideMark/>
          </w:tcPr>
          <w:p w14:paraId="14FFBAC6" w14:textId="77777777" w:rsidR="00A85EE4" w:rsidRPr="00A134A7" w:rsidRDefault="00A85EE4" w:rsidP="003D28D9">
            <w:pPr>
              <w:pStyle w:val="TableText"/>
              <w:rPr>
                <w:rFonts w:cs="Arial"/>
                <w:lang w:val="en-AU"/>
              </w:rPr>
            </w:pPr>
            <w:r w:rsidRPr="005D74D1">
              <w:rPr>
                <w:rFonts w:cs="Arial"/>
              </w:rPr>
              <w:t>$125,980,000</w:t>
            </w:r>
          </w:p>
        </w:tc>
      </w:tr>
      <w:tr w:rsidR="00A85EE4" w:rsidRPr="005D74D1" w14:paraId="063B3CDB" w14:textId="77777777" w:rsidTr="00140664">
        <w:trPr>
          <w:trHeight w:val="495"/>
        </w:trPr>
        <w:tc>
          <w:tcPr>
            <w:tcW w:w="2965" w:type="dxa"/>
            <w:vMerge/>
            <w:tcBorders>
              <w:top w:val="single" w:sz="4" w:space="0" w:color="231EDC" w:themeColor="accent1"/>
              <w:left w:val="single" w:sz="4" w:space="0" w:color="231EDC" w:themeColor="accent1"/>
              <w:bottom w:val="single" w:sz="4" w:space="0" w:color="231EDC" w:themeColor="accent1"/>
              <w:right w:val="single" w:sz="4" w:space="0" w:color="231EDC" w:themeColor="accent1"/>
            </w:tcBorders>
            <w:hideMark/>
          </w:tcPr>
          <w:p w14:paraId="536B0C4E" w14:textId="77777777" w:rsidR="00A85EE4" w:rsidRPr="00A134A7" w:rsidRDefault="00A85EE4" w:rsidP="003D28D9">
            <w:pPr>
              <w:pStyle w:val="TableNumber"/>
              <w:rPr>
                <w:rFonts w:cs="Arial"/>
                <w:lang w:val="en-AU"/>
              </w:rPr>
            </w:pPr>
          </w:p>
        </w:tc>
        <w:tc>
          <w:tcPr>
            <w:tcW w:w="4680"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vAlign w:val="center"/>
            <w:hideMark/>
          </w:tcPr>
          <w:p w14:paraId="4CC3EEA4" w14:textId="77777777" w:rsidR="00A85EE4" w:rsidRPr="00A134A7" w:rsidRDefault="00A85EE4" w:rsidP="003D28D9">
            <w:pPr>
              <w:pStyle w:val="TableText"/>
              <w:rPr>
                <w:rFonts w:cs="Arial"/>
                <w:lang w:val="en-AU"/>
              </w:rPr>
            </w:pPr>
            <w:r w:rsidRPr="005D74D1">
              <w:rPr>
                <w:rFonts w:cs="Arial"/>
              </w:rPr>
              <w:t>CWCT10: Environmental Water</w:t>
            </w:r>
          </w:p>
        </w:tc>
        <w:tc>
          <w:tcPr>
            <w:tcW w:w="1993"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noWrap/>
            <w:vAlign w:val="center"/>
            <w:hideMark/>
          </w:tcPr>
          <w:p w14:paraId="13A6EF69" w14:textId="77777777" w:rsidR="00A85EE4" w:rsidRPr="00A134A7" w:rsidRDefault="00A85EE4" w:rsidP="003D28D9">
            <w:pPr>
              <w:pStyle w:val="TableText"/>
              <w:rPr>
                <w:rFonts w:cs="Arial"/>
                <w:lang w:val="en-AU"/>
              </w:rPr>
            </w:pPr>
            <w:r w:rsidRPr="005D74D1">
              <w:rPr>
                <w:rFonts w:cs="Arial"/>
              </w:rPr>
              <w:t xml:space="preserve">$67,194,000 </w:t>
            </w:r>
          </w:p>
        </w:tc>
      </w:tr>
      <w:tr w:rsidR="00A85EE4" w:rsidRPr="005D74D1" w14:paraId="1B82E419" w14:textId="77777777" w:rsidTr="00140664">
        <w:trPr>
          <w:trHeight w:val="495"/>
        </w:trPr>
        <w:tc>
          <w:tcPr>
            <w:tcW w:w="2965" w:type="dxa"/>
            <w:vMerge/>
            <w:tcBorders>
              <w:top w:val="single" w:sz="4" w:space="0" w:color="231EDC" w:themeColor="accent1"/>
              <w:left w:val="single" w:sz="4" w:space="0" w:color="231EDC" w:themeColor="accent1"/>
              <w:bottom w:val="single" w:sz="4" w:space="0" w:color="231EDC" w:themeColor="accent1"/>
              <w:right w:val="single" w:sz="4" w:space="0" w:color="231EDC" w:themeColor="accent1"/>
            </w:tcBorders>
            <w:hideMark/>
          </w:tcPr>
          <w:p w14:paraId="299A4965" w14:textId="77777777" w:rsidR="00A85EE4" w:rsidRPr="00A134A7" w:rsidRDefault="00A85EE4" w:rsidP="003D28D9">
            <w:pPr>
              <w:pStyle w:val="TableNumber"/>
              <w:rPr>
                <w:rFonts w:cs="Arial"/>
                <w:lang w:val="en-AU"/>
              </w:rPr>
            </w:pPr>
          </w:p>
        </w:tc>
        <w:tc>
          <w:tcPr>
            <w:tcW w:w="4680"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vAlign w:val="center"/>
            <w:hideMark/>
          </w:tcPr>
          <w:p w14:paraId="1EFE6523" w14:textId="74369955" w:rsidR="00A85EE4" w:rsidRPr="00A134A7" w:rsidRDefault="00A85EE4" w:rsidP="003D28D9">
            <w:pPr>
              <w:pStyle w:val="TableText"/>
              <w:rPr>
                <w:rFonts w:cs="Arial"/>
                <w:lang w:val="en-AU"/>
              </w:rPr>
            </w:pPr>
            <w:r w:rsidRPr="005D74D1">
              <w:rPr>
                <w:rFonts w:cs="Arial"/>
              </w:rPr>
              <w:t xml:space="preserve">SIRS6: Murray </w:t>
            </w:r>
            <w:r w:rsidR="00005AAA" w:rsidRPr="005D74D1">
              <w:rPr>
                <w:rFonts w:cs="Arial"/>
              </w:rPr>
              <w:t>P</w:t>
            </w:r>
            <w:r w:rsidRPr="005D74D1">
              <w:rPr>
                <w:rFonts w:cs="Arial"/>
              </w:rPr>
              <w:t>rograms</w:t>
            </w:r>
          </w:p>
        </w:tc>
        <w:tc>
          <w:tcPr>
            <w:tcW w:w="1993"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noWrap/>
            <w:vAlign w:val="center"/>
            <w:hideMark/>
          </w:tcPr>
          <w:p w14:paraId="207AA118" w14:textId="77777777" w:rsidR="00A85EE4" w:rsidRPr="00A134A7" w:rsidRDefault="00A85EE4" w:rsidP="003D28D9">
            <w:pPr>
              <w:pStyle w:val="TableText"/>
              <w:rPr>
                <w:rFonts w:cs="Arial"/>
                <w:lang w:val="en-AU"/>
              </w:rPr>
            </w:pPr>
            <w:r w:rsidRPr="005D74D1">
              <w:rPr>
                <w:rFonts w:cs="Arial"/>
              </w:rPr>
              <w:t>$7,000,000</w:t>
            </w:r>
          </w:p>
        </w:tc>
      </w:tr>
      <w:tr w:rsidR="00A85EE4" w:rsidRPr="005D74D1" w14:paraId="6FDBB3FC" w14:textId="77777777" w:rsidTr="00140664">
        <w:trPr>
          <w:trHeight w:val="179"/>
        </w:trPr>
        <w:tc>
          <w:tcPr>
            <w:tcW w:w="2965" w:type="dxa"/>
            <w:vMerge/>
            <w:tcBorders>
              <w:top w:val="single" w:sz="4" w:space="0" w:color="231EDC" w:themeColor="accent1"/>
              <w:left w:val="single" w:sz="4" w:space="0" w:color="231EDC" w:themeColor="accent1"/>
              <w:bottom w:val="single" w:sz="4" w:space="0" w:color="231EDC" w:themeColor="accent1"/>
              <w:right w:val="single" w:sz="4" w:space="0" w:color="231EDC" w:themeColor="accent1"/>
            </w:tcBorders>
            <w:hideMark/>
          </w:tcPr>
          <w:p w14:paraId="07754669" w14:textId="77777777" w:rsidR="00A85EE4" w:rsidRPr="00A134A7" w:rsidRDefault="00A85EE4" w:rsidP="003D28D9">
            <w:pPr>
              <w:pStyle w:val="TableNumber"/>
              <w:rPr>
                <w:rFonts w:cs="Arial"/>
                <w:lang w:val="en-AU"/>
              </w:rPr>
            </w:pPr>
          </w:p>
        </w:tc>
        <w:tc>
          <w:tcPr>
            <w:tcW w:w="4680"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vAlign w:val="center"/>
            <w:hideMark/>
          </w:tcPr>
          <w:p w14:paraId="391AEDE1" w14:textId="77777777" w:rsidR="00A85EE4" w:rsidRPr="00A134A7" w:rsidRDefault="00A85EE4" w:rsidP="003D28D9">
            <w:pPr>
              <w:pStyle w:val="TableText"/>
              <w:rPr>
                <w:rFonts w:cs="Arial"/>
                <w:lang w:val="en-AU"/>
              </w:rPr>
            </w:pPr>
            <w:r w:rsidRPr="005D74D1">
              <w:rPr>
                <w:rFonts w:cs="Arial"/>
              </w:rPr>
              <w:t>CWCT11: Our Catchments Our Communities Program</w:t>
            </w:r>
          </w:p>
        </w:tc>
        <w:tc>
          <w:tcPr>
            <w:tcW w:w="1993" w:type="dxa"/>
            <w:tcBorders>
              <w:top w:val="single" w:sz="4" w:space="0" w:color="231EDC" w:themeColor="accent1"/>
              <w:left w:val="single" w:sz="4" w:space="0" w:color="231EDC" w:themeColor="accent1"/>
              <w:bottom w:val="single" w:sz="4" w:space="0" w:color="231EDC" w:themeColor="accent1"/>
              <w:right w:val="single" w:sz="4" w:space="0" w:color="231EDC" w:themeColor="accent1"/>
            </w:tcBorders>
            <w:noWrap/>
            <w:vAlign w:val="center"/>
            <w:hideMark/>
          </w:tcPr>
          <w:p w14:paraId="5924B25E" w14:textId="77777777" w:rsidR="00A85EE4" w:rsidRPr="00A134A7" w:rsidRDefault="00A85EE4" w:rsidP="003D28D9">
            <w:pPr>
              <w:pStyle w:val="TableText"/>
              <w:rPr>
                <w:rFonts w:cs="Arial"/>
                <w:lang w:val="en-AU"/>
              </w:rPr>
            </w:pPr>
            <w:r w:rsidRPr="005D74D1">
              <w:rPr>
                <w:rFonts w:cs="Arial"/>
              </w:rPr>
              <w:t xml:space="preserve">$21,750,000 </w:t>
            </w:r>
          </w:p>
        </w:tc>
      </w:tr>
      <w:tr w:rsidR="00A85EE4" w:rsidRPr="005D74D1" w14:paraId="2DFC282F" w14:textId="77777777" w:rsidTr="00140664">
        <w:trPr>
          <w:trHeight w:val="70"/>
        </w:trPr>
        <w:tc>
          <w:tcPr>
            <w:tcW w:w="2965" w:type="dxa"/>
            <w:tcBorders>
              <w:top w:val="single" w:sz="4" w:space="0" w:color="231EDC" w:themeColor="accent1"/>
              <w:left w:val="single" w:sz="4" w:space="0" w:color="231EDC" w:themeColor="accent1"/>
              <w:bottom w:val="single" w:sz="4" w:space="0" w:color="auto"/>
              <w:right w:val="single" w:sz="4" w:space="0" w:color="231EDC" w:themeColor="accent1"/>
            </w:tcBorders>
            <w:hideMark/>
          </w:tcPr>
          <w:p w14:paraId="5A94C3B4" w14:textId="067C51F6" w:rsidR="00A85EE4" w:rsidRPr="00A134A7" w:rsidRDefault="00A85EE4" w:rsidP="003D28D9">
            <w:pPr>
              <w:pStyle w:val="TableNumber"/>
              <w:rPr>
                <w:rFonts w:cs="Arial"/>
                <w:lang w:val="en-AU"/>
              </w:rPr>
            </w:pPr>
            <w:r w:rsidRPr="005D74D1">
              <w:rPr>
                <w:rFonts w:cs="Arial"/>
              </w:rPr>
              <w:t>Macalister Irrigation District Modernisation Project - Phase 2</w:t>
            </w:r>
          </w:p>
        </w:tc>
        <w:tc>
          <w:tcPr>
            <w:tcW w:w="4680" w:type="dxa"/>
            <w:tcBorders>
              <w:top w:val="single" w:sz="4" w:space="0" w:color="231EDC" w:themeColor="accent1"/>
              <w:left w:val="single" w:sz="4" w:space="0" w:color="231EDC" w:themeColor="accent1"/>
              <w:bottom w:val="single" w:sz="4" w:space="0" w:color="auto"/>
              <w:right w:val="single" w:sz="4" w:space="0" w:color="231EDC" w:themeColor="accent1"/>
            </w:tcBorders>
            <w:vAlign w:val="center"/>
            <w:hideMark/>
          </w:tcPr>
          <w:p w14:paraId="1824C5A8" w14:textId="77777777" w:rsidR="00A85EE4" w:rsidRPr="00A134A7" w:rsidRDefault="00A85EE4" w:rsidP="003D28D9">
            <w:pPr>
              <w:pStyle w:val="TableText"/>
              <w:rPr>
                <w:rFonts w:cs="Arial"/>
                <w:lang w:val="en-AU"/>
              </w:rPr>
            </w:pPr>
            <w:r w:rsidRPr="005D74D1">
              <w:rPr>
                <w:rFonts w:cs="Arial"/>
              </w:rPr>
              <w:t>SIRS5: Macalister Irrigation District (MID) Modernisation Project - Phase 2</w:t>
            </w:r>
          </w:p>
        </w:tc>
        <w:tc>
          <w:tcPr>
            <w:tcW w:w="1993" w:type="dxa"/>
            <w:tcBorders>
              <w:top w:val="single" w:sz="4" w:space="0" w:color="231EDC" w:themeColor="accent1"/>
              <w:left w:val="single" w:sz="4" w:space="0" w:color="231EDC" w:themeColor="accent1"/>
              <w:bottom w:val="single" w:sz="4" w:space="0" w:color="auto"/>
              <w:right w:val="single" w:sz="4" w:space="0" w:color="231EDC" w:themeColor="accent1"/>
            </w:tcBorders>
            <w:noWrap/>
            <w:vAlign w:val="center"/>
            <w:hideMark/>
          </w:tcPr>
          <w:p w14:paraId="55BF7BC5" w14:textId="57A10FAD" w:rsidR="00A85EE4" w:rsidRPr="00A134A7" w:rsidRDefault="7259072C" w:rsidP="003D28D9">
            <w:pPr>
              <w:pStyle w:val="TableText"/>
              <w:rPr>
                <w:rFonts w:cs="Arial"/>
                <w:lang w:val="en-AU"/>
              </w:rPr>
            </w:pPr>
            <w:r w:rsidRPr="005D74D1">
              <w:rPr>
                <w:rFonts w:cs="Arial"/>
              </w:rPr>
              <w:t>$10,930,000</w:t>
            </w:r>
          </w:p>
        </w:tc>
      </w:tr>
      <w:tr w:rsidR="00A85EE4" w:rsidRPr="005D74D1" w14:paraId="3E09508A" w14:textId="77777777" w:rsidTr="00140664">
        <w:trPr>
          <w:trHeight w:val="602"/>
        </w:trPr>
        <w:tc>
          <w:tcPr>
            <w:tcW w:w="2965" w:type="dxa"/>
            <w:tcBorders>
              <w:top w:val="single" w:sz="4" w:space="0" w:color="auto"/>
              <w:left w:val="single" w:sz="4" w:space="0" w:color="auto"/>
              <w:bottom w:val="single" w:sz="4" w:space="0" w:color="auto"/>
              <w:right w:val="single" w:sz="4" w:space="0" w:color="auto"/>
            </w:tcBorders>
            <w:hideMark/>
          </w:tcPr>
          <w:p w14:paraId="3D9E50F7" w14:textId="6124A5DE" w:rsidR="00A85EE4" w:rsidRPr="00A134A7" w:rsidRDefault="00A85EE4" w:rsidP="003D28D9">
            <w:pPr>
              <w:pStyle w:val="TableNumber"/>
              <w:rPr>
                <w:rFonts w:cs="Arial"/>
                <w:lang w:val="en-AU"/>
              </w:rPr>
            </w:pPr>
            <w:r w:rsidRPr="005D74D1">
              <w:rPr>
                <w:rFonts w:cs="Arial"/>
              </w:rPr>
              <w:t>Resilient Water Markets, Regional Communities</w:t>
            </w:r>
            <w:r w:rsidR="00A41F79" w:rsidRPr="005D74D1">
              <w:rPr>
                <w:rFonts w:cs="Arial"/>
              </w:rPr>
              <w:t>,</w:t>
            </w:r>
            <w:r w:rsidRPr="005D74D1">
              <w:rPr>
                <w:rFonts w:cs="Arial"/>
              </w:rPr>
              <w:t xml:space="preserve"> and Infrastructure</w:t>
            </w:r>
          </w:p>
        </w:tc>
        <w:tc>
          <w:tcPr>
            <w:tcW w:w="4680" w:type="dxa"/>
            <w:tcBorders>
              <w:top w:val="single" w:sz="4" w:space="0" w:color="auto"/>
              <w:left w:val="single" w:sz="4" w:space="0" w:color="auto"/>
              <w:bottom w:val="single" w:sz="4" w:space="0" w:color="auto"/>
              <w:right w:val="single" w:sz="4" w:space="0" w:color="auto"/>
            </w:tcBorders>
            <w:vAlign w:val="center"/>
            <w:hideMark/>
          </w:tcPr>
          <w:p w14:paraId="7D94EEEA" w14:textId="518B9964" w:rsidR="00A85EE4" w:rsidRPr="00A134A7" w:rsidRDefault="00A85EE4" w:rsidP="003D28D9">
            <w:pPr>
              <w:pStyle w:val="TableText"/>
              <w:rPr>
                <w:rFonts w:cs="Arial"/>
                <w:lang w:val="en-AU"/>
              </w:rPr>
            </w:pPr>
            <w:r w:rsidRPr="005D74D1">
              <w:rPr>
                <w:rFonts w:cs="Arial"/>
              </w:rPr>
              <w:t>WRS19: Resilient Water Markets, Regional Communities</w:t>
            </w:r>
            <w:r w:rsidR="00A41F79" w:rsidRPr="005D74D1">
              <w:rPr>
                <w:rFonts w:cs="Arial"/>
              </w:rPr>
              <w:t>,</w:t>
            </w:r>
            <w:r w:rsidRPr="005D74D1">
              <w:rPr>
                <w:rFonts w:cs="Arial"/>
              </w:rPr>
              <w:t xml:space="preserve"> and Infrastructure (Stream 1 and 2)</w:t>
            </w:r>
          </w:p>
        </w:tc>
        <w:tc>
          <w:tcPr>
            <w:tcW w:w="1993" w:type="dxa"/>
            <w:tcBorders>
              <w:top w:val="single" w:sz="4" w:space="0" w:color="auto"/>
              <w:left w:val="single" w:sz="4" w:space="0" w:color="auto"/>
              <w:bottom w:val="single" w:sz="4" w:space="0" w:color="auto"/>
              <w:right w:val="single" w:sz="4" w:space="0" w:color="auto"/>
            </w:tcBorders>
            <w:noWrap/>
            <w:vAlign w:val="center"/>
            <w:hideMark/>
          </w:tcPr>
          <w:p w14:paraId="559E8962" w14:textId="77777777" w:rsidR="00A85EE4" w:rsidRPr="00A134A7" w:rsidRDefault="00A85EE4" w:rsidP="003D28D9">
            <w:pPr>
              <w:pStyle w:val="TableText"/>
              <w:rPr>
                <w:rFonts w:cs="Arial"/>
                <w:lang w:val="en-AU"/>
              </w:rPr>
            </w:pPr>
            <w:r w:rsidRPr="005D74D1">
              <w:rPr>
                <w:rFonts w:cs="Arial"/>
              </w:rPr>
              <w:t xml:space="preserve">$5,589,000 </w:t>
            </w:r>
          </w:p>
        </w:tc>
      </w:tr>
      <w:tr w:rsidR="003D28D9" w:rsidRPr="005D74D1" w14:paraId="3270367B" w14:textId="77777777" w:rsidTr="00140664">
        <w:trPr>
          <w:trHeight w:val="602"/>
        </w:trPr>
        <w:tc>
          <w:tcPr>
            <w:tcW w:w="9638" w:type="dxa"/>
            <w:gridSpan w:val="3"/>
            <w:tcBorders>
              <w:top w:val="single" w:sz="4" w:space="0" w:color="auto"/>
              <w:left w:val="nil"/>
              <w:bottom w:val="nil"/>
              <w:right w:val="nil"/>
            </w:tcBorders>
          </w:tcPr>
          <w:p w14:paraId="158BE22B" w14:textId="22FF8DD6" w:rsidR="003D28D9" w:rsidRPr="00A134A7" w:rsidRDefault="003D28D9" w:rsidP="003D28D9">
            <w:pPr>
              <w:pStyle w:val="SourceCitation0"/>
              <w:rPr>
                <w:rFonts w:cs="Arial"/>
                <w:lang w:val="en-AU"/>
              </w:rPr>
            </w:pPr>
            <w:r w:rsidRPr="005D74D1">
              <w:rPr>
                <w:rFonts w:cs="Arial"/>
              </w:rPr>
              <w:t>Source: DEECA</w:t>
            </w:r>
          </w:p>
        </w:tc>
      </w:tr>
    </w:tbl>
    <w:p w14:paraId="7B42D12C" w14:textId="0F42BDF0" w:rsidR="00794795" w:rsidRPr="005D74D1" w:rsidRDefault="00794795" w:rsidP="00B54F4F">
      <w:pPr>
        <w:pStyle w:val="Heading2"/>
        <w:rPr>
          <w:rFonts w:cs="Arial"/>
        </w:rPr>
      </w:pPr>
      <w:bookmarkStart w:id="73" w:name="_Toc183777358"/>
      <w:r w:rsidRPr="005D74D1">
        <w:rPr>
          <w:rFonts w:cs="Arial"/>
        </w:rPr>
        <w:t>Summary of key outputs of EC5 investment</w:t>
      </w:r>
      <w:bookmarkEnd w:id="69"/>
      <w:bookmarkEnd w:id="73"/>
    </w:p>
    <w:p w14:paraId="7A5A531F" w14:textId="693D6673" w:rsidR="00A50E7D" w:rsidRPr="005D74D1" w:rsidRDefault="00794795" w:rsidP="00794795">
      <w:pPr>
        <w:pStyle w:val="BodyText"/>
        <w:rPr>
          <w:rFonts w:cs="Arial"/>
        </w:rPr>
      </w:pPr>
      <w:r w:rsidRPr="005D74D1">
        <w:rPr>
          <w:rFonts w:cs="Arial"/>
        </w:rPr>
        <w:t xml:space="preserve">A summary of some of the key outputs for each </w:t>
      </w:r>
      <w:r w:rsidR="001A36FB" w:rsidRPr="005D74D1">
        <w:rPr>
          <w:rFonts w:cs="Arial"/>
        </w:rPr>
        <w:t xml:space="preserve">initiative </w:t>
      </w:r>
      <w:r w:rsidRPr="005D74D1">
        <w:rPr>
          <w:rFonts w:cs="Arial"/>
        </w:rPr>
        <w:t xml:space="preserve">is provided </w:t>
      </w:r>
      <w:r w:rsidR="00F73B8D" w:rsidRPr="005D74D1">
        <w:rPr>
          <w:rFonts w:cs="Arial"/>
        </w:rPr>
        <w:t>in</w:t>
      </w:r>
      <w:r w:rsidR="000E50B7" w:rsidRPr="005D74D1">
        <w:rPr>
          <w:rFonts w:cs="Arial"/>
        </w:rPr>
        <w:t xml:space="preserve"> </w:t>
      </w:r>
      <w:r w:rsidR="000E50B7" w:rsidRPr="005D74D1">
        <w:rPr>
          <w:rFonts w:cs="Arial"/>
        </w:rPr>
        <w:fldChar w:fldCharType="begin"/>
      </w:r>
      <w:r w:rsidR="000E50B7" w:rsidRPr="005D74D1">
        <w:rPr>
          <w:rFonts w:cs="Arial"/>
        </w:rPr>
        <w:instrText xml:space="preserve"> REF _Ref183452325 \h </w:instrText>
      </w:r>
      <w:r w:rsidR="005D74D1" w:rsidRPr="005D74D1">
        <w:rPr>
          <w:rFonts w:cs="Arial"/>
        </w:rPr>
        <w:instrText xml:space="preserve"> \* MERGEFORMAT </w:instrText>
      </w:r>
      <w:r w:rsidR="000E50B7" w:rsidRPr="005D74D1">
        <w:rPr>
          <w:rFonts w:cs="Arial"/>
        </w:rPr>
      </w:r>
      <w:r w:rsidR="000E50B7" w:rsidRPr="005D74D1">
        <w:rPr>
          <w:rFonts w:cs="Arial"/>
        </w:rPr>
        <w:fldChar w:fldCharType="separate"/>
      </w:r>
      <w:r w:rsidR="003870A0" w:rsidRPr="005D74D1">
        <w:rPr>
          <w:rFonts w:cs="Arial"/>
        </w:rPr>
        <w:t>Table </w:t>
      </w:r>
      <w:r w:rsidR="003870A0">
        <w:rPr>
          <w:rFonts w:cs="Arial"/>
        </w:rPr>
        <w:t>5</w:t>
      </w:r>
      <w:r w:rsidR="000E50B7" w:rsidRPr="005D74D1">
        <w:rPr>
          <w:rFonts w:cs="Arial"/>
        </w:rPr>
        <w:fldChar w:fldCharType="end"/>
      </w:r>
      <w:r w:rsidRPr="005D74D1">
        <w:rPr>
          <w:rFonts w:cs="Arial"/>
        </w:rPr>
        <w:t xml:space="preserve">. More detailed descriptions of </w:t>
      </w:r>
      <w:r w:rsidR="001A36FB" w:rsidRPr="005D74D1">
        <w:rPr>
          <w:rFonts w:cs="Arial"/>
        </w:rPr>
        <w:t xml:space="preserve">the </w:t>
      </w:r>
      <w:r w:rsidRPr="005D74D1">
        <w:rPr>
          <w:rFonts w:cs="Arial"/>
        </w:rPr>
        <w:t xml:space="preserve">outputs are </w:t>
      </w:r>
      <w:r w:rsidR="001A36FB" w:rsidRPr="005D74D1">
        <w:rPr>
          <w:rFonts w:cs="Arial"/>
        </w:rPr>
        <w:t xml:space="preserve">presented </w:t>
      </w:r>
      <w:r w:rsidRPr="005D74D1">
        <w:rPr>
          <w:rFonts w:cs="Arial"/>
        </w:rPr>
        <w:t>in the</w:t>
      </w:r>
      <w:r w:rsidR="00583213" w:rsidRPr="005D74D1">
        <w:rPr>
          <w:rFonts w:cs="Arial"/>
        </w:rPr>
        <w:t xml:space="preserve"> project</w:t>
      </w:r>
      <w:r w:rsidRPr="005D74D1">
        <w:rPr>
          <w:rFonts w:cs="Arial"/>
        </w:rPr>
        <w:t xml:space="preserve"> evaluation summaries in Appendix A.</w:t>
      </w:r>
    </w:p>
    <w:p w14:paraId="63CD5C76" w14:textId="2AE1D2F3" w:rsidR="00794795" w:rsidRPr="005D74D1" w:rsidRDefault="00794795" w:rsidP="00794795">
      <w:pPr>
        <w:pStyle w:val="TableCaption"/>
        <w:rPr>
          <w:rFonts w:cs="Arial"/>
        </w:rPr>
      </w:pPr>
      <w:bookmarkStart w:id="74" w:name="tab8"/>
      <w:bookmarkStart w:id="75" w:name="_Ref183452325"/>
      <w:bookmarkStart w:id="76" w:name="_Toc184904992"/>
      <w:bookmarkEnd w:id="74"/>
      <w:r w:rsidRPr="005D74D1">
        <w:rPr>
          <w:rFonts w:cs="Arial"/>
        </w:rPr>
        <w:t>Table</w:t>
      </w:r>
      <w:r w:rsidR="0002410C" w:rsidRPr="005D74D1">
        <w:rPr>
          <w:rFonts w:cs="Arial"/>
        </w:rPr>
        <w:t> </w:t>
      </w:r>
      <w:r w:rsidRPr="005D74D1">
        <w:rPr>
          <w:rFonts w:cs="Arial"/>
        </w:rPr>
        <w:fldChar w:fldCharType="begin"/>
      </w:r>
      <w:r w:rsidRPr="005D74D1">
        <w:rPr>
          <w:rFonts w:cs="Arial"/>
        </w:rPr>
        <w:instrText>SEQ Table \* ARABIC</w:instrText>
      </w:r>
      <w:r w:rsidRPr="005D74D1">
        <w:rPr>
          <w:rFonts w:cs="Arial"/>
        </w:rPr>
        <w:fldChar w:fldCharType="separate"/>
      </w:r>
      <w:r w:rsidR="003870A0">
        <w:rPr>
          <w:rFonts w:cs="Arial"/>
          <w:noProof/>
        </w:rPr>
        <w:t>5</w:t>
      </w:r>
      <w:r w:rsidRPr="005D74D1">
        <w:rPr>
          <w:rFonts w:cs="Arial"/>
        </w:rPr>
        <w:fldChar w:fldCharType="end"/>
      </w:r>
      <w:bookmarkEnd w:id="75"/>
      <w:r w:rsidRPr="005D74D1">
        <w:rPr>
          <w:rFonts w:cs="Arial"/>
        </w:rPr>
        <w:t xml:space="preserve">. Examples of key outputs </w:t>
      </w:r>
      <w:r w:rsidR="002A1665" w:rsidRPr="005D74D1">
        <w:rPr>
          <w:rFonts w:cs="Arial"/>
        </w:rPr>
        <w:t>from</w:t>
      </w:r>
      <w:r w:rsidRPr="005D74D1">
        <w:rPr>
          <w:rFonts w:cs="Arial"/>
        </w:rPr>
        <w:t xml:space="preserve"> the </w:t>
      </w:r>
      <w:r w:rsidR="0009151E" w:rsidRPr="005D74D1">
        <w:rPr>
          <w:rFonts w:cs="Arial"/>
        </w:rPr>
        <w:t xml:space="preserve">EC5 </w:t>
      </w:r>
      <w:r w:rsidRPr="005D74D1">
        <w:rPr>
          <w:rFonts w:cs="Arial"/>
        </w:rPr>
        <w:t>investment</w:t>
      </w:r>
      <w:bookmarkEnd w:id="76"/>
    </w:p>
    <w:tbl>
      <w:tblPr>
        <w:tblW w:w="5000" w:type="pct"/>
        <w:tblBorders>
          <w:top w:val="single" w:sz="4" w:space="0" w:color="231EDC" w:themeColor="accent1"/>
          <w:left w:val="single" w:sz="4" w:space="0" w:color="231EDC" w:themeColor="accent1"/>
          <w:bottom w:val="single" w:sz="4" w:space="0" w:color="231EDC" w:themeColor="accent1"/>
          <w:right w:val="single" w:sz="4" w:space="0" w:color="231EDC" w:themeColor="accent1"/>
          <w:insideH w:val="single" w:sz="4" w:space="0" w:color="231EDC" w:themeColor="accent1"/>
          <w:insideV w:val="single" w:sz="4" w:space="0" w:color="231EDC" w:themeColor="accent1"/>
        </w:tblBorders>
        <w:tblLayout w:type="fixed"/>
        <w:tblLook w:val="04A0" w:firstRow="1" w:lastRow="0" w:firstColumn="1" w:lastColumn="0" w:noHBand="0" w:noVBand="1"/>
      </w:tblPr>
      <w:tblGrid>
        <w:gridCol w:w="2517"/>
        <w:gridCol w:w="7111"/>
      </w:tblGrid>
      <w:tr w:rsidR="00794795" w:rsidRPr="005D74D1" w14:paraId="52FCD379" w14:textId="77777777" w:rsidTr="00140664">
        <w:trPr>
          <w:trHeight w:val="288"/>
          <w:tblHeader/>
        </w:trPr>
        <w:tc>
          <w:tcPr>
            <w:tcW w:w="1307" w:type="pct"/>
            <w:shd w:val="clear" w:color="auto" w:fill="231EDC" w:themeFill="accent1"/>
          </w:tcPr>
          <w:p w14:paraId="5860F66E" w14:textId="5EC3A464" w:rsidR="00794795" w:rsidRPr="005D74D1" w:rsidRDefault="00794795" w:rsidP="00A90962">
            <w:pPr>
              <w:pStyle w:val="TableHeadingWhite"/>
              <w:rPr>
                <w:rFonts w:cs="Arial"/>
              </w:rPr>
            </w:pPr>
            <w:r w:rsidRPr="005D74D1">
              <w:rPr>
                <w:rFonts w:cs="Arial"/>
              </w:rPr>
              <w:t xml:space="preserve">EC5 </w:t>
            </w:r>
            <w:r w:rsidR="00583213" w:rsidRPr="005D74D1">
              <w:rPr>
                <w:rFonts w:cs="Arial"/>
              </w:rPr>
              <w:t>proje</w:t>
            </w:r>
            <w:r w:rsidR="00F4558E" w:rsidRPr="005D74D1">
              <w:rPr>
                <w:rFonts w:cs="Arial"/>
              </w:rPr>
              <w:t>cts</w:t>
            </w:r>
          </w:p>
        </w:tc>
        <w:tc>
          <w:tcPr>
            <w:tcW w:w="3693" w:type="pct"/>
            <w:shd w:val="clear" w:color="auto" w:fill="231EDC" w:themeFill="accent1"/>
          </w:tcPr>
          <w:p w14:paraId="1ADAB274" w14:textId="77777777" w:rsidR="00794795" w:rsidRPr="005D74D1" w:rsidRDefault="00794795" w:rsidP="00A90962">
            <w:pPr>
              <w:pStyle w:val="TableHeadingWhite"/>
              <w:rPr>
                <w:rFonts w:cs="Arial"/>
              </w:rPr>
            </w:pPr>
            <w:r w:rsidRPr="005D74D1">
              <w:rPr>
                <w:rFonts w:cs="Arial"/>
              </w:rPr>
              <w:t>Examples of key outputs</w:t>
            </w:r>
          </w:p>
        </w:tc>
      </w:tr>
      <w:tr w:rsidR="00794795" w:rsidRPr="005D74D1" w14:paraId="2C096F6C" w14:textId="77777777" w:rsidTr="00140664">
        <w:trPr>
          <w:trHeight w:val="288"/>
        </w:trPr>
        <w:tc>
          <w:tcPr>
            <w:tcW w:w="1307" w:type="pct"/>
            <w:hideMark/>
          </w:tcPr>
          <w:p w14:paraId="48499FCC" w14:textId="624CE935" w:rsidR="00794795" w:rsidRPr="005D74D1" w:rsidRDefault="006823C0" w:rsidP="00A90962">
            <w:pPr>
              <w:pStyle w:val="TableText"/>
              <w:rPr>
                <w:rFonts w:cs="Arial"/>
              </w:rPr>
            </w:pPr>
            <w:r w:rsidRPr="005D74D1">
              <w:rPr>
                <w:rFonts w:cs="Arial"/>
              </w:rPr>
              <w:t>CWCT01</w:t>
            </w:r>
            <w:r w:rsidR="0028011B" w:rsidRPr="005D74D1">
              <w:rPr>
                <w:rFonts w:cs="Arial"/>
              </w:rPr>
              <w:t xml:space="preserve">: </w:t>
            </w:r>
            <w:r w:rsidRPr="005D74D1">
              <w:rPr>
                <w:rFonts w:cs="Arial"/>
              </w:rPr>
              <w:t>Integrated Water Management</w:t>
            </w:r>
          </w:p>
        </w:tc>
        <w:tc>
          <w:tcPr>
            <w:tcW w:w="3693" w:type="pct"/>
          </w:tcPr>
          <w:p w14:paraId="4B8442F4" w14:textId="1B2E196D" w:rsidR="00794795" w:rsidRPr="005D74D1" w:rsidRDefault="00794795" w:rsidP="00A90962">
            <w:pPr>
              <w:pStyle w:val="TableText"/>
              <w:rPr>
                <w:rFonts w:cs="Arial"/>
              </w:rPr>
            </w:pPr>
            <w:r w:rsidRPr="005D74D1">
              <w:rPr>
                <w:rFonts w:cs="Arial"/>
              </w:rPr>
              <w:t xml:space="preserve">Facilitation of 15 </w:t>
            </w:r>
            <w:r w:rsidR="006A1205" w:rsidRPr="005D74D1">
              <w:rPr>
                <w:rFonts w:cs="Arial"/>
              </w:rPr>
              <w:t>Integrated Water Management (IWM)</w:t>
            </w:r>
            <w:r w:rsidRPr="005D74D1">
              <w:rPr>
                <w:rFonts w:cs="Arial"/>
              </w:rPr>
              <w:t xml:space="preserve"> Forums, policy reforms, capacity building, co-investment program for project implementation</w:t>
            </w:r>
            <w:r w:rsidR="0001511C" w:rsidRPr="005D74D1">
              <w:rPr>
                <w:rFonts w:cs="Arial"/>
              </w:rPr>
              <w:t>,</w:t>
            </w:r>
            <w:r w:rsidR="00357CCA" w:rsidRPr="005D74D1">
              <w:rPr>
                <w:rFonts w:cs="Arial"/>
              </w:rPr>
              <w:t xml:space="preserve"> Collaborative </w:t>
            </w:r>
            <w:r w:rsidR="00D150C4" w:rsidRPr="005D74D1">
              <w:rPr>
                <w:rFonts w:cs="Arial"/>
              </w:rPr>
              <w:t>IWM Forum strategic plans</w:t>
            </w:r>
            <w:r w:rsidR="007553C2" w:rsidRPr="005D74D1">
              <w:rPr>
                <w:rFonts w:cs="Arial"/>
              </w:rPr>
              <w:t>,</w:t>
            </w:r>
            <w:r w:rsidR="00D150C4" w:rsidRPr="005D74D1">
              <w:rPr>
                <w:rFonts w:cs="Arial"/>
              </w:rPr>
              <w:t xml:space="preserve"> including </w:t>
            </w:r>
            <w:r w:rsidR="00257384" w:rsidRPr="005D74D1">
              <w:rPr>
                <w:rFonts w:cs="Arial"/>
              </w:rPr>
              <w:t xml:space="preserve">Strategic Direction Statement refreshes in regional Victoria and the </w:t>
            </w:r>
            <w:r w:rsidR="007B6897" w:rsidRPr="005D74D1">
              <w:rPr>
                <w:rFonts w:cs="Arial"/>
              </w:rPr>
              <w:t>Catchment Scale IWM Plans and Action Plans in Metro Melbourne</w:t>
            </w:r>
            <w:r w:rsidR="00D63EAF" w:rsidRPr="005D74D1">
              <w:rPr>
                <w:rFonts w:cs="Arial"/>
              </w:rPr>
              <w:t>, c</w:t>
            </w:r>
            <w:r w:rsidR="00216646" w:rsidRPr="005D74D1">
              <w:rPr>
                <w:rFonts w:cs="Arial"/>
              </w:rPr>
              <w:t>onstruction and improvement of wetlands and ecological restoration works</w:t>
            </w:r>
            <w:r w:rsidR="007553C2" w:rsidRPr="005D74D1">
              <w:rPr>
                <w:rFonts w:cs="Arial"/>
              </w:rPr>
              <w:t>.</w:t>
            </w:r>
          </w:p>
        </w:tc>
      </w:tr>
      <w:tr w:rsidR="00794795" w:rsidRPr="005D74D1" w14:paraId="7FC3079B" w14:textId="77777777" w:rsidTr="00140664">
        <w:trPr>
          <w:trHeight w:val="288"/>
        </w:trPr>
        <w:tc>
          <w:tcPr>
            <w:tcW w:w="1307" w:type="pct"/>
            <w:hideMark/>
          </w:tcPr>
          <w:p w14:paraId="0104417A" w14:textId="4EE768BE" w:rsidR="00794795" w:rsidRPr="005D74D1" w:rsidRDefault="006823C0" w:rsidP="00A90962">
            <w:pPr>
              <w:pStyle w:val="TableText"/>
              <w:rPr>
                <w:rFonts w:cs="Arial"/>
              </w:rPr>
            </w:pPr>
            <w:r w:rsidRPr="005D74D1">
              <w:rPr>
                <w:rFonts w:cs="Arial"/>
              </w:rPr>
              <w:t>CWCT02</w:t>
            </w:r>
            <w:r w:rsidR="0028011B" w:rsidRPr="005D74D1">
              <w:rPr>
                <w:rFonts w:cs="Arial"/>
              </w:rPr>
              <w:t xml:space="preserve">: </w:t>
            </w:r>
            <w:r w:rsidRPr="005D74D1">
              <w:rPr>
                <w:rFonts w:cs="Arial"/>
              </w:rPr>
              <w:t xml:space="preserve">Iconic Urban Waterways </w:t>
            </w:r>
            <w:r w:rsidR="00794795" w:rsidRPr="005D74D1">
              <w:rPr>
                <w:rFonts w:cs="Arial"/>
              </w:rPr>
              <w:t>Program</w:t>
            </w:r>
          </w:p>
        </w:tc>
        <w:tc>
          <w:tcPr>
            <w:tcW w:w="3693" w:type="pct"/>
          </w:tcPr>
          <w:p w14:paraId="1B50A47D" w14:textId="254B9D05" w:rsidR="00794795" w:rsidRPr="005D74D1" w:rsidRDefault="34DD0E41" w:rsidP="00A90962">
            <w:pPr>
              <w:pStyle w:val="TableText"/>
              <w:rPr>
                <w:rFonts w:cs="Arial"/>
              </w:rPr>
            </w:pPr>
            <w:r w:rsidRPr="005D74D1">
              <w:rPr>
                <w:rFonts w:cs="Arial"/>
              </w:rPr>
              <w:t>Burndap Birrarung burndap umarkoo</w:t>
            </w:r>
            <w:r w:rsidR="006E6A1F" w:rsidRPr="005D74D1">
              <w:rPr>
                <w:rFonts w:cs="Arial"/>
              </w:rPr>
              <w:t xml:space="preserve"> </w:t>
            </w:r>
            <w:r w:rsidR="00C725C2" w:rsidRPr="005D74D1">
              <w:rPr>
                <w:rFonts w:cs="Arial"/>
              </w:rPr>
              <w:t>– the Yarra Strategic Plan</w:t>
            </w:r>
            <w:r w:rsidRPr="005D74D1">
              <w:rPr>
                <w:rFonts w:cs="Arial"/>
              </w:rPr>
              <w:t xml:space="preserve"> (YSP)</w:t>
            </w:r>
            <w:r w:rsidR="00794795" w:rsidRPr="005D74D1">
              <w:rPr>
                <w:rFonts w:cs="Arial"/>
              </w:rPr>
              <w:t xml:space="preserve">, </w:t>
            </w:r>
            <w:r w:rsidR="009338F9" w:rsidRPr="005D74D1">
              <w:rPr>
                <w:rFonts w:cs="Arial"/>
              </w:rPr>
              <w:t xml:space="preserve">Action Plans - </w:t>
            </w:r>
            <w:r w:rsidR="00794795" w:rsidRPr="005D74D1">
              <w:rPr>
                <w:rFonts w:cs="Arial"/>
              </w:rPr>
              <w:t xml:space="preserve">Waterways of the West and Rivers of the Barwon </w:t>
            </w:r>
            <w:r w:rsidR="1B7EB365" w:rsidRPr="005D74D1">
              <w:rPr>
                <w:rFonts w:cs="Arial"/>
              </w:rPr>
              <w:t>(Barre Warre Yulluk)</w:t>
            </w:r>
            <w:r w:rsidR="00794795" w:rsidRPr="005D74D1">
              <w:rPr>
                <w:rFonts w:cs="Arial"/>
              </w:rPr>
              <w:t>, delivery of priority projects, annual reporting</w:t>
            </w:r>
            <w:r w:rsidR="00926C19" w:rsidRPr="005D74D1">
              <w:rPr>
                <w:rFonts w:cs="Arial"/>
              </w:rPr>
              <w:t>,</w:t>
            </w:r>
            <w:r w:rsidR="009C5D7A" w:rsidRPr="005D74D1">
              <w:rPr>
                <w:rFonts w:cs="Arial"/>
              </w:rPr>
              <w:t xml:space="preserve"> policy development to recognise iconic waterways as living entities and Traditional Owners </w:t>
            </w:r>
            <w:r w:rsidR="0052529D" w:rsidRPr="005D74D1">
              <w:rPr>
                <w:rFonts w:cs="Arial"/>
              </w:rPr>
              <w:t>as their voice,</w:t>
            </w:r>
            <w:r w:rsidR="000B15C0" w:rsidRPr="005D74D1">
              <w:rPr>
                <w:rFonts w:cs="Arial"/>
              </w:rPr>
              <w:t xml:space="preserve"> Green Links Grants Program (Round 1)</w:t>
            </w:r>
            <w:r w:rsidR="007553C2" w:rsidRPr="005D74D1">
              <w:rPr>
                <w:rFonts w:cs="Arial"/>
              </w:rPr>
              <w:t>.</w:t>
            </w:r>
          </w:p>
        </w:tc>
      </w:tr>
      <w:tr w:rsidR="00794795" w:rsidRPr="005D74D1" w14:paraId="235B2CE8" w14:textId="77777777" w:rsidTr="00140664">
        <w:trPr>
          <w:trHeight w:val="288"/>
        </w:trPr>
        <w:tc>
          <w:tcPr>
            <w:tcW w:w="1307" w:type="pct"/>
            <w:hideMark/>
          </w:tcPr>
          <w:p w14:paraId="7807B37D" w14:textId="2255167E" w:rsidR="00794795" w:rsidRPr="005D74D1" w:rsidRDefault="006823C0" w:rsidP="00A90962">
            <w:pPr>
              <w:pStyle w:val="TableText"/>
              <w:rPr>
                <w:rFonts w:cs="Arial"/>
              </w:rPr>
            </w:pPr>
            <w:r w:rsidRPr="005D74D1">
              <w:rPr>
                <w:rFonts w:cs="Arial"/>
              </w:rPr>
              <w:t>CWCT03</w:t>
            </w:r>
            <w:r w:rsidR="0028011B" w:rsidRPr="005D74D1">
              <w:rPr>
                <w:rFonts w:cs="Arial"/>
              </w:rPr>
              <w:t xml:space="preserve">: </w:t>
            </w:r>
            <w:r w:rsidR="00794795" w:rsidRPr="005D74D1">
              <w:rPr>
                <w:rFonts w:cs="Arial"/>
              </w:rPr>
              <w:t>Recreational Values Program</w:t>
            </w:r>
          </w:p>
        </w:tc>
        <w:tc>
          <w:tcPr>
            <w:tcW w:w="3693" w:type="pct"/>
            <w:noWrap/>
          </w:tcPr>
          <w:p w14:paraId="5A7DB37A" w14:textId="3EE9BF35" w:rsidR="00794795" w:rsidRPr="005D74D1" w:rsidRDefault="00794795" w:rsidP="00A90962">
            <w:pPr>
              <w:pStyle w:val="TableText"/>
              <w:rPr>
                <w:rFonts w:cs="Arial"/>
              </w:rPr>
            </w:pPr>
            <w:r w:rsidRPr="005D74D1" w:rsidDel="000F4ACE">
              <w:rPr>
                <w:rFonts w:cs="Arial"/>
              </w:rPr>
              <w:t>M</w:t>
            </w:r>
            <w:r w:rsidRPr="005D74D1">
              <w:rPr>
                <w:rFonts w:cs="Arial"/>
              </w:rPr>
              <w:t>anagement of COVID</w:t>
            </w:r>
            <w:r w:rsidR="0047027F" w:rsidRPr="005D74D1">
              <w:rPr>
                <w:rFonts w:cs="Arial"/>
              </w:rPr>
              <w:t>-19</w:t>
            </w:r>
            <w:r w:rsidRPr="005D74D1">
              <w:rPr>
                <w:rFonts w:cs="Arial"/>
              </w:rPr>
              <w:t xml:space="preserve"> response across 40 recreational areas, policy work for recreation at storages, </w:t>
            </w:r>
            <w:r w:rsidR="00BD19FD" w:rsidRPr="005D74D1">
              <w:rPr>
                <w:rFonts w:cs="Arial"/>
              </w:rPr>
              <w:t xml:space="preserve">grants program, </w:t>
            </w:r>
            <w:r w:rsidR="00146DE6" w:rsidRPr="005D74D1">
              <w:rPr>
                <w:rFonts w:cs="Arial"/>
              </w:rPr>
              <w:t>progressed opening Tarago Reservoir to on-water recreation, d</w:t>
            </w:r>
            <w:r w:rsidRPr="005D74D1">
              <w:rPr>
                <w:rFonts w:cs="Arial"/>
              </w:rPr>
              <w:t>evelopment of new Recreational Area (Water) Regulations 2023, Greens Lake Action Plan</w:t>
            </w:r>
            <w:r w:rsidR="00F82285" w:rsidRPr="005D74D1">
              <w:rPr>
                <w:rFonts w:cs="Arial"/>
              </w:rPr>
              <w:t>, Flagship Water Wannon</w:t>
            </w:r>
            <w:r w:rsidR="007A3F4F" w:rsidRPr="005D74D1">
              <w:rPr>
                <w:rFonts w:cs="Arial"/>
              </w:rPr>
              <w:t>,</w:t>
            </w:r>
            <w:r w:rsidR="0015718F" w:rsidRPr="005D74D1">
              <w:rPr>
                <w:rFonts w:cs="Arial"/>
              </w:rPr>
              <w:t xml:space="preserve"> </w:t>
            </w:r>
            <w:r w:rsidR="005A0799" w:rsidRPr="005D74D1">
              <w:rPr>
                <w:rFonts w:cs="Arial"/>
              </w:rPr>
              <w:t>and</w:t>
            </w:r>
            <w:r w:rsidR="007A3F4F" w:rsidRPr="005D74D1">
              <w:rPr>
                <w:rFonts w:cs="Arial"/>
              </w:rPr>
              <w:t xml:space="preserve"> </w:t>
            </w:r>
            <w:r w:rsidR="005A64C1" w:rsidRPr="005D74D1">
              <w:rPr>
                <w:rFonts w:cs="Arial"/>
              </w:rPr>
              <w:t>better li</w:t>
            </w:r>
            <w:r w:rsidR="0064389A" w:rsidRPr="005D74D1">
              <w:rPr>
                <w:rFonts w:cs="Arial"/>
              </w:rPr>
              <w:t>n</w:t>
            </w:r>
            <w:r w:rsidR="005A64C1" w:rsidRPr="005D74D1">
              <w:rPr>
                <w:rFonts w:cs="Arial"/>
              </w:rPr>
              <w:t>kages between DEECA, the water sect</w:t>
            </w:r>
            <w:r w:rsidR="0015718F" w:rsidRPr="005D74D1">
              <w:rPr>
                <w:rFonts w:cs="Arial"/>
              </w:rPr>
              <w:t>or</w:t>
            </w:r>
            <w:r w:rsidR="005A64C1" w:rsidRPr="005D74D1">
              <w:rPr>
                <w:rFonts w:cs="Arial"/>
              </w:rPr>
              <w:t>, Traditional Owners and relative government portfol</w:t>
            </w:r>
            <w:r w:rsidR="0064389A" w:rsidRPr="005D74D1">
              <w:rPr>
                <w:rFonts w:cs="Arial"/>
              </w:rPr>
              <w:t>ios for collaboration</w:t>
            </w:r>
            <w:r w:rsidR="0015718F" w:rsidRPr="005D74D1">
              <w:rPr>
                <w:rFonts w:cs="Arial"/>
              </w:rPr>
              <w:t>.</w:t>
            </w:r>
          </w:p>
        </w:tc>
      </w:tr>
      <w:tr w:rsidR="00794795" w:rsidRPr="005D74D1" w14:paraId="3CCFBB9D" w14:textId="77777777" w:rsidTr="00140664">
        <w:trPr>
          <w:trHeight w:val="288"/>
        </w:trPr>
        <w:tc>
          <w:tcPr>
            <w:tcW w:w="1307" w:type="pct"/>
            <w:hideMark/>
          </w:tcPr>
          <w:p w14:paraId="7BD69519" w14:textId="0120C5A4" w:rsidR="00794795" w:rsidRPr="005D74D1" w:rsidRDefault="006823C0" w:rsidP="00A90962">
            <w:pPr>
              <w:pStyle w:val="TableText"/>
              <w:rPr>
                <w:rFonts w:cs="Arial"/>
              </w:rPr>
            </w:pPr>
            <w:r w:rsidRPr="005D74D1">
              <w:rPr>
                <w:rFonts w:cs="Arial"/>
              </w:rPr>
              <w:t>CWCT04</w:t>
            </w:r>
            <w:r w:rsidR="0028011B" w:rsidRPr="005D74D1">
              <w:rPr>
                <w:rFonts w:cs="Arial"/>
              </w:rPr>
              <w:t xml:space="preserve">: </w:t>
            </w:r>
            <w:r w:rsidR="00794795" w:rsidRPr="005D74D1">
              <w:rPr>
                <w:rFonts w:cs="Arial"/>
              </w:rPr>
              <w:t>Recycled water, stormwater and onsite wastewater policy</w:t>
            </w:r>
          </w:p>
        </w:tc>
        <w:tc>
          <w:tcPr>
            <w:tcW w:w="3693" w:type="pct"/>
          </w:tcPr>
          <w:p w14:paraId="7222D198" w14:textId="4C1DBB18" w:rsidR="00794795" w:rsidRPr="005D74D1" w:rsidRDefault="00794795" w:rsidP="00A90962">
            <w:pPr>
              <w:pStyle w:val="TableText"/>
              <w:rPr>
                <w:rFonts w:cs="Arial"/>
              </w:rPr>
            </w:pPr>
            <w:r w:rsidRPr="005D74D1">
              <w:rPr>
                <w:rFonts w:cs="Arial"/>
              </w:rPr>
              <w:t>Update of regulatory guidelines and frameworks, guidance to partner agencies regarding recycled, stormwater and wastewater management</w:t>
            </w:r>
            <w:r w:rsidR="0015718F" w:rsidRPr="005D74D1">
              <w:rPr>
                <w:rFonts w:cs="Arial"/>
              </w:rPr>
              <w:t>.</w:t>
            </w:r>
            <w:r w:rsidRPr="005D74D1">
              <w:rPr>
                <w:rFonts w:cs="Arial"/>
              </w:rPr>
              <w:t xml:space="preserve"> </w:t>
            </w:r>
          </w:p>
        </w:tc>
      </w:tr>
      <w:tr w:rsidR="00794795" w:rsidRPr="005D74D1" w14:paraId="3B189F11" w14:textId="77777777" w:rsidTr="00140664">
        <w:trPr>
          <w:trHeight w:val="288"/>
        </w:trPr>
        <w:tc>
          <w:tcPr>
            <w:tcW w:w="1307" w:type="pct"/>
            <w:hideMark/>
          </w:tcPr>
          <w:p w14:paraId="085D5892" w14:textId="7E4CFB91" w:rsidR="00794795" w:rsidRPr="005D74D1" w:rsidRDefault="006823C0" w:rsidP="00A90962">
            <w:pPr>
              <w:pStyle w:val="TableText"/>
              <w:rPr>
                <w:rFonts w:cs="Arial"/>
              </w:rPr>
            </w:pPr>
            <w:r w:rsidRPr="005D74D1">
              <w:rPr>
                <w:rFonts w:cs="Arial"/>
              </w:rPr>
              <w:t>WRS1</w:t>
            </w:r>
            <w:r w:rsidR="0028011B" w:rsidRPr="005D74D1">
              <w:rPr>
                <w:rFonts w:cs="Arial"/>
              </w:rPr>
              <w:t>:</w:t>
            </w:r>
            <w:r w:rsidR="006C2DAA" w:rsidRPr="005D74D1">
              <w:rPr>
                <w:rFonts w:cs="Arial"/>
              </w:rPr>
              <w:br/>
            </w:r>
            <w:r w:rsidR="00794795" w:rsidRPr="005D74D1">
              <w:rPr>
                <w:rFonts w:cs="Arial"/>
              </w:rPr>
              <w:t>Retail Entitlements and Markets</w:t>
            </w:r>
          </w:p>
        </w:tc>
        <w:tc>
          <w:tcPr>
            <w:tcW w:w="3693" w:type="pct"/>
          </w:tcPr>
          <w:p w14:paraId="001B870D" w14:textId="2859342A" w:rsidR="00794795" w:rsidRPr="005D74D1" w:rsidRDefault="00794795" w:rsidP="00A90962">
            <w:pPr>
              <w:pStyle w:val="TableText"/>
              <w:rPr>
                <w:rFonts w:cs="Arial"/>
              </w:rPr>
            </w:pPr>
            <w:r w:rsidRPr="005D74D1">
              <w:rPr>
                <w:rFonts w:cs="Arial"/>
              </w:rPr>
              <w:t xml:space="preserve">Market monitoring and information, governance, </w:t>
            </w:r>
            <w:r w:rsidR="00222FB7" w:rsidRPr="005D74D1">
              <w:rPr>
                <w:rFonts w:cs="Arial"/>
              </w:rPr>
              <w:t xml:space="preserve">entitlements </w:t>
            </w:r>
            <w:r w:rsidRPr="005D74D1">
              <w:rPr>
                <w:rFonts w:cs="Arial"/>
              </w:rPr>
              <w:t>and legislation to support reform including place of take framework</w:t>
            </w:r>
            <w:r w:rsidR="0015718F" w:rsidRPr="005D74D1">
              <w:rPr>
                <w:rFonts w:cs="Arial"/>
              </w:rPr>
              <w:t>.</w:t>
            </w:r>
          </w:p>
        </w:tc>
      </w:tr>
      <w:tr w:rsidR="00794795" w:rsidRPr="005D74D1" w14:paraId="1D259FB3" w14:textId="77777777" w:rsidTr="00140664">
        <w:trPr>
          <w:trHeight w:val="288"/>
        </w:trPr>
        <w:tc>
          <w:tcPr>
            <w:tcW w:w="1307" w:type="pct"/>
            <w:hideMark/>
          </w:tcPr>
          <w:p w14:paraId="3A9B2280" w14:textId="4CA62326" w:rsidR="00794795" w:rsidRPr="005D74D1" w:rsidRDefault="006823C0" w:rsidP="00A90962">
            <w:pPr>
              <w:pStyle w:val="TableText"/>
              <w:rPr>
                <w:rFonts w:cs="Arial"/>
              </w:rPr>
            </w:pPr>
            <w:r w:rsidRPr="005D74D1">
              <w:rPr>
                <w:rFonts w:cs="Arial"/>
              </w:rPr>
              <w:t xml:space="preserve">WRS2: Water Grid </w:t>
            </w:r>
            <w:r w:rsidR="00794795" w:rsidRPr="005D74D1">
              <w:rPr>
                <w:rFonts w:cs="Arial"/>
              </w:rPr>
              <w:t>Oversight</w:t>
            </w:r>
          </w:p>
        </w:tc>
        <w:tc>
          <w:tcPr>
            <w:tcW w:w="3693" w:type="pct"/>
            <w:noWrap/>
          </w:tcPr>
          <w:p w14:paraId="6C8749C3" w14:textId="03380AB3" w:rsidR="00794795" w:rsidRPr="005D74D1" w:rsidRDefault="38060368" w:rsidP="00A90962">
            <w:pPr>
              <w:pStyle w:val="TableText"/>
              <w:rPr>
                <w:rFonts w:cs="Arial"/>
              </w:rPr>
            </w:pPr>
            <w:r w:rsidRPr="005D74D1">
              <w:rPr>
                <w:rFonts w:cs="Arial"/>
              </w:rPr>
              <w:t>Delivery of the forw</w:t>
            </w:r>
            <w:r w:rsidR="4138CEAC" w:rsidRPr="005D74D1">
              <w:rPr>
                <w:rFonts w:cs="Arial"/>
              </w:rPr>
              <w:t>ard review of resources and the Water Grid Biennial Statement. Undertook stress testing of the Water Grid as part of the Water Sector Climate Change Adaptation Action Plan and Urban Water Strategies.</w:t>
            </w:r>
            <w:r w:rsidR="31DB1383" w:rsidRPr="005D74D1">
              <w:rPr>
                <w:rFonts w:cs="Arial"/>
              </w:rPr>
              <w:t xml:space="preserve"> </w:t>
            </w:r>
          </w:p>
        </w:tc>
      </w:tr>
      <w:tr w:rsidR="00794795" w:rsidRPr="005D74D1" w14:paraId="30457B7A" w14:textId="77777777" w:rsidTr="00140664">
        <w:trPr>
          <w:trHeight w:val="288"/>
        </w:trPr>
        <w:tc>
          <w:tcPr>
            <w:tcW w:w="1307" w:type="pct"/>
            <w:hideMark/>
          </w:tcPr>
          <w:p w14:paraId="476C5232" w14:textId="1C9F4425" w:rsidR="00794795" w:rsidRPr="005D74D1" w:rsidRDefault="006823C0" w:rsidP="00A90962">
            <w:pPr>
              <w:pStyle w:val="TableText"/>
              <w:rPr>
                <w:rFonts w:cs="Arial"/>
              </w:rPr>
            </w:pPr>
            <w:r w:rsidRPr="005D74D1">
              <w:rPr>
                <w:rFonts w:cs="Arial"/>
              </w:rPr>
              <w:t xml:space="preserve">WRS3: Water Market </w:t>
            </w:r>
            <w:r w:rsidR="00794795" w:rsidRPr="005D74D1">
              <w:rPr>
                <w:rFonts w:cs="Arial"/>
              </w:rPr>
              <w:t>Reform</w:t>
            </w:r>
          </w:p>
        </w:tc>
        <w:tc>
          <w:tcPr>
            <w:tcW w:w="3693" w:type="pct"/>
            <w:noWrap/>
          </w:tcPr>
          <w:p w14:paraId="219A1C89" w14:textId="27D7800D" w:rsidR="00794795" w:rsidRPr="005D74D1" w:rsidRDefault="00794795" w:rsidP="00A90962">
            <w:pPr>
              <w:pStyle w:val="TableText"/>
              <w:rPr>
                <w:rFonts w:cs="Arial"/>
              </w:rPr>
            </w:pPr>
            <w:r w:rsidRPr="005D74D1">
              <w:rPr>
                <w:rFonts w:cs="Arial"/>
              </w:rPr>
              <w:t>Reform options for improving water sharing arrangements in South-Central Victoria, new Ministerial Trading Rules for unregulated systems, removal of ‘20% rule’ for downstream trades in unregulated systems</w:t>
            </w:r>
          </w:p>
        </w:tc>
      </w:tr>
      <w:tr w:rsidR="00794795" w:rsidRPr="005D74D1" w14:paraId="079B0EA8" w14:textId="77777777" w:rsidTr="00140664">
        <w:trPr>
          <w:trHeight w:val="288"/>
        </w:trPr>
        <w:tc>
          <w:tcPr>
            <w:tcW w:w="1307" w:type="pct"/>
            <w:hideMark/>
          </w:tcPr>
          <w:p w14:paraId="749ECAA3" w14:textId="25060307" w:rsidR="00794795" w:rsidRPr="005D74D1" w:rsidRDefault="006823C0" w:rsidP="00A90962">
            <w:pPr>
              <w:pStyle w:val="TableText"/>
              <w:rPr>
                <w:rFonts w:cs="Arial"/>
              </w:rPr>
            </w:pPr>
            <w:r w:rsidRPr="005D74D1">
              <w:rPr>
                <w:rFonts w:cs="Arial"/>
              </w:rPr>
              <w:lastRenderedPageBreak/>
              <w:t xml:space="preserve">WRS4: Water Market </w:t>
            </w:r>
            <w:r w:rsidR="00794795" w:rsidRPr="005D74D1">
              <w:rPr>
                <w:rFonts w:cs="Arial"/>
              </w:rPr>
              <w:t>Transparency</w:t>
            </w:r>
          </w:p>
        </w:tc>
        <w:tc>
          <w:tcPr>
            <w:tcW w:w="3693" w:type="pct"/>
          </w:tcPr>
          <w:p w14:paraId="0AD0CED2" w14:textId="09BFB541" w:rsidR="00794795" w:rsidRPr="005D74D1" w:rsidRDefault="00794795" w:rsidP="00A90962">
            <w:pPr>
              <w:pStyle w:val="TableText"/>
              <w:rPr>
                <w:rFonts w:cs="Arial"/>
              </w:rPr>
            </w:pPr>
            <w:r w:rsidRPr="005D74D1">
              <w:rPr>
                <w:rFonts w:cs="Arial"/>
              </w:rPr>
              <w:t>Published water market information while protecting privacy</w:t>
            </w:r>
            <w:r w:rsidR="00D8564E" w:rsidRPr="005D74D1">
              <w:rPr>
                <w:rFonts w:cs="Arial"/>
              </w:rPr>
              <w:t>,</w:t>
            </w:r>
            <w:r w:rsidRPr="005D74D1">
              <w:rPr>
                <w:rFonts w:cs="Arial"/>
              </w:rPr>
              <w:t xml:space="preserve"> working with other jurisdictions and the Commonwealth to facilitate trade</w:t>
            </w:r>
            <w:r w:rsidR="003C5F6A" w:rsidRPr="005D74D1">
              <w:rPr>
                <w:rFonts w:cs="Arial"/>
              </w:rPr>
              <w:t>, p</w:t>
            </w:r>
            <w:r w:rsidR="00AE2B3A" w:rsidRPr="005D74D1">
              <w:rPr>
                <w:rFonts w:cs="Arial"/>
              </w:rPr>
              <w:t xml:space="preserve">rovided </w:t>
            </w:r>
            <w:r w:rsidR="00B23B0E" w:rsidRPr="005D74D1">
              <w:rPr>
                <w:rFonts w:cs="Arial"/>
              </w:rPr>
              <w:t>feedback on the Water Act 2007 (Cth)</w:t>
            </w:r>
            <w:r w:rsidR="006119DA" w:rsidRPr="005D74D1">
              <w:rPr>
                <w:rFonts w:cs="Arial"/>
              </w:rPr>
              <w:t xml:space="preserve"> amendments</w:t>
            </w:r>
            <w:r w:rsidR="00F358D9" w:rsidRPr="005D74D1">
              <w:rPr>
                <w:rFonts w:cs="Arial"/>
              </w:rPr>
              <w:t xml:space="preserve"> and</w:t>
            </w:r>
            <w:r w:rsidR="006119DA" w:rsidRPr="005D74D1">
              <w:rPr>
                <w:rFonts w:cs="Arial"/>
              </w:rPr>
              <w:t xml:space="preserve"> Water</w:t>
            </w:r>
            <w:r w:rsidR="002442D6" w:rsidRPr="005D74D1">
              <w:rPr>
                <w:rFonts w:cs="Arial"/>
              </w:rPr>
              <w:t xml:space="preserve"> Amendment </w:t>
            </w:r>
            <w:r w:rsidR="00F358D9" w:rsidRPr="005D74D1">
              <w:rPr>
                <w:rFonts w:cs="Arial"/>
              </w:rPr>
              <w:t>(Restoring our Rivers) Act 2003</w:t>
            </w:r>
            <w:r w:rsidR="007836A0" w:rsidRPr="005D74D1">
              <w:rPr>
                <w:rFonts w:cs="Arial"/>
              </w:rPr>
              <w:t xml:space="preserve">, </w:t>
            </w:r>
            <w:r w:rsidR="00CA6534" w:rsidRPr="005D74D1">
              <w:rPr>
                <w:rFonts w:cs="Arial"/>
              </w:rPr>
              <w:t>social research project into barriers to trade in the South West Limestone Aquifer Groundwater Management Area</w:t>
            </w:r>
            <w:r w:rsidR="0015718F" w:rsidRPr="005D74D1">
              <w:rPr>
                <w:rFonts w:cs="Arial"/>
              </w:rPr>
              <w:t>.</w:t>
            </w:r>
          </w:p>
        </w:tc>
      </w:tr>
      <w:tr w:rsidR="00794795" w:rsidRPr="005D74D1" w14:paraId="7167474D" w14:textId="77777777" w:rsidTr="00140664">
        <w:trPr>
          <w:trHeight w:val="288"/>
        </w:trPr>
        <w:tc>
          <w:tcPr>
            <w:tcW w:w="1307" w:type="pct"/>
            <w:hideMark/>
          </w:tcPr>
          <w:p w14:paraId="628DF7A1" w14:textId="72AEF73C" w:rsidR="00794795" w:rsidRPr="005D74D1" w:rsidRDefault="006823C0" w:rsidP="00A90962">
            <w:pPr>
              <w:pStyle w:val="TableText"/>
              <w:rPr>
                <w:rFonts w:cs="Arial"/>
              </w:rPr>
            </w:pPr>
            <w:r w:rsidRPr="005D74D1">
              <w:rPr>
                <w:rFonts w:cs="Arial"/>
              </w:rPr>
              <w:t xml:space="preserve">WRS5: Managing Victoria’s Water Sharing </w:t>
            </w:r>
            <w:r w:rsidR="00794795" w:rsidRPr="005D74D1">
              <w:rPr>
                <w:rFonts w:cs="Arial"/>
              </w:rPr>
              <w:t>Framework</w:t>
            </w:r>
          </w:p>
        </w:tc>
        <w:tc>
          <w:tcPr>
            <w:tcW w:w="3693" w:type="pct"/>
          </w:tcPr>
          <w:p w14:paraId="7B61C8F5" w14:textId="6DD0615D" w:rsidR="00794795" w:rsidRPr="005D74D1" w:rsidRDefault="00794795" w:rsidP="00A90962">
            <w:pPr>
              <w:pStyle w:val="TableText"/>
              <w:rPr>
                <w:rFonts w:cs="Arial"/>
              </w:rPr>
            </w:pPr>
            <w:r w:rsidRPr="005D74D1">
              <w:rPr>
                <w:rFonts w:cs="Arial"/>
              </w:rPr>
              <w:t>Delivery of adaptive and contemporary bulk entitlement and environmental entitlement framework within regulatory guidelines</w:t>
            </w:r>
            <w:r w:rsidR="0015718F" w:rsidRPr="005D74D1">
              <w:rPr>
                <w:rFonts w:cs="Arial"/>
              </w:rPr>
              <w:t>.</w:t>
            </w:r>
          </w:p>
        </w:tc>
      </w:tr>
      <w:tr w:rsidR="00794795" w:rsidRPr="005D74D1" w14:paraId="282D6ED3" w14:textId="77777777" w:rsidTr="00140664">
        <w:trPr>
          <w:trHeight w:val="288"/>
        </w:trPr>
        <w:tc>
          <w:tcPr>
            <w:tcW w:w="1307" w:type="pct"/>
            <w:hideMark/>
          </w:tcPr>
          <w:p w14:paraId="22274F2F" w14:textId="3D4FB4E1" w:rsidR="00794795" w:rsidRPr="005D74D1" w:rsidRDefault="006823C0" w:rsidP="00A90962">
            <w:pPr>
              <w:pStyle w:val="TableText"/>
              <w:rPr>
                <w:rFonts w:cs="Arial"/>
              </w:rPr>
            </w:pPr>
            <w:r w:rsidRPr="005D74D1">
              <w:rPr>
                <w:rFonts w:cs="Arial"/>
              </w:rPr>
              <w:t xml:space="preserve">WRS6: Licensing framework groundwater and unregulated </w:t>
            </w:r>
            <w:r w:rsidR="00794795" w:rsidRPr="005D74D1">
              <w:rPr>
                <w:rFonts w:cs="Arial"/>
              </w:rPr>
              <w:t>systems</w:t>
            </w:r>
          </w:p>
        </w:tc>
        <w:tc>
          <w:tcPr>
            <w:tcW w:w="3693" w:type="pct"/>
          </w:tcPr>
          <w:p w14:paraId="59157B70" w14:textId="5D1CB1CC" w:rsidR="00794795" w:rsidRPr="005D74D1" w:rsidRDefault="00794795" w:rsidP="00A90962">
            <w:pPr>
              <w:pStyle w:val="TableText"/>
              <w:rPr>
                <w:rFonts w:cs="Arial"/>
              </w:rPr>
            </w:pPr>
            <w:r w:rsidRPr="005D74D1">
              <w:rPr>
                <w:rFonts w:cs="Arial"/>
              </w:rPr>
              <w:t>Maintenance of management and licensing framework for groundwater and unregulated systems, publication of Groundwater Management 2030</w:t>
            </w:r>
            <w:r w:rsidR="00596B30" w:rsidRPr="005D74D1">
              <w:rPr>
                <w:rFonts w:cs="Arial"/>
              </w:rPr>
              <w:t xml:space="preserve"> (GM2030)</w:t>
            </w:r>
            <w:r w:rsidRPr="005D74D1">
              <w:rPr>
                <w:rFonts w:cs="Arial"/>
              </w:rPr>
              <w:t xml:space="preserve">, </w:t>
            </w:r>
            <w:r w:rsidR="0089134C" w:rsidRPr="005D74D1">
              <w:rPr>
                <w:rFonts w:cs="Arial"/>
              </w:rPr>
              <w:t>l</w:t>
            </w:r>
            <w:r w:rsidRPr="005D74D1">
              <w:rPr>
                <w:rFonts w:cs="Arial"/>
              </w:rPr>
              <w:t>icensing review and reform</w:t>
            </w:r>
            <w:r w:rsidR="0015718F" w:rsidRPr="005D74D1">
              <w:rPr>
                <w:rFonts w:cs="Arial"/>
              </w:rPr>
              <w:t>.</w:t>
            </w:r>
          </w:p>
        </w:tc>
      </w:tr>
      <w:tr w:rsidR="00794795" w:rsidRPr="005D74D1" w14:paraId="1694CA85" w14:textId="77777777" w:rsidTr="00140664">
        <w:trPr>
          <w:trHeight w:val="288"/>
        </w:trPr>
        <w:tc>
          <w:tcPr>
            <w:tcW w:w="1307" w:type="pct"/>
            <w:hideMark/>
          </w:tcPr>
          <w:p w14:paraId="72016725" w14:textId="1A76D0D4" w:rsidR="00794795" w:rsidRPr="005D74D1" w:rsidRDefault="006823C0" w:rsidP="00A90962">
            <w:pPr>
              <w:pStyle w:val="TableText"/>
              <w:rPr>
                <w:rFonts w:cs="Arial"/>
              </w:rPr>
            </w:pPr>
            <w:r w:rsidRPr="005D74D1">
              <w:rPr>
                <w:rFonts w:cs="Arial"/>
              </w:rPr>
              <w:t xml:space="preserve">WRS7: Water compliance reform </w:t>
            </w:r>
          </w:p>
        </w:tc>
        <w:tc>
          <w:tcPr>
            <w:tcW w:w="3693" w:type="pct"/>
            <w:noWrap/>
          </w:tcPr>
          <w:p w14:paraId="3ADEF61F" w14:textId="72595410" w:rsidR="00794795" w:rsidRPr="005D74D1" w:rsidRDefault="00794795" w:rsidP="00A90962">
            <w:pPr>
              <w:pStyle w:val="TableText"/>
              <w:rPr>
                <w:rFonts w:cs="Arial"/>
              </w:rPr>
            </w:pPr>
            <w:r w:rsidRPr="005D74D1">
              <w:rPr>
                <w:rFonts w:cs="Arial"/>
              </w:rPr>
              <w:t xml:space="preserve">Creation of a statewide regulatory regime to reduce </w:t>
            </w:r>
            <w:r w:rsidR="00B749B7" w:rsidRPr="005D74D1">
              <w:rPr>
                <w:rFonts w:cs="Arial"/>
              </w:rPr>
              <w:t xml:space="preserve">unauthorised </w:t>
            </w:r>
            <w:r w:rsidRPr="005D74D1">
              <w:rPr>
                <w:rFonts w:cs="Arial"/>
              </w:rPr>
              <w:t xml:space="preserve">take and allow for </w:t>
            </w:r>
            <w:r w:rsidR="00751F4B" w:rsidRPr="005D74D1">
              <w:rPr>
                <w:rFonts w:cs="Arial"/>
              </w:rPr>
              <w:t>improved</w:t>
            </w:r>
            <w:r w:rsidRPr="005D74D1">
              <w:rPr>
                <w:rFonts w:cs="Arial"/>
              </w:rPr>
              <w:t xml:space="preserve"> compliance </w:t>
            </w:r>
            <w:r w:rsidR="00751F4B" w:rsidRPr="005D74D1">
              <w:rPr>
                <w:rFonts w:cs="Arial"/>
              </w:rPr>
              <w:t>and</w:t>
            </w:r>
            <w:r w:rsidRPr="005D74D1">
              <w:rPr>
                <w:rFonts w:cs="Arial"/>
              </w:rPr>
              <w:t xml:space="preserve"> enforcement</w:t>
            </w:r>
            <w:r w:rsidR="00DB68BF" w:rsidRPr="005D74D1">
              <w:rPr>
                <w:rFonts w:cs="Arial"/>
              </w:rPr>
              <w:t xml:space="preserve">, </w:t>
            </w:r>
            <w:r w:rsidR="0013148F" w:rsidRPr="005D74D1">
              <w:rPr>
                <w:rFonts w:cs="Arial"/>
              </w:rPr>
              <w:t xml:space="preserve">embedded </w:t>
            </w:r>
            <w:r w:rsidR="00457257" w:rsidRPr="005D74D1">
              <w:rPr>
                <w:rFonts w:cs="Arial"/>
              </w:rPr>
              <w:t>k</w:t>
            </w:r>
            <w:r w:rsidR="00F75D12" w:rsidRPr="005D74D1">
              <w:rPr>
                <w:rFonts w:cs="Arial"/>
              </w:rPr>
              <w:t xml:space="preserve">ey </w:t>
            </w:r>
            <w:r w:rsidR="00457257" w:rsidRPr="005D74D1">
              <w:rPr>
                <w:rFonts w:cs="Arial"/>
              </w:rPr>
              <w:t>p</w:t>
            </w:r>
            <w:r w:rsidR="00F75D12" w:rsidRPr="005D74D1">
              <w:rPr>
                <w:rFonts w:cs="Arial"/>
              </w:rPr>
              <w:t xml:space="preserve">erformance </w:t>
            </w:r>
            <w:r w:rsidR="00457257" w:rsidRPr="005D74D1">
              <w:rPr>
                <w:rFonts w:cs="Arial"/>
              </w:rPr>
              <w:t>i</w:t>
            </w:r>
            <w:r w:rsidR="00F75D12" w:rsidRPr="005D74D1">
              <w:rPr>
                <w:rFonts w:cs="Arial"/>
              </w:rPr>
              <w:t xml:space="preserve">ndicators for </w:t>
            </w:r>
            <w:r w:rsidR="00127C9E" w:rsidRPr="005D74D1">
              <w:rPr>
                <w:rFonts w:cs="Arial"/>
              </w:rPr>
              <w:t>rural water corporations</w:t>
            </w:r>
            <w:r w:rsidR="00F75D12" w:rsidRPr="005D74D1">
              <w:rPr>
                <w:rFonts w:cs="Arial"/>
              </w:rPr>
              <w:t xml:space="preserve">, </w:t>
            </w:r>
            <w:r w:rsidR="00DB68BF" w:rsidRPr="005D74D1">
              <w:rPr>
                <w:rFonts w:cs="Arial"/>
              </w:rPr>
              <w:t>telemetry</w:t>
            </w:r>
            <w:r w:rsidR="009A467B" w:rsidRPr="005D74D1">
              <w:rPr>
                <w:rFonts w:cs="Arial"/>
              </w:rPr>
              <w:t xml:space="preserve"> installations and meter upgrades</w:t>
            </w:r>
            <w:r w:rsidR="0015718F" w:rsidRPr="005D74D1">
              <w:rPr>
                <w:rFonts w:cs="Arial"/>
              </w:rPr>
              <w:t>.</w:t>
            </w:r>
          </w:p>
        </w:tc>
      </w:tr>
      <w:tr w:rsidR="00794795" w:rsidRPr="005D74D1" w14:paraId="56522AD2" w14:textId="77777777" w:rsidTr="00140664">
        <w:trPr>
          <w:trHeight w:val="288"/>
        </w:trPr>
        <w:tc>
          <w:tcPr>
            <w:tcW w:w="1307" w:type="pct"/>
            <w:hideMark/>
          </w:tcPr>
          <w:p w14:paraId="652A2030" w14:textId="4497286F" w:rsidR="00794795" w:rsidRPr="005D74D1" w:rsidRDefault="006823C0" w:rsidP="00A90962">
            <w:pPr>
              <w:pStyle w:val="TableText"/>
              <w:rPr>
                <w:rFonts w:cs="Arial"/>
              </w:rPr>
            </w:pPr>
            <w:r w:rsidRPr="005D74D1">
              <w:rPr>
                <w:rFonts w:cs="Arial"/>
              </w:rPr>
              <w:t xml:space="preserve">WRS8: Accounting for Water </w:t>
            </w:r>
            <w:r w:rsidR="00794795" w:rsidRPr="005D74D1">
              <w:rPr>
                <w:rFonts w:cs="Arial"/>
              </w:rPr>
              <w:t>Recovery</w:t>
            </w:r>
          </w:p>
        </w:tc>
        <w:tc>
          <w:tcPr>
            <w:tcW w:w="3693" w:type="pct"/>
            <w:noWrap/>
          </w:tcPr>
          <w:p w14:paraId="1C21C368" w14:textId="5E2A7C86" w:rsidR="00794795" w:rsidRPr="005D74D1" w:rsidRDefault="00794795" w:rsidP="00A90962">
            <w:pPr>
              <w:pStyle w:val="TableText"/>
              <w:rPr>
                <w:rFonts w:cs="Arial"/>
              </w:rPr>
            </w:pPr>
            <w:r w:rsidRPr="005D74D1">
              <w:rPr>
                <w:rFonts w:cs="Arial"/>
              </w:rPr>
              <w:t>Independent audit and reviews of water recovery projects, translating the water recovery into water entitlement volumes and reliabilities</w:t>
            </w:r>
            <w:r w:rsidR="005847BC" w:rsidRPr="005D74D1">
              <w:rPr>
                <w:rFonts w:cs="Arial"/>
              </w:rPr>
              <w:t xml:space="preserve">, </w:t>
            </w:r>
            <w:r w:rsidR="002B4FA3" w:rsidRPr="005D74D1">
              <w:rPr>
                <w:rFonts w:cs="Arial"/>
              </w:rPr>
              <w:t>cre</w:t>
            </w:r>
            <w:r w:rsidR="003432BB" w:rsidRPr="005D74D1">
              <w:rPr>
                <w:rFonts w:cs="Arial"/>
              </w:rPr>
              <w:t>a</w:t>
            </w:r>
            <w:r w:rsidR="002B4FA3" w:rsidRPr="005D74D1">
              <w:rPr>
                <w:rFonts w:cs="Arial"/>
              </w:rPr>
              <w:t>t</w:t>
            </w:r>
            <w:r w:rsidR="003432BB" w:rsidRPr="005D74D1">
              <w:rPr>
                <w:rFonts w:cs="Arial"/>
              </w:rPr>
              <w:t>ion</w:t>
            </w:r>
            <w:r w:rsidR="00A622C0" w:rsidRPr="005D74D1">
              <w:rPr>
                <w:rFonts w:cs="Arial"/>
              </w:rPr>
              <w:t>,</w:t>
            </w:r>
            <w:r w:rsidR="005847BC" w:rsidRPr="005D74D1">
              <w:rPr>
                <w:rFonts w:cs="Arial"/>
              </w:rPr>
              <w:t xml:space="preserve"> and </w:t>
            </w:r>
            <w:r w:rsidR="002B4FA3" w:rsidRPr="005D74D1">
              <w:rPr>
                <w:rFonts w:cs="Arial"/>
              </w:rPr>
              <w:t>distribut</w:t>
            </w:r>
            <w:r w:rsidR="003432BB" w:rsidRPr="005D74D1">
              <w:rPr>
                <w:rFonts w:cs="Arial"/>
              </w:rPr>
              <w:t>ion of</w:t>
            </w:r>
            <w:r w:rsidR="005847BC" w:rsidRPr="005D74D1">
              <w:rPr>
                <w:rFonts w:cs="Arial"/>
              </w:rPr>
              <w:t xml:space="preserve"> water shares</w:t>
            </w:r>
            <w:r w:rsidR="0015718F" w:rsidRPr="005D74D1">
              <w:rPr>
                <w:rFonts w:cs="Arial"/>
              </w:rPr>
              <w:t>.</w:t>
            </w:r>
          </w:p>
        </w:tc>
      </w:tr>
      <w:tr w:rsidR="00794795" w:rsidRPr="005D74D1" w14:paraId="2E69997B" w14:textId="77777777" w:rsidTr="00140664">
        <w:trPr>
          <w:trHeight w:val="288"/>
        </w:trPr>
        <w:tc>
          <w:tcPr>
            <w:tcW w:w="1307" w:type="pct"/>
            <w:hideMark/>
          </w:tcPr>
          <w:p w14:paraId="2941A36A" w14:textId="2189E3DF" w:rsidR="00794795" w:rsidRPr="005D74D1" w:rsidRDefault="006823C0" w:rsidP="00A90962">
            <w:pPr>
              <w:pStyle w:val="TableText"/>
              <w:rPr>
                <w:rFonts w:cs="Arial"/>
              </w:rPr>
            </w:pPr>
            <w:r w:rsidRPr="005D74D1">
              <w:rPr>
                <w:rFonts w:cs="Arial"/>
              </w:rPr>
              <w:t xml:space="preserve">WRS9: Water Register Operations and </w:t>
            </w:r>
            <w:r w:rsidR="00794795" w:rsidRPr="005D74D1">
              <w:rPr>
                <w:rFonts w:cs="Arial"/>
              </w:rPr>
              <w:t>Improvements</w:t>
            </w:r>
          </w:p>
        </w:tc>
        <w:tc>
          <w:tcPr>
            <w:tcW w:w="3693" w:type="pct"/>
          </w:tcPr>
          <w:p w14:paraId="5626ED47" w14:textId="51BD6997" w:rsidR="00794795" w:rsidRPr="005D74D1" w:rsidRDefault="00794795" w:rsidP="00A90962">
            <w:pPr>
              <w:pStyle w:val="TableText"/>
              <w:rPr>
                <w:rFonts w:cs="Arial"/>
              </w:rPr>
            </w:pPr>
            <w:r w:rsidRPr="005D74D1">
              <w:rPr>
                <w:rFonts w:cs="Arial"/>
              </w:rPr>
              <w:t>Transition of the Victorian Water Register to a new technology platform and delivering operational requirements</w:t>
            </w:r>
            <w:r w:rsidR="0015718F" w:rsidRPr="005D74D1">
              <w:rPr>
                <w:rFonts w:cs="Arial"/>
              </w:rPr>
              <w:t>.</w:t>
            </w:r>
          </w:p>
        </w:tc>
      </w:tr>
      <w:tr w:rsidR="00794795" w:rsidRPr="005D74D1" w14:paraId="78C5A477" w14:textId="77777777" w:rsidTr="00140664">
        <w:trPr>
          <w:trHeight w:val="288"/>
        </w:trPr>
        <w:tc>
          <w:tcPr>
            <w:tcW w:w="1307" w:type="pct"/>
            <w:hideMark/>
          </w:tcPr>
          <w:p w14:paraId="2431D19C" w14:textId="41F79AE2" w:rsidR="00794795" w:rsidRPr="005D74D1" w:rsidRDefault="006823C0" w:rsidP="00A90962">
            <w:pPr>
              <w:pStyle w:val="TableText"/>
              <w:rPr>
                <w:rFonts w:cs="Arial"/>
              </w:rPr>
            </w:pPr>
            <w:r w:rsidRPr="005D74D1">
              <w:rPr>
                <w:rFonts w:cs="Arial"/>
              </w:rPr>
              <w:t xml:space="preserve">WRS10: Understand and Apply Climate Science to </w:t>
            </w:r>
            <w:r w:rsidR="00794795" w:rsidRPr="005D74D1">
              <w:rPr>
                <w:rFonts w:cs="Arial"/>
              </w:rPr>
              <w:t>Water</w:t>
            </w:r>
          </w:p>
        </w:tc>
        <w:tc>
          <w:tcPr>
            <w:tcW w:w="3693" w:type="pct"/>
            <w:noWrap/>
          </w:tcPr>
          <w:p w14:paraId="264323EB" w14:textId="78C23B9D" w:rsidR="00794795" w:rsidRPr="005D74D1" w:rsidRDefault="00794795" w:rsidP="00A90962">
            <w:pPr>
              <w:pStyle w:val="TableText"/>
              <w:rPr>
                <w:rFonts w:cs="Arial"/>
              </w:rPr>
            </w:pPr>
            <w:r w:rsidRPr="005D74D1">
              <w:rPr>
                <w:rFonts w:cs="Arial"/>
              </w:rPr>
              <w:t>Guidelines for Assessing the Impact of Climate Change on Water Availability in Victoria, communications products, engagement</w:t>
            </w:r>
            <w:r w:rsidR="0015718F" w:rsidRPr="005D74D1">
              <w:rPr>
                <w:rFonts w:cs="Arial"/>
              </w:rPr>
              <w:t>.</w:t>
            </w:r>
          </w:p>
        </w:tc>
      </w:tr>
      <w:tr w:rsidR="00794795" w:rsidRPr="005D74D1" w14:paraId="1DC7C3CF" w14:textId="77777777" w:rsidTr="00140664">
        <w:trPr>
          <w:trHeight w:val="288"/>
        </w:trPr>
        <w:tc>
          <w:tcPr>
            <w:tcW w:w="1307" w:type="pct"/>
            <w:hideMark/>
          </w:tcPr>
          <w:p w14:paraId="51436EFA" w14:textId="67A6FD25" w:rsidR="00794795" w:rsidRPr="005D74D1" w:rsidRDefault="006823C0" w:rsidP="00A90962">
            <w:pPr>
              <w:pStyle w:val="TableText"/>
              <w:rPr>
                <w:rFonts w:cs="Arial"/>
              </w:rPr>
            </w:pPr>
            <w:r w:rsidRPr="005D74D1">
              <w:rPr>
                <w:rFonts w:cs="Arial"/>
              </w:rPr>
              <w:t xml:space="preserve">WRS11: Surface Water Assessment and </w:t>
            </w:r>
            <w:r w:rsidR="00794795" w:rsidRPr="005D74D1">
              <w:rPr>
                <w:rFonts w:cs="Arial"/>
              </w:rPr>
              <w:t>Modelling</w:t>
            </w:r>
          </w:p>
        </w:tc>
        <w:tc>
          <w:tcPr>
            <w:tcW w:w="3693" w:type="pct"/>
            <w:noWrap/>
          </w:tcPr>
          <w:p w14:paraId="23054F81" w14:textId="4E8A7D24" w:rsidR="00794795" w:rsidRPr="005D74D1" w:rsidRDefault="00794795" w:rsidP="00A90962">
            <w:pPr>
              <w:pStyle w:val="TableText"/>
              <w:rPr>
                <w:rFonts w:cs="Arial"/>
              </w:rPr>
            </w:pPr>
            <w:r w:rsidRPr="005D74D1">
              <w:rPr>
                <w:rFonts w:cs="Arial"/>
              </w:rPr>
              <w:t>Transitioning models to a new platform and updating capabilities to meet the needs of Victoria</w:t>
            </w:r>
            <w:r w:rsidR="0015718F" w:rsidRPr="005D74D1">
              <w:rPr>
                <w:rFonts w:cs="Arial"/>
              </w:rPr>
              <w:t>.</w:t>
            </w:r>
          </w:p>
        </w:tc>
      </w:tr>
      <w:tr w:rsidR="00794795" w:rsidRPr="005D74D1" w14:paraId="66D44336" w14:textId="77777777" w:rsidTr="00140664">
        <w:trPr>
          <w:trHeight w:val="288"/>
        </w:trPr>
        <w:tc>
          <w:tcPr>
            <w:tcW w:w="1307" w:type="pct"/>
            <w:hideMark/>
          </w:tcPr>
          <w:p w14:paraId="13AF9BAB" w14:textId="610981A4" w:rsidR="00794795" w:rsidRPr="005D74D1" w:rsidRDefault="006823C0" w:rsidP="00A90962">
            <w:pPr>
              <w:pStyle w:val="TableText"/>
              <w:rPr>
                <w:rFonts w:cs="Arial"/>
              </w:rPr>
            </w:pPr>
            <w:r w:rsidRPr="005D74D1">
              <w:rPr>
                <w:rFonts w:cs="Arial"/>
              </w:rPr>
              <w:t>WRS12: Long</w:t>
            </w:r>
            <w:r w:rsidR="00F07A77" w:rsidRPr="005D74D1">
              <w:rPr>
                <w:rFonts w:cs="Arial"/>
              </w:rPr>
              <w:t>-</w:t>
            </w:r>
            <w:r w:rsidR="00794795" w:rsidRPr="005D74D1">
              <w:rPr>
                <w:rFonts w:cs="Arial"/>
              </w:rPr>
              <w:t>Term Water Resource Assessment</w:t>
            </w:r>
            <w:r w:rsidR="520023AD" w:rsidRPr="005D74D1">
              <w:rPr>
                <w:rFonts w:cs="Arial"/>
              </w:rPr>
              <w:t xml:space="preserve"> and Addressing the impacts of mining and extractive industries</w:t>
            </w:r>
          </w:p>
        </w:tc>
        <w:tc>
          <w:tcPr>
            <w:tcW w:w="3693" w:type="pct"/>
          </w:tcPr>
          <w:p w14:paraId="52F39CD4" w14:textId="30DDBABF" w:rsidR="00794795" w:rsidRPr="005D74D1" w:rsidRDefault="00794795" w:rsidP="00A90962">
            <w:pPr>
              <w:pStyle w:val="TableText"/>
              <w:rPr>
                <w:rFonts w:cs="Arial"/>
              </w:rPr>
            </w:pPr>
            <w:r w:rsidRPr="005D74D1">
              <w:rPr>
                <w:rFonts w:cs="Arial"/>
              </w:rPr>
              <w:t>Inclusion of actions within the SWS that address findings of L</w:t>
            </w:r>
            <w:r w:rsidR="0066293C" w:rsidRPr="005D74D1">
              <w:rPr>
                <w:rFonts w:cs="Arial"/>
              </w:rPr>
              <w:t>ong</w:t>
            </w:r>
            <w:r w:rsidR="00FE4B5A" w:rsidRPr="005D74D1">
              <w:rPr>
                <w:rFonts w:cs="Arial"/>
              </w:rPr>
              <w:t>-</w:t>
            </w:r>
            <w:r w:rsidR="0066293C" w:rsidRPr="005D74D1">
              <w:rPr>
                <w:rFonts w:cs="Arial"/>
              </w:rPr>
              <w:t>Term Water Resource Assessment,</w:t>
            </w:r>
            <w:r w:rsidRPr="005D74D1">
              <w:rPr>
                <w:rFonts w:cs="Arial"/>
              </w:rPr>
              <w:t xml:space="preserve"> preliminary method for the </w:t>
            </w:r>
            <w:r w:rsidR="0066293C" w:rsidRPr="005D74D1">
              <w:rPr>
                <w:rFonts w:cs="Arial"/>
              </w:rPr>
              <w:t>Long</w:t>
            </w:r>
            <w:r w:rsidR="00FE4B5A" w:rsidRPr="005D74D1">
              <w:rPr>
                <w:rFonts w:cs="Arial"/>
              </w:rPr>
              <w:t>-</w:t>
            </w:r>
            <w:r w:rsidR="0066293C" w:rsidRPr="005D74D1">
              <w:rPr>
                <w:rFonts w:cs="Arial"/>
              </w:rPr>
              <w:t>Term Water Resource Assessment</w:t>
            </w:r>
            <w:r w:rsidRPr="005D74D1">
              <w:rPr>
                <w:rFonts w:cs="Arial"/>
              </w:rPr>
              <w:t xml:space="preserve"> </w:t>
            </w:r>
            <w:r w:rsidR="003E6FC7" w:rsidRPr="005D74D1">
              <w:rPr>
                <w:rFonts w:cs="Arial"/>
              </w:rPr>
              <w:t>for</w:t>
            </w:r>
            <w:r w:rsidRPr="005D74D1">
              <w:rPr>
                <w:rFonts w:cs="Arial"/>
              </w:rPr>
              <w:t xml:space="preserve"> northern Victoria</w:t>
            </w:r>
            <w:r w:rsidR="007B72E2" w:rsidRPr="005D74D1">
              <w:rPr>
                <w:rFonts w:cs="Arial"/>
              </w:rPr>
              <w:t>, 2023 Latrobe Valley Regional Rehabilitation Strategy (LVRRS) Amendment</w:t>
            </w:r>
            <w:r w:rsidR="003C2883" w:rsidRPr="005D74D1">
              <w:rPr>
                <w:rFonts w:cs="Arial"/>
              </w:rPr>
              <w:t xml:space="preserve"> review and supporting outputs</w:t>
            </w:r>
            <w:r w:rsidR="0015718F" w:rsidRPr="005D74D1">
              <w:rPr>
                <w:rFonts w:cs="Arial"/>
              </w:rPr>
              <w:t>.</w:t>
            </w:r>
          </w:p>
        </w:tc>
      </w:tr>
      <w:tr w:rsidR="00794795" w:rsidRPr="005D74D1" w14:paraId="58E6D545" w14:textId="77777777" w:rsidTr="00140664">
        <w:trPr>
          <w:trHeight w:val="288"/>
        </w:trPr>
        <w:tc>
          <w:tcPr>
            <w:tcW w:w="1307" w:type="pct"/>
            <w:hideMark/>
          </w:tcPr>
          <w:p w14:paraId="7823526B" w14:textId="4E45648F" w:rsidR="00794795" w:rsidRPr="005D74D1" w:rsidRDefault="006823C0" w:rsidP="00A90962">
            <w:pPr>
              <w:pStyle w:val="TableText"/>
              <w:rPr>
                <w:rFonts w:cs="Arial"/>
              </w:rPr>
            </w:pPr>
            <w:r w:rsidRPr="005D74D1">
              <w:rPr>
                <w:rFonts w:cs="Arial"/>
              </w:rPr>
              <w:t xml:space="preserve">WRS13: Groundwater assessment and </w:t>
            </w:r>
            <w:r w:rsidR="00794795" w:rsidRPr="005D74D1">
              <w:rPr>
                <w:rFonts w:cs="Arial"/>
              </w:rPr>
              <w:t>modelling</w:t>
            </w:r>
          </w:p>
        </w:tc>
        <w:tc>
          <w:tcPr>
            <w:tcW w:w="3693" w:type="pct"/>
          </w:tcPr>
          <w:p w14:paraId="7E1DD0F9" w14:textId="455210D8" w:rsidR="00794795" w:rsidRPr="005D74D1" w:rsidRDefault="00794795" w:rsidP="00A90962">
            <w:pPr>
              <w:pStyle w:val="TableText"/>
              <w:rPr>
                <w:rFonts w:cs="Arial"/>
              </w:rPr>
            </w:pPr>
            <w:r w:rsidRPr="005D74D1">
              <w:rPr>
                <w:rFonts w:cs="Arial"/>
              </w:rPr>
              <w:t>State-wide review of sustainable yields for groundwater systems</w:t>
            </w:r>
            <w:r w:rsidR="00913A2E" w:rsidRPr="005D74D1">
              <w:rPr>
                <w:rFonts w:cs="Arial"/>
              </w:rPr>
              <w:t xml:space="preserve"> and assessment of sustainable use</w:t>
            </w:r>
            <w:r w:rsidRPr="005D74D1">
              <w:rPr>
                <w:rFonts w:cs="Arial"/>
              </w:rPr>
              <w:t>, refurbishment and construction of bores, provision of specialist advice</w:t>
            </w:r>
            <w:r w:rsidR="0015718F" w:rsidRPr="005D74D1">
              <w:rPr>
                <w:rFonts w:cs="Arial"/>
              </w:rPr>
              <w:t>.</w:t>
            </w:r>
          </w:p>
        </w:tc>
      </w:tr>
      <w:tr w:rsidR="00794795" w:rsidRPr="005D74D1" w14:paraId="027571FA" w14:textId="77777777" w:rsidTr="00140664">
        <w:trPr>
          <w:trHeight w:val="288"/>
        </w:trPr>
        <w:tc>
          <w:tcPr>
            <w:tcW w:w="1307" w:type="pct"/>
            <w:hideMark/>
          </w:tcPr>
          <w:p w14:paraId="2A9098CD" w14:textId="3C1DF475" w:rsidR="00794795" w:rsidRPr="005D74D1" w:rsidRDefault="006823C0" w:rsidP="00A90962">
            <w:pPr>
              <w:pStyle w:val="TableText"/>
              <w:rPr>
                <w:rFonts w:cs="Arial"/>
              </w:rPr>
            </w:pPr>
            <w:r w:rsidRPr="005D74D1">
              <w:rPr>
                <w:rFonts w:cs="Arial"/>
              </w:rPr>
              <w:t xml:space="preserve">WRS14: Surface Water and Ground Water </w:t>
            </w:r>
            <w:r w:rsidR="00794795" w:rsidRPr="005D74D1">
              <w:rPr>
                <w:rFonts w:cs="Arial"/>
              </w:rPr>
              <w:t>Monitoring</w:t>
            </w:r>
          </w:p>
        </w:tc>
        <w:tc>
          <w:tcPr>
            <w:tcW w:w="3693" w:type="pct"/>
            <w:noWrap/>
          </w:tcPr>
          <w:p w14:paraId="0842B70F" w14:textId="785D180A" w:rsidR="00794795" w:rsidRPr="005D74D1" w:rsidRDefault="00794795" w:rsidP="00A90962">
            <w:pPr>
              <w:pStyle w:val="TableText"/>
              <w:rPr>
                <w:rFonts w:cs="Arial"/>
              </w:rPr>
            </w:pPr>
            <w:r w:rsidRPr="005D74D1">
              <w:rPr>
                <w:rFonts w:cs="Arial"/>
              </w:rPr>
              <w:t xml:space="preserve">Operation and maintenance of </w:t>
            </w:r>
            <w:r w:rsidR="002B2B7F" w:rsidRPr="005D74D1">
              <w:rPr>
                <w:rFonts w:cs="Arial"/>
              </w:rPr>
              <w:t xml:space="preserve">1015 </w:t>
            </w:r>
            <w:r w:rsidRPr="005D74D1">
              <w:rPr>
                <w:rFonts w:cs="Arial"/>
              </w:rPr>
              <w:t xml:space="preserve">surface water and 1400 groundwater sites, site upgrades, upgrades to </w:t>
            </w:r>
            <w:r w:rsidR="00083AE1" w:rsidRPr="005D74D1">
              <w:rPr>
                <w:rFonts w:cs="Arial"/>
              </w:rPr>
              <w:t>w</w:t>
            </w:r>
            <w:r w:rsidRPr="005D74D1">
              <w:rPr>
                <w:rFonts w:cs="Arial"/>
              </w:rPr>
              <w:t xml:space="preserve">ater </w:t>
            </w:r>
            <w:r w:rsidR="00083AE1" w:rsidRPr="005D74D1">
              <w:rPr>
                <w:rFonts w:cs="Arial"/>
              </w:rPr>
              <w:t>m</w:t>
            </w:r>
            <w:r w:rsidRPr="005D74D1">
              <w:rPr>
                <w:rFonts w:cs="Arial"/>
              </w:rPr>
              <w:t xml:space="preserve">onitoring </w:t>
            </w:r>
            <w:r w:rsidR="00083AE1" w:rsidRPr="005D74D1">
              <w:rPr>
                <w:rFonts w:cs="Arial"/>
              </w:rPr>
              <w:t>i</w:t>
            </w:r>
            <w:r w:rsidRPr="005D74D1">
              <w:rPr>
                <w:rFonts w:cs="Arial"/>
              </w:rPr>
              <w:t>nformation systems, Regional Water Monitoring Partnership program</w:t>
            </w:r>
            <w:r w:rsidR="002B2B7F" w:rsidRPr="005D74D1">
              <w:rPr>
                <w:rFonts w:cs="Arial"/>
              </w:rPr>
              <w:t xml:space="preserve">, new contracts, delivery of </w:t>
            </w:r>
            <w:r w:rsidR="00CC4579" w:rsidRPr="005D74D1">
              <w:rPr>
                <w:rFonts w:cs="Arial"/>
              </w:rPr>
              <w:t>five-</w:t>
            </w:r>
            <w:r w:rsidR="002B2B7F" w:rsidRPr="005D74D1">
              <w:rPr>
                <w:rFonts w:cs="Arial"/>
              </w:rPr>
              <w:t>yearly analysis of Victoria’s surface water</w:t>
            </w:r>
            <w:r w:rsidR="0015718F" w:rsidRPr="005D74D1">
              <w:rPr>
                <w:rFonts w:cs="Arial"/>
              </w:rPr>
              <w:t>.</w:t>
            </w:r>
            <w:r w:rsidRPr="005D74D1">
              <w:rPr>
                <w:rFonts w:cs="Arial"/>
              </w:rPr>
              <w:t xml:space="preserve"> </w:t>
            </w:r>
          </w:p>
        </w:tc>
      </w:tr>
      <w:tr w:rsidR="00794795" w:rsidRPr="005D74D1" w14:paraId="08C98B2F" w14:textId="77777777" w:rsidTr="00140664">
        <w:trPr>
          <w:trHeight w:val="288"/>
        </w:trPr>
        <w:tc>
          <w:tcPr>
            <w:tcW w:w="1307" w:type="pct"/>
            <w:hideMark/>
          </w:tcPr>
          <w:p w14:paraId="6EA227C9" w14:textId="52F3BFAD" w:rsidR="00794795" w:rsidRPr="005D74D1" w:rsidRDefault="006823C0" w:rsidP="00A90962">
            <w:pPr>
              <w:pStyle w:val="TableText"/>
              <w:rPr>
                <w:rFonts w:cs="Arial"/>
              </w:rPr>
            </w:pPr>
            <w:r w:rsidRPr="005D74D1">
              <w:rPr>
                <w:rFonts w:cs="Arial"/>
              </w:rPr>
              <w:t xml:space="preserve">WRS15: Water Accounting and </w:t>
            </w:r>
            <w:r w:rsidR="00794795" w:rsidRPr="005D74D1">
              <w:rPr>
                <w:rFonts w:cs="Arial"/>
              </w:rPr>
              <w:t>Reporting</w:t>
            </w:r>
          </w:p>
        </w:tc>
        <w:tc>
          <w:tcPr>
            <w:tcW w:w="3693" w:type="pct"/>
          </w:tcPr>
          <w:p w14:paraId="5DDD2B0D" w14:textId="2D6BC218" w:rsidR="00794795" w:rsidRPr="005D74D1" w:rsidRDefault="00794795" w:rsidP="00A90962">
            <w:pPr>
              <w:pStyle w:val="TableText"/>
              <w:rPr>
                <w:rFonts w:cs="Arial"/>
              </w:rPr>
            </w:pPr>
            <w:r w:rsidRPr="005D74D1">
              <w:rPr>
                <w:rFonts w:cs="Arial"/>
              </w:rPr>
              <w:t xml:space="preserve">Upgrade of the Victorian Water Account Platform, </w:t>
            </w:r>
            <w:r w:rsidR="00A726F2" w:rsidRPr="005D74D1">
              <w:rPr>
                <w:rFonts w:cs="Arial"/>
              </w:rPr>
              <w:t>business-as-usual</w:t>
            </w:r>
            <w:r w:rsidRPr="005D74D1">
              <w:rPr>
                <w:rFonts w:cs="Arial"/>
              </w:rPr>
              <w:t xml:space="preserve"> functions</w:t>
            </w:r>
            <w:r w:rsidR="0015718F" w:rsidRPr="005D74D1">
              <w:rPr>
                <w:rFonts w:cs="Arial"/>
              </w:rPr>
              <w:t>.</w:t>
            </w:r>
          </w:p>
        </w:tc>
      </w:tr>
      <w:tr w:rsidR="00794795" w:rsidRPr="005D74D1" w14:paraId="35A10AFB" w14:textId="77777777" w:rsidTr="00140664">
        <w:trPr>
          <w:trHeight w:val="288"/>
        </w:trPr>
        <w:tc>
          <w:tcPr>
            <w:tcW w:w="1307" w:type="pct"/>
            <w:hideMark/>
          </w:tcPr>
          <w:p w14:paraId="36ED4E69" w14:textId="6C0D3586" w:rsidR="00794795" w:rsidRPr="005D74D1" w:rsidRDefault="006823C0" w:rsidP="00A90962">
            <w:pPr>
              <w:pStyle w:val="TableText"/>
              <w:rPr>
                <w:rFonts w:cs="Arial"/>
              </w:rPr>
            </w:pPr>
            <w:r w:rsidRPr="005D74D1">
              <w:rPr>
                <w:rFonts w:cs="Arial"/>
              </w:rPr>
              <w:t xml:space="preserve">WRS16: Knowledge and insights </w:t>
            </w:r>
          </w:p>
        </w:tc>
        <w:tc>
          <w:tcPr>
            <w:tcW w:w="3693" w:type="pct"/>
            <w:noWrap/>
          </w:tcPr>
          <w:p w14:paraId="48E5DECC" w14:textId="39B642F1" w:rsidR="00794795" w:rsidRPr="005D74D1" w:rsidRDefault="00794795" w:rsidP="00A90962">
            <w:pPr>
              <w:pStyle w:val="TableText"/>
              <w:rPr>
                <w:rFonts w:cs="Arial"/>
              </w:rPr>
            </w:pPr>
            <w:r w:rsidRPr="005D74D1">
              <w:rPr>
                <w:rFonts w:cs="Arial"/>
              </w:rPr>
              <w:t xml:space="preserve">Water </w:t>
            </w:r>
            <w:r w:rsidR="00B1538C" w:rsidRPr="005D74D1">
              <w:rPr>
                <w:rFonts w:cs="Arial"/>
              </w:rPr>
              <w:t>M</w:t>
            </w:r>
            <w:r w:rsidRPr="005D74D1">
              <w:rPr>
                <w:rFonts w:cs="Arial"/>
              </w:rPr>
              <w:t>arket Watch app, video content, curriculum</w:t>
            </w:r>
            <w:r w:rsidR="00B1538C" w:rsidRPr="005D74D1">
              <w:rPr>
                <w:rFonts w:cs="Arial"/>
              </w:rPr>
              <w:t>-</w:t>
            </w:r>
            <w:r w:rsidRPr="005D74D1">
              <w:rPr>
                <w:rFonts w:cs="Arial"/>
              </w:rPr>
              <w:t>aligned educational content, Building a Better Victorian Water Register Website</w:t>
            </w:r>
            <w:r w:rsidR="007E184F" w:rsidRPr="005D74D1">
              <w:rPr>
                <w:rFonts w:cs="Arial"/>
              </w:rPr>
              <w:t xml:space="preserve">, enhanced </w:t>
            </w:r>
            <w:r w:rsidR="00A520F9" w:rsidRPr="005D74D1">
              <w:rPr>
                <w:rFonts w:cs="Arial"/>
              </w:rPr>
              <w:t>Victorian trade communications</w:t>
            </w:r>
            <w:r w:rsidR="00122DD1" w:rsidRPr="005D74D1">
              <w:rPr>
                <w:rFonts w:cs="Arial"/>
              </w:rPr>
              <w:t xml:space="preserve"> to water market participants</w:t>
            </w:r>
          </w:p>
        </w:tc>
      </w:tr>
      <w:tr w:rsidR="00794795" w:rsidRPr="005D74D1" w14:paraId="34E84A7D" w14:textId="77777777" w:rsidTr="00140664">
        <w:trPr>
          <w:trHeight w:val="288"/>
        </w:trPr>
        <w:tc>
          <w:tcPr>
            <w:tcW w:w="1307" w:type="pct"/>
            <w:noWrap/>
            <w:hideMark/>
          </w:tcPr>
          <w:p w14:paraId="7E2F14F9" w14:textId="51CB422D" w:rsidR="00794795" w:rsidRPr="005D74D1" w:rsidRDefault="006823C0" w:rsidP="00A90962">
            <w:pPr>
              <w:pStyle w:val="TableText"/>
              <w:rPr>
                <w:rFonts w:cs="Arial"/>
              </w:rPr>
            </w:pPr>
            <w:r w:rsidRPr="005D74D1">
              <w:rPr>
                <w:rFonts w:cs="Arial"/>
              </w:rPr>
              <w:t xml:space="preserve">CWCT05: Water Efficiency </w:t>
            </w:r>
            <w:r w:rsidR="00794795" w:rsidRPr="005D74D1">
              <w:rPr>
                <w:rFonts w:cs="Arial"/>
              </w:rPr>
              <w:t>Program</w:t>
            </w:r>
          </w:p>
        </w:tc>
        <w:tc>
          <w:tcPr>
            <w:tcW w:w="3693" w:type="pct"/>
            <w:noWrap/>
          </w:tcPr>
          <w:p w14:paraId="6F4493D5" w14:textId="1F6CC0DC" w:rsidR="00794795" w:rsidRPr="005D74D1" w:rsidRDefault="00794795" w:rsidP="00A90962">
            <w:pPr>
              <w:pStyle w:val="TableText"/>
              <w:rPr>
                <w:rFonts w:cs="Arial"/>
              </w:rPr>
            </w:pPr>
            <w:r w:rsidRPr="005D74D1">
              <w:rPr>
                <w:rFonts w:cs="Arial"/>
              </w:rPr>
              <w:t xml:space="preserve">Water efficiency support </w:t>
            </w:r>
            <w:r w:rsidR="00D156A0" w:rsidRPr="005D74D1">
              <w:rPr>
                <w:rFonts w:cs="Arial"/>
              </w:rPr>
              <w:t>(</w:t>
            </w:r>
            <w:r w:rsidR="00106E31" w:rsidRPr="005D74D1">
              <w:rPr>
                <w:rFonts w:cs="Arial"/>
              </w:rPr>
              <w:t>water use monitoring, leak alert service, data visualisation</w:t>
            </w:r>
            <w:r w:rsidR="00D156A0" w:rsidRPr="005D74D1">
              <w:rPr>
                <w:rFonts w:cs="Arial"/>
              </w:rPr>
              <w:t>)</w:t>
            </w:r>
            <w:r w:rsidRPr="005D74D1">
              <w:rPr>
                <w:rFonts w:cs="Arial"/>
              </w:rPr>
              <w:t xml:space="preserve"> and education materials to schools, delivery of </w:t>
            </w:r>
            <w:r w:rsidR="00503723" w:rsidRPr="005D74D1">
              <w:rPr>
                <w:rFonts w:cs="Arial"/>
              </w:rPr>
              <w:t>water efficiency rebates</w:t>
            </w:r>
            <w:r w:rsidR="00261D33" w:rsidRPr="005D74D1">
              <w:rPr>
                <w:rFonts w:cs="Arial"/>
              </w:rPr>
              <w:t xml:space="preserve"> </w:t>
            </w:r>
            <w:r w:rsidR="00F27841" w:rsidRPr="005D74D1">
              <w:rPr>
                <w:rFonts w:cs="Arial"/>
              </w:rPr>
              <w:t>to customers in</w:t>
            </w:r>
            <w:r w:rsidR="00FA0D22" w:rsidRPr="005D74D1">
              <w:rPr>
                <w:rFonts w:cs="Arial"/>
              </w:rPr>
              <w:t xml:space="preserve"> </w:t>
            </w:r>
            <w:r w:rsidR="00F27841" w:rsidRPr="005D74D1">
              <w:rPr>
                <w:rFonts w:cs="Arial"/>
              </w:rPr>
              <w:t xml:space="preserve">vulnerable and hardship situation and </w:t>
            </w:r>
            <w:r w:rsidR="00FD6F07" w:rsidRPr="005D74D1">
              <w:rPr>
                <w:rFonts w:cs="Arial"/>
              </w:rPr>
              <w:t>not-for-profit emergency housing organisations</w:t>
            </w:r>
            <w:r w:rsidRPr="005D74D1">
              <w:rPr>
                <w:rFonts w:cs="Arial"/>
              </w:rPr>
              <w:t>, Smart Water Advice portal</w:t>
            </w:r>
            <w:r w:rsidR="00FA0D22" w:rsidRPr="005D74D1">
              <w:rPr>
                <w:rFonts w:cs="Arial"/>
              </w:rPr>
              <w:t xml:space="preserve">, </w:t>
            </w:r>
            <w:r w:rsidR="00EA6AD5" w:rsidRPr="005D74D1">
              <w:rPr>
                <w:rFonts w:cs="Arial"/>
              </w:rPr>
              <w:t>updating</w:t>
            </w:r>
            <w:r w:rsidR="00FA0D22" w:rsidRPr="005D74D1">
              <w:rPr>
                <w:rFonts w:cs="Arial"/>
              </w:rPr>
              <w:t xml:space="preserve"> </w:t>
            </w:r>
            <w:r w:rsidR="008B7768" w:rsidRPr="005D74D1">
              <w:rPr>
                <w:rFonts w:cs="Arial"/>
              </w:rPr>
              <w:t>and promoting</w:t>
            </w:r>
            <w:r w:rsidR="00FA0D22" w:rsidRPr="005D74D1">
              <w:rPr>
                <w:rFonts w:cs="Arial"/>
              </w:rPr>
              <w:t xml:space="preserve"> Target 155 to Target 150 and Victoria’s contribution to the Commonwealth’s</w:t>
            </w:r>
            <w:r w:rsidR="00811A3B" w:rsidRPr="005D74D1">
              <w:rPr>
                <w:rFonts w:cs="Arial"/>
              </w:rPr>
              <w:t xml:space="preserve"> Water E</w:t>
            </w:r>
            <w:r w:rsidR="00811A3B" w:rsidRPr="00A134A7">
              <w:rPr>
                <w:rFonts w:cs="Arial"/>
              </w:rPr>
              <w:t>f</w:t>
            </w:r>
            <w:r w:rsidR="00811A3B" w:rsidRPr="005D74D1">
              <w:rPr>
                <w:rFonts w:cs="Arial"/>
              </w:rPr>
              <w:t>ficiency Labelling Standards</w:t>
            </w:r>
            <w:r w:rsidR="00FA0D22" w:rsidRPr="005D74D1">
              <w:rPr>
                <w:rFonts w:cs="Arial"/>
              </w:rPr>
              <w:t xml:space="preserve"> </w:t>
            </w:r>
            <w:r w:rsidR="00D9546E" w:rsidRPr="005D74D1">
              <w:rPr>
                <w:rFonts w:cs="Arial"/>
              </w:rPr>
              <w:t>(</w:t>
            </w:r>
            <w:r w:rsidR="00FA0D22" w:rsidRPr="005D74D1">
              <w:rPr>
                <w:rFonts w:cs="Arial"/>
              </w:rPr>
              <w:t>WELS</w:t>
            </w:r>
            <w:r w:rsidR="00D9546E" w:rsidRPr="005D74D1">
              <w:rPr>
                <w:rFonts w:cs="Arial"/>
              </w:rPr>
              <w:t>)</w:t>
            </w:r>
            <w:r w:rsidR="00FA0D22" w:rsidRPr="005D74D1">
              <w:rPr>
                <w:rFonts w:cs="Arial"/>
              </w:rPr>
              <w:t xml:space="preserve"> scheme</w:t>
            </w:r>
            <w:r w:rsidR="00EA6AD5" w:rsidRPr="005D74D1">
              <w:rPr>
                <w:rFonts w:cs="Arial"/>
              </w:rPr>
              <w:t>.</w:t>
            </w:r>
          </w:p>
        </w:tc>
      </w:tr>
      <w:tr w:rsidR="00794795" w:rsidRPr="005D74D1" w14:paraId="761ED480" w14:textId="77777777" w:rsidTr="00140664">
        <w:trPr>
          <w:trHeight w:val="288"/>
        </w:trPr>
        <w:tc>
          <w:tcPr>
            <w:tcW w:w="1307" w:type="pct"/>
            <w:hideMark/>
          </w:tcPr>
          <w:p w14:paraId="4E7E7DD8" w14:textId="481E13D6" w:rsidR="00794795" w:rsidRPr="005D74D1" w:rsidRDefault="006823C0" w:rsidP="00A90962">
            <w:pPr>
              <w:pStyle w:val="TableText"/>
              <w:rPr>
                <w:rFonts w:cs="Arial"/>
              </w:rPr>
            </w:pPr>
            <w:r w:rsidRPr="005D74D1">
              <w:rPr>
                <w:rFonts w:cs="Arial"/>
              </w:rPr>
              <w:lastRenderedPageBreak/>
              <w:t xml:space="preserve">SIRS1: Rural water infrastructure project oversight and </w:t>
            </w:r>
            <w:r w:rsidR="00794795" w:rsidRPr="005D74D1">
              <w:rPr>
                <w:rFonts w:cs="Arial"/>
              </w:rPr>
              <w:t>governance</w:t>
            </w:r>
          </w:p>
        </w:tc>
        <w:tc>
          <w:tcPr>
            <w:tcW w:w="3693" w:type="pct"/>
          </w:tcPr>
          <w:p w14:paraId="65AE988A" w14:textId="5BF08BAE" w:rsidR="00794795" w:rsidRPr="005D74D1" w:rsidRDefault="00794795" w:rsidP="00A90962">
            <w:pPr>
              <w:pStyle w:val="TableText"/>
              <w:rPr>
                <w:rFonts w:cs="Arial"/>
              </w:rPr>
            </w:pPr>
            <w:r w:rsidRPr="005D74D1">
              <w:rPr>
                <w:rFonts w:cs="Arial"/>
              </w:rPr>
              <w:t xml:space="preserve">Secured funding for strategic rural water infrastructure projects across </w:t>
            </w:r>
            <w:r w:rsidR="0077215E" w:rsidRPr="005D74D1">
              <w:rPr>
                <w:rFonts w:cs="Arial"/>
              </w:rPr>
              <w:t xml:space="preserve">33 </w:t>
            </w:r>
            <w:r w:rsidRPr="005D74D1">
              <w:rPr>
                <w:rFonts w:cs="Arial"/>
              </w:rPr>
              <w:t>projects tota</w:t>
            </w:r>
            <w:r w:rsidR="00E10916" w:rsidRPr="005D74D1">
              <w:rPr>
                <w:rFonts w:cs="Arial"/>
              </w:rPr>
              <w:t>l</w:t>
            </w:r>
            <w:r w:rsidRPr="005D74D1">
              <w:rPr>
                <w:rFonts w:cs="Arial"/>
              </w:rPr>
              <w:t>ling approximately $</w:t>
            </w:r>
            <w:r w:rsidR="008D1205" w:rsidRPr="005D74D1">
              <w:rPr>
                <w:rFonts w:cs="Arial"/>
              </w:rPr>
              <w:t xml:space="preserve">996 </w:t>
            </w:r>
            <w:r w:rsidRPr="005D74D1">
              <w:rPr>
                <w:rFonts w:cs="Arial"/>
              </w:rPr>
              <w:t>million</w:t>
            </w:r>
            <w:r w:rsidR="0015718F" w:rsidRPr="005D74D1">
              <w:rPr>
                <w:rFonts w:cs="Arial"/>
              </w:rPr>
              <w:t>.</w:t>
            </w:r>
          </w:p>
        </w:tc>
      </w:tr>
      <w:tr w:rsidR="00794795" w:rsidRPr="005D74D1" w14:paraId="18AA5B06" w14:textId="77777777" w:rsidTr="00140664">
        <w:trPr>
          <w:trHeight w:val="386"/>
        </w:trPr>
        <w:tc>
          <w:tcPr>
            <w:tcW w:w="1307" w:type="pct"/>
            <w:hideMark/>
          </w:tcPr>
          <w:p w14:paraId="17CB21B2" w14:textId="26C6869F" w:rsidR="00794795" w:rsidRPr="005D74D1" w:rsidRDefault="006823C0" w:rsidP="00A90962">
            <w:pPr>
              <w:pStyle w:val="TableText"/>
              <w:rPr>
                <w:rFonts w:cs="Arial"/>
              </w:rPr>
            </w:pPr>
            <w:r w:rsidRPr="005D74D1">
              <w:rPr>
                <w:rFonts w:cs="Arial"/>
              </w:rPr>
              <w:t xml:space="preserve">SIRS2: Sustainable Irrigation Program </w:t>
            </w:r>
            <w:r w:rsidR="00794795" w:rsidRPr="005D74D1">
              <w:rPr>
                <w:rFonts w:cs="Arial"/>
              </w:rPr>
              <w:t>Implementation</w:t>
            </w:r>
          </w:p>
        </w:tc>
        <w:tc>
          <w:tcPr>
            <w:tcW w:w="3693" w:type="pct"/>
          </w:tcPr>
          <w:p w14:paraId="66D8726B" w14:textId="4F0461F5" w:rsidR="00794795" w:rsidRPr="005D74D1" w:rsidRDefault="00794795" w:rsidP="00A90962">
            <w:pPr>
              <w:pStyle w:val="TableText"/>
              <w:rPr>
                <w:rFonts w:cs="Arial"/>
              </w:rPr>
            </w:pPr>
            <w:r w:rsidRPr="005D74D1">
              <w:rPr>
                <w:rFonts w:cs="Arial"/>
              </w:rPr>
              <w:t xml:space="preserve">Irrigation </w:t>
            </w:r>
            <w:r w:rsidR="0D394364" w:rsidRPr="005D74D1">
              <w:rPr>
                <w:rFonts w:cs="Arial"/>
              </w:rPr>
              <w:t>f</w:t>
            </w:r>
            <w:r w:rsidRPr="005D74D1">
              <w:rPr>
                <w:rFonts w:cs="Arial"/>
              </w:rPr>
              <w:t xml:space="preserve">rameworks, Wise Water Use </w:t>
            </w:r>
            <w:r w:rsidR="43CF60FB" w:rsidRPr="005D74D1">
              <w:rPr>
                <w:rFonts w:cs="Arial"/>
              </w:rPr>
              <w:t xml:space="preserve">and </w:t>
            </w:r>
            <w:r w:rsidRPr="005D74D1">
              <w:rPr>
                <w:rFonts w:cs="Arial"/>
              </w:rPr>
              <w:t xml:space="preserve">Best Practice, </w:t>
            </w:r>
            <w:r w:rsidR="6E5478D7" w:rsidRPr="005D74D1">
              <w:rPr>
                <w:rFonts w:cs="Arial"/>
              </w:rPr>
              <w:t>i</w:t>
            </w:r>
            <w:r w:rsidRPr="005D74D1">
              <w:rPr>
                <w:rFonts w:cs="Arial"/>
              </w:rPr>
              <w:t xml:space="preserve">rrigation drainage and management, </w:t>
            </w:r>
            <w:r w:rsidR="70C6A8A8" w:rsidRPr="005D74D1">
              <w:rPr>
                <w:rFonts w:cs="Arial"/>
              </w:rPr>
              <w:t>sa</w:t>
            </w:r>
            <w:r w:rsidR="7C9B8047" w:rsidRPr="005D74D1">
              <w:rPr>
                <w:rFonts w:cs="Arial"/>
              </w:rPr>
              <w:t>linity</w:t>
            </w:r>
            <w:r w:rsidR="70C6A8A8" w:rsidRPr="005D74D1">
              <w:rPr>
                <w:rFonts w:cs="Arial"/>
              </w:rPr>
              <w:t xml:space="preserve"> compliance with </w:t>
            </w:r>
            <w:r w:rsidR="19DECE8D" w:rsidRPr="005D74D1">
              <w:rPr>
                <w:rFonts w:cs="Arial"/>
              </w:rPr>
              <w:t>Murray Darling Basin</w:t>
            </w:r>
            <w:r w:rsidRPr="005D74D1">
              <w:rPr>
                <w:rFonts w:cs="Arial"/>
              </w:rPr>
              <w:t xml:space="preserve"> </w:t>
            </w:r>
            <w:r w:rsidR="35C175B6" w:rsidRPr="005D74D1">
              <w:rPr>
                <w:rFonts w:cs="Arial"/>
              </w:rPr>
              <w:t>Agreement</w:t>
            </w:r>
            <w:r w:rsidR="762D4069" w:rsidRPr="005D74D1">
              <w:rPr>
                <w:rFonts w:cs="Arial"/>
              </w:rPr>
              <w:t>,</w:t>
            </w:r>
            <w:r w:rsidRPr="005D74D1">
              <w:rPr>
                <w:rFonts w:cs="Arial"/>
              </w:rPr>
              <w:t xml:space="preserve"> </w:t>
            </w:r>
            <w:r w:rsidR="6A2994D0" w:rsidRPr="005D74D1">
              <w:rPr>
                <w:rFonts w:cs="Arial"/>
              </w:rPr>
              <w:t>M</w:t>
            </w:r>
            <w:r w:rsidR="122269FF" w:rsidRPr="005D74D1">
              <w:rPr>
                <w:rFonts w:cs="Arial"/>
              </w:rPr>
              <w:t xml:space="preserve">urray </w:t>
            </w:r>
            <w:r w:rsidR="6A2994D0" w:rsidRPr="005D74D1">
              <w:rPr>
                <w:rFonts w:cs="Arial"/>
              </w:rPr>
              <w:t>D</w:t>
            </w:r>
            <w:r w:rsidR="122269FF" w:rsidRPr="005D74D1">
              <w:rPr>
                <w:rFonts w:cs="Arial"/>
              </w:rPr>
              <w:t xml:space="preserve">arling </w:t>
            </w:r>
            <w:r w:rsidR="6A2994D0" w:rsidRPr="005D74D1">
              <w:rPr>
                <w:rFonts w:cs="Arial"/>
              </w:rPr>
              <w:t>B</w:t>
            </w:r>
            <w:r w:rsidR="122269FF" w:rsidRPr="005D74D1">
              <w:rPr>
                <w:rFonts w:cs="Arial"/>
              </w:rPr>
              <w:t>asin</w:t>
            </w:r>
            <w:r w:rsidR="6A2994D0" w:rsidRPr="005D74D1">
              <w:rPr>
                <w:rFonts w:cs="Arial"/>
              </w:rPr>
              <w:t xml:space="preserve"> Plan water recovery program implementation and </w:t>
            </w:r>
            <w:r w:rsidR="07AFB542" w:rsidRPr="005D74D1">
              <w:rPr>
                <w:rFonts w:cs="Arial"/>
              </w:rPr>
              <w:t>m</w:t>
            </w:r>
            <w:r w:rsidR="6A2994D0" w:rsidRPr="005D74D1">
              <w:rPr>
                <w:rFonts w:cs="Arial"/>
              </w:rPr>
              <w:t xml:space="preserve">onitoring, </w:t>
            </w:r>
            <w:r w:rsidR="07AFB542" w:rsidRPr="005D74D1">
              <w:rPr>
                <w:rFonts w:cs="Arial"/>
              </w:rPr>
              <w:t>e</w:t>
            </w:r>
            <w:r w:rsidR="6A2994D0" w:rsidRPr="005D74D1">
              <w:rPr>
                <w:rFonts w:cs="Arial"/>
              </w:rPr>
              <w:t xml:space="preserve">valuation and </w:t>
            </w:r>
            <w:r w:rsidR="07AFB542" w:rsidRPr="005D74D1">
              <w:rPr>
                <w:rFonts w:cs="Arial"/>
              </w:rPr>
              <w:t>r</w:t>
            </w:r>
            <w:r w:rsidR="6A2994D0" w:rsidRPr="005D74D1">
              <w:rPr>
                <w:rFonts w:cs="Arial"/>
              </w:rPr>
              <w:t xml:space="preserve">eporting, </w:t>
            </w:r>
            <w:r w:rsidR="07AFB542" w:rsidRPr="005D74D1">
              <w:rPr>
                <w:rFonts w:cs="Arial"/>
              </w:rPr>
              <w:t>r</w:t>
            </w:r>
            <w:r w:rsidRPr="005D74D1">
              <w:rPr>
                <w:rFonts w:cs="Arial"/>
              </w:rPr>
              <w:t>ural water policy reforms</w:t>
            </w:r>
            <w:r w:rsidR="1E3B5F43" w:rsidRPr="005D74D1">
              <w:rPr>
                <w:rFonts w:cs="Arial"/>
              </w:rPr>
              <w:t>.</w:t>
            </w:r>
            <w:r w:rsidRPr="005D74D1">
              <w:rPr>
                <w:rFonts w:cs="Arial"/>
              </w:rPr>
              <w:t xml:space="preserve"> </w:t>
            </w:r>
          </w:p>
        </w:tc>
      </w:tr>
      <w:tr w:rsidR="00794795" w:rsidRPr="005D74D1" w14:paraId="1560C1E3" w14:textId="77777777" w:rsidTr="00140664">
        <w:trPr>
          <w:trHeight w:val="288"/>
        </w:trPr>
        <w:tc>
          <w:tcPr>
            <w:tcW w:w="1307" w:type="pct"/>
            <w:hideMark/>
          </w:tcPr>
          <w:p w14:paraId="5A72BB16" w14:textId="2927431A" w:rsidR="00794795" w:rsidRPr="005D74D1" w:rsidRDefault="006823C0" w:rsidP="00A90962">
            <w:pPr>
              <w:pStyle w:val="TableText"/>
              <w:rPr>
                <w:rFonts w:cs="Arial"/>
              </w:rPr>
            </w:pPr>
            <w:r w:rsidRPr="005D74D1">
              <w:rPr>
                <w:rFonts w:cs="Arial"/>
              </w:rPr>
              <w:t xml:space="preserve">CWCT06: Aboriginal Water </w:t>
            </w:r>
            <w:r w:rsidR="00794795" w:rsidRPr="005D74D1">
              <w:rPr>
                <w:rFonts w:cs="Arial"/>
              </w:rPr>
              <w:t>Program</w:t>
            </w:r>
          </w:p>
        </w:tc>
        <w:tc>
          <w:tcPr>
            <w:tcW w:w="3693" w:type="pct"/>
            <w:noWrap/>
          </w:tcPr>
          <w:p w14:paraId="7E8026E3" w14:textId="762EC154" w:rsidR="00794795" w:rsidRPr="005D74D1" w:rsidRDefault="00E77CE5" w:rsidP="00A90962">
            <w:pPr>
              <w:pStyle w:val="TableText"/>
              <w:rPr>
                <w:rFonts w:cs="Arial"/>
              </w:rPr>
            </w:pPr>
            <w:r w:rsidRPr="005D74D1">
              <w:rPr>
                <w:rFonts w:cs="Arial"/>
              </w:rPr>
              <w:t xml:space="preserve">Facilitation of </w:t>
            </w:r>
            <w:r w:rsidR="00794795" w:rsidRPr="005D74D1">
              <w:rPr>
                <w:rFonts w:cs="Arial"/>
              </w:rPr>
              <w:t xml:space="preserve">Aboriginal Water Officer Network, </w:t>
            </w:r>
            <w:r w:rsidRPr="005D74D1">
              <w:rPr>
                <w:rFonts w:cs="Arial"/>
              </w:rPr>
              <w:t xml:space="preserve">delivery of </w:t>
            </w:r>
            <w:r w:rsidR="007A5965" w:rsidRPr="005D74D1">
              <w:rPr>
                <w:rFonts w:cs="Arial"/>
              </w:rPr>
              <w:t>Water is Life</w:t>
            </w:r>
            <w:r w:rsidR="006144FA" w:rsidRPr="005D74D1">
              <w:rPr>
                <w:rFonts w:cs="Arial"/>
              </w:rPr>
              <w:t>: Traditional Owner Access to Water Roadmap, employment</w:t>
            </w:r>
            <w:r w:rsidRPr="005D74D1">
              <w:rPr>
                <w:rFonts w:cs="Arial"/>
              </w:rPr>
              <w:t xml:space="preserve"> of 2</w:t>
            </w:r>
            <w:r w:rsidR="74498249" w:rsidRPr="005D74D1">
              <w:rPr>
                <w:rFonts w:cs="Arial"/>
              </w:rPr>
              <w:t>4</w:t>
            </w:r>
            <w:r w:rsidRPr="005D74D1">
              <w:rPr>
                <w:rFonts w:cs="Arial"/>
              </w:rPr>
              <w:t xml:space="preserve"> Aboriginal Water Officers</w:t>
            </w:r>
            <w:r w:rsidR="006144FA" w:rsidRPr="005D74D1">
              <w:rPr>
                <w:rFonts w:cs="Arial"/>
              </w:rPr>
              <w:t xml:space="preserve">, </w:t>
            </w:r>
            <w:r w:rsidR="00AF04A8" w:rsidRPr="005D74D1">
              <w:rPr>
                <w:rFonts w:cs="Arial"/>
              </w:rPr>
              <w:t>partnerships</w:t>
            </w:r>
            <w:r w:rsidR="00794795" w:rsidRPr="005D74D1">
              <w:rPr>
                <w:rFonts w:cs="Arial"/>
              </w:rPr>
              <w:t xml:space="preserve"> </w:t>
            </w:r>
            <w:r w:rsidR="006F4F13" w:rsidRPr="005D74D1">
              <w:rPr>
                <w:rFonts w:cs="Arial"/>
              </w:rPr>
              <w:t>with Traditional Owner organisations</w:t>
            </w:r>
            <w:r w:rsidR="0015718F" w:rsidRPr="005D74D1">
              <w:rPr>
                <w:rFonts w:cs="Arial"/>
              </w:rPr>
              <w:t>.</w:t>
            </w:r>
          </w:p>
        </w:tc>
      </w:tr>
      <w:tr w:rsidR="00794795" w:rsidRPr="005D74D1" w14:paraId="18182D6A" w14:textId="77777777" w:rsidTr="00140664">
        <w:trPr>
          <w:trHeight w:val="288"/>
        </w:trPr>
        <w:tc>
          <w:tcPr>
            <w:tcW w:w="1307" w:type="pct"/>
            <w:hideMark/>
          </w:tcPr>
          <w:p w14:paraId="3BFAD8D6" w14:textId="3250E88B" w:rsidR="00794795" w:rsidRPr="005D74D1" w:rsidRDefault="006823C0" w:rsidP="00A90962">
            <w:pPr>
              <w:pStyle w:val="TableText"/>
              <w:rPr>
                <w:rFonts w:cs="Arial"/>
              </w:rPr>
            </w:pPr>
            <w:r w:rsidRPr="005D74D1">
              <w:rPr>
                <w:rFonts w:cs="Arial"/>
              </w:rPr>
              <w:t xml:space="preserve">PSP1: Long-term Water </w:t>
            </w:r>
            <w:r w:rsidR="00794795" w:rsidRPr="005D74D1">
              <w:rPr>
                <w:rFonts w:cs="Arial"/>
              </w:rPr>
              <w:t>Security</w:t>
            </w:r>
          </w:p>
        </w:tc>
        <w:tc>
          <w:tcPr>
            <w:tcW w:w="3693" w:type="pct"/>
            <w:noWrap/>
          </w:tcPr>
          <w:p w14:paraId="215D6C80" w14:textId="7499A06B" w:rsidR="00794795" w:rsidRPr="005D74D1" w:rsidRDefault="00A72D29" w:rsidP="00A90962">
            <w:pPr>
              <w:pStyle w:val="TableText"/>
              <w:rPr>
                <w:rFonts w:cs="Arial"/>
              </w:rPr>
            </w:pPr>
            <w:r w:rsidRPr="005D74D1">
              <w:rPr>
                <w:rFonts w:cs="Arial"/>
              </w:rPr>
              <w:t xml:space="preserve">Updated Urban Water </w:t>
            </w:r>
            <w:r w:rsidR="0020163F" w:rsidRPr="005D74D1">
              <w:rPr>
                <w:rFonts w:cs="Arial"/>
              </w:rPr>
              <w:t>Strategy</w:t>
            </w:r>
            <w:r w:rsidR="00987D3A" w:rsidRPr="005D74D1">
              <w:rPr>
                <w:rFonts w:cs="Arial"/>
              </w:rPr>
              <w:t xml:space="preserve"> </w:t>
            </w:r>
            <w:r w:rsidR="00CB0E43" w:rsidRPr="005D74D1">
              <w:rPr>
                <w:rFonts w:cs="Arial"/>
              </w:rPr>
              <w:t>G</w:t>
            </w:r>
            <w:r w:rsidR="00171084" w:rsidRPr="005D74D1">
              <w:rPr>
                <w:rFonts w:cs="Arial"/>
              </w:rPr>
              <w:t>uidelines</w:t>
            </w:r>
            <w:r w:rsidR="0020163F" w:rsidRPr="005D74D1">
              <w:rPr>
                <w:rFonts w:cs="Arial"/>
              </w:rPr>
              <w:t xml:space="preserve"> and </w:t>
            </w:r>
            <w:r w:rsidR="0062321F" w:rsidRPr="005D74D1">
              <w:rPr>
                <w:rFonts w:cs="Arial"/>
              </w:rPr>
              <w:t>oversaw</w:t>
            </w:r>
            <w:r w:rsidR="0020163F" w:rsidRPr="005D74D1">
              <w:rPr>
                <w:rFonts w:cs="Arial"/>
              </w:rPr>
              <w:t xml:space="preserve"> the 2022-2027 </w:t>
            </w:r>
            <w:r w:rsidR="00135247" w:rsidRPr="005D74D1">
              <w:rPr>
                <w:rFonts w:cs="Arial"/>
              </w:rPr>
              <w:t>U</w:t>
            </w:r>
            <w:r w:rsidR="00CB0E43" w:rsidRPr="005D74D1">
              <w:rPr>
                <w:rFonts w:cs="Arial"/>
              </w:rPr>
              <w:t>rban Water Strategy</w:t>
            </w:r>
            <w:r w:rsidR="00135247" w:rsidRPr="005D74D1">
              <w:rPr>
                <w:rFonts w:cs="Arial"/>
              </w:rPr>
              <w:t xml:space="preserve"> </w:t>
            </w:r>
            <w:r w:rsidR="00825FB6" w:rsidRPr="005D74D1">
              <w:rPr>
                <w:rFonts w:cs="Arial"/>
              </w:rPr>
              <w:t>updates</w:t>
            </w:r>
            <w:r w:rsidR="00E56ED3" w:rsidRPr="005D74D1">
              <w:rPr>
                <w:rFonts w:cs="Arial"/>
              </w:rPr>
              <w:t>,</w:t>
            </w:r>
            <w:r w:rsidR="00FF2818" w:rsidRPr="005D74D1">
              <w:rPr>
                <w:rFonts w:cs="Arial"/>
              </w:rPr>
              <w:t xml:space="preserve"> commenced review of urban water planning arrangements</w:t>
            </w:r>
            <w:r w:rsidR="00171084" w:rsidRPr="005D74D1">
              <w:rPr>
                <w:rFonts w:cs="Arial"/>
              </w:rPr>
              <w:t xml:space="preserve">, </w:t>
            </w:r>
            <w:r w:rsidR="00E03AFD" w:rsidRPr="005D74D1">
              <w:rPr>
                <w:rFonts w:cs="Arial"/>
              </w:rPr>
              <w:t>Water Sector Circular Economy Action Plan</w:t>
            </w:r>
            <w:r w:rsidR="00772BA4" w:rsidRPr="005D74D1">
              <w:rPr>
                <w:rFonts w:cs="Arial"/>
              </w:rPr>
              <w:t xml:space="preserve">, </w:t>
            </w:r>
            <w:r w:rsidR="00FB3A84" w:rsidRPr="005D74D1">
              <w:rPr>
                <w:rFonts w:cs="Arial"/>
              </w:rPr>
              <w:t xml:space="preserve">research projects, </w:t>
            </w:r>
            <w:r w:rsidR="00627040" w:rsidRPr="005D74D1">
              <w:rPr>
                <w:rFonts w:cs="Arial"/>
              </w:rPr>
              <w:t>g</w:t>
            </w:r>
            <w:r w:rsidR="009D1093" w:rsidRPr="005D74D1">
              <w:rPr>
                <w:rFonts w:cs="Arial"/>
              </w:rPr>
              <w:t>lobal collaboration</w:t>
            </w:r>
            <w:r w:rsidR="0015718F" w:rsidRPr="005D74D1">
              <w:rPr>
                <w:rFonts w:cs="Arial"/>
              </w:rPr>
              <w:t>.</w:t>
            </w:r>
          </w:p>
        </w:tc>
      </w:tr>
      <w:tr w:rsidR="00794795" w:rsidRPr="005D74D1" w14:paraId="3A87AB54" w14:textId="77777777" w:rsidTr="00140664">
        <w:trPr>
          <w:trHeight w:val="288"/>
        </w:trPr>
        <w:tc>
          <w:tcPr>
            <w:tcW w:w="1307" w:type="pct"/>
            <w:hideMark/>
          </w:tcPr>
          <w:p w14:paraId="7292F6D9" w14:textId="64F5E34D" w:rsidR="00794795" w:rsidRPr="005D74D1" w:rsidRDefault="006823C0" w:rsidP="00A90962">
            <w:pPr>
              <w:pStyle w:val="TableText"/>
              <w:rPr>
                <w:rFonts w:cs="Arial"/>
              </w:rPr>
            </w:pPr>
            <w:r w:rsidRPr="005D74D1">
              <w:rPr>
                <w:rFonts w:cs="Arial"/>
              </w:rPr>
              <w:t xml:space="preserve">PSP2: Sustainable Water </w:t>
            </w:r>
            <w:r w:rsidR="00794795" w:rsidRPr="005D74D1">
              <w:rPr>
                <w:rFonts w:cs="Arial"/>
              </w:rPr>
              <w:t>Strategies</w:t>
            </w:r>
          </w:p>
        </w:tc>
        <w:tc>
          <w:tcPr>
            <w:tcW w:w="3693" w:type="pct"/>
            <w:noWrap/>
          </w:tcPr>
          <w:p w14:paraId="0B14DDA5" w14:textId="13E794CC" w:rsidR="00794795" w:rsidRPr="005D74D1" w:rsidRDefault="00794795" w:rsidP="00A90962">
            <w:pPr>
              <w:pStyle w:val="TableText"/>
              <w:rPr>
                <w:rFonts w:cs="Arial"/>
              </w:rPr>
            </w:pPr>
            <w:r w:rsidRPr="005D74D1">
              <w:rPr>
                <w:rFonts w:cs="Arial"/>
              </w:rPr>
              <w:t xml:space="preserve">Delivery </w:t>
            </w:r>
            <w:r w:rsidR="005054CB" w:rsidRPr="005D74D1">
              <w:rPr>
                <w:rFonts w:cs="Arial"/>
              </w:rPr>
              <w:t>of the</w:t>
            </w:r>
            <w:r w:rsidR="00905D0F" w:rsidRPr="005D74D1">
              <w:rPr>
                <w:rFonts w:cs="Arial"/>
              </w:rPr>
              <w:t xml:space="preserve"> </w:t>
            </w:r>
            <w:r w:rsidR="002A67DA" w:rsidRPr="005D74D1">
              <w:rPr>
                <w:rFonts w:cs="Arial"/>
              </w:rPr>
              <w:t>CGRSWS</w:t>
            </w:r>
            <w:r w:rsidR="00273C13" w:rsidRPr="005D74D1">
              <w:rPr>
                <w:rFonts w:cs="Arial"/>
              </w:rPr>
              <w:t>, t</w:t>
            </w:r>
            <w:r w:rsidR="003C3BBC" w:rsidRPr="005D74D1">
              <w:rPr>
                <w:rFonts w:cs="Arial"/>
              </w:rPr>
              <w:t xml:space="preserve">he </w:t>
            </w:r>
            <w:r w:rsidR="00980C13" w:rsidRPr="005D74D1">
              <w:rPr>
                <w:rFonts w:cs="Arial"/>
              </w:rPr>
              <w:t>i</w:t>
            </w:r>
            <w:r w:rsidR="003C3BBC" w:rsidRPr="005D74D1">
              <w:rPr>
                <w:rFonts w:cs="Arial"/>
              </w:rPr>
              <w:t xml:space="preserve">mplementation </w:t>
            </w:r>
            <w:r w:rsidR="00980C13" w:rsidRPr="005D74D1">
              <w:rPr>
                <w:rFonts w:cs="Arial"/>
              </w:rPr>
              <w:t>p</w:t>
            </w:r>
            <w:r w:rsidR="003C3BBC" w:rsidRPr="005D74D1">
              <w:rPr>
                <w:rFonts w:cs="Arial"/>
              </w:rPr>
              <w:t>lan</w:t>
            </w:r>
            <w:r w:rsidR="00273C13" w:rsidRPr="005D74D1">
              <w:rPr>
                <w:rFonts w:cs="Arial"/>
              </w:rPr>
              <w:t>,</w:t>
            </w:r>
            <w:r w:rsidR="003C3BBC" w:rsidRPr="005D74D1">
              <w:rPr>
                <w:rFonts w:cs="Arial"/>
              </w:rPr>
              <w:t xml:space="preserve"> and a </w:t>
            </w:r>
            <w:r w:rsidR="00980C13" w:rsidRPr="005D74D1">
              <w:rPr>
                <w:rFonts w:cs="Arial"/>
              </w:rPr>
              <w:t>m</w:t>
            </w:r>
            <w:r w:rsidRPr="005D74D1">
              <w:rPr>
                <w:rFonts w:cs="Arial"/>
              </w:rPr>
              <w:t xml:space="preserve">onitoring, </w:t>
            </w:r>
            <w:r w:rsidR="00980C13" w:rsidRPr="005D74D1">
              <w:rPr>
                <w:rFonts w:cs="Arial"/>
              </w:rPr>
              <w:t>e</w:t>
            </w:r>
            <w:r w:rsidRPr="005D74D1">
              <w:rPr>
                <w:rFonts w:cs="Arial"/>
              </w:rPr>
              <w:t xml:space="preserve">valuation and </w:t>
            </w:r>
            <w:r w:rsidR="00980C13" w:rsidRPr="005D74D1">
              <w:rPr>
                <w:rFonts w:cs="Arial"/>
              </w:rPr>
              <w:t>r</w:t>
            </w:r>
            <w:r w:rsidRPr="005D74D1">
              <w:rPr>
                <w:rFonts w:cs="Arial"/>
              </w:rPr>
              <w:t>eporting framework</w:t>
            </w:r>
            <w:r w:rsidR="0015718F" w:rsidRPr="005D74D1">
              <w:rPr>
                <w:rFonts w:cs="Arial"/>
              </w:rPr>
              <w:t>.</w:t>
            </w:r>
          </w:p>
        </w:tc>
      </w:tr>
      <w:tr w:rsidR="00794795" w:rsidRPr="005D74D1" w14:paraId="776A05AE" w14:textId="77777777" w:rsidTr="00140664">
        <w:trPr>
          <w:trHeight w:val="386"/>
        </w:trPr>
        <w:tc>
          <w:tcPr>
            <w:tcW w:w="1307" w:type="pct"/>
            <w:hideMark/>
          </w:tcPr>
          <w:p w14:paraId="01C48BB0" w14:textId="401D642B" w:rsidR="00794795" w:rsidRPr="005D74D1" w:rsidRDefault="006823C0" w:rsidP="00A90962">
            <w:pPr>
              <w:pStyle w:val="TableText"/>
              <w:rPr>
                <w:rFonts w:cs="Arial"/>
              </w:rPr>
            </w:pPr>
            <w:r w:rsidRPr="005D74D1">
              <w:rPr>
                <w:rFonts w:cs="Arial"/>
              </w:rPr>
              <w:t xml:space="preserve">PSP3: Mitigating the risks of small </w:t>
            </w:r>
            <w:r w:rsidR="00794795" w:rsidRPr="005D74D1">
              <w:rPr>
                <w:rFonts w:cs="Arial"/>
              </w:rPr>
              <w:t>dams</w:t>
            </w:r>
          </w:p>
        </w:tc>
        <w:tc>
          <w:tcPr>
            <w:tcW w:w="3693" w:type="pct"/>
            <w:noWrap/>
          </w:tcPr>
          <w:p w14:paraId="6C2F8E11" w14:textId="3B021DA3" w:rsidR="00794795" w:rsidRPr="005D74D1" w:rsidRDefault="00794795" w:rsidP="00A90962">
            <w:pPr>
              <w:pStyle w:val="TableText"/>
              <w:rPr>
                <w:rFonts w:cs="Arial"/>
              </w:rPr>
            </w:pPr>
            <w:r w:rsidRPr="005D74D1">
              <w:rPr>
                <w:rFonts w:cs="Arial"/>
              </w:rPr>
              <w:t xml:space="preserve">Designs </w:t>
            </w:r>
            <w:r w:rsidR="00350CC2" w:rsidRPr="005D74D1">
              <w:rPr>
                <w:rFonts w:cs="Arial"/>
              </w:rPr>
              <w:t xml:space="preserve">and on-ground works </w:t>
            </w:r>
            <w:r w:rsidRPr="005D74D1">
              <w:rPr>
                <w:rFonts w:cs="Arial"/>
              </w:rPr>
              <w:t xml:space="preserve">to rehabilitate Goldfields dam, Baxter Park dam and </w:t>
            </w:r>
            <w:r w:rsidR="001452FC" w:rsidRPr="005D74D1">
              <w:rPr>
                <w:rFonts w:cs="Arial"/>
              </w:rPr>
              <w:t>the l</w:t>
            </w:r>
            <w:r w:rsidRPr="005D74D1">
              <w:rPr>
                <w:rFonts w:cs="Arial"/>
              </w:rPr>
              <w:t>arge</w:t>
            </w:r>
            <w:r w:rsidR="335F7772" w:rsidRPr="005D74D1">
              <w:rPr>
                <w:rFonts w:cs="Arial"/>
              </w:rPr>
              <w:t xml:space="preserve"> dam</w:t>
            </w:r>
            <w:r w:rsidR="001452FC" w:rsidRPr="005D74D1">
              <w:rPr>
                <w:rFonts w:cs="Arial"/>
              </w:rPr>
              <w:t xml:space="preserve"> at </w:t>
            </w:r>
            <w:r w:rsidR="001452FC" w:rsidRPr="00A134A7">
              <w:rPr>
                <w:rFonts w:cs="Arial"/>
              </w:rPr>
              <w:t>Traralgon Railway Reservoir Conservation Reserve</w:t>
            </w:r>
            <w:r w:rsidR="001452FC" w:rsidRPr="005D74D1">
              <w:rPr>
                <w:rFonts w:cs="Arial"/>
              </w:rPr>
              <w:t>;</w:t>
            </w:r>
            <w:r w:rsidR="002207BE" w:rsidRPr="005D74D1">
              <w:rPr>
                <w:rFonts w:cs="Arial"/>
              </w:rPr>
              <w:t xml:space="preserve"> upgrades to dam safety portal</w:t>
            </w:r>
            <w:r w:rsidR="0015718F" w:rsidRPr="005D74D1">
              <w:rPr>
                <w:rFonts w:cs="Arial"/>
              </w:rPr>
              <w:t>.</w:t>
            </w:r>
          </w:p>
        </w:tc>
      </w:tr>
      <w:tr w:rsidR="00794795" w:rsidRPr="005D74D1" w14:paraId="359CF808" w14:textId="77777777" w:rsidTr="00140664">
        <w:trPr>
          <w:trHeight w:val="586"/>
        </w:trPr>
        <w:tc>
          <w:tcPr>
            <w:tcW w:w="1307" w:type="pct"/>
          </w:tcPr>
          <w:p w14:paraId="3968DD85" w14:textId="44154F69" w:rsidR="00794795" w:rsidRPr="005D74D1" w:rsidRDefault="006823C0" w:rsidP="00A90962">
            <w:pPr>
              <w:pStyle w:val="TableText"/>
              <w:rPr>
                <w:rFonts w:cs="Arial"/>
              </w:rPr>
            </w:pPr>
            <w:r w:rsidRPr="005D74D1">
              <w:rPr>
                <w:rFonts w:cs="Arial"/>
              </w:rPr>
              <w:t>CWCT07: CGRSWS - S2</w:t>
            </w:r>
            <w:r w:rsidR="00794795" w:rsidRPr="005D74D1">
              <w:rPr>
                <w:rFonts w:cs="Arial"/>
              </w:rPr>
              <w:t xml:space="preserve"> Diversify water sources and increase water efficiency </w:t>
            </w:r>
          </w:p>
        </w:tc>
        <w:tc>
          <w:tcPr>
            <w:tcW w:w="3693" w:type="pct"/>
          </w:tcPr>
          <w:p w14:paraId="07071428" w14:textId="65D0D370" w:rsidR="00794795" w:rsidRPr="005D74D1" w:rsidRDefault="00794795" w:rsidP="00A90962">
            <w:pPr>
              <w:pStyle w:val="TableText"/>
              <w:rPr>
                <w:rFonts w:cs="Arial"/>
              </w:rPr>
            </w:pPr>
            <w:r w:rsidRPr="005D74D1">
              <w:rPr>
                <w:rFonts w:cs="Arial"/>
              </w:rPr>
              <w:t>Investment in 1</w:t>
            </w:r>
            <w:r w:rsidR="00826280" w:rsidRPr="005D74D1">
              <w:rPr>
                <w:rFonts w:cs="Arial"/>
              </w:rPr>
              <w:t>7</w:t>
            </w:r>
            <w:r w:rsidRPr="005D74D1">
              <w:rPr>
                <w:rFonts w:cs="Arial"/>
              </w:rPr>
              <w:t xml:space="preserve"> IWM project</w:t>
            </w:r>
            <w:r w:rsidR="00D43801" w:rsidRPr="005D74D1">
              <w:rPr>
                <w:rFonts w:cs="Arial"/>
              </w:rPr>
              <w:t>s</w:t>
            </w:r>
            <w:r w:rsidR="00AD6F79" w:rsidRPr="005D74D1">
              <w:rPr>
                <w:rFonts w:cs="Arial"/>
              </w:rPr>
              <w:t xml:space="preserve">, delivery of WaterSmart </w:t>
            </w:r>
            <w:r w:rsidR="003D4BA2" w:rsidRPr="005D74D1">
              <w:rPr>
                <w:rFonts w:cs="Arial"/>
              </w:rPr>
              <w:t>across all 10 CGRSWS urban water corporations</w:t>
            </w:r>
            <w:r w:rsidR="00E9403F" w:rsidRPr="005D74D1">
              <w:rPr>
                <w:rFonts w:cs="Arial"/>
              </w:rPr>
              <w:t xml:space="preserve">, </w:t>
            </w:r>
            <w:r w:rsidR="00333035" w:rsidRPr="005D74D1">
              <w:rPr>
                <w:rFonts w:cs="Arial"/>
              </w:rPr>
              <w:t>Victorian urban water effi</w:t>
            </w:r>
            <w:r w:rsidR="00F12A74" w:rsidRPr="005D74D1">
              <w:rPr>
                <w:rFonts w:cs="Arial"/>
              </w:rPr>
              <w:t>ciency behaviour change initiatives</w:t>
            </w:r>
            <w:r w:rsidR="0015718F" w:rsidRPr="005D74D1">
              <w:rPr>
                <w:rFonts w:cs="Arial"/>
              </w:rPr>
              <w:t>.</w:t>
            </w:r>
          </w:p>
        </w:tc>
      </w:tr>
      <w:tr w:rsidR="00794795" w:rsidRPr="005D74D1" w14:paraId="37220F1D" w14:textId="77777777" w:rsidTr="00140664">
        <w:trPr>
          <w:trHeight w:val="288"/>
        </w:trPr>
        <w:tc>
          <w:tcPr>
            <w:tcW w:w="1307" w:type="pct"/>
            <w:hideMark/>
          </w:tcPr>
          <w:p w14:paraId="61E418E8" w14:textId="1676B204" w:rsidR="00794795" w:rsidRPr="005D74D1" w:rsidRDefault="006823C0" w:rsidP="00A90962">
            <w:pPr>
              <w:pStyle w:val="TableText"/>
              <w:rPr>
                <w:rFonts w:cs="Arial"/>
              </w:rPr>
            </w:pPr>
            <w:r w:rsidRPr="005D74D1">
              <w:rPr>
                <w:rFonts w:cs="Arial"/>
              </w:rPr>
              <w:t>CWCT08: CGRSWS - S3</w:t>
            </w:r>
            <w:r w:rsidR="00794795" w:rsidRPr="005D74D1">
              <w:rPr>
                <w:rFonts w:cs="Arial"/>
              </w:rPr>
              <w:t xml:space="preserve"> Waterway Health complementary measures and catchment management improvement </w:t>
            </w:r>
          </w:p>
        </w:tc>
        <w:tc>
          <w:tcPr>
            <w:tcW w:w="3693" w:type="pct"/>
            <w:noWrap/>
          </w:tcPr>
          <w:p w14:paraId="069C597F" w14:textId="6277F09D" w:rsidR="00794795" w:rsidRPr="005D74D1" w:rsidRDefault="00794795" w:rsidP="00A90962">
            <w:pPr>
              <w:pStyle w:val="TableText"/>
              <w:rPr>
                <w:rFonts w:cs="Arial"/>
              </w:rPr>
            </w:pPr>
            <w:r w:rsidRPr="005D74D1">
              <w:rPr>
                <w:rFonts w:cs="Arial"/>
              </w:rPr>
              <w:t xml:space="preserve">Planning and governance of </w:t>
            </w:r>
            <w:r w:rsidR="00537153" w:rsidRPr="005D74D1">
              <w:rPr>
                <w:rFonts w:cs="Arial"/>
              </w:rPr>
              <w:t>Lower Latrobe Wetlands, Maffra Weir Fishway, Moorabool channel lining and Werribee diversion weir activities</w:t>
            </w:r>
            <w:r w:rsidRPr="005D74D1">
              <w:rPr>
                <w:rFonts w:cs="Arial"/>
              </w:rPr>
              <w:t>, implementation of regional catchment strategy including capacity building works and contribution to CMA priority activities</w:t>
            </w:r>
            <w:r w:rsidR="0015718F" w:rsidRPr="005D74D1">
              <w:rPr>
                <w:rFonts w:cs="Arial"/>
              </w:rPr>
              <w:t>.</w:t>
            </w:r>
            <w:r w:rsidRPr="005D74D1">
              <w:rPr>
                <w:rFonts w:cs="Arial"/>
              </w:rPr>
              <w:t xml:space="preserve"> </w:t>
            </w:r>
          </w:p>
        </w:tc>
      </w:tr>
      <w:tr w:rsidR="00794795" w:rsidRPr="005D74D1" w14:paraId="5242F29C" w14:textId="77777777" w:rsidTr="00140664">
        <w:trPr>
          <w:trHeight w:val="288"/>
        </w:trPr>
        <w:tc>
          <w:tcPr>
            <w:tcW w:w="1307" w:type="pct"/>
            <w:hideMark/>
          </w:tcPr>
          <w:p w14:paraId="30AAAB4B" w14:textId="7E473355" w:rsidR="00794795" w:rsidRPr="005D74D1" w:rsidRDefault="006823C0" w:rsidP="00A90962">
            <w:pPr>
              <w:pStyle w:val="TableText"/>
              <w:rPr>
                <w:rFonts w:cs="Arial"/>
              </w:rPr>
            </w:pPr>
            <w:r w:rsidRPr="005D74D1">
              <w:rPr>
                <w:rFonts w:cs="Arial"/>
              </w:rPr>
              <w:t>PSP4: CGRSWS - S4</w:t>
            </w:r>
            <w:r w:rsidR="00794795" w:rsidRPr="005D74D1">
              <w:rPr>
                <w:rFonts w:cs="Arial"/>
              </w:rPr>
              <w:t xml:space="preserve"> Enable adaptation to a variable climate </w:t>
            </w:r>
          </w:p>
        </w:tc>
        <w:tc>
          <w:tcPr>
            <w:tcW w:w="3693" w:type="pct"/>
            <w:noWrap/>
          </w:tcPr>
          <w:p w14:paraId="1E7A3B55" w14:textId="128D8C63" w:rsidR="00794795" w:rsidRPr="005D74D1" w:rsidRDefault="00794795" w:rsidP="00A90962">
            <w:pPr>
              <w:pStyle w:val="TableText"/>
              <w:rPr>
                <w:rFonts w:cs="Arial"/>
              </w:rPr>
            </w:pPr>
            <w:r w:rsidRPr="005D74D1">
              <w:rPr>
                <w:rFonts w:cs="Arial"/>
              </w:rPr>
              <w:t xml:space="preserve">Trial framework to understand algal risks, </w:t>
            </w:r>
            <w:r w:rsidR="00A44DC7" w:rsidRPr="005D74D1">
              <w:rPr>
                <w:rFonts w:cs="Arial"/>
              </w:rPr>
              <w:t xml:space="preserve">trial to calculate </w:t>
            </w:r>
            <w:r w:rsidR="004D08D6" w:rsidRPr="005D74D1">
              <w:rPr>
                <w:rFonts w:cs="Arial"/>
              </w:rPr>
              <w:t xml:space="preserve">benefits of efficient showerheads, </w:t>
            </w:r>
            <w:r w:rsidR="005A3846" w:rsidRPr="005D74D1">
              <w:rPr>
                <w:rFonts w:cs="Arial"/>
              </w:rPr>
              <w:t>progress towards W</w:t>
            </w:r>
            <w:r w:rsidR="00C30772" w:rsidRPr="005D74D1">
              <w:rPr>
                <w:rFonts w:cs="Arial"/>
              </w:rPr>
              <w:t xml:space="preserve">ater </w:t>
            </w:r>
            <w:r w:rsidR="005A3846" w:rsidRPr="005D74D1">
              <w:rPr>
                <w:rFonts w:cs="Arial"/>
              </w:rPr>
              <w:t>C</w:t>
            </w:r>
            <w:r w:rsidR="00C30772" w:rsidRPr="005D74D1">
              <w:rPr>
                <w:rFonts w:cs="Arial"/>
              </w:rPr>
              <w:t xml:space="preserve">ycle </w:t>
            </w:r>
            <w:r w:rsidR="005A3846" w:rsidRPr="005D74D1">
              <w:rPr>
                <w:rFonts w:cs="Arial"/>
              </w:rPr>
              <w:t>A</w:t>
            </w:r>
            <w:r w:rsidR="008842F6" w:rsidRPr="005D74D1">
              <w:rPr>
                <w:rFonts w:cs="Arial"/>
              </w:rPr>
              <w:t xml:space="preserve">daption </w:t>
            </w:r>
            <w:r w:rsidR="005A3846" w:rsidRPr="005D74D1">
              <w:rPr>
                <w:rFonts w:cs="Arial"/>
              </w:rPr>
              <w:t>A</w:t>
            </w:r>
            <w:r w:rsidR="008842F6" w:rsidRPr="005D74D1">
              <w:rPr>
                <w:rFonts w:cs="Arial"/>
              </w:rPr>
              <w:t xml:space="preserve">ction </w:t>
            </w:r>
            <w:r w:rsidR="005A3846" w:rsidRPr="005D74D1">
              <w:rPr>
                <w:rFonts w:cs="Arial"/>
              </w:rPr>
              <w:t>P</w:t>
            </w:r>
            <w:r w:rsidR="008842F6" w:rsidRPr="005D74D1">
              <w:rPr>
                <w:rFonts w:cs="Arial"/>
              </w:rPr>
              <w:t>lan</w:t>
            </w:r>
            <w:r w:rsidR="005A3846" w:rsidRPr="005D74D1">
              <w:rPr>
                <w:rFonts w:cs="Arial"/>
              </w:rPr>
              <w:t xml:space="preserve"> </w:t>
            </w:r>
            <w:r w:rsidR="00B934FC" w:rsidRPr="005D74D1">
              <w:rPr>
                <w:rFonts w:cs="Arial"/>
              </w:rPr>
              <w:t>term</w:t>
            </w:r>
            <w:r w:rsidR="0015718F" w:rsidRPr="005D74D1">
              <w:rPr>
                <w:rFonts w:cs="Arial"/>
              </w:rPr>
              <w:t>.</w:t>
            </w:r>
          </w:p>
        </w:tc>
      </w:tr>
      <w:tr w:rsidR="00794795" w:rsidRPr="005D74D1" w14:paraId="5B9834A3" w14:textId="77777777" w:rsidTr="00140664">
        <w:trPr>
          <w:trHeight w:val="288"/>
        </w:trPr>
        <w:tc>
          <w:tcPr>
            <w:tcW w:w="1307" w:type="pct"/>
            <w:hideMark/>
          </w:tcPr>
          <w:p w14:paraId="6D62367E" w14:textId="0C893AF2" w:rsidR="00794795" w:rsidRPr="005D74D1" w:rsidRDefault="006823C0" w:rsidP="00A90962">
            <w:pPr>
              <w:pStyle w:val="TableText"/>
              <w:rPr>
                <w:rFonts w:cs="Arial"/>
              </w:rPr>
            </w:pPr>
            <w:r w:rsidRPr="005D74D1">
              <w:rPr>
                <w:rFonts w:cs="Arial"/>
              </w:rPr>
              <w:t xml:space="preserve">SIRS3: Building Flood Resilience in Victoria </w:t>
            </w:r>
          </w:p>
        </w:tc>
        <w:tc>
          <w:tcPr>
            <w:tcW w:w="3693" w:type="pct"/>
            <w:noWrap/>
          </w:tcPr>
          <w:p w14:paraId="6BD16839" w14:textId="66CEDF93" w:rsidR="00794795" w:rsidRPr="005D74D1" w:rsidRDefault="00794795" w:rsidP="00A90962">
            <w:pPr>
              <w:pStyle w:val="TableText"/>
              <w:rPr>
                <w:rFonts w:cs="Arial"/>
              </w:rPr>
            </w:pPr>
            <w:r w:rsidRPr="005D74D1">
              <w:rPr>
                <w:rFonts w:cs="Arial"/>
              </w:rPr>
              <w:t>Building Flood Resilience in Vic</w:t>
            </w:r>
            <w:r w:rsidR="008C0F32" w:rsidRPr="005D74D1">
              <w:rPr>
                <w:rFonts w:cs="Arial"/>
              </w:rPr>
              <w:t>tori</w:t>
            </w:r>
            <w:r w:rsidRPr="005D74D1">
              <w:rPr>
                <w:rFonts w:cs="Arial"/>
              </w:rPr>
              <w:t>a program, Vic</w:t>
            </w:r>
            <w:r w:rsidR="00FC7AD0" w:rsidRPr="005D74D1">
              <w:rPr>
                <w:rFonts w:cs="Arial"/>
              </w:rPr>
              <w:t>torian</w:t>
            </w:r>
            <w:r w:rsidRPr="005D74D1">
              <w:rPr>
                <w:rFonts w:cs="Arial"/>
              </w:rPr>
              <w:t xml:space="preserve"> Flood</w:t>
            </w:r>
            <w:r w:rsidR="00FC7AD0" w:rsidRPr="005D74D1">
              <w:rPr>
                <w:rFonts w:cs="Arial"/>
              </w:rPr>
              <w:t>p</w:t>
            </w:r>
            <w:r w:rsidRPr="005D74D1">
              <w:rPr>
                <w:rFonts w:cs="Arial"/>
              </w:rPr>
              <w:t>lain Management Strategy</w:t>
            </w:r>
            <w:r w:rsidR="0022284B" w:rsidRPr="005D74D1">
              <w:rPr>
                <w:rFonts w:cs="Arial"/>
              </w:rPr>
              <w:t xml:space="preserve"> Implementation</w:t>
            </w:r>
            <w:r w:rsidR="00C74E78" w:rsidRPr="005D74D1">
              <w:rPr>
                <w:rFonts w:cs="Arial"/>
              </w:rPr>
              <w:t>,</w:t>
            </w:r>
            <w:r w:rsidRPr="005D74D1">
              <w:rPr>
                <w:rFonts w:cs="Arial"/>
              </w:rPr>
              <w:t xml:space="preserve"> 24/7 activation of FloodZoom in response to flood events. </w:t>
            </w:r>
          </w:p>
        </w:tc>
      </w:tr>
      <w:tr w:rsidR="00794795" w:rsidRPr="005D74D1" w14:paraId="1CCFBA47" w14:textId="77777777" w:rsidTr="00140664">
        <w:trPr>
          <w:trHeight w:val="288"/>
        </w:trPr>
        <w:tc>
          <w:tcPr>
            <w:tcW w:w="1307" w:type="pct"/>
            <w:hideMark/>
          </w:tcPr>
          <w:p w14:paraId="79283AA3" w14:textId="2963F4A7" w:rsidR="00794795" w:rsidRPr="005D74D1" w:rsidRDefault="006823C0" w:rsidP="00A90962">
            <w:pPr>
              <w:pStyle w:val="TableText"/>
              <w:rPr>
                <w:rFonts w:cs="Arial"/>
              </w:rPr>
            </w:pPr>
            <w:r w:rsidRPr="005D74D1">
              <w:rPr>
                <w:rFonts w:cs="Arial"/>
              </w:rPr>
              <w:t>SIRS4: Central Bendigo Mine Rehabilitation Project - Groundwater</w:t>
            </w:r>
          </w:p>
        </w:tc>
        <w:tc>
          <w:tcPr>
            <w:tcW w:w="3693" w:type="pct"/>
            <w:noWrap/>
          </w:tcPr>
          <w:p w14:paraId="175E6EDC" w14:textId="1EEF7DF0" w:rsidR="00794795" w:rsidRPr="005D74D1" w:rsidRDefault="00794795" w:rsidP="00A90962">
            <w:pPr>
              <w:pStyle w:val="TableText"/>
              <w:rPr>
                <w:rFonts w:cs="Arial"/>
              </w:rPr>
            </w:pPr>
            <w:r w:rsidRPr="005D74D1">
              <w:rPr>
                <w:rFonts w:cs="Arial"/>
              </w:rPr>
              <w:t xml:space="preserve">Delivery </w:t>
            </w:r>
            <w:r w:rsidR="003C242E" w:rsidRPr="005D74D1">
              <w:rPr>
                <w:rFonts w:cs="Arial"/>
              </w:rPr>
              <w:t>of long</w:t>
            </w:r>
            <w:r w:rsidR="00F07A77" w:rsidRPr="005D74D1">
              <w:rPr>
                <w:rFonts w:cs="Arial"/>
              </w:rPr>
              <w:t>-</w:t>
            </w:r>
            <w:r w:rsidR="003C242E" w:rsidRPr="005D74D1">
              <w:rPr>
                <w:rFonts w:cs="Arial"/>
              </w:rPr>
              <w:t xml:space="preserve">term solution to prevent mine-impacted groundwater discharges in Central Bendigo, secured funding for solution implementation. </w:t>
            </w:r>
          </w:p>
        </w:tc>
      </w:tr>
      <w:tr w:rsidR="00794795" w:rsidRPr="005D74D1" w14:paraId="325D15E9" w14:textId="77777777" w:rsidTr="00140664">
        <w:trPr>
          <w:trHeight w:val="495"/>
        </w:trPr>
        <w:tc>
          <w:tcPr>
            <w:tcW w:w="1307" w:type="pct"/>
            <w:hideMark/>
          </w:tcPr>
          <w:p w14:paraId="6829ECCA" w14:textId="27F76E70" w:rsidR="00794795" w:rsidRPr="005D74D1" w:rsidRDefault="006823C0" w:rsidP="00A90962">
            <w:pPr>
              <w:pStyle w:val="TableText"/>
              <w:rPr>
                <w:rFonts w:cs="Arial"/>
              </w:rPr>
            </w:pPr>
            <w:r w:rsidRPr="005D74D1">
              <w:rPr>
                <w:rFonts w:cs="Arial"/>
              </w:rPr>
              <w:t xml:space="preserve">CWCT09: Waterway </w:t>
            </w:r>
            <w:r w:rsidR="00794795" w:rsidRPr="005D74D1">
              <w:rPr>
                <w:rFonts w:cs="Arial"/>
              </w:rPr>
              <w:t>Health</w:t>
            </w:r>
          </w:p>
        </w:tc>
        <w:tc>
          <w:tcPr>
            <w:tcW w:w="3693" w:type="pct"/>
            <w:noWrap/>
          </w:tcPr>
          <w:p w14:paraId="2B6DE7A9" w14:textId="65F0A369" w:rsidR="00375B62" w:rsidRPr="005D74D1" w:rsidRDefault="00D470AD" w:rsidP="00A90962">
            <w:pPr>
              <w:pStyle w:val="TableText"/>
              <w:rPr>
                <w:rFonts w:cs="Arial"/>
              </w:rPr>
            </w:pPr>
            <w:r w:rsidRPr="005D74D1">
              <w:rPr>
                <w:rFonts w:cs="Arial"/>
              </w:rPr>
              <w:t xml:space="preserve">Delivery of </w:t>
            </w:r>
            <w:r w:rsidR="0058237D" w:rsidRPr="005D74D1">
              <w:rPr>
                <w:rFonts w:cs="Arial"/>
              </w:rPr>
              <w:t xml:space="preserve">459 </w:t>
            </w:r>
            <w:r w:rsidRPr="005D74D1">
              <w:rPr>
                <w:rFonts w:cs="Arial"/>
              </w:rPr>
              <w:t xml:space="preserve">waterway structures, </w:t>
            </w:r>
            <w:r w:rsidR="00BF2347" w:rsidRPr="005D74D1">
              <w:rPr>
                <w:rFonts w:cs="Arial"/>
              </w:rPr>
              <w:t xml:space="preserve">331.5 </w:t>
            </w:r>
            <w:r w:rsidRPr="005D74D1">
              <w:rPr>
                <w:rFonts w:cs="Arial"/>
              </w:rPr>
              <w:t xml:space="preserve">km of fencing, </w:t>
            </w:r>
            <w:r w:rsidR="007908F9" w:rsidRPr="005D74D1">
              <w:rPr>
                <w:rFonts w:cs="Arial"/>
              </w:rPr>
              <w:t>35,4</w:t>
            </w:r>
            <w:r w:rsidR="002004D7" w:rsidRPr="005D74D1">
              <w:rPr>
                <w:rFonts w:cs="Arial"/>
              </w:rPr>
              <w:t>65</w:t>
            </w:r>
            <w:r w:rsidRPr="005D74D1">
              <w:rPr>
                <w:rFonts w:cs="Arial"/>
              </w:rPr>
              <w:t xml:space="preserve"> </w:t>
            </w:r>
            <w:r w:rsidR="008B0B74" w:rsidRPr="005D74D1">
              <w:rPr>
                <w:rFonts w:cs="Arial"/>
              </w:rPr>
              <w:t xml:space="preserve">ha </w:t>
            </w:r>
            <w:r w:rsidRPr="005D74D1">
              <w:rPr>
                <w:rFonts w:cs="Arial"/>
              </w:rPr>
              <w:t xml:space="preserve">of vegetation and weed control, and </w:t>
            </w:r>
            <w:r w:rsidR="002004D7" w:rsidRPr="005D74D1">
              <w:rPr>
                <w:rFonts w:cs="Arial"/>
              </w:rPr>
              <w:t xml:space="preserve">482 </w:t>
            </w:r>
            <w:r w:rsidRPr="005D74D1">
              <w:rPr>
                <w:rFonts w:cs="Arial"/>
              </w:rPr>
              <w:t>management agreements between CMAs and landholders</w:t>
            </w:r>
            <w:r w:rsidR="00747E9B" w:rsidRPr="005D74D1">
              <w:rPr>
                <w:rFonts w:cs="Arial"/>
              </w:rPr>
              <w:t xml:space="preserve">, </w:t>
            </w:r>
            <w:r w:rsidR="008D115F" w:rsidRPr="005D74D1">
              <w:rPr>
                <w:rFonts w:cs="Arial"/>
              </w:rPr>
              <w:t>processing of &gt;</w:t>
            </w:r>
            <w:r w:rsidR="00375B62" w:rsidRPr="005D74D1">
              <w:rPr>
                <w:rFonts w:cs="Arial"/>
              </w:rPr>
              <w:t>30</w:t>
            </w:r>
            <w:r w:rsidR="008D115F" w:rsidRPr="005D74D1">
              <w:rPr>
                <w:rFonts w:cs="Arial"/>
              </w:rPr>
              <w:t xml:space="preserve">,000 waterway licenses/permits, </w:t>
            </w:r>
            <w:r w:rsidR="00CF22DC" w:rsidRPr="005D74D1">
              <w:rPr>
                <w:rFonts w:cs="Arial"/>
              </w:rPr>
              <w:t>f</w:t>
            </w:r>
            <w:r w:rsidR="008D115F" w:rsidRPr="005D74D1">
              <w:rPr>
                <w:rFonts w:cs="Arial"/>
              </w:rPr>
              <w:t xml:space="preserve">lagship </w:t>
            </w:r>
            <w:r w:rsidR="00CF22DC" w:rsidRPr="005D74D1">
              <w:rPr>
                <w:rFonts w:cs="Arial"/>
              </w:rPr>
              <w:t>w</w:t>
            </w:r>
            <w:r w:rsidR="008D115F" w:rsidRPr="005D74D1">
              <w:rPr>
                <w:rFonts w:cs="Arial"/>
              </w:rPr>
              <w:t>aterway projects</w:t>
            </w:r>
            <w:r w:rsidR="00794795" w:rsidRPr="005D74D1">
              <w:rPr>
                <w:rFonts w:cs="Arial"/>
              </w:rPr>
              <w:t>, citizen science programs, monitoring programs and waterway management policies</w:t>
            </w:r>
            <w:r w:rsidR="0015718F" w:rsidRPr="005D74D1">
              <w:rPr>
                <w:rFonts w:cs="Arial"/>
              </w:rPr>
              <w:t>.</w:t>
            </w:r>
            <w:r w:rsidR="00794795" w:rsidRPr="005D74D1">
              <w:rPr>
                <w:rFonts w:cs="Arial"/>
              </w:rPr>
              <w:t xml:space="preserve"> </w:t>
            </w:r>
          </w:p>
        </w:tc>
      </w:tr>
      <w:tr w:rsidR="00794795" w:rsidRPr="005D74D1" w14:paraId="7023DE7C" w14:textId="77777777" w:rsidTr="00140664">
        <w:trPr>
          <w:trHeight w:val="495"/>
        </w:trPr>
        <w:tc>
          <w:tcPr>
            <w:tcW w:w="1307" w:type="pct"/>
            <w:hideMark/>
          </w:tcPr>
          <w:p w14:paraId="381E6B7B" w14:textId="50018C4D" w:rsidR="00794795" w:rsidRPr="005D74D1" w:rsidRDefault="006823C0" w:rsidP="00A90962">
            <w:pPr>
              <w:pStyle w:val="TableText"/>
              <w:rPr>
                <w:rFonts w:cs="Arial"/>
              </w:rPr>
            </w:pPr>
            <w:r w:rsidRPr="005D74D1">
              <w:rPr>
                <w:rFonts w:cs="Arial"/>
              </w:rPr>
              <w:t xml:space="preserve">CWCT10: Environmental </w:t>
            </w:r>
            <w:r w:rsidR="00794795" w:rsidRPr="005D74D1">
              <w:rPr>
                <w:rFonts w:cs="Arial"/>
              </w:rPr>
              <w:t>Water</w:t>
            </w:r>
          </w:p>
        </w:tc>
        <w:tc>
          <w:tcPr>
            <w:tcW w:w="3693" w:type="pct"/>
            <w:noWrap/>
          </w:tcPr>
          <w:p w14:paraId="020E0D60" w14:textId="6A28FFBD" w:rsidR="00794795" w:rsidRPr="005D74D1" w:rsidRDefault="00B26925" w:rsidP="00A90962">
            <w:pPr>
              <w:pStyle w:val="TableText"/>
              <w:rPr>
                <w:rFonts w:cs="Arial"/>
              </w:rPr>
            </w:pPr>
            <w:r w:rsidRPr="005D74D1">
              <w:rPr>
                <w:rFonts w:cs="Arial"/>
              </w:rPr>
              <w:t xml:space="preserve">Over </w:t>
            </w:r>
            <w:r w:rsidR="00703A71" w:rsidRPr="005D74D1">
              <w:rPr>
                <w:rFonts w:cs="Arial"/>
              </w:rPr>
              <w:t>3,212</w:t>
            </w:r>
            <w:r w:rsidRPr="005D74D1">
              <w:rPr>
                <w:rFonts w:cs="Arial"/>
              </w:rPr>
              <w:t xml:space="preserve"> GL of water for the environment delivered to priority rivers and wetland sites throughout the state: </w:t>
            </w:r>
            <w:r w:rsidR="00917D40" w:rsidRPr="005D74D1">
              <w:rPr>
                <w:rFonts w:cs="Arial"/>
              </w:rPr>
              <w:t>161</w:t>
            </w:r>
            <w:r w:rsidR="0009567D" w:rsidRPr="005D74D1">
              <w:rPr>
                <w:rFonts w:cs="Arial"/>
              </w:rPr>
              <w:t xml:space="preserve"> sites in 2023</w:t>
            </w:r>
            <w:r w:rsidR="00E43AA1" w:rsidRPr="005D74D1">
              <w:rPr>
                <w:rFonts w:cs="Arial"/>
              </w:rPr>
              <w:t>-</w:t>
            </w:r>
            <w:r w:rsidR="0009567D" w:rsidRPr="005D74D1">
              <w:rPr>
                <w:rFonts w:cs="Arial"/>
              </w:rPr>
              <w:t xml:space="preserve">24, </w:t>
            </w:r>
            <w:r w:rsidRPr="005D74D1">
              <w:rPr>
                <w:rFonts w:cs="Arial"/>
              </w:rPr>
              <w:t>154 sites in 2022</w:t>
            </w:r>
            <w:r w:rsidR="00E43AA1" w:rsidRPr="005D74D1">
              <w:rPr>
                <w:rFonts w:cs="Arial"/>
              </w:rPr>
              <w:t>-</w:t>
            </w:r>
            <w:r w:rsidRPr="005D74D1">
              <w:rPr>
                <w:rFonts w:cs="Arial"/>
              </w:rPr>
              <w:t>23, 170 sites in 2021</w:t>
            </w:r>
            <w:r w:rsidR="00E43AA1" w:rsidRPr="005D74D1">
              <w:rPr>
                <w:rFonts w:cs="Arial"/>
              </w:rPr>
              <w:t>-</w:t>
            </w:r>
            <w:r w:rsidRPr="005D74D1">
              <w:rPr>
                <w:rFonts w:cs="Arial"/>
              </w:rPr>
              <w:t>22, and 225 sites in 2020</w:t>
            </w:r>
            <w:r w:rsidR="00E43AA1" w:rsidRPr="005D74D1">
              <w:rPr>
                <w:rFonts w:cs="Arial"/>
              </w:rPr>
              <w:t>-</w:t>
            </w:r>
            <w:r w:rsidRPr="005D74D1">
              <w:rPr>
                <w:rFonts w:cs="Arial"/>
              </w:rPr>
              <w:t>21</w:t>
            </w:r>
            <w:r w:rsidR="00CF22DC" w:rsidRPr="005D74D1">
              <w:rPr>
                <w:rFonts w:cs="Arial"/>
              </w:rPr>
              <w:t>.</w:t>
            </w:r>
          </w:p>
        </w:tc>
      </w:tr>
      <w:tr w:rsidR="00794795" w:rsidRPr="005D74D1" w14:paraId="3DB9397C" w14:textId="77777777" w:rsidTr="00140664">
        <w:trPr>
          <w:trHeight w:val="495"/>
        </w:trPr>
        <w:tc>
          <w:tcPr>
            <w:tcW w:w="1307" w:type="pct"/>
            <w:hideMark/>
          </w:tcPr>
          <w:p w14:paraId="2B1B273F" w14:textId="7B0B7C5B" w:rsidR="00794795" w:rsidRPr="005D74D1" w:rsidRDefault="006823C0" w:rsidP="00A90962">
            <w:pPr>
              <w:pStyle w:val="TableText"/>
              <w:rPr>
                <w:rFonts w:cs="Arial"/>
              </w:rPr>
            </w:pPr>
            <w:r w:rsidRPr="005D74D1">
              <w:rPr>
                <w:rFonts w:cs="Arial"/>
              </w:rPr>
              <w:t xml:space="preserve">SIRS6: Murray </w:t>
            </w:r>
            <w:r w:rsidR="00794795" w:rsidRPr="005D74D1">
              <w:rPr>
                <w:rFonts w:cs="Arial"/>
              </w:rPr>
              <w:t>programs</w:t>
            </w:r>
          </w:p>
        </w:tc>
        <w:tc>
          <w:tcPr>
            <w:tcW w:w="3693" w:type="pct"/>
            <w:noWrap/>
          </w:tcPr>
          <w:p w14:paraId="4BBD7188" w14:textId="41E7D904" w:rsidR="00794795" w:rsidRPr="005D74D1" w:rsidRDefault="00794795" w:rsidP="00A90962">
            <w:pPr>
              <w:pStyle w:val="TableText"/>
              <w:rPr>
                <w:rFonts w:cs="Arial"/>
              </w:rPr>
            </w:pPr>
            <w:r w:rsidRPr="005D74D1">
              <w:rPr>
                <w:rFonts w:cs="Arial"/>
              </w:rPr>
              <w:t xml:space="preserve">Traditional Owner partnerships, </w:t>
            </w:r>
            <w:r w:rsidR="000C03A5" w:rsidRPr="005D74D1">
              <w:rPr>
                <w:rFonts w:cs="Arial"/>
              </w:rPr>
              <w:t xml:space="preserve">48 </w:t>
            </w:r>
            <w:r w:rsidRPr="005D74D1">
              <w:rPr>
                <w:rFonts w:cs="Arial"/>
              </w:rPr>
              <w:t xml:space="preserve">Aboriginal </w:t>
            </w:r>
            <w:r w:rsidR="00CF22DC" w:rsidRPr="005D74D1">
              <w:rPr>
                <w:rFonts w:cs="Arial"/>
              </w:rPr>
              <w:t>w</w:t>
            </w:r>
            <w:r w:rsidRPr="005D74D1">
              <w:rPr>
                <w:rFonts w:cs="Arial"/>
              </w:rPr>
              <w:t xml:space="preserve">aterways </w:t>
            </w:r>
            <w:r w:rsidR="00CF22DC" w:rsidRPr="005D74D1">
              <w:rPr>
                <w:rFonts w:cs="Arial"/>
              </w:rPr>
              <w:t>a</w:t>
            </w:r>
            <w:r w:rsidRPr="005D74D1">
              <w:rPr>
                <w:rFonts w:cs="Arial"/>
              </w:rPr>
              <w:t>ssessments, development of</w:t>
            </w:r>
            <w:r w:rsidR="00DD72F8" w:rsidRPr="005D74D1">
              <w:rPr>
                <w:rFonts w:cs="Arial"/>
              </w:rPr>
              <w:t xml:space="preserve"> </w:t>
            </w:r>
            <w:r w:rsidR="009035DE" w:rsidRPr="005D74D1">
              <w:rPr>
                <w:rFonts w:cs="Arial"/>
              </w:rPr>
              <w:t>m</w:t>
            </w:r>
            <w:r w:rsidR="00DD72F8" w:rsidRPr="005D74D1">
              <w:rPr>
                <w:rFonts w:cs="Arial"/>
              </w:rPr>
              <w:t xml:space="preserve">onitoring, </w:t>
            </w:r>
            <w:r w:rsidR="009035DE" w:rsidRPr="005D74D1">
              <w:rPr>
                <w:rFonts w:cs="Arial"/>
              </w:rPr>
              <w:t>e</w:t>
            </w:r>
            <w:r w:rsidR="00DD72F8" w:rsidRPr="005D74D1">
              <w:rPr>
                <w:rFonts w:cs="Arial"/>
              </w:rPr>
              <w:t xml:space="preserve">valuation, </w:t>
            </w:r>
            <w:r w:rsidR="009035DE" w:rsidRPr="005D74D1">
              <w:rPr>
                <w:rFonts w:cs="Arial"/>
              </w:rPr>
              <w:t>r</w:t>
            </w:r>
            <w:r w:rsidR="00DD72F8" w:rsidRPr="005D74D1">
              <w:rPr>
                <w:rFonts w:cs="Arial"/>
              </w:rPr>
              <w:t xml:space="preserve">eporting and </w:t>
            </w:r>
            <w:r w:rsidR="009035DE" w:rsidRPr="005D74D1">
              <w:rPr>
                <w:rFonts w:cs="Arial"/>
              </w:rPr>
              <w:t>i</w:t>
            </w:r>
            <w:r w:rsidR="00DD72F8" w:rsidRPr="005D74D1">
              <w:rPr>
                <w:rFonts w:cs="Arial"/>
              </w:rPr>
              <w:t>mprovement</w:t>
            </w:r>
            <w:r w:rsidRPr="005D74D1">
              <w:rPr>
                <w:rFonts w:cs="Arial"/>
              </w:rPr>
              <w:t xml:space="preserve"> plans and ecological data base</w:t>
            </w:r>
            <w:r w:rsidR="009035DE" w:rsidRPr="005D74D1">
              <w:rPr>
                <w:rFonts w:cs="Arial"/>
              </w:rPr>
              <w:t>.</w:t>
            </w:r>
          </w:p>
        </w:tc>
      </w:tr>
      <w:tr w:rsidR="00794795" w:rsidRPr="005D74D1" w14:paraId="417024E3" w14:textId="77777777" w:rsidTr="00140664">
        <w:trPr>
          <w:trHeight w:val="495"/>
        </w:trPr>
        <w:tc>
          <w:tcPr>
            <w:tcW w:w="1307" w:type="pct"/>
            <w:hideMark/>
          </w:tcPr>
          <w:p w14:paraId="05DF240A" w14:textId="02FC49B7" w:rsidR="00794795" w:rsidRPr="005D74D1" w:rsidRDefault="006823C0" w:rsidP="00A90962">
            <w:pPr>
              <w:pStyle w:val="TableText"/>
              <w:rPr>
                <w:rFonts w:cs="Arial"/>
              </w:rPr>
            </w:pPr>
            <w:r w:rsidRPr="005D74D1">
              <w:rPr>
                <w:rFonts w:cs="Arial"/>
              </w:rPr>
              <w:lastRenderedPageBreak/>
              <w:t xml:space="preserve">CWCT11: Our Catchments Our Communities </w:t>
            </w:r>
            <w:r w:rsidR="00794795" w:rsidRPr="005D74D1">
              <w:rPr>
                <w:rFonts w:cs="Arial"/>
              </w:rPr>
              <w:t>Program</w:t>
            </w:r>
          </w:p>
        </w:tc>
        <w:tc>
          <w:tcPr>
            <w:tcW w:w="3693" w:type="pct"/>
            <w:noWrap/>
          </w:tcPr>
          <w:p w14:paraId="5C764CE0" w14:textId="5B37BF6B" w:rsidR="00794795" w:rsidRPr="005D74D1" w:rsidRDefault="00794795" w:rsidP="00A90962">
            <w:pPr>
              <w:pStyle w:val="TableText"/>
              <w:rPr>
                <w:rFonts w:cs="Arial"/>
              </w:rPr>
            </w:pPr>
            <w:r w:rsidRPr="005D74D1">
              <w:rPr>
                <w:rFonts w:cs="Arial"/>
              </w:rPr>
              <w:t xml:space="preserve">Renewal of regional </w:t>
            </w:r>
            <w:r w:rsidR="00167195" w:rsidRPr="005D74D1">
              <w:rPr>
                <w:rFonts w:cs="Arial"/>
              </w:rPr>
              <w:t>c</w:t>
            </w:r>
            <w:r w:rsidRPr="005D74D1">
              <w:rPr>
                <w:rFonts w:cs="Arial"/>
              </w:rPr>
              <w:t>atchment strategies</w:t>
            </w:r>
            <w:r w:rsidR="001B070A" w:rsidRPr="005D74D1">
              <w:rPr>
                <w:rFonts w:cs="Arial"/>
              </w:rPr>
              <w:t>,</w:t>
            </w:r>
            <w:r w:rsidRPr="005D74D1">
              <w:rPr>
                <w:rFonts w:cs="Arial"/>
              </w:rPr>
              <w:t xml:space="preserve"> </w:t>
            </w:r>
            <w:r w:rsidR="005022D8" w:rsidRPr="005D74D1">
              <w:rPr>
                <w:rFonts w:cs="Arial"/>
              </w:rPr>
              <w:t>on-ground</w:t>
            </w:r>
            <w:r w:rsidRPr="005D74D1">
              <w:rPr>
                <w:rFonts w:cs="Arial"/>
              </w:rPr>
              <w:t xml:space="preserve"> stewardship programs, engagement events, planning and regulation</w:t>
            </w:r>
            <w:r w:rsidR="00AD10DA" w:rsidRPr="005D74D1">
              <w:rPr>
                <w:rFonts w:cs="Arial"/>
              </w:rPr>
              <w:t>.</w:t>
            </w:r>
          </w:p>
        </w:tc>
      </w:tr>
      <w:tr w:rsidR="00794795" w:rsidRPr="005D74D1" w14:paraId="436167F8" w14:textId="77777777" w:rsidTr="00140664">
        <w:trPr>
          <w:trHeight w:val="70"/>
        </w:trPr>
        <w:tc>
          <w:tcPr>
            <w:tcW w:w="1307" w:type="pct"/>
            <w:hideMark/>
          </w:tcPr>
          <w:p w14:paraId="0643E771" w14:textId="107BF773" w:rsidR="00794795" w:rsidRPr="005D74D1" w:rsidRDefault="006823C0" w:rsidP="00A90962">
            <w:pPr>
              <w:pStyle w:val="TableText"/>
              <w:rPr>
                <w:rFonts w:cs="Arial"/>
              </w:rPr>
            </w:pPr>
            <w:r w:rsidRPr="005D74D1">
              <w:rPr>
                <w:rFonts w:cs="Arial"/>
              </w:rPr>
              <w:t xml:space="preserve">SIRS5: Macalister Irrigation District Modernisation Project - Phase </w:t>
            </w:r>
            <w:r w:rsidR="00794795" w:rsidRPr="005D74D1">
              <w:rPr>
                <w:rFonts w:cs="Arial"/>
              </w:rPr>
              <w:t>2</w:t>
            </w:r>
          </w:p>
        </w:tc>
        <w:tc>
          <w:tcPr>
            <w:tcW w:w="3693" w:type="pct"/>
            <w:noWrap/>
          </w:tcPr>
          <w:p w14:paraId="76129EC2" w14:textId="07F6723C" w:rsidR="00794795" w:rsidRPr="005D74D1" w:rsidRDefault="00794795" w:rsidP="00A90962">
            <w:pPr>
              <w:pStyle w:val="TableText"/>
              <w:rPr>
                <w:rFonts w:cs="Arial"/>
              </w:rPr>
            </w:pPr>
            <w:r w:rsidRPr="005D74D1">
              <w:rPr>
                <w:rFonts w:cs="Arial"/>
              </w:rPr>
              <w:t>Treatment of</w:t>
            </w:r>
            <w:r w:rsidR="00E96C9C" w:rsidRPr="005D74D1">
              <w:rPr>
                <w:rFonts w:cs="Arial"/>
              </w:rPr>
              <w:t xml:space="preserve"> approximately</w:t>
            </w:r>
            <w:r w:rsidRPr="005D74D1">
              <w:rPr>
                <w:rFonts w:cs="Arial"/>
              </w:rPr>
              <w:t xml:space="preserve"> </w:t>
            </w:r>
            <w:r w:rsidR="00400B59" w:rsidRPr="005D74D1">
              <w:rPr>
                <w:rFonts w:cs="Arial"/>
              </w:rPr>
              <w:t>80</w:t>
            </w:r>
            <w:r w:rsidR="007E179D" w:rsidRPr="005D74D1">
              <w:rPr>
                <w:rFonts w:cs="Arial"/>
              </w:rPr>
              <w:t> </w:t>
            </w:r>
            <w:r w:rsidR="00400B59" w:rsidRPr="005D74D1">
              <w:rPr>
                <w:rFonts w:cs="Arial"/>
              </w:rPr>
              <w:t xml:space="preserve">km </w:t>
            </w:r>
            <w:r w:rsidRPr="005D74D1">
              <w:rPr>
                <w:rFonts w:cs="Arial"/>
              </w:rPr>
              <w:t>of leaky channels, construction of 34</w:t>
            </w:r>
            <w:r w:rsidR="007E179D" w:rsidRPr="005D74D1">
              <w:rPr>
                <w:rFonts w:cs="Arial"/>
              </w:rPr>
              <w:t> </w:t>
            </w:r>
            <w:r w:rsidRPr="005D74D1">
              <w:rPr>
                <w:rFonts w:cs="Arial"/>
              </w:rPr>
              <w:t>km of pipeline and decommissioning of 50</w:t>
            </w:r>
            <w:r w:rsidR="007E179D" w:rsidRPr="005D74D1">
              <w:rPr>
                <w:rFonts w:cs="Arial"/>
              </w:rPr>
              <w:t> </w:t>
            </w:r>
            <w:r w:rsidRPr="005D74D1">
              <w:rPr>
                <w:rFonts w:cs="Arial"/>
              </w:rPr>
              <w:t>km of old channels resulting in water savings used for agriculture and the environment</w:t>
            </w:r>
            <w:r w:rsidR="00AD10DA" w:rsidRPr="005D74D1">
              <w:rPr>
                <w:rFonts w:cs="Arial"/>
              </w:rPr>
              <w:t>.</w:t>
            </w:r>
            <w:r w:rsidRPr="005D74D1">
              <w:rPr>
                <w:rFonts w:cs="Arial"/>
              </w:rPr>
              <w:t xml:space="preserve"> </w:t>
            </w:r>
          </w:p>
        </w:tc>
      </w:tr>
      <w:tr w:rsidR="00794795" w:rsidRPr="005D74D1" w14:paraId="0D4CA9C9" w14:textId="77777777" w:rsidTr="00140664">
        <w:trPr>
          <w:trHeight w:val="854"/>
        </w:trPr>
        <w:tc>
          <w:tcPr>
            <w:tcW w:w="1307" w:type="pct"/>
            <w:hideMark/>
          </w:tcPr>
          <w:p w14:paraId="0ADE79BA" w14:textId="7D0F7172" w:rsidR="00794795" w:rsidRPr="005D74D1" w:rsidRDefault="006823C0" w:rsidP="00A90962">
            <w:pPr>
              <w:pStyle w:val="TableText"/>
              <w:rPr>
                <w:rFonts w:cs="Arial"/>
              </w:rPr>
            </w:pPr>
            <w:r w:rsidRPr="005D74D1">
              <w:rPr>
                <w:rFonts w:cs="Arial"/>
              </w:rPr>
              <w:t>WRS19: Resilient Water Markets, Regional Communities and Infrastructure (Stream 1 and 2)</w:t>
            </w:r>
          </w:p>
        </w:tc>
        <w:tc>
          <w:tcPr>
            <w:tcW w:w="3693" w:type="pct"/>
            <w:noWrap/>
          </w:tcPr>
          <w:p w14:paraId="13F085E0" w14:textId="40B0A233" w:rsidR="00794795" w:rsidRPr="005D74D1" w:rsidRDefault="00794795" w:rsidP="00A90962">
            <w:pPr>
              <w:pStyle w:val="TableText"/>
              <w:rPr>
                <w:rFonts w:cs="Arial"/>
              </w:rPr>
            </w:pPr>
            <w:r w:rsidRPr="005D74D1">
              <w:rPr>
                <w:rFonts w:cs="Arial"/>
              </w:rPr>
              <w:t xml:space="preserve">Victorian implementation of an interstate broker regulation scheme that delivers an agreed interstate standard of conduct, conduction of environmental cultural and recreational assessments. </w:t>
            </w:r>
          </w:p>
        </w:tc>
      </w:tr>
    </w:tbl>
    <w:p w14:paraId="18CE2642" w14:textId="77777777" w:rsidR="00432AB1" w:rsidRPr="005D74D1" w:rsidRDefault="00432AB1" w:rsidP="00432AB1">
      <w:pPr>
        <w:pStyle w:val="BodyText"/>
        <w:rPr>
          <w:rFonts w:cs="Arial"/>
        </w:rPr>
        <w:sectPr w:rsidR="00432AB1" w:rsidRPr="005D74D1" w:rsidSect="00253DEE">
          <w:pgSz w:w="11906" w:h="16838" w:code="9"/>
          <w:pgMar w:top="1134" w:right="1134" w:bottom="567" w:left="1134" w:header="567" w:footer="0" w:gutter="0"/>
          <w:cols w:space="720"/>
          <w:docGrid w:linePitch="360"/>
        </w:sectPr>
      </w:pPr>
      <w:bookmarkStart w:id="77" w:name="_Toc149571696"/>
      <w:bookmarkStart w:id="78" w:name="_Toc147342374"/>
      <w:bookmarkStart w:id="79" w:name="_Toc147352264"/>
      <w:bookmarkStart w:id="80" w:name="_Toc147342375"/>
      <w:bookmarkStart w:id="81" w:name="_Toc147352265"/>
      <w:bookmarkStart w:id="82" w:name="_Toc147341211"/>
      <w:bookmarkStart w:id="83" w:name="_Toc147329464"/>
      <w:bookmarkStart w:id="84" w:name="_Toc147330036"/>
      <w:bookmarkStart w:id="85" w:name="_Toc147330608"/>
      <w:bookmarkStart w:id="86" w:name="_Toc147331181"/>
      <w:bookmarkStart w:id="87" w:name="_Toc147334547"/>
      <w:bookmarkStart w:id="88" w:name="_Toc147337411"/>
      <w:bookmarkStart w:id="89" w:name="_Toc147338016"/>
      <w:bookmarkStart w:id="90" w:name="_Toc147342376"/>
      <w:bookmarkStart w:id="91" w:name="_Toc147352266"/>
      <w:bookmarkStart w:id="92" w:name="_Toc147341212"/>
      <w:bookmarkStart w:id="93" w:name="_Toc147329465"/>
      <w:bookmarkStart w:id="94" w:name="_Toc147330037"/>
      <w:bookmarkStart w:id="95" w:name="_Toc147330609"/>
      <w:bookmarkStart w:id="96" w:name="_Toc147331182"/>
      <w:bookmarkStart w:id="97" w:name="_Toc147334548"/>
      <w:bookmarkStart w:id="98" w:name="_Toc147337412"/>
      <w:bookmarkStart w:id="99" w:name="_Toc147338017"/>
      <w:bookmarkStart w:id="100" w:name="_Toc147342377"/>
      <w:bookmarkStart w:id="101" w:name="_Toc147352267"/>
      <w:bookmarkStart w:id="102" w:name="_Toc147329322"/>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14:paraId="1919E6C0" w14:textId="0179E065" w:rsidR="00432AB1" w:rsidRPr="00A134A7" w:rsidRDefault="00432AB1" w:rsidP="00432AB1">
      <w:pPr>
        <w:spacing w:before="100" w:beforeAutospacing="1" w:after="100" w:afterAutospacing="1"/>
        <w:rPr>
          <w:rFonts w:eastAsia="Times New Roman" w:cs="Arial"/>
          <w:sz w:val="24"/>
          <w:szCs w:val="24"/>
        </w:rPr>
      </w:pPr>
      <w:r w:rsidRPr="00A134A7">
        <w:rPr>
          <w:rFonts w:eastAsia="Times New Roman" w:cs="Arial"/>
          <w:noProof/>
          <w:sz w:val="24"/>
          <w:szCs w:val="24"/>
        </w:rPr>
        <w:lastRenderedPageBreak/>
        <w:drawing>
          <wp:anchor distT="0" distB="0" distL="114300" distR="114300" simplePos="0" relativeHeight="251637760" behindDoc="0" locked="0" layoutInCell="1" allowOverlap="1" wp14:anchorId="384062C5" wp14:editId="2B9D0429">
            <wp:simplePos x="0" y="0"/>
            <wp:positionH relativeFrom="page">
              <wp:align>left</wp:align>
            </wp:positionH>
            <wp:positionV relativeFrom="page">
              <wp:align>top</wp:align>
            </wp:positionV>
            <wp:extent cx="7562088" cy="10689336"/>
            <wp:effectExtent l="0" t="0" r="1270" b="0"/>
            <wp:wrapNone/>
            <wp:docPr id="21299638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7562088" cy="1068933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826FAC" w14:textId="77777777" w:rsidR="00432AB1" w:rsidRPr="005D74D1" w:rsidRDefault="00432AB1" w:rsidP="00432AB1">
      <w:pPr>
        <w:pStyle w:val="BodyText"/>
        <w:rPr>
          <w:rFonts w:cs="Arial"/>
        </w:rPr>
      </w:pPr>
    </w:p>
    <w:p w14:paraId="3B5487CA" w14:textId="77777777" w:rsidR="00432AB1" w:rsidRPr="005D74D1" w:rsidRDefault="00432AB1" w:rsidP="00432AB1">
      <w:pPr>
        <w:pStyle w:val="BodyText"/>
        <w:rPr>
          <w:rFonts w:cs="Arial"/>
        </w:rPr>
      </w:pPr>
    </w:p>
    <w:p w14:paraId="48FBC73E" w14:textId="77777777" w:rsidR="00432AB1" w:rsidRPr="005D74D1" w:rsidRDefault="00432AB1" w:rsidP="00432AB1">
      <w:pPr>
        <w:pStyle w:val="BodyText"/>
        <w:rPr>
          <w:rFonts w:cs="Arial"/>
        </w:rPr>
        <w:sectPr w:rsidR="00432AB1" w:rsidRPr="005D74D1" w:rsidSect="00253DEE">
          <w:pgSz w:w="11906" w:h="16838" w:code="9"/>
          <w:pgMar w:top="1134" w:right="1134" w:bottom="567" w:left="1134" w:header="567" w:footer="0" w:gutter="0"/>
          <w:cols w:space="720"/>
          <w:docGrid w:linePitch="360"/>
        </w:sectPr>
      </w:pPr>
    </w:p>
    <w:p w14:paraId="268F2918" w14:textId="618F571B" w:rsidR="00296BEE" w:rsidRPr="005D74D1" w:rsidRDefault="00963A13" w:rsidP="00963A13">
      <w:pPr>
        <w:pStyle w:val="Heading1"/>
        <w:rPr>
          <w:rFonts w:cs="Arial"/>
        </w:rPr>
      </w:pPr>
      <w:bookmarkStart w:id="103" w:name="_Toc183777359"/>
      <w:r w:rsidRPr="005D74D1">
        <w:rPr>
          <w:rFonts w:cs="Arial"/>
        </w:rPr>
        <w:lastRenderedPageBreak/>
        <w:t xml:space="preserve">Evaluation </w:t>
      </w:r>
      <w:bookmarkEnd w:id="102"/>
      <w:r w:rsidR="00A8036E" w:rsidRPr="005D74D1">
        <w:rPr>
          <w:rFonts w:cs="Arial"/>
        </w:rPr>
        <w:t>framework</w:t>
      </w:r>
      <w:bookmarkEnd w:id="103"/>
    </w:p>
    <w:p w14:paraId="3D0A125C" w14:textId="2B5988FE" w:rsidR="001174A1" w:rsidRPr="005D74D1" w:rsidRDefault="008B084C" w:rsidP="00DE48FA">
      <w:pPr>
        <w:pStyle w:val="Heading2"/>
        <w:rPr>
          <w:rFonts w:cs="Arial"/>
        </w:rPr>
      </w:pPr>
      <w:bookmarkStart w:id="104" w:name="_Toc147329323"/>
      <w:bookmarkStart w:id="105" w:name="_Toc183777360"/>
      <w:r w:rsidRPr="005D74D1">
        <w:rPr>
          <w:rFonts w:cs="Arial"/>
        </w:rPr>
        <w:t>Overview</w:t>
      </w:r>
      <w:bookmarkEnd w:id="104"/>
      <w:bookmarkEnd w:id="105"/>
    </w:p>
    <w:p w14:paraId="4DAAEAEF" w14:textId="77777777" w:rsidR="00A50E7D" w:rsidRPr="005D74D1" w:rsidRDefault="00C25E26" w:rsidP="00434FDE">
      <w:pPr>
        <w:pStyle w:val="BodyText"/>
        <w:rPr>
          <w:rFonts w:cs="Arial"/>
        </w:rPr>
      </w:pPr>
      <w:r w:rsidRPr="005D74D1">
        <w:rPr>
          <w:rFonts w:cs="Arial"/>
        </w:rPr>
        <w:t>The framework adopted for this evaluation provide</w:t>
      </w:r>
      <w:r w:rsidR="008A3CA8" w:rsidRPr="005D74D1">
        <w:rPr>
          <w:rFonts w:cs="Arial"/>
        </w:rPr>
        <w:t>s</w:t>
      </w:r>
      <w:r w:rsidRPr="005D74D1">
        <w:rPr>
          <w:rFonts w:cs="Arial"/>
        </w:rPr>
        <w:t xml:space="preserve"> a consistent and systematic approach for evaluating the EC at both</w:t>
      </w:r>
      <w:r w:rsidR="00FD3D39" w:rsidRPr="005D74D1">
        <w:rPr>
          <w:rFonts w:cs="Arial"/>
        </w:rPr>
        <w:t xml:space="preserve"> the project </w:t>
      </w:r>
      <w:r w:rsidR="008158C7" w:rsidRPr="005D74D1">
        <w:rPr>
          <w:rFonts w:cs="Arial"/>
        </w:rPr>
        <w:t>level</w:t>
      </w:r>
      <w:r w:rsidRPr="005D74D1">
        <w:rPr>
          <w:rFonts w:cs="Arial"/>
        </w:rPr>
        <w:t xml:space="preserve"> and </w:t>
      </w:r>
      <w:r w:rsidR="00FD3D39" w:rsidRPr="005D74D1">
        <w:rPr>
          <w:rFonts w:cs="Arial"/>
        </w:rPr>
        <w:t>for the whole of EC5</w:t>
      </w:r>
      <w:r w:rsidRPr="005D74D1">
        <w:rPr>
          <w:rFonts w:cs="Arial"/>
        </w:rPr>
        <w:t xml:space="preserve">. The framework embeds </w:t>
      </w:r>
      <w:r w:rsidR="00434FDE" w:rsidRPr="005D74D1">
        <w:rPr>
          <w:rFonts w:cs="Arial"/>
        </w:rPr>
        <w:t xml:space="preserve">common </w:t>
      </w:r>
      <w:r w:rsidRPr="005D74D1">
        <w:rPr>
          <w:rFonts w:cs="Arial"/>
        </w:rPr>
        <w:t xml:space="preserve">evaluation </w:t>
      </w:r>
      <w:r w:rsidR="0074777D" w:rsidRPr="005D74D1">
        <w:rPr>
          <w:rFonts w:cs="Arial"/>
        </w:rPr>
        <w:t xml:space="preserve">concepts </w:t>
      </w:r>
      <w:r w:rsidRPr="005D74D1">
        <w:rPr>
          <w:rFonts w:cs="Arial"/>
        </w:rPr>
        <w:t xml:space="preserve">into each EC funded </w:t>
      </w:r>
      <w:r w:rsidR="00FD3D39" w:rsidRPr="005D74D1">
        <w:rPr>
          <w:rFonts w:cs="Arial"/>
        </w:rPr>
        <w:t xml:space="preserve">project </w:t>
      </w:r>
      <w:r w:rsidRPr="005D74D1">
        <w:rPr>
          <w:rFonts w:cs="Arial"/>
        </w:rPr>
        <w:t>from its commencement. It ensures that all projects have an evaluation plan (based on an evaluation plan template and guidelines) and program logic in place, which is reported against annually</w:t>
      </w:r>
      <w:r w:rsidR="007C17FB" w:rsidRPr="005D74D1">
        <w:rPr>
          <w:rFonts w:cs="Arial"/>
        </w:rPr>
        <w:t>,</w:t>
      </w:r>
      <w:r w:rsidRPr="005D74D1">
        <w:rPr>
          <w:rFonts w:cs="Arial"/>
        </w:rPr>
        <w:t xml:space="preserve"> and provides a work plan for evaluation of the </w:t>
      </w:r>
      <w:r w:rsidR="00DA0E02" w:rsidRPr="005D74D1">
        <w:rPr>
          <w:rFonts w:cs="Arial"/>
        </w:rPr>
        <w:t xml:space="preserve">EC </w:t>
      </w:r>
      <w:r w:rsidRPr="005D74D1">
        <w:rPr>
          <w:rFonts w:cs="Arial"/>
        </w:rPr>
        <w:t>at the end of project funding.</w:t>
      </w:r>
    </w:p>
    <w:p w14:paraId="38C56EFF" w14:textId="65905565" w:rsidR="00A50E7D" w:rsidRPr="005D74D1" w:rsidRDefault="00CC3DBE" w:rsidP="00434FDE">
      <w:pPr>
        <w:pStyle w:val="BodyText"/>
        <w:rPr>
          <w:rFonts w:cs="Arial"/>
        </w:rPr>
      </w:pPr>
      <w:r w:rsidRPr="005D74D1">
        <w:rPr>
          <w:rFonts w:cs="Arial"/>
        </w:rPr>
        <w:t xml:space="preserve">As </w:t>
      </w:r>
      <w:r w:rsidR="00955B03" w:rsidRPr="005D74D1">
        <w:rPr>
          <w:rFonts w:cs="Arial"/>
        </w:rPr>
        <w:t xml:space="preserve">explained </w:t>
      </w:r>
      <w:r w:rsidR="00084308" w:rsidRPr="005D74D1">
        <w:rPr>
          <w:rFonts w:cs="Arial"/>
        </w:rPr>
        <w:t>in</w:t>
      </w:r>
      <w:r w:rsidR="002B02F3" w:rsidRPr="005D74D1">
        <w:rPr>
          <w:rFonts w:cs="Arial"/>
        </w:rPr>
        <w:t xml:space="preserve"> Section</w:t>
      </w:r>
      <w:r w:rsidR="00084308" w:rsidRPr="005D74D1">
        <w:rPr>
          <w:rFonts w:cs="Arial"/>
        </w:rPr>
        <w:t xml:space="preserve"> </w:t>
      </w:r>
      <w:r w:rsidR="002B02F3" w:rsidRPr="005D74D1">
        <w:rPr>
          <w:rFonts w:cs="Arial"/>
        </w:rPr>
        <w:fldChar w:fldCharType="begin"/>
      </w:r>
      <w:r w:rsidR="002B02F3" w:rsidRPr="005D74D1">
        <w:rPr>
          <w:rFonts w:cs="Arial"/>
        </w:rPr>
        <w:instrText xml:space="preserve"> REF _Ref147065581 \r \h </w:instrText>
      </w:r>
      <w:r w:rsidR="005D74D1" w:rsidRPr="005D74D1">
        <w:rPr>
          <w:rFonts w:cs="Arial"/>
        </w:rPr>
        <w:instrText xml:space="preserve"> \* MERGEFORMAT </w:instrText>
      </w:r>
      <w:r w:rsidR="002B02F3" w:rsidRPr="005D74D1">
        <w:rPr>
          <w:rFonts w:cs="Arial"/>
        </w:rPr>
      </w:r>
      <w:r w:rsidR="002B02F3" w:rsidRPr="005D74D1">
        <w:rPr>
          <w:rFonts w:cs="Arial"/>
        </w:rPr>
        <w:fldChar w:fldCharType="separate"/>
      </w:r>
      <w:r w:rsidR="003870A0">
        <w:rPr>
          <w:rFonts w:cs="Arial"/>
        </w:rPr>
        <w:t>1.2</w:t>
      </w:r>
      <w:r w:rsidR="002B02F3" w:rsidRPr="005D74D1">
        <w:rPr>
          <w:rFonts w:cs="Arial"/>
        </w:rPr>
        <w:fldChar w:fldCharType="end"/>
      </w:r>
      <w:r w:rsidR="00084308" w:rsidRPr="005D74D1">
        <w:rPr>
          <w:rFonts w:cs="Arial"/>
        </w:rPr>
        <w:t xml:space="preserve">, </w:t>
      </w:r>
      <w:r w:rsidR="00BE107D" w:rsidRPr="005D74D1">
        <w:rPr>
          <w:rFonts w:cs="Arial"/>
        </w:rPr>
        <w:t xml:space="preserve">the EC5 evaluation comprised </w:t>
      </w:r>
      <w:r w:rsidR="00A4720C" w:rsidRPr="005D74D1">
        <w:rPr>
          <w:rFonts w:cs="Arial"/>
        </w:rPr>
        <w:t>2 phases</w:t>
      </w:r>
      <w:r w:rsidR="00BE5802" w:rsidRPr="005D74D1">
        <w:rPr>
          <w:rFonts w:cs="Arial"/>
        </w:rPr>
        <w:t>:</w:t>
      </w:r>
    </w:p>
    <w:p w14:paraId="1795ACBE" w14:textId="77777777" w:rsidR="00A50E7D" w:rsidRPr="005D74D1" w:rsidRDefault="00A57AF2" w:rsidP="00A57AF2">
      <w:pPr>
        <w:pStyle w:val="BulletLevel1"/>
        <w:rPr>
          <w:rFonts w:cs="Arial"/>
          <w:lang w:val="en-AU"/>
        </w:rPr>
      </w:pPr>
      <w:r w:rsidRPr="005D74D1">
        <w:rPr>
          <w:rFonts w:cs="Arial"/>
          <w:lang w:val="en-AU"/>
        </w:rPr>
        <w:t>A</w:t>
      </w:r>
      <w:r w:rsidR="00420987" w:rsidRPr="005D74D1">
        <w:rPr>
          <w:rFonts w:cs="Arial"/>
          <w:lang w:val="en-AU"/>
        </w:rPr>
        <w:t xml:space="preserve">n evaluation of the progress </w:t>
      </w:r>
      <w:r w:rsidR="00A4720C" w:rsidRPr="005D74D1">
        <w:rPr>
          <w:rFonts w:cs="Arial"/>
          <w:lang w:val="en-AU"/>
        </w:rPr>
        <w:t>made by each project</w:t>
      </w:r>
      <w:r w:rsidR="00420987" w:rsidRPr="005D74D1">
        <w:rPr>
          <w:rFonts w:cs="Arial"/>
          <w:lang w:val="en-AU"/>
        </w:rPr>
        <w:t xml:space="preserve"> up until end of June 2023 (</w:t>
      </w:r>
      <w:r w:rsidR="007A11D2" w:rsidRPr="005D74D1">
        <w:rPr>
          <w:rFonts w:cs="Arial"/>
          <w:lang w:val="en-AU"/>
        </w:rPr>
        <w:t xml:space="preserve">previous </w:t>
      </w:r>
      <w:r w:rsidRPr="005D74D1">
        <w:rPr>
          <w:rFonts w:cs="Arial"/>
          <w:lang w:val="en-AU"/>
        </w:rPr>
        <w:t>report</w:t>
      </w:r>
      <w:r w:rsidR="00420987" w:rsidRPr="005D74D1">
        <w:rPr>
          <w:rFonts w:cs="Arial"/>
          <w:lang w:val="en-AU"/>
        </w:rPr>
        <w:t xml:space="preserve">) primarily focused on informing </w:t>
      </w:r>
      <w:r w:rsidR="007B0E42" w:rsidRPr="005D74D1">
        <w:rPr>
          <w:rFonts w:cs="Arial"/>
          <w:lang w:val="en-AU"/>
        </w:rPr>
        <w:t xml:space="preserve">the investment strategy and </w:t>
      </w:r>
      <w:r w:rsidRPr="005D74D1">
        <w:rPr>
          <w:rFonts w:cs="Arial"/>
          <w:lang w:val="en-AU"/>
        </w:rPr>
        <w:t>C</w:t>
      </w:r>
      <w:r w:rsidR="007B0E42" w:rsidRPr="005D74D1">
        <w:rPr>
          <w:rFonts w:cs="Arial"/>
          <w:lang w:val="en-AU"/>
        </w:rPr>
        <w:t xml:space="preserve">abinet submission </w:t>
      </w:r>
      <w:r w:rsidR="3C2C1423" w:rsidRPr="005D74D1">
        <w:rPr>
          <w:rFonts w:cs="Arial"/>
          <w:lang w:val="en-AU"/>
        </w:rPr>
        <w:t>to endorse the establishment</w:t>
      </w:r>
      <w:r w:rsidR="007B0E42" w:rsidRPr="005D74D1">
        <w:rPr>
          <w:rFonts w:cs="Arial"/>
          <w:lang w:val="en-AU"/>
        </w:rPr>
        <w:t xml:space="preserve"> </w:t>
      </w:r>
      <w:r w:rsidR="00A4720C" w:rsidRPr="005D74D1">
        <w:rPr>
          <w:rFonts w:cs="Arial"/>
          <w:lang w:val="en-AU"/>
        </w:rPr>
        <w:t xml:space="preserve">of </w:t>
      </w:r>
      <w:r w:rsidR="007B0E42" w:rsidRPr="005D74D1">
        <w:rPr>
          <w:rFonts w:cs="Arial"/>
          <w:lang w:val="en-AU"/>
        </w:rPr>
        <w:t>EC6</w:t>
      </w:r>
      <w:r w:rsidRPr="005D74D1">
        <w:rPr>
          <w:rFonts w:cs="Arial"/>
          <w:lang w:val="en-AU"/>
        </w:rPr>
        <w:t>.</w:t>
      </w:r>
    </w:p>
    <w:p w14:paraId="53EBF854" w14:textId="77777777" w:rsidR="00A50E7D" w:rsidRPr="005D74D1" w:rsidRDefault="00A57AF2" w:rsidP="009E3D9F">
      <w:pPr>
        <w:pStyle w:val="BulletLevel1"/>
        <w:rPr>
          <w:rFonts w:cs="Arial"/>
          <w:lang w:val="en-AU"/>
        </w:rPr>
      </w:pPr>
      <w:r w:rsidRPr="005D74D1">
        <w:rPr>
          <w:rFonts w:cs="Arial"/>
          <w:lang w:val="en-AU"/>
        </w:rPr>
        <w:t>A</w:t>
      </w:r>
      <w:r w:rsidR="008A3CA8" w:rsidRPr="005D74D1">
        <w:rPr>
          <w:rFonts w:cs="Arial"/>
          <w:lang w:val="en-AU"/>
        </w:rPr>
        <w:t>n</w:t>
      </w:r>
      <w:r w:rsidR="00420987" w:rsidRPr="005D74D1">
        <w:rPr>
          <w:rFonts w:cs="Arial"/>
          <w:lang w:val="en-AU"/>
        </w:rPr>
        <w:t xml:space="preserve"> end of program evaluation</w:t>
      </w:r>
      <w:r w:rsidR="007A11D2" w:rsidRPr="005D74D1">
        <w:rPr>
          <w:rFonts w:cs="Arial"/>
          <w:lang w:val="en-AU"/>
        </w:rPr>
        <w:t xml:space="preserve"> (this report)</w:t>
      </w:r>
      <w:r w:rsidR="00420987" w:rsidRPr="005D74D1">
        <w:rPr>
          <w:rFonts w:cs="Arial"/>
          <w:lang w:val="en-AU"/>
        </w:rPr>
        <w:t xml:space="preserve">, </w:t>
      </w:r>
      <w:r w:rsidR="007B0E42" w:rsidRPr="005D74D1">
        <w:rPr>
          <w:rFonts w:cs="Arial"/>
          <w:lang w:val="en-AU"/>
        </w:rPr>
        <w:t xml:space="preserve">which </w:t>
      </w:r>
      <w:r w:rsidR="00420987" w:rsidRPr="005D74D1">
        <w:rPr>
          <w:rFonts w:cs="Arial"/>
          <w:lang w:val="en-AU"/>
        </w:rPr>
        <w:t>build</w:t>
      </w:r>
      <w:r w:rsidR="007A11D2" w:rsidRPr="005D74D1">
        <w:rPr>
          <w:rFonts w:cs="Arial"/>
          <w:lang w:val="en-AU"/>
        </w:rPr>
        <w:t>s</w:t>
      </w:r>
      <w:r w:rsidR="00420987" w:rsidRPr="005D74D1">
        <w:rPr>
          <w:rFonts w:cs="Arial"/>
          <w:lang w:val="en-AU"/>
        </w:rPr>
        <w:t xml:space="preserve"> on the findings </w:t>
      </w:r>
      <w:r w:rsidRPr="005D74D1">
        <w:rPr>
          <w:rFonts w:cs="Arial"/>
          <w:lang w:val="en-AU"/>
        </w:rPr>
        <w:t xml:space="preserve">presented in </w:t>
      </w:r>
      <w:r w:rsidR="007A11D2" w:rsidRPr="005D74D1">
        <w:rPr>
          <w:rFonts w:cs="Arial"/>
          <w:lang w:val="en-AU"/>
        </w:rPr>
        <w:t xml:space="preserve">the previous </w:t>
      </w:r>
      <w:r w:rsidRPr="005D74D1">
        <w:rPr>
          <w:rFonts w:cs="Arial"/>
          <w:lang w:val="en-AU"/>
        </w:rPr>
        <w:t>report</w:t>
      </w:r>
      <w:r w:rsidR="008A3CA8" w:rsidRPr="005D74D1">
        <w:rPr>
          <w:rFonts w:cs="Arial"/>
          <w:lang w:val="en-AU"/>
        </w:rPr>
        <w:t xml:space="preserve"> and fulfill</w:t>
      </w:r>
      <w:r w:rsidR="007A11D2" w:rsidRPr="005D74D1">
        <w:rPr>
          <w:rFonts w:cs="Arial"/>
          <w:lang w:val="en-AU"/>
        </w:rPr>
        <w:t>s</w:t>
      </w:r>
      <w:r w:rsidR="008A3CA8" w:rsidRPr="005D74D1">
        <w:rPr>
          <w:rFonts w:cs="Arial"/>
          <w:lang w:val="en-AU"/>
        </w:rPr>
        <w:t xml:space="preserve"> the requirement of Section 196 of the</w:t>
      </w:r>
      <w:r w:rsidR="00A4720C" w:rsidRPr="005D74D1">
        <w:rPr>
          <w:rFonts w:cs="Arial"/>
          <w:lang w:val="en-AU"/>
        </w:rPr>
        <w:t xml:space="preserve"> Act </w:t>
      </w:r>
      <w:r w:rsidR="008A3CA8" w:rsidRPr="005D74D1">
        <w:rPr>
          <w:rFonts w:cs="Arial"/>
          <w:lang w:val="en-AU"/>
        </w:rPr>
        <w:t xml:space="preserve">and </w:t>
      </w:r>
      <w:r w:rsidR="00A4720C" w:rsidRPr="005D74D1">
        <w:rPr>
          <w:rFonts w:cs="Arial"/>
          <w:lang w:val="en-AU"/>
        </w:rPr>
        <w:t xml:space="preserve">the EC5 </w:t>
      </w:r>
      <w:r w:rsidR="008A3CA8" w:rsidRPr="005D74D1">
        <w:rPr>
          <w:rFonts w:cs="Arial"/>
          <w:lang w:val="en-AU"/>
        </w:rPr>
        <w:t>governance requirements.</w:t>
      </w:r>
    </w:p>
    <w:p w14:paraId="11F63F12" w14:textId="77777777" w:rsidR="00A50E7D" w:rsidRPr="005D74D1" w:rsidRDefault="00C72BA5" w:rsidP="00706B8A">
      <w:pPr>
        <w:pStyle w:val="Heading2"/>
        <w:rPr>
          <w:rFonts w:cs="Arial"/>
        </w:rPr>
      </w:pPr>
      <w:bookmarkStart w:id="106" w:name="_Toc147329324"/>
      <w:bookmarkStart w:id="107" w:name="_Toc183777361"/>
      <w:r w:rsidRPr="005D74D1">
        <w:rPr>
          <w:rFonts w:cs="Arial"/>
        </w:rPr>
        <w:t>Method</w:t>
      </w:r>
      <w:r w:rsidR="00A504A6" w:rsidRPr="005D74D1">
        <w:rPr>
          <w:rFonts w:cs="Arial"/>
        </w:rPr>
        <w:t>s</w:t>
      </w:r>
      <w:r w:rsidRPr="005D74D1">
        <w:rPr>
          <w:rFonts w:cs="Arial"/>
        </w:rPr>
        <w:t xml:space="preserve"> and a</w:t>
      </w:r>
      <w:r w:rsidR="00706B8A" w:rsidRPr="005D74D1">
        <w:rPr>
          <w:rFonts w:cs="Arial"/>
        </w:rPr>
        <w:t>pproach</w:t>
      </w:r>
      <w:bookmarkEnd w:id="106"/>
      <w:bookmarkEnd w:id="107"/>
    </w:p>
    <w:p w14:paraId="3F9B85B8" w14:textId="059A77E5" w:rsidR="00315D0A" w:rsidRPr="005D74D1" w:rsidRDefault="00C25E26" w:rsidP="00EB1345">
      <w:pPr>
        <w:pStyle w:val="BodyText"/>
        <w:rPr>
          <w:rFonts w:cs="Arial"/>
        </w:rPr>
      </w:pPr>
      <w:r w:rsidRPr="005D74D1">
        <w:rPr>
          <w:rFonts w:cs="Arial"/>
        </w:rPr>
        <w:t>A plan for evaluation of the tranche (the ‘EC</w:t>
      </w:r>
      <w:r w:rsidR="00EE0664" w:rsidRPr="005D74D1">
        <w:rPr>
          <w:rFonts w:cs="Arial"/>
        </w:rPr>
        <w:t>5</w:t>
      </w:r>
      <w:r w:rsidRPr="005D74D1">
        <w:rPr>
          <w:rFonts w:cs="Arial"/>
        </w:rPr>
        <w:t xml:space="preserve"> evaluation plan</w:t>
      </w:r>
      <w:r w:rsidR="007D6410" w:rsidRPr="005D74D1">
        <w:rPr>
          <w:rStyle w:val="FootnoteReference"/>
          <w:rFonts w:cs="Arial"/>
        </w:rPr>
        <w:footnoteReference w:id="3"/>
      </w:r>
      <w:r w:rsidRPr="005D74D1">
        <w:rPr>
          <w:rFonts w:cs="Arial"/>
        </w:rPr>
        <w:t xml:space="preserve">’) was developed by </w:t>
      </w:r>
      <w:r w:rsidR="009F3541" w:rsidRPr="005D74D1">
        <w:rPr>
          <w:rFonts w:cs="Arial"/>
        </w:rPr>
        <w:t xml:space="preserve">the </w:t>
      </w:r>
      <w:r w:rsidR="00A57AF2" w:rsidRPr="005D74D1">
        <w:rPr>
          <w:rFonts w:cs="Arial"/>
        </w:rPr>
        <w:t xml:space="preserve">Jacobs’ </w:t>
      </w:r>
      <w:r w:rsidR="009F3541" w:rsidRPr="005D74D1">
        <w:rPr>
          <w:rFonts w:cs="Arial"/>
        </w:rPr>
        <w:t>evaluation tea</w:t>
      </w:r>
      <w:r w:rsidR="0050634F" w:rsidRPr="005D74D1">
        <w:rPr>
          <w:rFonts w:cs="Arial"/>
        </w:rPr>
        <w:t>m</w:t>
      </w:r>
      <w:r w:rsidR="004A2CAE" w:rsidRPr="005D74D1">
        <w:rPr>
          <w:rFonts w:cs="Arial"/>
        </w:rPr>
        <w:t xml:space="preserve">, with input from DEECA and endorsement by the EC5 Project Control Board. </w:t>
      </w:r>
      <w:r w:rsidR="00400063" w:rsidRPr="005D74D1">
        <w:rPr>
          <w:rFonts w:cs="Arial"/>
        </w:rPr>
        <w:t xml:space="preserve">Project teams developed </w:t>
      </w:r>
      <w:r w:rsidR="00C12A5D" w:rsidRPr="005D74D1">
        <w:rPr>
          <w:rFonts w:cs="Arial"/>
        </w:rPr>
        <w:t>e</w:t>
      </w:r>
      <w:r w:rsidRPr="005D74D1">
        <w:rPr>
          <w:rFonts w:cs="Arial"/>
        </w:rPr>
        <w:t>valuation plans for the 3</w:t>
      </w:r>
      <w:r w:rsidR="00315D0A" w:rsidRPr="005D74D1">
        <w:rPr>
          <w:rFonts w:cs="Arial"/>
        </w:rPr>
        <w:t>8</w:t>
      </w:r>
      <w:r w:rsidRPr="005D74D1">
        <w:rPr>
          <w:rFonts w:cs="Arial"/>
        </w:rPr>
        <w:t xml:space="preserve"> </w:t>
      </w:r>
      <w:r w:rsidR="00E77ED8" w:rsidRPr="005D74D1">
        <w:rPr>
          <w:rFonts w:cs="Arial"/>
        </w:rPr>
        <w:t>projects</w:t>
      </w:r>
      <w:r w:rsidRPr="005D74D1">
        <w:rPr>
          <w:rFonts w:cs="Arial"/>
        </w:rPr>
        <w:t xml:space="preserve"> invested in over the tranche</w:t>
      </w:r>
      <w:r w:rsidR="00B913FF" w:rsidRPr="005D74D1">
        <w:rPr>
          <w:rFonts w:cs="Arial"/>
        </w:rPr>
        <w:t xml:space="preserve"> </w:t>
      </w:r>
      <w:r w:rsidR="00583E66" w:rsidRPr="005D74D1">
        <w:rPr>
          <w:rFonts w:cs="Arial"/>
        </w:rPr>
        <w:t xml:space="preserve">(initially for the </w:t>
      </w:r>
      <w:r w:rsidR="007C17FB" w:rsidRPr="005D74D1">
        <w:rPr>
          <w:rFonts w:cs="Arial"/>
        </w:rPr>
        <w:t>third</w:t>
      </w:r>
      <w:r w:rsidR="00583E66" w:rsidRPr="005D74D1">
        <w:rPr>
          <w:rFonts w:cs="Arial"/>
        </w:rPr>
        <w:t xml:space="preserve"> year evaluation, then updated for the </w:t>
      </w:r>
      <w:r w:rsidR="00815098" w:rsidRPr="005D74D1">
        <w:rPr>
          <w:rFonts w:cs="Arial"/>
        </w:rPr>
        <w:t>E</w:t>
      </w:r>
      <w:r w:rsidR="00583E66" w:rsidRPr="005D74D1">
        <w:rPr>
          <w:rFonts w:cs="Arial"/>
        </w:rPr>
        <w:t>nd-of-</w:t>
      </w:r>
      <w:r w:rsidR="00815098" w:rsidRPr="005D74D1">
        <w:rPr>
          <w:rFonts w:cs="Arial"/>
        </w:rPr>
        <w:t>T</w:t>
      </w:r>
      <w:r w:rsidR="00583E66" w:rsidRPr="005D74D1">
        <w:rPr>
          <w:rFonts w:cs="Arial"/>
        </w:rPr>
        <w:t>ranche evaluation)</w:t>
      </w:r>
      <w:r w:rsidRPr="005D74D1">
        <w:rPr>
          <w:rFonts w:cs="Arial"/>
        </w:rPr>
        <w:t>. These plans included program logic</w:t>
      </w:r>
      <w:r w:rsidR="0076445A" w:rsidRPr="005D74D1">
        <w:rPr>
          <w:rFonts w:cs="Arial"/>
        </w:rPr>
        <w:t>s</w:t>
      </w:r>
      <w:r w:rsidRPr="005D74D1">
        <w:rPr>
          <w:rFonts w:cs="Arial"/>
        </w:rPr>
        <w:t xml:space="preserve"> and specific </w:t>
      </w:r>
      <w:r w:rsidR="00324AFA" w:rsidRPr="005D74D1">
        <w:rPr>
          <w:rFonts w:cs="Arial"/>
        </w:rPr>
        <w:t>K</w:t>
      </w:r>
      <w:r w:rsidRPr="005D74D1">
        <w:rPr>
          <w:rFonts w:cs="Arial"/>
        </w:rPr>
        <w:t xml:space="preserve">ey </w:t>
      </w:r>
      <w:r w:rsidR="00324AFA" w:rsidRPr="005D74D1">
        <w:rPr>
          <w:rFonts w:cs="Arial"/>
        </w:rPr>
        <w:t>E</w:t>
      </w:r>
      <w:r w:rsidRPr="005D74D1">
        <w:rPr>
          <w:rFonts w:cs="Arial"/>
        </w:rPr>
        <w:t xml:space="preserve">valuation </w:t>
      </w:r>
      <w:r w:rsidR="00324AFA" w:rsidRPr="005D74D1">
        <w:rPr>
          <w:rFonts w:cs="Arial"/>
        </w:rPr>
        <w:t>Q</w:t>
      </w:r>
      <w:r w:rsidRPr="005D74D1">
        <w:rPr>
          <w:rFonts w:cs="Arial"/>
        </w:rPr>
        <w:t xml:space="preserve">uestions (KEQs), with </w:t>
      </w:r>
      <w:r w:rsidR="00315D0A" w:rsidRPr="005D74D1">
        <w:rPr>
          <w:rFonts w:cs="Arial"/>
        </w:rPr>
        <w:t>evaluation</w:t>
      </w:r>
      <w:r w:rsidRPr="005D74D1">
        <w:rPr>
          <w:rFonts w:cs="Arial"/>
        </w:rPr>
        <w:t xml:space="preserve"> reporting provided by project delivery teams. </w:t>
      </w:r>
      <w:r w:rsidR="00007054" w:rsidRPr="005D74D1">
        <w:rPr>
          <w:rFonts w:cs="Arial"/>
        </w:rPr>
        <w:t xml:space="preserve">As part of evaluation planning for the </w:t>
      </w:r>
      <w:r w:rsidR="00613302" w:rsidRPr="005D74D1">
        <w:rPr>
          <w:rFonts w:cs="Arial"/>
        </w:rPr>
        <w:t>EC5</w:t>
      </w:r>
      <w:r w:rsidR="00007054" w:rsidRPr="005D74D1">
        <w:rPr>
          <w:rFonts w:cs="Arial"/>
        </w:rPr>
        <w:t xml:space="preserve"> evaluation, </w:t>
      </w:r>
      <w:r w:rsidR="00376DA9" w:rsidRPr="005D74D1">
        <w:rPr>
          <w:rFonts w:cs="Arial"/>
        </w:rPr>
        <w:t>the Jacobs</w:t>
      </w:r>
      <w:r w:rsidR="00EE17FB" w:rsidRPr="005D74D1">
        <w:rPr>
          <w:rFonts w:cs="Arial"/>
        </w:rPr>
        <w:t>’</w:t>
      </w:r>
      <w:r w:rsidR="00376DA9" w:rsidRPr="005D74D1">
        <w:rPr>
          <w:rFonts w:cs="Arial"/>
        </w:rPr>
        <w:t xml:space="preserve"> project team </w:t>
      </w:r>
      <w:r w:rsidR="00F01D6E" w:rsidRPr="005D74D1">
        <w:rPr>
          <w:rFonts w:cs="Arial"/>
        </w:rPr>
        <w:t xml:space="preserve">held </w:t>
      </w:r>
      <w:r w:rsidR="00007054" w:rsidRPr="005D74D1">
        <w:rPr>
          <w:rFonts w:cs="Arial"/>
        </w:rPr>
        <w:t xml:space="preserve">an </w:t>
      </w:r>
      <w:r w:rsidR="00EE17FB" w:rsidRPr="005D74D1">
        <w:rPr>
          <w:rFonts w:cs="Arial"/>
        </w:rPr>
        <w:t>evaluation knowledge sharing</w:t>
      </w:r>
      <w:r w:rsidR="00007054" w:rsidRPr="005D74D1">
        <w:rPr>
          <w:rFonts w:cs="Arial"/>
        </w:rPr>
        <w:t xml:space="preserve"> session focused on </w:t>
      </w:r>
      <w:r w:rsidR="00EE17FB" w:rsidRPr="005D74D1">
        <w:rPr>
          <w:rFonts w:cs="Arial"/>
        </w:rPr>
        <w:t xml:space="preserve">explaining and clarifying key </w:t>
      </w:r>
      <w:r w:rsidR="00007054" w:rsidRPr="005D74D1">
        <w:rPr>
          <w:rFonts w:cs="Arial"/>
        </w:rPr>
        <w:t>evaluation concepts</w:t>
      </w:r>
      <w:r w:rsidR="004723BD" w:rsidRPr="005D74D1">
        <w:rPr>
          <w:rFonts w:cs="Arial"/>
        </w:rPr>
        <w:t>,</w:t>
      </w:r>
      <w:r w:rsidR="00007054" w:rsidRPr="005D74D1">
        <w:rPr>
          <w:rFonts w:cs="Arial"/>
        </w:rPr>
        <w:t xml:space="preserve"> and small group </w:t>
      </w:r>
      <w:r w:rsidR="00EE17FB" w:rsidRPr="005D74D1">
        <w:rPr>
          <w:rFonts w:cs="Arial"/>
        </w:rPr>
        <w:t xml:space="preserve">sessions </w:t>
      </w:r>
      <w:r w:rsidR="00007054" w:rsidRPr="005D74D1">
        <w:rPr>
          <w:rFonts w:cs="Arial"/>
        </w:rPr>
        <w:t xml:space="preserve">were offered to all </w:t>
      </w:r>
      <w:r w:rsidR="00E77ED8" w:rsidRPr="005D74D1">
        <w:rPr>
          <w:rFonts w:cs="Arial"/>
        </w:rPr>
        <w:t>project</w:t>
      </w:r>
      <w:r w:rsidR="00007054" w:rsidRPr="005D74D1">
        <w:rPr>
          <w:rFonts w:cs="Arial"/>
        </w:rPr>
        <w:t xml:space="preserve"> leads to assist with consistent and high</w:t>
      </w:r>
      <w:r w:rsidR="0085468D" w:rsidRPr="005D74D1">
        <w:rPr>
          <w:rFonts w:cs="Arial"/>
        </w:rPr>
        <w:t>-</w:t>
      </w:r>
      <w:r w:rsidR="00007054" w:rsidRPr="005D74D1">
        <w:rPr>
          <w:rFonts w:cs="Arial"/>
        </w:rPr>
        <w:t xml:space="preserve">quality </w:t>
      </w:r>
      <w:r w:rsidR="00E77ED8" w:rsidRPr="005D74D1">
        <w:rPr>
          <w:rFonts w:cs="Arial"/>
        </w:rPr>
        <w:t xml:space="preserve">project </w:t>
      </w:r>
      <w:r w:rsidR="00007054" w:rsidRPr="005D74D1">
        <w:rPr>
          <w:rFonts w:cs="Arial"/>
        </w:rPr>
        <w:t>level evaluation and reporting</w:t>
      </w:r>
      <w:r w:rsidR="00F01D6E" w:rsidRPr="005D74D1">
        <w:rPr>
          <w:rFonts w:cs="Arial"/>
        </w:rPr>
        <w:t>.</w:t>
      </w:r>
    </w:p>
    <w:p w14:paraId="0843C589" w14:textId="1803C05D" w:rsidR="00EB1345" w:rsidRPr="005D74D1" w:rsidRDefault="00007054" w:rsidP="00EB1345">
      <w:pPr>
        <w:pStyle w:val="BodyText"/>
        <w:rPr>
          <w:rFonts w:cs="Arial"/>
        </w:rPr>
      </w:pPr>
      <w:r w:rsidRPr="005D74D1">
        <w:rPr>
          <w:rFonts w:cs="Arial"/>
        </w:rPr>
        <w:t xml:space="preserve">The </w:t>
      </w:r>
      <w:r w:rsidR="00811981" w:rsidRPr="005D74D1">
        <w:rPr>
          <w:rFonts w:cs="Arial"/>
        </w:rPr>
        <w:t xml:space="preserve">project </w:t>
      </w:r>
      <w:r w:rsidRPr="005D74D1">
        <w:rPr>
          <w:rFonts w:cs="Arial"/>
        </w:rPr>
        <w:t>evaluation reports</w:t>
      </w:r>
      <w:r w:rsidR="00EE17FB" w:rsidRPr="005D74D1">
        <w:rPr>
          <w:rFonts w:cs="Arial"/>
        </w:rPr>
        <w:t xml:space="preserve"> were complemented by</w:t>
      </w:r>
      <w:r w:rsidR="00C25E26" w:rsidRPr="005D74D1">
        <w:rPr>
          <w:rFonts w:cs="Arial"/>
        </w:rPr>
        <w:t xml:space="preserve"> </w:t>
      </w:r>
      <w:r w:rsidRPr="005D74D1">
        <w:rPr>
          <w:rFonts w:cs="Arial"/>
        </w:rPr>
        <w:t xml:space="preserve">interviews with </w:t>
      </w:r>
      <w:r w:rsidR="00C25E26" w:rsidRPr="005D74D1">
        <w:rPr>
          <w:rFonts w:cs="Arial"/>
        </w:rPr>
        <w:t xml:space="preserve">key project leads and </w:t>
      </w:r>
      <w:r w:rsidRPr="005D74D1">
        <w:rPr>
          <w:rFonts w:cs="Arial"/>
        </w:rPr>
        <w:t>DEECA leadership</w:t>
      </w:r>
      <w:r w:rsidR="00EE17FB" w:rsidRPr="005D74D1">
        <w:rPr>
          <w:rFonts w:cs="Arial"/>
        </w:rPr>
        <w:t xml:space="preserve">. Both data sources </w:t>
      </w:r>
      <w:r w:rsidR="00C25E26" w:rsidRPr="005D74D1">
        <w:rPr>
          <w:rFonts w:cs="Arial"/>
        </w:rPr>
        <w:t>w</w:t>
      </w:r>
      <w:r w:rsidR="00811981" w:rsidRPr="005D74D1">
        <w:rPr>
          <w:rFonts w:cs="Arial"/>
        </w:rPr>
        <w:t>ere</w:t>
      </w:r>
      <w:r w:rsidR="00C25E26" w:rsidRPr="005D74D1">
        <w:rPr>
          <w:rFonts w:cs="Arial"/>
        </w:rPr>
        <w:t xml:space="preserve"> used </w:t>
      </w:r>
      <w:r w:rsidR="00EE17FB" w:rsidRPr="005D74D1">
        <w:rPr>
          <w:rFonts w:cs="Arial"/>
        </w:rPr>
        <w:t>in the EC5</w:t>
      </w:r>
      <w:r w:rsidR="00C25E26" w:rsidRPr="005D74D1">
        <w:rPr>
          <w:rFonts w:cs="Arial"/>
        </w:rPr>
        <w:t xml:space="preserve"> evaluation. The evaluation addresse</w:t>
      </w:r>
      <w:r w:rsidR="009E5E55" w:rsidRPr="005D74D1">
        <w:rPr>
          <w:rFonts w:cs="Arial"/>
        </w:rPr>
        <w:t>d</w:t>
      </w:r>
      <w:r w:rsidR="00C25E26" w:rsidRPr="005D74D1">
        <w:rPr>
          <w:rFonts w:cs="Arial"/>
        </w:rPr>
        <w:t xml:space="preserve"> KEQs described in the EC</w:t>
      </w:r>
      <w:r w:rsidR="00EE0664" w:rsidRPr="005D74D1">
        <w:rPr>
          <w:rFonts w:cs="Arial"/>
        </w:rPr>
        <w:t>5</w:t>
      </w:r>
      <w:r w:rsidR="00C25E26" w:rsidRPr="005D74D1">
        <w:rPr>
          <w:rFonts w:cs="Arial"/>
        </w:rPr>
        <w:t xml:space="preserve"> evaluation plan, supported by responses to KEQs provided at the </w:t>
      </w:r>
      <w:r w:rsidR="00811981" w:rsidRPr="005D74D1">
        <w:rPr>
          <w:rFonts w:cs="Arial"/>
        </w:rPr>
        <w:t>project</w:t>
      </w:r>
      <w:r w:rsidR="00C25E26" w:rsidRPr="005D74D1">
        <w:rPr>
          <w:rFonts w:cs="Arial"/>
        </w:rPr>
        <w:t xml:space="preserve"> level. This approach was undertaken by DE</w:t>
      </w:r>
      <w:r w:rsidR="00D03D7D" w:rsidRPr="005D74D1">
        <w:rPr>
          <w:rFonts w:cs="Arial"/>
        </w:rPr>
        <w:t>ECA</w:t>
      </w:r>
      <w:r w:rsidR="00C25E26" w:rsidRPr="005D74D1">
        <w:rPr>
          <w:rFonts w:cs="Arial"/>
        </w:rPr>
        <w:t xml:space="preserve"> to ensure that all components of each</w:t>
      </w:r>
      <w:r w:rsidR="00811981" w:rsidRPr="005D74D1">
        <w:rPr>
          <w:rFonts w:cs="Arial"/>
        </w:rPr>
        <w:t xml:space="preserve"> of the 38</w:t>
      </w:r>
      <w:r w:rsidR="00C25E26" w:rsidRPr="005D74D1">
        <w:rPr>
          <w:rFonts w:cs="Arial"/>
        </w:rPr>
        <w:t xml:space="preserve"> </w:t>
      </w:r>
      <w:r w:rsidR="00811981" w:rsidRPr="005D74D1">
        <w:rPr>
          <w:rFonts w:cs="Arial"/>
        </w:rPr>
        <w:t>projects</w:t>
      </w:r>
      <w:r w:rsidR="00C25E26" w:rsidRPr="005D74D1">
        <w:rPr>
          <w:rFonts w:cs="Arial"/>
        </w:rPr>
        <w:t xml:space="preserve"> </w:t>
      </w:r>
      <w:r w:rsidR="00AC2794" w:rsidRPr="005D74D1">
        <w:rPr>
          <w:rFonts w:cs="Arial"/>
        </w:rPr>
        <w:t xml:space="preserve">were </w:t>
      </w:r>
      <w:r w:rsidR="00C25E26" w:rsidRPr="005D74D1">
        <w:rPr>
          <w:rFonts w:cs="Arial"/>
        </w:rPr>
        <w:t xml:space="preserve">captured in the most logical way to enable effective evaluation across </w:t>
      </w:r>
      <w:r w:rsidR="00811981" w:rsidRPr="005D74D1">
        <w:rPr>
          <w:rFonts w:cs="Arial"/>
        </w:rPr>
        <w:t>EC5</w:t>
      </w:r>
      <w:r w:rsidR="00C25E26" w:rsidRPr="005D74D1">
        <w:rPr>
          <w:rFonts w:cs="Arial"/>
        </w:rPr>
        <w:t>.</w:t>
      </w:r>
    </w:p>
    <w:p w14:paraId="7BD55B59" w14:textId="77777777" w:rsidR="00A50E7D" w:rsidRPr="005D74D1" w:rsidRDefault="000E0C00" w:rsidP="00EB1345">
      <w:pPr>
        <w:pStyle w:val="BodyText"/>
        <w:rPr>
          <w:rFonts w:cs="Arial"/>
        </w:rPr>
      </w:pPr>
      <w:r w:rsidRPr="005D74D1">
        <w:rPr>
          <w:rFonts w:cs="Arial"/>
        </w:rPr>
        <w:t>The</w:t>
      </w:r>
      <w:r w:rsidR="00C25E26" w:rsidRPr="005D74D1">
        <w:rPr>
          <w:rFonts w:cs="Arial"/>
        </w:rPr>
        <w:t xml:space="preserve"> EC evaluation framework treats the </w:t>
      </w:r>
      <w:r w:rsidRPr="005D74D1">
        <w:rPr>
          <w:rFonts w:cs="Arial"/>
        </w:rPr>
        <w:t xml:space="preserve">project </w:t>
      </w:r>
      <w:r w:rsidR="00C25E26" w:rsidRPr="005D74D1">
        <w:rPr>
          <w:rFonts w:cs="Arial"/>
        </w:rPr>
        <w:t xml:space="preserve">evaluation plans and </w:t>
      </w:r>
      <w:r w:rsidRPr="005D74D1">
        <w:rPr>
          <w:rFonts w:cs="Arial"/>
        </w:rPr>
        <w:t>EC5</w:t>
      </w:r>
      <w:r w:rsidR="00C25E26" w:rsidRPr="005D74D1">
        <w:rPr>
          <w:rFonts w:cs="Arial"/>
        </w:rPr>
        <w:t xml:space="preserve"> evaluation </w:t>
      </w:r>
      <w:r w:rsidR="00D7615A" w:rsidRPr="005D74D1">
        <w:rPr>
          <w:rFonts w:cs="Arial"/>
        </w:rPr>
        <w:t xml:space="preserve">plan </w:t>
      </w:r>
      <w:r w:rsidR="00C25E26" w:rsidRPr="005D74D1">
        <w:rPr>
          <w:rFonts w:cs="Arial"/>
        </w:rPr>
        <w:t xml:space="preserve">as separate but interrelated components. The </w:t>
      </w:r>
      <w:r w:rsidRPr="005D74D1">
        <w:rPr>
          <w:rFonts w:cs="Arial"/>
        </w:rPr>
        <w:t>EC5</w:t>
      </w:r>
      <w:r w:rsidR="00C25E26" w:rsidRPr="005D74D1">
        <w:rPr>
          <w:rFonts w:cs="Arial"/>
        </w:rPr>
        <w:t xml:space="preserve"> evaluation assesses the </w:t>
      </w:r>
      <w:r w:rsidR="00AC2794" w:rsidRPr="005D74D1">
        <w:rPr>
          <w:rFonts w:cs="Arial"/>
        </w:rPr>
        <w:t xml:space="preserve">aggregated </w:t>
      </w:r>
      <w:r w:rsidR="00C25E26" w:rsidRPr="005D74D1">
        <w:rPr>
          <w:rFonts w:cs="Arial"/>
        </w:rPr>
        <w:t xml:space="preserve">achievements of the funded </w:t>
      </w:r>
      <w:r w:rsidRPr="005D74D1">
        <w:rPr>
          <w:rFonts w:cs="Arial"/>
        </w:rPr>
        <w:t xml:space="preserve">projects, </w:t>
      </w:r>
      <w:r w:rsidR="004D2A21" w:rsidRPr="005D74D1">
        <w:rPr>
          <w:rFonts w:cs="Arial"/>
        </w:rPr>
        <w:t>c</w:t>
      </w:r>
      <w:r w:rsidR="00C25E26" w:rsidRPr="005D74D1">
        <w:rPr>
          <w:rFonts w:cs="Arial"/>
        </w:rPr>
        <w:t>aptur</w:t>
      </w:r>
      <w:r w:rsidR="004D2A21" w:rsidRPr="005D74D1">
        <w:rPr>
          <w:rFonts w:cs="Arial"/>
        </w:rPr>
        <w:t>ing</w:t>
      </w:r>
      <w:r w:rsidR="00C25E26" w:rsidRPr="005D74D1">
        <w:rPr>
          <w:rFonts w:cs="Arial"/>
        </w:rPr>
        <w:t xml:space="preserve"> the integrated nature of the </w:t>
      </w:r>
      <w:r w:rsidRPr="005D74D1">
        <w:rPr>
          <w:rFonts w:cs="Arial"/>
        </w:rPr>
        <w:t>projects</w:t>
      </w:r>
      <w:r w:rsidR="00C25E26" w:rsidRPr="005D74D1">
        <w:rPr>
          <w:rFonts w:cs="Arial"/>
        </w:rPr>
        <w:t xml:space="preserve"> in </w:t>
      </w:r>
      <w:r w:rsidRPr="005D74D1">
        <w:rPr>
          <w:rFonts w:cs="Arial"/>
        </w:rPr>
        <w:t xml:space="preserve">collectively </w:t>
      </w:r>
      <w:r w:rsidR="00C25E26" w:rsidRPr="005D74D1">
        <w:rPr>
          <w:rFonts w:cs="Arial"/>
        </w:rPr>
        <w:t>meeting the EC objectives</w:t>
      </w:r>
      <w:r w:rsidR="00AC2794" w:rsidRPr="005D74D1">
        <w:rPr>
          <w:rFonts w:cs="Arial"/>
        </w:rPr>
        <w:t>. These interrelationships are</w:t>
      </w:r>
      <w:r w:rsidR="00C25E26" w:rsidRPr="005D74D1">
        <w:rPr>
          <w:rFonts w:cs="Arial"/>
        </w:rPr>
        <w:t xml:space="preserve"> represented </w:t>
      </w:r>
      <w:r w:rsidR="00AC2794" w:rsidRPr="005D74D1">
        <w:rPr>
          <w:rFonts w:cs="Arial"/>
        </w:rPr>
        <w:t xml:space="preserve">in </w:t>
      </w:r>
      <w:r w:rsidR="00C25E26" w:rsidRPr="005D74D1">
        <w:rPr>
          <w:rFonts w:cs="Arial"/>
        </w:rPr>
        <w:t xml:space="preserve">the </w:t>
      </w:r>
      <w:r w:rsidRPr="005D74D1">
        <w:rPr>
          <w:rFonts w:cs="Arial"/>
        </w:rPr>
        <w:t xml:space="preserve">EC5 </w:t>
      </w:r>
      <w:r w:rsidR="00C25E26" w:rsidRPr="005D74D1">
        <w:rPr>
          <w:rFonts w:cs="Arial"/>
        </w:rPr>
        <w:t xml:space="preserve">program logic. This </w:t>
      </w:r>
      <w:r w:rsidR="00AC2794" w:rsidRPr="005D74D1">
        <w:rPr>
          <w:rFonts w:cs="Arial"/>
        </w:rPr>
        <w:t xml:space="preserve">integration is </w:t>
      </w:r>
      <w:r w:rsidR="00C25E26" w:rsidRPr="005D74D1">
        <w:rPr>
          <w:rFonts w:cs="Arial"/>
        </w:rPr>
        <w:t xml:space="preserve">required </w:t>
      </w:r>
      <w:r w:rsidR="00AC2794" w:rsidRPr="005D74D1">
        <w:rPr>
          <w:rFonts w:cs="Arial"/>
        </w:rPr>
        <w:t xml:space="preserve">because </w:t>
      </w:r>
      <w:r w:rsidR="00C25E26" w:rsidRPr="005D74D1">
        <w:rPr>
          <w:rFonts w:cs="Arial"/>
        </w:rPr>
        <w:t xml:space="preserve">the functions of </w:t>
      </w:r>
      <w:r w:rsidR="00AC2794" w:rsidRPr="005D74D1">
        <w:rPr>
          <w:rFonts w:cs="Arial"/>
        </w:rPr>
        <w:t xml:space="preserve">the </w:t>
      </w:r>
      <w:r w:rsidR="00C25E26" w:rsidRPr="005D74D1">
        <w:rPr>
          <w:rFonts w:cs="Arial"/>
        </w:rPr>
        <w:t xml:space="preserve">individual </w:t>
      </w:r>
      <w:r w:rsidR="00DF5540" w:rsidRPr="005D74D1">
        <w:rPr>
          <w:rFonts w:cs="Arial"/>
        </w:rPr>
        <w:t xml:space="preserve">projects </w:t>
      </w:r>
      <w:r w:rsidR="00C25E26" w:rsidRPr="005D74D1">
        <w:rPr>
          <w:rFonts w:cs="Arial"/>
        </w:rPr>
        <w:t xml:space="preserve">are not discrete; many inform one another or go on to provide support or foundational components for the broader water sector in Victoria. The </w:t>
      </w:r>
      <w:r w:rsidR="00DF5540" w:rsidRPr="005D74D1">
        <w:rPr>
          <w:rFonts w:cs="Arial"/>
        </w:rPr>
        <w:t>EC5</w:t>
      </w:r>
      <w:r w:rsidR="00C25E26" w:rsidRPr="005D74D1">
        <w:rPr>
          <w:rFonts w:cs="Arial"/>
        </w:rPr>
        <w:t xml:space="preserve"> evaluation plan acknowledges and, in part, describes these complexities and interrelationships.</w:t>
      </w:r>
    </w:p>
    <w:p w14:paraId="6383ABF7" w14:textId="164A985D" w:rsidR="009D608C" w:rsidRPr="005D74D1" w:rsidRDefault="009D608C" w:rsidP="00EB1345">
      <w:pPr>
        <w:pStyle w:val="BodyText"/>
        <w:rPr>
          <w:rFonts w:cs="Arial"/>
        </w:rPr>
      </w:pPr>
      <w:r w:rsidRPr="005D74D1">
        <w:rPr>
          <w:rFonts w:cs="Arial"/>
        </w:rPr>
        <w:t xml:space="preserve">The process for the EC5 evaluation is summarised in </w:t>
      </w:r>
      <w:r w:rsidR="00863AAC" w:rsidRPr="005D74D1">
        <w:rPr>
          <w:rFonts w:cs="Arial"/>
        </w:rPr>
        <w:fldChar w:fldCharType="begin"/>
      </w:r>
      <w:r w:rsidR="00863AAC" w:rsidRPr="005D74D1">
        <w:rPr>
          <w:rFonts w:cs="Arial"/>
        </w:rPr>
        <w:instrText xml:space="preserve"> REF _Ref183440479 \h </w:instrText>
      </w:r>
      <w:r w:rsidR="005D74D1" w:rsidRPr="005D74D1">
        <w:rPr>
          <w:rFonts w:cs="Arial"/>
        </w:rPr>
        <w:instrText xml:space="preserve"> \* MERGEFORMAT </w:instrText>
      </w:r>
      <w:r w:rsidR="00863AAC" w:rsidRPr="005D74D1">
        <w:rPr>
          <w:rFonts w:cs="Arial"/>
        </w:rPr>
      </w:r>
      <w:r w:rsidR="00863AAC" w:rsidRPr="005D74D1">
        <w:rPr>
          <w:rFonts w:cs="Arial"/>
        </w:rPr>
        <w:fldChar w:fldCharType="separate"/>
      </w:r>
      <w:r w:rsidR="003870A0" w:rsidRPr="005D74D1">
        <w:rPr>
          <w:rFonts w:cs="Arial"/>
        </w:rPr>
        <w:t>Figure </w:t>
      </w:r>
      <w:r w:rsidR="003870A0">
        <w:rPr>
          <w:rFonts w:cs="Arial"/>
        </w:rPr>
        <w:t>1</w:t>
      </w:r>
      <w:r w:rsidR="00863AAC" w:rsidRPr="005D74D1">
        <w:rPr>
          <w:rFonts w:cs="Arial"/>
        </w:rPr>
        <w:fldChar w:fldCharType="end"/>
      </w:r>
      <w:r w:rsidR="00863AAC" w:rsidRPr="005D74D1">
        <w:rPr>
          <w:rFonts w:cs="Arial"/>
        </w:rPr>
        <w:t>.</w:t>
      </w:r>
    </w:p>
    <w:p w14:paraId="4D69215C" w14:textId="7E7DC85E" w:rsidR="009D608C" w:rsidRPr="005D74D1" w:rsidRDefault="009D608C" w:rsidP="009D608C">
      <w:pPr>
        <w:pStyle w:val="BodyText"/>
        <w:rPr>
          <w:rFonts w:cs="Arial"/>
        </w:rPr>
      </w:pPr>
    </w:p>
    <w:p w14:paraId="63444A88" w14:textId="206361B3" w:rsidR="005C49F4" w:rsidRPr="005D74D1" w:rsidRDefault="005C49F4" w:rsidP="006C0776">
      <w:pPr>
        <w:pStyle w:val="BodyText"/>
        <w:rPr>
          <w:rFonts w:cs="Arial"/>
        </w:rPr>
      </w:pPr>
      <w:bookmarkStart w:id="108" w:name="_Toc147337416"/>
      <w:bookmarkStart w:id="109" w:name="_Toc147338021"/>
      <w:bookmarkStart w:id="110" w:name="_Toc147342381"/>
      <w:bookmarkStart w:id="111" w:name="fig2"/>
      <w:bookmarkEnd w:id="108"/>
      <w:bookmarkEnd w:id="109"/>
      <w:bookmarkEnd w:id="110"/>
      <w:bookmarkEnd w:id="111"/>
      <w:r w:rsidRPr="00A134A7">
        <w:rPr>
          <w:rFonts w:cs="Arial"/>
          <w:noProof/>
        </w:rPr>
        <w:lastRenderedPageBreak/>
        <w:drawing>
          <wp:inline distT="0" distB="0" distL="0" distR="0" wp14:anchorId="11BF2710" wp14:editId="5FCB96C1">
            <wp:extent cx="6145530" cy="3621405"/>
            <wp:effectExtent l="0" t="0" r="7620" b="0"/>
            <wp:docPr id="327332000" name="Picture 32733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145530" cy="3621405"/>
                    </a:xfrm>
                    <a:prstGeom prst="rect">
                      <a:avLst/>
                    </a:prstGeom>
                    <a:noFill/>
                  </pic:spPr>
                </pic:pic>
              </a:graphicData>
            </a:graphic>
          </wp:inline>
        </w:drawing>
      </w:r>
    </w:p>
    <w:p w14:paraId="61E26BE6" w14:textId="59523E0A" w:rsidR="00E52E8E" w:rsidRPr="005D74D1" w:rsidRDefault="00E52E8E" w:rsidP="00312C92">
      <w:pPr>
        <w:pStyle w:val="FigureCaption"/>
        <w:rPr>
          <w:rFonts w:cs="Arial"/>
        </w:rPr>
      </w:pPr>
      <w:bookmarkStart w:id="112" w:name="_Ref183440479"/>
      <w:bookmarkStart w:id="113" w:name="_Toc183776651"/>
      <w:r w:rsidRPr="005D74D1">
        <w:rPr>
          <w:rFonts w:cs="Arial"/>
        </w:rPr>
        <w:t>Figure </w:t>
      </w:r>
      <w:r w:rsidRPr="005D74D1">
        <w:rPr>
          <w:rFonts w:cs="Arial"/>
        </w:rPr>
        <w:fldChar w:fldCharType="begin"/>
      </w:r>
      <w:r w:rsidRPr="005D74D1">
        <w:rPr>
          <w:rFonts w:cs="Arial"/>
        </w:rPr>
        <w:instrText>SEQ Figure \* ARABIC</w:instrText>
      </w:r>
      <w:r w:rsidRPr="005D74D1">
        <w:rPr>
          <w:rFonts w:cs="Arial"/>
        </w:rPr>
        <w:fldChar w:fldCharType="separate"/>
      </w:r>
      <w:r w:rsidR="003870A0">
        <w:rPr>
          <w:rFonts w:cs="Arial"/>
          <w:noProof/>
        </w:rPr>
        <w:t>1</w:t>
      </w:r>
      <w:r w:rsidRPr="005D74D1">
        <w:rPr>
          <w:rFonts w:cs="Arial"/>
        </w:rPr>
        <w:fldChar w:fldCharType="end"/>
      </w:r>
      <w:bookmarkEnd w:id="112"/>
      <w:r w:rsidRPr="005D74D1">
        <w:rPr>
          <w:rFonts w:cs="Arial"/>
        </w:rPr>
        <w:t>. Process for the EC5 evaluation</w:t>
      </w:r>
      <w:bookmarkEnd w:id="113"/>
    </w:p>
    <w:p w14:paraId="02F52527" w14:textId="55B1183D" w:rsidR="00535F5A" w:rsidRPr="005D74D1" w:rsidRDefault="00E16372" w:rsidP="00E16372">
      <w:pPr>
        <w:pStyle w:val="Heading2"/>
        <w:rPr>
          <w:rFonts w:cs="Arial"/>
        </w:rPr>
      </w:pPr>
      <w:bookmarkStart w:id="114" w:name="_Toc147352271"/>
      <w:bookmarkStart w:id="115" w:name="_Toc147329325"/>
      <w:bookmarkStart w:id="116" w:name="_Toc183777362"/>
      <w:bookmarkEnd w:id="114"/>
      <w:r w:rsidRPr="005D74D1">
        <w:rPr>
          <w:rFonts w:cs="Arial"/>
        </w:rPr>
        <w:t xml:space="preserve">Program </w:t>
      </w:r>
      <w:bookmarkEnd w:id="115"/>
      <w:r w:rsidR="00A8036E" w:rsidRPr="005D74D1">
        <w:rPr>
          <w:rFonts w:cs="Arial"/>
        </w:rPr>
        <w:t>logic</w:t>
      </w:r>
      <w:bookmarkEnd w:id="116"/>
    </w:p>
    <w:p w14:paraId="05BFA2D5" w14:textId="77777777" w:rsidR="00A50E7D" w:rsidRPr="005D74D1" w:rsidRDefault="00F54731" w:rsidP="00F54731">
      <w:pPr>
        <w:pStyle w:val="BodyText"/>
        <w:rPr>
          <w:rFonts w:cs="Arial"/>
        </w:rPr>
      </w:pPr>
      <w:r w:rsidRPr="005D74D1">
        <w:rPr>
          <w:rFonts w:cs="Arial"/>
        </w:rPr>
        <w:t>The program logic summarises the ‘theory of change’ for</w:t>
      </w:r>
      <w:r w:rsidRPr="005D74D1" w:rsidDel="001C561B">
        <w:rPr>
          <w:rFonts w:cs="Arial"/>
        </w:rPr>
        <w:t xml:space="preserve"> </w:t>
      </w:r>
      <w:r w:rsidRPr="005D74D1">
        <w:rPr>
          <w:rFonts w:cs="Arial"/>
        </w:rPr>
        <w:t xml:space="preserve">EC5 and provides a visual guide to tell the story of how EC5 funded </w:t>
      </w:r>
      <w:r w:rsidR="001C561B" w:rsidRPr="005D74D1">
        <w:rPr>
          <w:rFonts w:cs="Arial"/>
        </w:rPr>
        <w:t>projects</w:t>
      </w:r>
      <w:r w:rsidRPr="005D74D1">
        <w:rPr>
          <w:rFonts w:cs="Arial"/>
        </w:rPr>
        <w:t xml:space="preserve"> collectively contribute to the </w:t>
      </w:r>
      <w:r w:rsidR="00EC7620" w:rsidRPr="005D74D1">
        <w:rPr>
          <w:rFonts w:cs="Arial"/>
        </w:rPr>
        <w:t xml:space="preserve">statutory, </w:t>
      </w:r>
      <w:r w:rsidRPr="005D74D1">
        <w:rPr>
          <w:rFonts w:cs="Arial"/>
        </w:rPr>
        <w:t>long-term objectives.</w:t>
      </w:r>
    </w:p>
    <w:p w14:paraId="18A49A00" w14:textId="6AFECD04" w:rsidR="00A50E7D" w:rsidRPr="005D74D1" w:rsidRDefault="00F54731" w:rsidP="00F54731">
      <w:pPr>
        <w:pStyle w:val="BodyText"/>
        <w:rPr>
          <w:rFonts w:cs="Arial"/>
        </w:rPr>
      </w:pPr>
      <w:r w:rsidRPr="005D74D1">
        <w:rPr>
          <w:rFonts w:cs="Arial"/>
        </w:rPr>
        <w:t xml:space="preserve">This </w:t>
      </w:r>
      <w:r w:rsidR="00440983" w:rsidRPr="005D74D1">
        <w:rPr>
          <w:rFonts w:cs="Arial"/>
        </w:rPr>
        <w:t>program logic</w:t>
      </w:r>
      <w:r w:rsidRPr="005D74D1">
        <w:rPr>
          <w:rFonts w:cs="Arial"/>
        </w:rPr>
        <w:t xml:space="preserve"> is specific to EC5, with outcomes focused on </w:t>
      </w:r>
      <w:r w:rsidR="002A4A71" w:rsidRPr="005D74D1">
        <w:rPr>
          <w:rFonts w:cs="Arial"/>
        </w:rPr>
        <w:t xml:space="preserve">the </w:t>
      </w:r>
      <w:r w:rsidRPr="005D74D1">
        <w:rPr>
          <w:rFonts w:cs="Arial"/>
        </w:rPr>
        <w:t xml:space="preserve">changes expected </w:t>
      </w:r>
      <w:r w:rsidR="002A4A71" w:rsidRPr="005D74D1">
        <w:rPr>
          <w:rFonts w:cs="Arial"/>
        </w:rPr>
        <w:t xml:space="preserve">by </w:t>
      </w:r>
      <w:r w:rsidRPr="005D74D1">
        <w:rPr>
          <w:rFonts w:cs="Arial"/>
        </w:rPr>
        <w:t xml:space="preserve">the end of the tranche, based on the planned progress of </w:t>
      </w:r>
      <w:r w:rsidR="002A4A71" w:rsidRPr="005D74D1">
        <w:rPr>
          <w:rFonts w:cs="Arial"/>
        </w:rPr>
        <w:t xml:space="preserve">the </w:t>
      </w:r>
      <w:r w:rsidR="005567CD" w:rsidRPr="005D74D1">
        <w:rPr>
          <w:rFonts w:cs="Arial"/>
        </w:rPr>
        <w:t>projects</w:t>
      </w:r>
      <w:r w:rsidRPr="005D74D1">
        <w:rPr>
          <w:rFonts w:cs="Arial"/>
        </w:rPr>
        <w:t xml:space="preserve">. It forms a basis for evaluation of the EC5 by setting the scene for </w:t>
      </w:r>
      <w:r w:rsidR="00E91C1D" w:rsidRPr="005D74D1">
        <w:rPr>
          <w:rFonts w:cs="Arial"/>
        </w:rPr>
        <w:t>EC5’s</w:t>
      </w:r>
      <w:r w:rsidRPr="005D74D1">
        <w:rPr>
          <w:rFonts w:cs="Arial"/>
        </w:rPr>
        <w:t xml:space="preserve"> contribution to longer term outcomes. </w:t>
      </w:r>
      <w:r w:rsidR="00A017D9" w:rsidRPr="005D74D1">
        <w:rPr>
          <w:rFonts w:cs="Arial"/>
        </w:rPr>
        <w:t xml:space="preserve">The program logic is </w:t>
      </w:r>
      <w:r w:rsidR="00440983" w:rsidRPr="005D74D1">
        <w:rPr>
          <w:rFonts w:cs="Arial"/>
        </w:rPr>
        <w:t xml:space="preserve">shown </w:t>
      </w:r>
      <w:r w:rsidR="00A017D9" w:rsidRPr="005D74D1">
        <w:rPr>
          <w:rFonts w:cs="Arial"/>
        </w:rPr>
        <w:t xml:space="preserve">in </w:t>
      </w:r>
      <w:r w:rsidR="00DB6865" w:rsidRPr="005D74D1">
        <w:rPr>
          <w:rFonts w:cs="Arial"/>
        </w:rPr>
        <w:fldChar w:fldCharType="begin"/>
      </w:r>
      <w:r w:rsidR="00DB6865" w:rsidRPr="005D74D1">
        <w:rPr>
          <w:rFonts w:cs="Arial"/>
        </w:rPr>
        <w:instrText xml:space="preserve"> REF _Ref149296061 \h </w:instrText>
      </w:r>
      <w:r w:rsidR="005D74D1" w:rsidRPr="005D74D1">
        <w:rPr>
          <w:rFonts w:cs="Arial"/>
        </w:rPr>
        <w:instrText xml:space="preserve"> \* MERGEFORMAT </w:instrText>
      </w:r>
      <w:r w:rsidR="00DB6865" w:rsidRPr="005D74D1">
        <w:rPr>
          <w:rFonts w:cs="Arial"/>
        </w:rPr>
      </w:r>
      <w:r w:rsidR="00DB6865" w:rsidRPr="005D74D1">
        <w:rPr>
          <w:rFonts w:cs="Arial"/>
        </w:rPr>
        <w:fldChar w:fldCharType="separate"/>
      </w:r>
      <w:r w:rsidR="003870A0" w:rsidRPr="005D74D1">
        <w:rPr>
          <w:rFonts w:cs="Arial"/>
        </w:rPr>
        <w:t>Figure </w:t>
      </w:r>
      <w:r w:rsidR="003870A0">
        <w:rPr>
          <w:rFonts w:cs="Arial"/>
        </w:rPr>
        <w:t>2</w:t>
      </w:r>
      <w:r w:rsidR="00DB6865" w:rsidRPr="005D74D1">
        <w:rPr>
          <w:rFonts w:cs="Arial"/>
        </w:rPr>
        <w:fldChar w:fldCharType="end"/>
      </w:r>
      <w:r w:rsidR="00FA78BE" w:rsidRPr="005D74D1">
        <w:rPr>
          <w:rFonts w:cs="Arial"/>
        </w:rPr>
        <w:t>,</w:t>
      </w:r>
      <w:r w:rsidR="00A21F72" w:rsidRPr="005D74D1">
        <w:rPr>
          <w:rFonts w:cs="Arial"/>
        </w:rPr>
        <w:t xml:space="preserve"> and </w:t>
      </w:r>
      <w:r w:rsidR="00172B94" w:rsidRPr="005D74D1">
        <w:rPr>
          <w:rFonts w:cs="Arial"/>
        </w:rPr>
        <w:fldChar w:fldCharType="begin"/>
      </w:r>
      <w:r w:rsidR="00172B94" w:rsidRPr="005D74D1">
        <w:rPr>
          <w:rFonts w:cs="Arial"/>
        </w:rPr>
        <w:instrText xml:space="preserve"> REF _Ref183776452 \h </w:instrText>
      </w:r>
      <w:r w:rsidR="005D74D1" w:rsidRPr="005D74D1">
        <w:rPr>
          <w:rFonts w:cs="Arial"/>
        </w:rPr>
        <w:instrText xml:space="preserve"> \* MERGEFORMAT </w:instrText>
      </w:r>
      <w:r w:rsidR="00172B94" w:rsidRPr="005D74D1">
        <w:rPr>
          <w:rFonts w:cs="Arial"/>
        </w:rPr>
      </w:r>
      <w:r w:rsidR="00172B94" w:rsidRPr="005D74D1">
        <w:rPr>
          <w:rFonts w:cs="Arial"/>
        </w:rPr>
        <w:fldChar w:fldCharType="separate"/>
      </w:r>
      <w:r w:rsidR="003870A0" w:rsidRPr="005D74D1">
        <w:rPr>
          <w:rFonts w:cs="Arial"/>
        </w:rPr>
        <w:t>Table </w:t>
      </w:r>
      <w:r w:rsidR="003870A0">
        <w:rPr>
          <w:rFonts w:cs="Arial"/>
        </w:rPr>
        <w:t>6</w:t>
      </w:r>
      <w:r w:rsidR="00172B94" w:rsidRPr="005D74D1">
        <w:rPr>
          <w:rFonts w:cs="Arial"/>
        </w:rPr>
        <w:fldChar w:fldCharType="end"/>
      </w:r>
      <w:r w:rsidR="00172B94" w:rsidRPr="005D74D1">
        <w:rPr>
          <w:rFonts w:cs="Arial"/>
        </w:rPr>
        <w:t xml:space="preserve"> </w:t>
      </w:r>
      <w:r w:rsidRPr="005D74D1">
        <w:rPr>
          <w:rFonts w:cs="Arial"/>
        </w:rPr>
        <w:t>provide</w:t>
      </w:r>
      <w:r w:rsidR="00FA78BE" w:rsidRPr="005D74D1">
        <w:rPr>
          <w:rFonts w:cs="Arial"/>
        </w:rPr>
        <w:t>s</w:t>
      </w:r>
      <w:r w:rsidRPr="005D74D1">
        <w:rPr>
          <w:rFonts w:cs="Arial"/>
        </w:rPr>
        <w:t xml:space="preserve"> a description of the </w:t>
      </w:r>
      <w:r w:rsidR="00342311" w:rsidRPr="005D74D1">
        <w:rPr>
          <w:rFonts w:cs="Arial"/>
        </w:rPr>
        <w:t>program logic</w:t>
      </w:r>
      <w:r w:rsidRPr="005D74D1">
        <w:rPr>
          <w:rFonts w:cs="Arial"/>
        </w:rPr>
        <w:t xml:space="preserve"> hierarchy components.</w:t>
      </w:r>
    </w:p>
    <w:p w14:paraId="0312A733" w14:textId="43F96E02" w:rsidR="00F54731" w:rsidRPr="005D74D1" w:rsidRDefault="00F54731" w:rsidP="00DD3194">
      <w:pPr>
        <w:pStyle w:val="TableCaption"/>
        <w:rPr>
          <w:rFonts w:cs="Arial"/>
        </w:rPr>
      </w:pPr>
      <w:bookmarkStart w:id="117" w:name="tab9"/>
      <w:bookmarkStart w:id="118" w:name="_Ref183776452"/>
      <w:bookmarkStart w:id="119" w:name="_Toc184904993"/>
      <w:bookmarkEnd w:id="117"/>
      <w:r w:rsidRPr="005D74D1">
        <w:rPr>
          <w:rFonts w:cs="Arial"/>
        </w:rPr>
        <w:t>Table</w:t>
      </w:r>
      <w:r w:rsidR="00DE1306" w:rsidRPr="005D74D1">
        <w:rPr>
          <w:rFonts w:cs="Arial"/>
        </w:rPr>
        <w:t> </w:t>
      </w:r>
      <w:r w:rsidRPr="005D74D1">
        <w:rPr>
          <w:rFonts w:cs="Arial"/>
        </w:rPr>
        <w:fldChar w:fldCharType="begin"/>
      </w:r>
      <w:r w:rsidRPr="005D74D1">
        <w:rPr>
          <w:rFonts w:cs="Arial"/>
        </w:rPr>
        <w:instrText>SEQ Table \* ARABIC</w:instrText>
      </w:r>
      <w:r w:rsidRPr="005D74D1">
        <w:rPr>
          <w:rFonts w:cs="Arial"/>
        </w:rPr>
        <w:fldChar w:fldCharType="separate"/>
      </w:r>
      <w:r w:rsidR="003870A0">
        <w:rPr>
          <w:rFonts w:cs="Arial"/>
          <w:noProof/>
        </w:rPr>
        <w:t>6</w:t>
      </w:r>
      <w:r w:rsidRPr="005D74D1">
        <w:rPr>
          <w:rFonts w:cs="Arial"/>
        </w:rPr>
        <w:fldChar w:fldCharType="end"/>
      </w:r>
      <w:bookmarkEnd w:id="118"/>
      <w:r w:rsidRPr="005D74D1">
        <w:rPr>
          <w:rFonts w:cs="Arial"/>
        </w:rPr>
        <w:t xml:space="preserve">. Program logic hierarchy </w:t>
      </w:r>
      <w:r w:rsidR="00342311" w:rsidRPr="005D74D1">
        <w:rPr>
          <w:rFonts w:cs="Arial"/>
        </w:rPr>
        <w:t xml:space="preserve">of terms and </w:t>
      </w:r>
      <w:r w:rsidRPr="005D74D1">
        <w:rPr>
          <w:rFonts w:cs="Arial"/>
        </w:rPr>
        <w:t>description</w:t>
      </w:r>
      <w:r w:rsidR="00342311" w:rsidRPr="005D74D1">
        <w:rPr>
          <w:rFonts w:cs="Arial"/>
        </w:rPr>
        <w:t>s</w:t>
      </w:r>
      <w:bookmarkEnd w:id="119"/>
    </w:p>
    <w:tbl>
      <w:tblPr>
        <w:tblStyle w:val="TableGridLight"/>
        <w:tblW w:w="5000" w:type="pct"/>
        <w:tblBorders>
          <w:top w:val="single" w:sz="4" w:space="0" w:color="231EDC" w:themeColor="accent1"/>
          <w:left w:val="single" w:sz="4" w:space="0" w:color="231EDC" w:themeColor="accent1"/>
          <w:bottom w:val="single" w:sz="4" w:space="0" w:color="231EDC" w:themeColor="accent1"/>
          <w:right w:val="single" w:sz="4" w:space="0" w:color="231EDC" w:themeColor="accent1"/>
          <w:insideH w:val="single" w:sz="4" w:space="0" w:color="231EDC" w:themeColor="accent1"/>
          <w:insideV w:val="single" w:sz="4" w:space="0" w:color="231EDC" w:themeColor="accent1"/>
        </w:tblBorders>
        <w:tblLook w:val="04A0" w:firstRow="1" w:lastRow="0" w:firstColumn="1" w:lastColumn="0" w:noHBand="0" w:noVBand="1"/>
      </w:tblPr>
      <w:tblGrid>
        <w:gridCol w:w="2515"/>
        <w:gridCol w:w="7113"/>
      </w:tblGrid>
      <w:tr w:rsidR="00F54731" w:rsidRPr="005D74D1" w14:paraId="2471AA2B" w14:textId="77777777" w:rsidTr="00140664">
        <w:trPr>
          <w:trHeight w:val="531"/>
          <w:tblHeader/>
        </w:trPr>
        <w:tc>
          <w:tcPr>
            <w:tcW w:w="1306" w:type="pct"/>
            <w:shd w:val="clear" w:color="auto" w:fill="231EDC" w:themeFill="accent1"/>
            <w:vAlign w:val="center"/>
          </w:tcPr>
          <w:p w14:paraId="7DA4F450" w14:textId="12818970" w:rsidR="00F54731" w:rsidRPr="00A134A7" w:rsidRDefault="00342311" w:rsidP="002A4A71">
            <w:pPr>
              <w:pStyle w:val="TableHeadingWhite"/>
              <w:rPr>
                <w:rFonts w:cs="Arial"/>
                <w:lang w:val="en-AU"/>
              </w:rPr>
            </w:pPr>
            <w:r w:rsidRPr="005D74D1">
              <w:rPr>
                <w:rFonts w:cs="Arial"/>
              </w:rPr>
              <w:t>Program logic</w:t>
            </w:r>
            <w:r w:rsidR="00F54731" w:rsidRPr="005D74D1">
              <w:rPr>
                <w:rFonts w:cs="Arial"/>
              </w:rPr>
              <w:t xml:space="preserve"> element</w:t>
            </w:r>
          </w:p>
        </w:tc>
        <w:tc>
          <w:tcPr>
            <w:tcW w:w="3694" w:type="pct"/>
            <w:shd w:val="clear" w:color="auto" w:fill="231EDC" w:themeFill="accent1"/>
            <w:vAlign w:val="center"/>
          </w:tcPr>
          <w:p w14:paraId="3C3DA863" w14:textId="77777777" w:rsidR="00F54731" w:rsidRPr="00A134A7" w:rsidRDefault="00F54731" w:rsidP="002A4A71">
            <w:pPr>
              <w:pStyle w:val="TableHeadingWhite"/>
              <w:rPr>
                <w:rFonts w:cs="Arial"/>
                <w:lang w:val="en-AU"/>
              </w:rPr>
            </w:pPr>
            <w:r w:rsidRPr="005D74D1">
              <w:rPr>
                <w:rFonts w:cs="Arial"/>
              </w:rPr>
              <w:t>Description</w:t>
            </w:r>
          </w:p>
        </w:tc>
      </w:tr>
      <w:tr w:rsidR="00F54731" w:rsidRPr="005D74D1" w14:paraId="3287BDB9" w14:textId="77777777" w:rsidTr="00140664">
        <w:trPr>
          <w:trHeight w:val="412"/>
        </w:trPr>
        <w:tc>
          <w:tcPr>
            <w:tcW w:w="1306" w:type="pct"/>
          </w:tcPr>
          <w:p w14:paraId="379A030C" w14:textId="77777777" w:rsidR="00F54731" w:rsidRPr="005D74D1" w:rsidRDefault="00F54731" w:rsidP="006C0776">
            <w:pPr>
              <w:pStyle w:val="TableText"/>
              <w:rPr>
                <w:rFonts w:cs="Arial"/>
                <w:lang w:val="en-AU"/>
              </w:rPr>
            </w:pPr>
            <w:r w:rsidRPr="005D74D1">
              <w:rPr>
                <w:rFonts w:cs="Arial"/>
                <w:lang w:val="en-AU"/>
              </w:rPr>
              <w:t>Long-term outcomes</w:t>
            </w:r>
          </w:p>
        </w:tc>
        <w:tc>
          <w:tcPr>
            <w:tcW w:w="3694" w:type="pct"/>
          </w:tcPr>
          <w:p w14:paraId="2A73AB84" w14:textId="0F7D1D30" w:rsidR="00F54731" w:rsidRPr="005D74D1" w:rsidRDefault="00F54731" w:rsidP="006C0776">
            <w:pPr>
              <w:pStyle w:val="TableText"/>
              <w:rPr>
                <w:rFonts w:cs="Arial"/>
                <w:lang w:val="en-AU"/>
              </w:rPr>
            </w:pPr>
            <w:r w:rsidRPr="005D74D1">
              <w:rPr>
                <w:rFonts w:cs="Arial"/>
                <w:lang w:val="en-AU"/>
              </w:rPr>
              <w:t xml:space="preserve">Bigger picture goals the </w:t>
            </w:r>
            <w:r w:rsidR="00EC625F" w:rsidRPr="005D74D1">
              <w:rPr>
                <w:rFonts w:cs="Arial"/>
                <w:lang w:val="en-AU"/>
              </w:rPr>
              <w:t>EC</w:t>
            </w:r>
            <w:r w:rsidRPr="005D74D1">
              <w:rPr>
                <w:rFonts w:cs="Arial"/>
                <w:lang w:val="en-AU"/>
              </w:rPr>
              <w:t xml:space="preserve"> outcomes contribute to</w:t>
            </w:r>
            <w:r w:rsidR="00E91C1D" w:rsidRPr="005D74D1">
              <w:rPr>
                <w:rFonts w:cs="Arial"/>
                <w:lang w:val="en-AU"/>
              </w:rPr>
              <w:t xml:space="preserve"> as specified in the Act</w:t>
            </w:r>
          </w:p>
        </w:tc>
      </w:tr>
      <w:tr w:rsidR="00F54731" w:rsidRPr="005D74D1" w14:paraId="458ABF40" w14:textId="77777777" w:rsidTr="00140664">
        <w:trPr>
          <w:trHeight w:val="412"/>
        </w:trPr>
        <w:tc>
          <w:tcPr>
            <w:tcW w:w="1306" w:type="pct"/>
          </w:tcPr>
          <w:p w14:paraId="1C8622B9" w14:textId="098ECF36" w:rsidR="00F54731" w:rsidRPr="005D74D1" w:rsidRDefault="00F54731" w:rsidP="006C0776">
            <w:pPr>
              <w:pStyle w:val="TableText"/>
              <w:rPr>
                <w:rFonts w:cs="Arial"/>
                <w:lang w:val="en-AU"/>
              </w:rPr>
            </w:pPr>
            <w:r w:rsidRPr="005D74D1">
              <w:rPr>
                <w:rFonts w:cs="Arial"/>
                <w:lang w:val="en-AU"/>
              </w:rPr>
              <w:t>Outcomes</w:t>
            </w:r>
            <w:r w:rsidR="007537E5" w:rsidRPr="005D74D1">
              <w:rPr>
                <w:rFonts w:cs="Arial"/>
                <w:lang w:val="en-AU"/>
              </w:rPr>
              <w:t>:</w:t>
            </w:r>
            <w:r w:rsidRPr="005D74D1">
              <w:rPr>
                <w:rFonts w:cs="Arial"/>
                <w:lang w:val="en-AU"/>
              </w:rPr>
              <w:t xml:space="preserve"> </w:t>
            </w:r>
            <w:r w:rsidR="008E617F" w:rsidRPr="005D74D1">
              <w:rPr>
                <w:rFonts w:cs="Arial"/>
                <w:lang w:val="en-AU"/>
              </w:rPr>
              <w:t>E</w:t>
            </w:r>
            <w:r w:rsidRPr="005D74D1">
              <w:rPr>
                <w:rFonts w:cs="Arial"/>
                <w:lang w:val="en-AU"/>
              </w:rPr>
              <w:t>nd</w:t>
            </w:r>
            <w:r w:rsidR="0008086C" w:rsidRPr="005D74D1">
              <w:rPr>
                <w:rFonts w:cs="Arial"/>
                <w:lang w:val="en-AU"/>
              </w:rPr>
              <w:t>-</w:t>
            </w:r>
            <w:r w:rsidRPr="005D74D1">
              <w:rPr>
                <w:rFonts w:cs="Arial"/>
                <w:lang w:val="en-AU"/>
              </w:rPr>
              <w:t>of</w:t>
            </w:r>
            <w:r w:rsidR="0008086C" w:rsidRPr="005D74D1">
              <w:rPr>
                <w:rFonts w:cs="Arial"/>
                <w:lang w:val="en-AU"/>
              </w:rPr>
              <w:t>-</w:t>
            </w:r>
            <w:r w:rsidR="008E617F" w:rsidRPr="005D74D1">
              <w:rPr>
                <w:rFonts w:cs="Arial"/>
                <w:lang w:val="en-AU"/>
              </w:rPr>
              <w:t xml:space="preserve">Tranche </w:t>
            </w:r>
            <w:r w:rsidRPr="005D74D1">
              <w:rPr>
                <w:rFonts w:cs="Arial"/>
                <w:lang w:val="en-AU"/>
              </w:rPr>
              <w:t>5</w:t>
            </w:r>
          </w:p>
        </w:tc>
        <w:tc>
          <w:tcPr>
            <w:tcW w:w="3694" w:type="pct"/>
          </w:tcPr>
          <w:p w14:paraId="60EED5BE" w14:textId="26E00836" w:rsidR="00F54731" w:rsidRPr="005D74D1" w:rsidRDefault="00F54731" w:rsidP="006C0776">
            <w:pPr>
              <w:pStyle w:val="TableText"/>
              <w:rPr>
                <w:rFonts w:cs="Arial"/>
                <w:lang w:val="en-AU"/>
              </w:rPr>
            </w:pPr>
            <w:r w:rsidRPr="005D74D1">
              <w:rPr>
                <w:rFonts w:cs="Arial"/>
                <w:lang w:val="en-AU"/>
              </w:rPr>
              <w:t xml:space="preserve">Intended effects or changes resulting from </w:t>
            </w:r>
            <w:r w:rsidR="00AC1108" w:rsidRPr="005D74D1">
              <w:rPr>
                <w:rFonts w:cs="Arial"/>
                <w:lang w:val="en-AU"/>
              </w:rPr>
              <w:t>EC5</w:t>
            </w:r>
            <w:r w:rsidRPr="005D74D1">
              <w:rPr>
                <w:rFonts w:cs="Arial"/>
                <w:lang w:val="en-AU"/>
              </w:rPr>
              <w:t xml:space="preserve">, expected by the end of the </w:t>
            </w:r>
            <w:r w:rsidR="007202C5" w:rsidRPr="005D74D1">
              <w:rPr>
                <w:rFonts w:cs="Arial"/>
                <w:lang w:val="en-AU"/>
              </w:rPr>
              <w:t>4</w:t>
            </w:r>
            <w:r w:rsidRPr="005D74D1">
              <w:rPr>
                <w:rFonts w:cs="Arial"/>
                <w:lang w:val="en-AU"/>
              </w:rPr>
              <w:t>-year tranche 5 funding</w:t>
            </w:r>
          </w:p>
        </w:tc>
      </w:tr>
      <w:tr w:rsidR="00F54731" w:rsidRPr="005D74D1" w14:paraId="1EDE05D0" w14:textId="77777777" w:rsidTr="00140664">
        <w:trPr>
          <w:trHeight w:val="412"/>
        </w:trPr>
        <w:tc>
          <w:tcPr>
            <w:tcW w:w="1306" w:type="pct"/>
          </w:tcPr>
          <w:p w14:paraId="76D7E34C" w14:textId="77777777" w:rsidR="00F54731" w:rsidRPr="005D74D1" w:rsidRDefault="00F54731" w:rsidP="006C0776">
            <w:pPr>
              <w:pStyle w:val="TableText"/>
              <w:rPr>
                <w:rFonts w:cs="Arial"/>
                <w:lang w:val="en-AU"/>
              </w:rPr>
            </w:pPr>
            <w:r w:rsidRPr="005D74D1">
              <w:rPr>
                <w:rFonts w:cs="Arial"/>
                <w:lang w:val="en-AU"/>
              </w:rPr>
              <w:t>Outputs</w:t>
            </w:r>
          </w:p>
        </w:tc>
        <w:tc>
          <w:tcPr>
            <w:tcW w:w="3694" w:type="pct"/>
          </w:tcPr>
          <w:p w14:paraId="5337CDC6" w14:textId="7BA7D4BC" w:rsidR="00F54731" w:rsidRPr="005D74D1" w:rsidRDefault="00F54731" w:rsidP="006C0776">
            <w:pPr>
              <w:pStyle w:val="TableText"/>
              <w:rPr>
                <w:rFonts w:cs="Arial"/>
                <w:lang w:val="en-AU"/>
              </w:rPr>
            </w:pPr>
            <w:r w:rsidRPr="005D74D1">
              <w:rPr>
                <w:rFonts w:cs="Arial"/>
                <w:lang w:val="en-AU"/>
              </w:rPr>
              <w:t>Products or deliverables that result from</w:t>
            </w:r>
            <w:r w:rsidR="00AC1108" w:rsidRPr="005D74D1">
              <w:rPr>
                <w:rFonts w:cs="Arial"/>
                <w:lang w:val="en-AU"/>
              </w:rPr>
              <w:t xml:space="preserve"> project </w:t>
            </w:r>
            <w:r w:rsidRPr="005D74D1">
              <w:rPr>
                <w:rFonts w:cs="Arial"/>
                <w:lang w:val="en-AU"/>
              </w:rPr>
              <w:t xml:space="preserve">activities. These can be biophysical (such as </w:t>
            </w:r>
            <w:r w:rsidR="005022D8" w:rsidRPr="005D74D1">
              <w:rPr>
                <w:rFonts w:cs="Arial"/>
                <w:lang w:val="en-AU"/>
              </w:rPr>
              <w:t>on-ground</w:t>
            </w:r>
            <w:r w:rsidRPr="005D74D1">
              <w:rPr>
                <w:rFonts w:cs="Arial"/>
                <w:lang w:val="en-AU"/>
              </w:rPr>
              <w:t xml:space="preserve"> works or assets), or non-biophysical (social, institutional, cultural, or economic changes)</w:t>
            </w:r>
          </w:p>
        </w:tc>
      </w:tr>
      <w:tr w:rsidR="00F54731" w:rsidRPr="005D74D1" w14:paraId="4DF19082" w14:textId="77777777" w:rsidTr="00140664">
        <w:trPr>
          <w:trHeight w:val="412"/>
        </w:trPr>
        <w:tc>
          <w:tcPr>
            <w:tcW w:w="1306" w:type="pct"/>
          </w:tcPr>
          <w:p w14:paraId="4691D115" w14:textId="77777777" w:rsidR="00F54731" w:rsidRPr="005D74D1" w:rsidRDefault="00F54731" w:rsidP="006C0776">
            <w:pPr>
              <w:pStyle w:val="TableText"/>
              <w:rPr>
                <w:rFonts w:cs="Arial"/>
                <w:lang w:val="en-AU"/>
              </w:rPr>
            </w:pPr>
            <w:r w:rsidRPr="005D74D1">
              <w:rPr>
                <w:rFonts w:cs="Arial"/>
                <w:lang w:val="en-AU"/>
              </w:rPr>
              <w:t>Activities</w:t>
            </w:r>
          </w:p>
        </w:tc>
        <w:tc>
          <w:tcPr>
            <w:tcW w:w="3694" w:type="pct"/>
          </w:tcPr>
          <w:p w14:paraId="630EE845" w14:textId="77777777" w:rsidR="00F54731" w:rsidRPr="005D74D1" w:rsidRDefault="00F54731" w:rsidP="006C0776">
            <w:pPr>
              <w:pStyle w:val="TableText"/>
              <w:rPr>
                <w:rFonts w:cs="Arial"/>
                <w:lang w:val="en-AU"/>
              </w:rPr>
            </w:pPr>
            <w:r w:rsidRPr="005D74D1">
              <w:rPr>
                <w:rFonts w:cs="Arial"/>
                <w:lang w:val="en-AU"/>
              </w:rPr>
              <w:t>Actions, events, and processes undertaken</w:t>
            </w:r>
          </w:p>
        </w:tc>
      </w:tr>
    </w:tbl>
    <w:p w14:paraId="18788801" w14:textId="77777777" w:rsidR="00F54731" w:rsidRPr="005D74D1" w:rsidRDefault="00F54731" w:rsidP="00F54731">
      <w:pPr>
        <w:pStyle w:val="BodyText"/>
        <w:rPr>
          <w:rFonts w:cs="Arial"/>
        </w:rPr>
      </w:pPr>
    </w:p>
    <w:p w14:paraId="63065D56" w14:textId="77777777" w:rsidR="00F54731" w:rsidRPr="005D74D1" w:rsidRDefault="00F54731" w:rsidP="00F54731">
      <w:pPr>
        <w:pStyle w:val="BodyText"/>
        <w:rPr>
          <w:rFonts w:cs="Arial"/>
        </w:rPr>
        <w:sectPr w:rsidR="00F54731" w:rsidRPr="005D74D1" w:rsidSect="00253DEE">
          <w:pgSz w:w="11906" w:h="16838" w:code="9"/>
          <w:pgMar w:top="1134" w:right="1134" w:bottom="567" w:left="1134" w:header="567" w:footer="0" w:gutter="0"/>
          <w:cols w:space="720"/>
          <w:docGrid w:linePitch="360"/>
        </w:sectPr>
      </w:pPr>
    </w:p>
    <w:p w14:paraId="6193F3C8" w14:textId="77777777" w:rsidR="000728FB" w:rsidRPr="005D74D1" w:rsidRDefault="000728FB" w:rsidP="00204AB1">
      <w:pPr>
        <w:pStyle w:val="FigureCaption"/>
        <w:rPr>
          <w:rFonts w:cs="Arial"/>
        </w:rPr>
      </w:pPr>
      <w:bookmarkStart w:id="120" w:name="_Ref147086508"/>
    </w:p>
    <w:p w14:paraId="16CED110" w14:textId="77777777" w:rsidR="009E3F13" w:rsidRPr="005D74D1" w:rsidRDefault="000728FB" w:rsidP="004E219D">
      <w:pPr>
        <w:pStyle w:val="BodyText"/>
        <w:rPr>
          <w:rFonts w:cs="Arial"/>
        </w:rPr>
      </w:pPr>
      <w:bookmarkStart w:id="121" w:name="_Toc147335138"/>
      <w:bookmarkStart w:id="122" w:name="_Toc147335149"/>
      <w:bookmarkStart w:id="123" w:name="_Toc147335160"/>
      <w:bookmarkStart w:id="124" w:name="_Toc147337977"/>
      <w:bookmarkStart w:id="125" w:name="_Toc147342967"/>
      <w:bookmarkStart w:id="126" w:name="_Toc147343112"/>
      <w:bookmarkStart w:id="127" w:name="_Toc147343219"/>
      <w:bookmarkStart w:id="128" w:name="_Toc147352904"/>
      <w:r w:rsidRPr="00A134A7">
        <w:rPr>
          <w:rFonts w:cs="Arial"/>
          <w:noProof/>
        </w:rPr>
        <w:drawing>
          <wp:inline distT="0" distB="0" distL="0" distR="0" wp14:anchorId="0B54D6F9" wp14:editId="2EDE245F">
            <wp:extent cx="13316585" cy="7636933"/>
            <wp:effectExtent l="0" t="0" r="0" b="254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3319851" cy="7638806"/>
                    </a:xfrm>
                    <a:prstGeom prst="rect">
                      <a:avLst/>
                    </a:prstGeom>
                    <a:noFill/>
                  </pic:spPr>
                </pic:pic>
              </a:graphicData>
            </a:graphic>
          </wp:inline>
        </w:drawing>
      </w:r>
      <w:bookmarkEnd w:id="121"/>
      <w:bookmarkEnd w:id="122"/>
      <w:bookmarkEnd w:id="123"/>
      <w:bookmarkEnd w:id="124"/>
      <w:bookmarkEnd w:id="125"/>
      <w:bookmarkEnd w:id="126"/>
      <w:bookmarkEnd w:id="127"/>
      <w:bookmarkEnd w:id="128"/>
    </w:p>
    <w:p w14:paraId="5F03A003" w14:textId="12972CEB" w:rsidR="00A163B0" w:rsidRPr="005D74D1" w:rsidRDefault="00204AB1" w:rsidP="00FA2930">
      <w:pPr>
        <w:pStyle w:val="FigureCaption"/>
        <w:rPr>
          <w:rFonts w:cs="Arial"/>
        </w:rPr>
      </w:pPr>
      <w:bookmarkStart w:id="129" w:name="fig3"/>
      <w:bookmarkStart w:id="130" w:name="_Ref149296061"/>
      <w:bookmarkStart w:id="131" w:name="_Toc183776652"/>
      <w:bookmarkEnd w:id="129"/>
      <w:r w:rsidRPr="005D74D1">
        <w:rPr>
          <w:rFonts w:cs="Arial"/>
        </w:rPr>
        <w:t>Figure</w:t>
      </w:r>
      <w:r w:rsidR="00A163B0" w:rsidRPr="005D74D1">
        <w:rPr>
          <w:rFonts w:cs="Arial"/>
        </w:rPr>
        <w:t> </w:t>
      </w:r>
      <w:r w:rsidRPr="005D74D1">
        <w:rPr>
          <w:rFonts w:cs="Arial"/>
        </w:rPr>
        <w:fldChar w:fldCharType="begin"/>
      </w:r>
      <w:r w:rsidRPr="005D74D1">
        <w:rPr>
          <w:rFonts w:cs="Arial"/>
        </w:rPr>
        <w:instrText>SEQ Figure \* ARABIC</w:instrText>
      </w:r>
      <w:r w:rsidRPr="005D74D1">
        <w:rPr>
          <w:rFonts w:cs="Arial"/>
        </w:rPr>
        <w:fldChar w:fldCharType="separate"/>
      </w:r>
      <w:r w:rsidR="003870A0">
        <w:rPr>
          <w:rFonts w:cs="Arial"/>
          <w:noProof/>
        </w:rPr>
        <w:t>2</w:t>
      </w:r>
      <w:r w:rsidRPr="005D74D1">
        <w:rPr>
          <w:rFonts w:cs="Arial"/>
        </w:rPr>
        <w:fldChar w:fldCharType="end"/>
      </w:r>
      <w:bookmarkEnd w:id="120"/>
      <w:bookmarkEnd w:id="130"/>
      <w:r w:rsidRPr="005D74D1">
        <w:rPr>
          <w:rFonts w:cs="Arial"/>
        </w:rPr>
        <w:t xml:space="preserve">. Program </w:t>
      </w:r>
      <w:r w:rsidR="00E52E8E" w:rsidRPr="005D74D1">
        <w:rPr>
          <w:rFonts w:cs="Arial"/>
        </w:rPr>
        <w:t>l</w:t>
      </w:r>
      <w:r w:rsidR="00A163B0" w:rsidRPr="005D74D1">
        <w:rPr>
          <w:rFonts w:cs="Arial"/>
        </w:rPr>
        <w:t>ogic</w:t>
      </w:r>
      <w:r w:rsidRPr="005D74D1">
        <w:rPr>
          <w:rFonts w:cs="Arial"/>
        </w:rPr>
        <w:t xml:space="preserve"> for EC5 Evaluation</w:t>
      </w:r>
      <w:bookmarkEnd w:id="131"/>
    </w:p>
    <w:p w14:paraId="33EC873B" w14:textId="14828358" w:rsidR="00204AB1" w:rsidRPr="005D74D1" w:rsidRDefault="00204AB1" w:rsidP="00204AB1">
      <w:pPr>
        <w:pStyle w:val="FigureCaption"/>
        <w:rPr>
          <w:rFonts w:cs="Arial"/>
        </w:rPr>
      </w:pPr>
    </w:p>
    <w:p w14:paraId="01B743E4" w14:textId="77777777" w:rsidR="00BB63A8" w:rsidRPr="005D74D1" w:rsidRDefault="0064001E">
      <w:pPr>
        <w:rPr>
          <w:rFonts w:cs="Arial"/>
        </w:rPr>
        <w:sectPr w:rsidR="00BB63A8" w:rsidRPr="005D74D1" w:rsidSect="00007F26">
          <w:headerReference w:type="default" r:id="rId60"/>
          <w:footerReference w:type="default" r:id="rId61"/>
          <w:pgSz w:w="23811" w:h="16838" w:orient="landscape" w:code="8"/>
          <w:pgMar w:top="1134" w:right="1134" w:bottom="1134" w:left="567" w:header="567" w:footer="0" w:gutter="0"/>
          <w:cols w:space="720"/>
          <w:docGrid w:linePitch="360"/>
        </w:sectPr>
      </w:pPr>
      <w:r w:rsidRPr="005D74D1">
        <w:rPr>
          <w:rFonts w:cs="Arial"/>
        </w:rPr>
        <w:br w:type="page"/>
      </w:r>
    </w:p>
    <w:p w14:paraId="05330C85" w14:textId="4DA7FA98" w:rsidR="00535F5A" w:rsidRPr="005D74D1" w:rsidRDefault="00150F39" w:rsidP="00A034AC">
      <w:pPr>
        <w:pStyle w:val="Heading2"/>
        <w:rPr>
          <w:rFonts w:cs="Arial"/>
        </w:rPr>
      </w:pPr>
      <w:bookmarkStart w:id="132" w:name="_Toc147334554"/>
      <w:bookmarkStart w:id="133" w:name="_Toc147337418"/>
      <w:bookmarkStart w:id="134" w:name="_Toc147338023"/>
      <w:bookmarkStart w:id="135" w:name="_Toc147342383"/>
      <w:bookmarkStart w:id="136" w:name="_Toc147352273"/>
      <w:bookmarkStart w:id="137" w:name="_Toc147329326"/>
      <w:bookmarkStart w:id="138" w:name="_Toc183777363"/>
      <w:bookmarkEnd w:id="132"/>
      <w:bookmarkEnd w:id="133"/>
      <w:bookmarkEnd w:id="134"/>
      <w:bookmarkEnd w:id="135"/>
      <w:bookmarkEnd w:id="136"/>
      <w:r w:rsidRPr="005D74D1">
        <w:rPr>
          <w:rFonts w:cs="Arial"/>
        </w:rPr>
        <w:lastRenderedPageBreak/>
        <w:t>Evaluation domains and k</w:t>
      </w:r>
      <w:r w:rsidR="00A034AC" w:rsidRPr="005D74D1">
        <w:rPr>
          <w:rFonts w:cs="Arial"/>
        </w:rPr>
        <w:t xml:space="preserve">ey </w:t>
      </w:r>
      <w:r w:rsidRPr="005D74D1">
        <w:rPr>
          <w:rFonts w:cs="Arial"/>
        </w:rPr>
        <w:t>e</w:t>
      </w:r>
      <w:r w:rsidR="00A034AC" w:rsidRPr="005D74D1">
        <w:rPr>
          <w:rFonts w:cs="Arial"/>
        </w:rPr>
        <w:t xml:space="preserve">valuation </w:t>
      </w:r>
      <w:r w:rsidRPr="005D74D1">
        <w:rPr>
          <w:rFonts w:cs="Arial"/>
        </w:rPr>
        <w:t>q</w:t>
      </w:r>
      <w:r w:rsidR="00A034AC" w:rsidRPr="005D74D1">
        <w:rPr>
          <w:rFonts w:cs="Arial"/>
        </w:rPr>
        <w:t>uestions</w:t>
      </w:r>
      <w:bookmarkEnd w:id="137"/>
      <w:r w:rsidR="006F6EF3" w:rsidRPr="005D74D1">
        <w:rPr>
          <w:rFonts w:cs="Arial"/>
        </w:rPr>
        <w:t xml:space="preserve"> (KEQs)</w:t>
      </w:r>
      <w:bookmarkEnd w:id="138"/>
    </w:p>
    <w:p w14:paraId="6AF0617B" w14:textId="384F4E5C" w:rsidR="00A50E7D" w:rsidRPr="005D74D1" w:rsidRDefault="009D7EF2" w:rsidP="009D7EF2">
      <w:pPr>
        <w:pStyle w:val="BodyText"/>
        <w:rPr>
          <w:rFonts w:cs="Arial"/>
        </w:rPr>
      </w:pPr>
      <w:r w:rsidRPr="005D74D1">
        <w:rPr>
          <w:rFonts w:cs="Arial"/>
        </w:rPr>
        <w:t xml:space="preserve">Five evaluation domains were </w:t>
      </w:r>
      <w:r w:rsidR="007078E3" w:rsidRPr="005D74D1">
        <w:rPr>
          <w:rFonts w:cs="Arial"/>
        </w:rPr>
        <w:t xml:space="preserve">used </w:t>
      </w:r>
      <w:r w:rsidRPr="005D74D1">
        <w:rPr>
          <w:rFonts w:cs="Arial"/>
        </w:rPr>
        <w:t xml:space="preserve">to meet the evaluation </w:t>
      </w:r>
      <w:r w:rsidR="006046DF" w:rsidRPr="005D74D1">
        <w:rPr>
          <w:rFonts w:cs="Arial"/>
        </w:rPr>
        <w:t>objectives</w:t>
      </w:r>
      <w:r w:rsidRPr="005D74D1">
        <w:rPr>
          <w:rFonts w:cs="Arial"/>
        </w:rPr>
        <w:t>. The key question</w:t>
      </w:r>
      <w:r w:rsidR="00150F39" w:rsidRPr="005D74D1">
        <w:rPr>
          <w:rFonts w:cs="Arial"/>
        </w:rPr>
        <w:t xml:space="preserve">s and </w:t>
      </w:r>
      <w:r w:rsidRPr="005D74D1">
        <w:rPr>
          <w:rFonts w:cs="Arial"/>
        </w:rPr>
        <w:t>sub-key questions</w:t>
      </w:r>
      <w:r w:rsidR="00150F39" w:rsidRPr="005D74D1">
        <w:rPr>
          <w:rFonts w:cs="Arial"/>
        </w:rPr>
        <w:t xml:space="preserve"> for each of the evaluation domains</w:t>
      </w:r>
      <w:r w:rsidRPr="005D74D1">
        <w:rPr>
          <w:rFonts w:cs="Arial"/>
        </w:rPr>
        <w:t xml:space="preserve"> </w:t>
      </w:r>
      <w:r w:rsidR="00150F39" w:rsidRPr="005D74D1">
        <w:rPr>
          <w:rFonts w:cs="Arial"/>
        </w:rPr>
        <w:t xml:space="preserve">are </w:t>
      </w:r>
      <w:r w:rsidRPr="005D74D1">
        <w:rPr>
          <w:rFonts w:cs="Arial"/>
        </w:rPr>
        <w:t xml:space="preserve">presented </w:t>
      </w:r>
      <w:r w:rsidR="00A21F72" w:rsidRPr="005D74D1">
        <w:rPr>
          <w:rFonts w:cs="Arial"/>
        </w:rPr>
        <w:t xml:space="preserve">in </w:t>
      </w:r>
      <w:r w:rsidR="0072028F" w:rsidRPr="005D74D1">
        <w:rPr>
          <w:rFonts w:cs="Arial"/>
        </w:rPr>
        <w:fldChar w:fldCharType="begin"/>
      </w:r>
      <w:r w:rsidR="0072028F" w:rsidRPr="005D74D1">
        <w:rPr>
          <w:rFonts w:cs="Arial"/>
        </w:rPr>
        <w:instrText xml:space="preserve"> REF _Ref147178826 \h </w:instrText>
      </w:r>
      <w:r w:rsidR="005D74D1" w:rsidRPr="005D74D1">
        <w:rPr>
          <w:rFonts w:cs="Arial"/>
        </w:rPr>
        <w:instrText xml:space="preserve"> \* MERGEFORMAT </w:instrText>
      </w:r>
      <w:r w:rsidR="0072028F" w:rsidRPr="005D74D1">
        <w:rPr>
          <w:rFonts w:cs="Arial"/>
        </w:rPr>
      </w:r>
      <w:r w:rsidR="0072028F" w:rsidRPr="005D74D1">
        <w:rPr>
          <w:rFonts w:cs="Arial"/>
        </w:rPr>
        <w:fldChar w:fldCharType="separate"/>
      </w:r>
      <w:r w:rsidR="003870A0" w:rsidRPr="005D74D1">
        <w:rPr>
          <w:rFonts w:cs="Arial"/>
        </w:rPr>
        <w:t xml:space="preserve">Table </w:t>
      </w:r>
      <w:r w:rsidR="003870A0">
        <w:rPr>
          <w:rFonts w:cs="Arial"/>
        </w:rPr>
        <w:t>7</w:t>
      </w:r>
      <w:r w:rsidR="0072028F" w:rsidRPr="005D74D1">
        <w:rPr>
          <w:rFonts w:cs="Arial"/>
        </w:rPr>
        <w:fldChar w:fldCharType="end"/>
      </w:r>
      <w:r w:rsidR="00A21F72" w:rsidRPr="005D74D1">
        <w:rPr>
          <w:rFonts w:cs="Arial"/>
        </w:rPr>
        <w:t>.</w:t>
      </w:r>
    </w:p>
    <w:p w14:paraId="4F4B9061" w14:textId="26282277" w:rsidR="006E6FD0" w:rsidRPr="005D74D1" w:rsidRDefault="006E6FD0" w:rsidP="00312C92">
      <w:pPr>
        <w:pStyle w:val="TableCaption"/>
        <w:rPr>
          <w:rFonts w:cs="Arial"/>
        </w:rPr>
      </w:pPr>
      <w:bookmarkStart w:id="139" w:name="_Ref147178826"/>
      <w:bookmarkStart w:id="140" w:name="_Toc184904994"/>
      <w:r w:rsidRPr="005D74D1">
        <w:rPr>
          <w:rFonts w:cs="Arial"/>
        </w:rPr>
        <w:t xml:space="preserve">Table </w:t>
      </w:r>
      <w:r w:rsidRPr="005D74D1">
        <w:rPr>
          <w:rFonts w:cs="Arial"/>
        </w:rPr>
        <w:fldChar w:fldCharType="begin"/>
      </w:r>
      <w:r w:rsidRPr="005D74D1">
        <w:rPr>
          <w:rFonts w:cs="Arial"/>
        </w:rPr>
        <w:instrText>SEQ Table \* ARABIC</w:instrText>
      </w:r>
      <w:r w:rsidRPr="005D74D1">
        <w:rPr>
          <w:rFonts w:cs="Arial"/>
        </w:rPr>
        <w:fldChar w:fldCharType="separate"/>
      </w:r>
      <w:r w:rsidR="003870A0">
        <w:rPr>
          <w:rFonts w:cs="Arial"/>
          <w:noProof/>
        </w:rPr>
        <w:t>7</w:t>
      </w:r>
      <w:r w:rsidRPr="005D74D1">
        <w:rPr>
          <w:rFonts w:cs="Arial"/>
        </w:rPr>
        <w:fldChar w:fldCharType="end"/>
      </w:r>
      <w:bookmarkEnd w:id="139"/>
      <w:r w:rsidRPr="005D74D1">
        <w:rPr>
          <w:rFonts w:cs="Arial"/>
        </w:rPr>
        <w:t xml:space="preserve">. </w:t>
      </w:r>
      <w:r w:rsidR="006F6EF3" w:rsidRPr="005D74D1">
        <w:rPr>
          <w:rFonts w:cs="Arial"/>
        </w:rPr>
        <w:t>KEQs</w:t>
      </w:r>
      <w:r w:rsidR="006E1BAD" w:rsidRPr="005D74D1">
        <w:rPr>
          <w:rFonts w:cs="Arial"/>
        </w:rPr>
        <w:t xml:space="preserve"> and </w:t>
      </w:r>
      <w:r w:rsidR="00DD4A1A" w:rsidRPr="005D74D1">
        <w:rPr>
          <w:rFonts w:cs="Arial"/>
        </w:rPr>
        <w:t xml:space="preserve">associated </w:t>
      </w:r>
      <w:r w:rsidR="002470BF" w:rsidRPr="005D74D1">
        <w:rPr>
          <w:rFonts w:cs="Arial"/>
        </w:rPr>
        <w:t>sub-questions</w:t>
      </w:r>
      <w:bookmarkEnd w:id="140"/>
    </w:p>
    <w:tbl>
      <w:tblPr>
        <w:tblStyle w:val="PlainTable1"/>
        <w:tblW w:w="5000" w:type="pct"/>
        <w:tblBorders>
          <w:top w:val="single" w:sz="4" w:space="0" w:color="231EDC" w:themeColor="accent1"/>
          <w:left w:val="single" w:sz="4" w:space="0" w:color="231EDC" w:themeColor="accent1"/>
          <w:bottom w:val="single" w:sz="4" w:space="0" w:color="231EDC" w:themeColor="accent1"/>
          <w:right w:val="single" w:sz="4" w:space="0" w:color="231EDC" w:themeColor="accent1"/>
          <w:insideH w:val="single" w:sz="4" w:space="0" w:color="231EDC" w:themeColor="accent1"/>
          <w:insideV w:val="single" w:sz="4" w:space="0" w:color="231EDC" w:themeColor="accent1"/>
        </w:tblBorders>
        <w:tblLook w:val="04A0" w:firstRow="1" w:lastRow="0" w:firstColumn="1" w:lastColumn="0" w:noHBand="0" w:noVBand="1"/>
      </w:tblPr>
      <w:tblGrid>
        <w:gridCol w:w="2245"/>
        <w:gridCol w:w="7383"/>
      </w:tblGrid>
      <w:tr w:rsidR="0079143D" w:rsidRPr="005D74D1" w14:paraId="3F73F903" w14:textId="77777777" w:rsidTr="00140664">
        <w:trPr>
          <w:cnfStyle w:val="100000000000" w:firstRow="1" w:lastRow="0" w:firstColumn="0" w:lastColumn="0" w:oddVBand="0" w:evenVBand="0" w:oddHBand="0" w:evenHBand="0" w:firstRowFirstColumn="0" w:firstRowLastColumn="0" w:lastRowFirstColumn="0" w:lastRowLastColumn="0"/>
          <w:trHeight w:val="521"/>
          <w:tblHeader/>
        </w:trPr>
        <w:tc>
          <w:tcPr>
            <w:cnfStyle w:val="001000000000" w:firstRow="0" w:lastRow="0" w:firstColumn="1" w:lastColumn="0" w:oddVBand="0" w:evenVBand="0" w:oddHBand="0" w:evenHBand="0" w:firstRowFirstColumn="0" w:firstRowLastColumn="0" w:lastRowFirstColumn="0" w:lastRowLastColumn="0"/>
            <w:tcW w:w="1166" w:type="pct"/>
            <w:shd w:val="clear" w:color="auto" w:fill="231EDC" w:themeFill="accent1"/>
            <w:vAlign w:val="center"/>
          </w:tcPr>
          <w:p w14:paraId="39DDC043" w14:textId="66627416" w:rsidR="0079143D" w:rsidRPr="00A134A7" w:rsidRDefault="00A13A3A" w:rsidP="007D0416">
            <w:pPr>
              <w:pStyle w:val="TableHeadingWhite"/>
              <w:rPr>
                <w:rFonts w:cs="Arial"/>
                <w:b/>
                <w:bCs w:val="0"/>
                <w:lang w:val="en-AU"/>
              </w:rPr>
            </w:pPr>
            <w:r w:rsidRPr="005D74D1">
              <w:rPr>
                <w:rFonts w:cs="Arial"/>
              </w:rPr>
              <w:t xml:space="preserve">Domains and </w:t>
            </w:r>
            <w:r w:rsidR="00A25BCD" w:rsidRPr="005D74D1">
              <w:rPr>
                <w:rFonts w:cs="Arial"/>
              </w:rPr>
              <w:t>KEQs</w:t>
            </w:r>
          </w:p>
        </w:tc>
        <w:tc>
          <w:tcPr>
            <w:tcW w:w="3834" w:type="pct"/>
            <w:shd w:val="clear" w:color="auto" w:fill="231EDC" w:themeFill="accent1"/>
            <w:vAlign w:val="center"/>
          </w:tcPr>
          <w:p w14:paraId="0B259259" w14:textId="49448D77" w:rsidR="0079143D" w:rsidRPr="00A134A7" w:rsidRDefault="002470BF" w:rsidP="007D0416">
            <w:pPr>
              <w:pStyle w:val="TableHeadingWhite"/>
              <w:cnfStyle w:val="100000000000" w:firstRow="1" w:lastRow="0" w:firstColumn="0" w:lastColumn="0" w:oddVBand="0" w:evenVBand="0" w:oddHBand="0" w:evenHBand="0" w:firstRowFirstColumn="0" w:firstRowLastColumn="0" w:lastRowFirstColumn="0" w:lastRowLastColumn="0"/>
              <w:rPr>
                <w:rFonts w:cs="Arial"/>
                <w:b/>
                <w:bCs w:val="0"/>
                <w:lang w:val="en-AU"/>
              </w:rPr>
            </w:pPr>
            <w:r w:rsidRPr="005D74D1">
              <w:rPr>
                <w:rFonts w:cs="Arial"/>
              </w:rPr>
              <w:t>Sub</w:t>
            </w:r>
            <w:r w:rsidR="006046DF" w:rsidRPr="005D74D1">
              <w:rPr>
                <w:rFonts w:cs="Arial"/>
              </w:rPr>
              <w:t>-</w:t>
            </w:r>
            <w:r w:rsidRPr="005D74D1">
              <w:rPr>
                <w:rFonts w:cs="Arial"/>
              </w:rPr>
              <w:t>question</w:t>
            </w:r>
            <w:r w:rsidR="00003A70" w:rsidRPr="005D74D1">
              <w:rPr>
                <w:rFonts w:cs="Arial"/>
              </w:rPr>
              <w:t>s</w:t>
            </w:r>
          </w:p>
        </w:tc>
      </w:tr>
      <w:tr w:rsidR="007212C0" w:rsidRPr="005D74D1" w14:paraId="45F8981B" w14:textId="77777777" w:rsidTr="00140664">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0" w:type="pct"/>
            <w:gridSpan w:val="2"/>
            <w:shd w:val="clear" w:color="auto" w:fill="C8C8C8" w:themeFill="accent6"/>
          </w:tcPr>
          <w:p w14:paraId="32822600" w14:textId="77777777" w:rsidR="007212C0" w:rsidRPr="005D74D1" w:rsidRDefault="007212C0" w:rsidP="00D442E3">
            <w:pPr>
              <w:pStyle w:val="TableText"/>
              <w:rPr>
                <w:rFonts w:cs="Arial"/>
                <w:lang w:val="en-AU"/>
              </w:rPr>
            </w:pPr>
            <w:bookmarkStart w:id="141" w:name="_Hlk147067177"/>
            <w:r w:rsidRPr="005D74D1">
              <w:rPr>
                <w:rFonts w:cs="Arial"/>
                <w:lang w:val="en-AU"/>
              </w:rPr>
              <w:t>Impact</w:t>
            </w:r>
          </w:p>
        </w:tc>
      </w:tr>
      <w:tr w:rsidR="00017C08" w:rsidRPr="005D74D1" w14:paraId="51FF7CAC" w14:textId="77777777" w:rsidTr="00140664">
        <w:tc>
          <w:tcPr>
            <w:cnfStyle w:val="001000000000" w:firstRow="0" w:lastRow="0" w:firstColumn="1" w:lastColumn="0" w:oddVBand="0" w:evenVBand="0" w:oddHBand="0" w:evenHBand="0" w:firstRowFirstColumn="0" w:firstRowLastColumn="0" w:lastRowFirstColumn="0" w:lastRowLastColumn="0"/>
            <w:tcW w:w="1166" w:type="pct"/>
          </w:tcPr>
          <w:p w14:paraId="3E3BA76C" w14:textId="39F268F2" w:rsidR="00017C08" w:rsidRPr="005D74D1" w:rsidRDefault="00017C08" w:rsidP="007601C9">
            <w:pPr>
              <w:pStyle w:val="TableText"/>
              <w:rPr>
                <w:rFonts w:cs="Arial"/>
                <w:b w:val="0"/>
                <w:lang w:val="en-AU"/>
              </w:rPr>
            </w:pPr>
            <w:r w:rsidRPr="005D74D1">
              <w:rPr>
                <w:rFonts w:cs="Arial"/>
                <w:b w:val="0"/>
                <w:bCs w:val="0"/>
                <w:lang w:val="en-AU"/>
              </w:rPr>
              <w:t xml:space="preserve">To what extent </w:t>
            </w:r>
            <w:r w:rsidR="00285C56" w:rsidRPr="005D74D1">
              <w:rPr>
                <w:rFonts w:cs="Arial"/>
                <w:b w:val="0"/>
                <w:bCs w:val="0"/>
                <w:lang w:val="en-AU"/>
              </w:rPr>
              <w:t>did</w:t>
            </w:r>
            <w:r w:rsidRPr="005D74D1">
              <w:rPr>
                <w:rFonts w:cs="Arial"/>
                <w:b w:val="0"/>
                <w:bCs w:val="0"/>
                <w:lang w:val="en-AU"/>
              </w:rPr>
              <w:t xml:space="preserve"> EC5 achieve the desired outcomes</w:t>
            </w:r>
            <w:r w:rsidR="00361D9A" w:rsidRPr="005D74D1">
              <w:rPr>
                <w:rFonts w:cs="Arial"/>
                <w:b w:val="0"/>
                <w:bCs w:val="0"/>
                <w:lang w:val="en-AU"/>
              </w:rPr>
              <w:t>?</w:t>
            </w:r>
            <w:r w:rsidR="00F614E4" w:rsidRPr="005D74D1">
              <w:rPr>
                <w:rFonts w:cs="Arial"/>
                <w:b w:val="0"/>
                <w:bCs w:val="0"/>
                <w:lang w:val="en-AU"/>
              </w:rPr>
              <w:t xml:space="preserve"> </w:t>
            </w:r>
          </w:p>
        </w:tc>
        <w:tc>
          <w:tcPr>
            <w:tcW w:w="3834" w:type="pct"/>
          </w:tcPr>
          <w:p w14:paraId="7EB17A3F" w14:textId="77777777" w:rsidR="00017C08" w:rsidRPr="00A134A7" w:rsidRDefault="00017C08" w:rsidP="00D442E3">
            <w:pPr>
              <w:pStyle w:val="TableBullet"/>
              <w:cnfStyle w:val="000000000000" w:firstRow="0" w:lastRow="0" w:firstColumn="0" w:lastColumn="0" w:oddVBand="0" w:evenVBand="0" w:oddHBand="0" w:evenHBand="0" w:firstRowFirstColumn="0" w:firstRowLastColumn="0" w:lastRowFirstColumn="0" w:lastRowLastColumn="0"/>
              <w:rPr>
                <w:rFonts w:cs="Arial"/>
                <w:lang w:val="en-AU"/>
              </w:rPr>
            </w:pPr>
            <w:r w:rsidRPr="00A134A7">
              <w:rPr>
                <w:rFonts w:cs="Arial"/>
                <w:lang w:val="en-AU"/>
              </w:rPr>
              <w:t>Water security: What progress has been made toward secure and resilient water systems?</w:t>
            </w:r>
          </w:p>
          <w:p w14:paraId="277F8E9B" w14:textId="3F693752" w:rsidR="00017C08" w:rsidRPr="00A134A7" w:rsidRDefault="00017C08" w:rsidP="00D442E3">
            <w:pPr>
              <w:pStyle w:val="TableBullet"/>
              <w:cnfStyle w:val="000000000000" w:firstRow="0" w:lastRow="0" w:firstColumn="0" w:lastColumn="0" w:oddVBand="0" w:evenVBand="0" w:oddHBand="0" w:evenHBand="0" w:firstRowFirstColumn="0" w:firstRowLastColumn="0" w:lastRowFirstColumn="0" w:lastRowLastColumn="0"/>
              <w:rPr>
                <w:rFonts w:cs="Arial"/>
                <w:lang w:val="en-AU"/>
              </w:rPr>
            </w:pPr>
            <w:r w:rsidRPr="00A134A7">
              <w:rPr>
                <w:rFonts w:cs="Arial"/>
                <w:lang w:val="en-AU"/>
              </w:rPr>
              <w:t>Water efficiency: What progress has been made toward efficient water use?</w:t>
            </w:r>
          </w:p>
          <w:p w14:paraId="2A8CA17C" w14:textId="79047DF5" w:rsidR="00017C08" w:rsidRPr="00A134A7" w:rsidRDefault="00017C08" w:rsidP="00D442E3">
            <w:pPr>
              <w:pStyle w:val="TableBullet"/>
              <w:cnfStyle w:val="000000000000" w:firstRow="0" w:lastRow="0" w:firstColumn="0" w:lastColumn="0" w:oddVBand="0" w:evenVBand="0" w:oddHBand="0" w:evenHBand="0" w:firstRowFirstColumn="0" w:firstRowLastColumn="0" w:lastRowFirstColumn="0" w:lastRowLastColumn="0"/>
              <w:rPr>
                <w:rFonts w:cs="Arial"/>
                <w:lang w:val="en-AU"/>
              </w:rPr>
            </w:pPr>
            <w:r w:rsidRPr="00A134A7">
              <w:rPr>
                <w:rFonts w:cs="Arial"/>
                <w:lang w:val="en-AU"/>
              </w:rPr>
              <w:t>Waterway and catchment health: How have risks to priority waterways and catchment health been reduced?</w:t>
            </w:r>
          </w:p>
          <w:p w14:paraId="547D1905" w14:textId="75961D91" w:rsidR="00017C08" w:rsidRPr="00A134A7" w:rsidRDefault="00017C08" w:rsidP="00D442E3">
            <w:pPr>
              <w:pStyle w:val="TableBullet"/>
              <w:cnfStyle w:val="000000000000" w:firstRow="0" w:lastRow="0" w:firstColumn="0" w:lastColumn="0" w:oddVBand="0" w:evenVBand="0" w:oddHBand="0" w:evenHBand="0" w:firstRowFirstColumn="0" w:firstRowLastColumn="0" w:lastRowFirstColumn="0" w:lastRowLastColumn="0"/>
              <w:rPr>
                <w:rFonts w:cs="Arial"/>
                <w:lang w:val="en-AU"/>
              </w:rPr>
            </w:pPr>
            <w:r w:rsidRPr="00A134A7">
              <w:rPr>
                <w:rFonts w:cs="Arial"/>
                <w:lang w:val="en-AU"/>
              </w:rPr>
              <w:t>Traditional Owner priorities: To what extent were Traditional Owner priorities furthered?</w:t>
            </w:r>
          </w:p>
          <w:p w14:paraId="65B6D70A" w14:textId="77777777" w:rsidR="00017C08" w:rsidRPr="00A134A7" w:rsidRDefault="00017C08" w:rsidP="00D442E3">
            <w:pPr>
              <w:pStyle w:val="TableBullet"/>
              <w:cnfStyle w:val="000000000000" w:firstRow="0" w:lastRow="0" w:firstColumn="0" w:lastColumn="0" w:oddVBand="0" w:evenVBand="0" w:oddHBand="0" w:evenHBand="0" w:firstRowFirstColumn="0" w:firstRowLastColumn="0" w:lastRowFirstColumn="0" w:lastRowLastColumn="0"/>
              <w:rPr>
                <w:rFonts w:cs="Arial"/>
                <w:lang w:val="en-AU"/>
              </w:rPr>
            </w:pPr>
            <w:r w:rsidRPr="00A134A7">
              <w:rPr>
                <w:rFonts w:cs="Arial"/>
                <w:lang w:val="en-AU"/>
              </w:rPr>
              <w:t>Inclusive management: To what extent were social and community values incorporated into water management?</w:t>
            </w:r>
          </w:p>
          <w:p w14:paraId="18B709D4" w14:textId="77777777" w:rsidR="00017C08" w:rsidRPr="00A134A7" w:rsidRDefault="00017C08" w:rsidP="00D442E3">
            <w:pPr>
              <w:pStyle w:val="TableBullet"/>
              <w:cnfStyle w:val="000000000000" w:firstRow="0" w:lastRow="0" w:firstColumn="0" w:lastColumn="0" w:oddVBand="0" w:evenVBand="0" w:oddHBand="0" w:evenHBand="0" w:firstRowFirstColumn="0" w:firstRowLastColumn="0" w:lastRowFirstColumn="0" w:lastRowLastColumn="0"/>
              <w:rPr>
                <w:rFonts w:cs="Arial"/>
                <w:lang w:val="en-AU"/>
              </w:rPr>
            </w:pPr>
            <w:r w:rsidRPr="00A134A7">
              <w:rPr>
                <w:rFonts w:cs="Arial"/>
                <w:lang w:val="en-AU"/>
              </w:rPr>
              <w:t>Water governance: To what extent was the effectiveness of water governance improved?</w:t>
            </w:r>
          </w:p>
          <w:p w14:paraId="1FFC3798" w14:textId="3F47A333" w:rsidR="00BC4AA9" w:rsidRPr="00A134A7" w:rsidRDefault="00017C08" w:rsidP="00D442E3">
            <w:pPr>
              <w:pStyle w:val="TableBullet"/>
              <w:cnfStyle w:val="000000000000" w:firstRow="0" w:lastRow="0" w:firstColumn="0" w:lastColumn="0" w:oddVBand="0" w:evenVBand="0" w:oddHBand="0" w:evenHBand="0" w:firstRowFirstColumn="0" w:firstRowLastColumn="0" w:lastRowFirstColumn="0" w:lastRowLastColumn="0"/>
              <w:rPr>
                <w:rFonts w:cs="Arial"/>
                <w:lang w:val="en-AU"/>
              </w:rPr>
            </w:pPr>
            <w:r w:rsidRPr="00A134A7">
              <w:rPr>
                <w:rFonts w:cs="Arial"/>
                <w:lang w:val="en-AU"/>
              </w:rPr>
              <w:t>To what extent has ongoing, foundational work, supported other programs and improved data availability and decision</w:t>
            </w:r>
            <w:r w:rsidR="00A81B74" w:rsidRPr="00A134A7">
              <w:rPr>
                <w:rFonts w:cs="Arial"/>
                <w:lang w:val="en-AU"/>
              </w:rPr>
              <w:t>-</w:t>
            </w:r>
            <w:r w:rsidRPr="00A134A7">
              <w:rPr>
                <w:rFonts w:cs="Arial"/>
                <w:lang w:val="en-AU"/>
              </w:rPr>
              <w:t>making?</w:t>
            </w:r>
          </w:p>
          <w:p w14:paraId="41360F8D" w14:textId="0F6A63CE" w:rsidR="00112591" w:rsidRPr="00A134A7" w:rsidRDefault="00BC4AA9" w:rsidP="00D442E3">
            <w:pPr>
              <w:pStyle w:val="TableBullet"/>
              <w:cnfStyle w:val="000000000000" w:firstRow="0" w:lastRow="0" w:firstColumn="0" w:lastColumn="0" w:oddVBand="0" w:evenVBand="0" w:oddHBand="0" w:evenHBand="0" w:firstRowFirstColumn="0" w:firstRowLastColumn="0" w:lastRowFirstColumn="0" w:lastRowLastColumn="0"/>
              <w:rPr>
                <w:rFonts w:cs="Arial"/>
                <w:lang w:val="en-AU"/>
              </w:rPr>
            </w:pPr>
            <w:r w:rsidRPr="00A134A7">
              <w:rPr>
                <w:rFonts w:cs="Arial"/>
                <w:lang w:val="en-AU"/>
              </w:rPr>
              <w:t>What unintended outcomes (positive or negative) have arisen?</w:t>
            </w:r>
          </w:p>
        </w:tc>
      </w:tr>
      <w:bookmarkEnd w:id="141"/>
      <w:tr w:rsidR="0079143D" w:rsidRPr="005D74D1" w14:paraId="1BBC5E20" w14:textId="77777777" w:rsidTr="00140664">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0" w:type="pct"/>
            <w:gridSpan w:val="2"/>
            <w:shd w:val="clear" w:color="auto" w:fill="C8C8C8" w:themeFill="accent6"/>
            <w:vAlign w:val="center"/>
          </w:tcPr>
          <w:p w14:paraId="3D26FCC8" w14:textId="475D35C2" w:rsidR="0079143D" w:rsidRPr="005D74D1" w:rsidRDefault="0079143D" w:rsidP="00D442E3">
            <w:pPr>
              <w:pStyle w:val="TableText"/>
              <w:rPr>
                <w:rFonts w:cs="Arial"/>
                <w:lang w:val="en-AU"/>
              </w:rPr>
            </w:pPr>
            <w:r w:rsidRPr="005D74D1">
              <w:rPr>
                <w:rFonts w:cs="Arial"/>
                <w:lang w:val="en-AU"/>
              </w:rPr>
              <w:t>Effect</w:t>
            </w:r>
            <w:r w:rsidR="004668D3" w:rsidRPr="005D74D1">
              <w:rPr>
                <w:rFonts w:cs="Arial"/>
                <w:lang w:val="en-AU"/>
              </w:rPr>
              <w:t>iveness</w:t>
            </w:r>
          </w:p>
        </w:tc>
      </w:tr>
      <w:tr w:rsidR="0079143D" w:rsidRPr="005D74D1" w14:paraId="1A67DD8B" w14:textId="77777777" w:rsidTr="00140664">
        <w:tc>
          <w:tcPr>
            <w:cnfStyle w:val="001000000000" w:firstRow="0" w:lastRow="0" w:firstColumn="1" w:lastColumn="0" w:oddVBand="0" w:evenVBand="0" w:oddHBand="0" w:evenHBand="0" w:firstRowFirstColumn="0" w:firstRowLastColumn="0" w:lastRowFirstColumn="0" w:lastRowLastColumn="0"/>
            <w:tcW w:w="1166" w:type="pct"/>
          </w:tcPr>
          <w:p w14:paraId="2255A06F" w14:textId="0E643B00" w:rsidR="0079143D" w:rsidRPr="005D74D1" w:rsidRDefault="00017C08" w:rsidP="007601C9">
            <w:pPr>
              <w:pStyle w:val="TableText"/>
              <w:rPr>
                <w:rFonts w:cs="Arial"/>
                <w:b w:val="0"/>
                <w:lang w:val="en-AU"/>
              </w:rPr>
            </w:pPr>
            <w:r w:rsidRPr="005D74D1">
              <w:rPr>
                <w:rFonts w:cs="Arial"/>
                <w:b w:val="0"/>
                <w:bCs w:val="0"/>
                <w:lang w:val="en-AU"/>
              </w:rPr>
              <w:t>To what extent was EC5 designed and delivered effectively?</w:t>
            </w:r>
          </w:p>
        </w:tc>
        <w:tc>
          <w:tcPr>
            <w:tcW w:w="3834" w:type="pct"/>
          </w:tcPr>
          <w:p w14:paraId="35392A7B" w14:textId="6D1F80B4" w:rsidR="00CB6472" w:rsidRPr="00A134A7" w:rsidRDefault="00CB6472" w:rsidP="007601C9">
            <w:pPr>
              <w:pStyle w:val="TableBullet"/>
              <w:cnfStyle w:val="000000000000" w:firstRow="0" w:lastRow="0" w:firstColumn="0" w:lastColumn="0" w:oddVBand="0" w:evenVBand="0" w:oddHBand="0" w:evenHBand="0" w:firstRowFirstColumn="0" w:firstRowLastColumn="0" w:lastRowFirstColumn="0" w:lastRowLastColumn="0"/>
              <w:rPr>
                <w:rFonts w:cs="Arial"/>
                <w:lang w:val="en-AU"/>
              </w:rPr>
            </w:pPr>
            <w:r w:rsidRPr="00A134A7">
              <w:rPr>
                <w:rFonts w:cs="Arial"/>
                <w:lang w:val="en-AU"/>
              </w:rPr>
              <w:t>What worked well and did not work well about the way EC5 was delivered?</w:t>
            </w:r>
          </w:p>
          <w:p w14:paraId="689E70BA" w14:textId="3812F65E" w:rsidR="0079143D" w:rsidRPr="00A134A7" w:rsidRDefault="00462C88" w:rsidP="007601C9">
            <w:pPr>
              <w:pStyle w:val="TableBullet"/>
              <w:cnfStyle w:val="000000000000" w:firstRow="0" w:lastRow="0" w:firstColumn="0" w:lastColumn="0" w:oddVBand="0" w:evenVBand="0" w:oddHBand="0" w:evenHBand="0" w:firstRowFirstColumn="0" w:firstRowLastColumn="0" w:lastRowFirstColumn="0" w:lastRowLastColumn="0"/>
              <w:rPr>
                <w:rFonts w:cs="Arial"/>
                <w:lang w:val="en-AU"/>
              </w:rPr>
            </w:pPr>
            <w:r w:rsidRPr="00A134A7">
              <w:rPr>
                <w:rFonts w:cs="Arial"/>
                <w:lang w:val="en-AU"/>
              </w:rPr>
              <w:t>To what extent did funding support the adaptation of projects in response to changing contexts? (</w:t>
            </w:r>
            <w:r w:rsidR="007E34A7" w:rsidRPr="00A134A7">
              <w:rPr>
                <w:rFonts w:cs="Arial"/>
                <w:lang w:val="en-AU"/>
              </w:rPr>
              <w:t>F</w:t>
            </w:r>
            <w:r w:rsidR="00C33843" w:rsidRPr="00A134A7">
              <w:rPr>
                <w:rFonts w:cs="Arial"/>
                <w:lang w:val="en-AU"/>
              </w:rPr>
              <w:t>or example,</w:t>
            </w:r>
            <w:r w:rsidRPr="00A134A7">
              <w:rPr>
                <w:rFonts w:cs="Arial"/>
                <w:lang w:val="en-AU"/>
              </w:rPr>
              <w:t xml:space="preserve"> COVID</w:t>
            </w:r>
            <w:r w:rsidR="00EC6A06" w:rsidRPr="00A134A7">
              <w:rPr>
                <w:rFonts w:cs="Arial"/>
                <w:lang w:val="en-AU"/>
              </w:rPr>
              <w:t>-19 pandemic</w:t>
            </w:r>
            <w:r w:rsidRPr="00A134A7">
              <w:rPr>
                <w:rFonts w:cs="Arial"/>
                <w:lang w:val="en-AU"/>
              </w:rPr>
              <w:t>, floods, bushfire)</w:t>
            </w:r>
          </w:p>
          <w:p w14:paraId="32DE3179" w14:textId="5B843D74" w:rsidR="0079143D" w:rsidRPr="005D74D1" w:rsidRDefault="0079143D" w:rsidP="007601C9">
            <w:pPr>
              <w:pStyle w:val="TableBullet"/>
              <w:cnfStyle w:val="000000000000" w:firstRow="0" w:lastRow="0" w:firstColumn="0" w:lastColumn="0" w:oddVBand="0" w:evenVBand="0" w:oddHBand="0" w:evenHBand="0" w:firstRowFirstColumn="0" w:firstRowLastColumn="0" w:lastRowFirstColumn="0" w:lastRowLastColumn="0"/>
              <w:rPr>
                <w:rFonts w:cs="Arial"/>
                <w:lang w:val="en-AU"/>
              </w:rPr>
            </w:pPr>
            <w:r w:rsidRPr="00A134A7">
              <w:rPr>
                <w:rFonts w:cs="Arial"/>
                <w:lang w:val="en-AU"/>
              </w:rPr>
              <w:t>To what extent did projects develop and work in partnership with other parts of government, other organisations, and community?</w:t>
            </w:r>
          </w:p>
        </w:tc>
      </w:tr>
      <w:tr w:rsidR="004668D3" w:rsidRPr="005D74D1" w14:paraId="47888833" w14:textId="77777777" w:rsidTr="00140664">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0" w:type="pct"/>
            <w:gridSpan w:val="2"/>
            <w:shd w:val="clear" w:color="auto" w:fill="C8C8C8" w:themeFill="accent6"/>
            <w:vAlign w:val="center"/>
          </w:tcPr>
          <w:p w14:paraId="14C79414" w14:textId="6AF794A4" w:rsidR="004668D3" w:rsidRPr="005D74D1" w:rsidRDefault="004668D3" w:rsidP="00D442E3">
            <w:pPr>
              <w:pStyle w:val="TableText"/>
              <w:rPr>
                <w:rFonts w:cs="Arial"/>
                <w:lang w:val="en-AU"/>
              </w:rPr>
            </w:pPr>
            <w:r w:rsidRPr="005D74D1">
              <w:rPr>
                <w:rFonts w:cs="Arial"/>
                <w:lang w:val="en-AU"/>
              </w:rPr>
              <w:t>Appropriateness</w:t>
            </w:r>
          </w:p>
        </w:tc>
      </w:tr>
      <w:tr w:rsidR="00F614E4" w:rsidRPr="005D74D1" w14:paraId="430178B2" w14:textId="77777777" w:rsidTr="00140664">
        <w:tc>
          <w:tcPr>
            <w:cnfStyle w:val="001000000000" w:firstRow="0" w:lastRow="0" w:firstColumn="1" w:lastColumn="0" w:oddVBand="0" w:evenVBand="0" w:oddHBand="0" w:evenHBand="0" w:firstRowFirstColumn="0" w:firstRowLastColumn="0" w:lastRowFirstColumn="0" w:lastRowLastColumn="0"/>
            <w:tcW w:w="1166" w:type="pct"/>
          </w:tcPr>
          <w:p w14:paraId="791D7ED7" w14:textId="43EA7BF5" w:rsidR="00F614E4" w:rsidRPr="005D74D1" w:rsidRDefault="00F614E4" w:rsidP="007601C9">
            <w:pPr>
              <w:pStyle w:val="TableText"/>
              <w:rPr>
                <w:rFonts w:cs="Arial"/>
                <w:b w:val="0"/>
                <w:bCs w:val="0"/>
                <w:lang w:val="en-AU"/>
              </w:rPr>
            </w:pPr>
            <w:r w:rsidRPr="005D74D1">
              <w:rPr>
                <w:rFonts w:cs="Arial"/>
                <w:b w:val="0"/>
                <w:bCs w:val="0"/>
                <w:lang w:val="en-AU"/>
              </w:rPr>
              <w:t xml:space="preserve">How suitable were the EC5 investments given the </w:t>
            </w:r>
            <w:r w:rsidR="00EC6A06" w:rsidRPr="005D74D1">
              <w:rPr>
                <w:rFonts w:cs="Arial"/>
                <w:b w:val="0"/>
                <w:bCs w:val="0"/>
                <w:lang w:val="en-AU"/>
              </w:rPr>
              <w:t>intended</w:t>
            </w:r>
            <w:r w:rsidRPr="005D74D1">
              <w:rPr>
                <w:rFonts w:cs="Arial"/>
                <w:b w:val="0"/>
                <w:bCs w:val="0"/>
                <w:lang w:val="en-AU"/>
              </w:rPr>
              <w:t xml:space="preserve"> objectives?</w:t>
            </w:r>
          </w:p>
        </w:tc>
        <w:tc>
          <w:tcPr>
            <w:tcW w:w="3834" w:type="pct"/>
          </w:tcPr>
          <w:p w14:paraId="59C038FC" w14:textId="77777777" w:rsidR="00F614E4" w:rsidRPr="00A134A7" w:rsidRDefault="00F614E4" w:rsidP="007601C9">
            <w:pPr>
              <w:pStyle w:val="TableBullet"/>
              <w:cnfStyle w:val="000000000000" w:firstRow="0" w:lastRow="0" w:firstColumn="0" w:lastColumn="0" w:oddVBand="0" w:evenVBand="0" w:oddHBand="0" w:evenHBand="0" w:firstRowFirstColumn="0" w:firstRowLastColumn="0" w:lastRowFirstColumn="0" w:lastRowLastColumn="0"/>
              <w:rPr>
                <w:rFonts w:cs="Arial"/>
                <w:lang w:val="en-AU"/>
              </w:rPr>
            </w:pPr>
            <w:r w:rsidRPr="00A134A7">
              <w:rPr>
                <w:rFonts w:cs="Arial"/>
                <w:lang w:val="en-AU"/>
              </w:rPr>
              <w:t>To what extent was funding allocated in line with the legislated objectives of the EC and guided by key water management strategies?</w:t>
            </w:r>
          </w:p>
          <w:p w14:paraId="6AE735A2" w14:textId="460A10AD" w:rsidR="00F614E4" w:rsidRPr="005D74D1" w:rsidRDefault="00F614E4" w:rsidP="007601C9">
            <w:pPr>
              <w:pStyle w:val="TableBullet"/>
              <w:cnfStyle w:val="000000000000" w:firstRow="0" w:lastRow="0" w:firstColumn="0" w:lastColumn="0" w:oddVBand="0" w:evenVBand="0" w:oddHBand="0" w:evenHBand="0" w:firstRowFirstColumn="0" w:firstRowLastColumn="0" w:lastRowFirstColumn="0" w:lastRowLastColumn="0"/>
              <w:rPr>
                <w:rFonts w:cs="Arial"/>
                <w:lang w:val="en-AU"/>
              </w:rPr>
            </w:pPr>
            <w:r w:rsidRPr="00A134A7">
              <w:rPr>
                <w:rFonts w:cs="Arial"/>
                <w:lang w:val="en-AU"/>
              </w:rPr>
              <w:t xml:space="preserve">To what extent did EC funded </w:t>
            </w:r>
            <w:r w:rsidR="00C91450" w:rsidRPr="00A134A7">
              <w:rPr>
                <w:rFonts w:cs="Arial"/>
                <w:lang w:val="en-AU"/>
              </w:rPr>
              <w:t>projects</w:t>
            </w:r>
            <w:r w:rsidR="00BC4AA9" w:rsidRPr="00A134A7">
              <w:rPr>
                <w:rFonts w:cs="Arial"/>
                <w:lang w:val="en-AU"/>
              </w:rPr>
              <w:t xml:space="preserve"> </w:t>
            </w:r>
            <w:r w:rsidRPr="00A134A7">
              <w:rPr>
                <w:rFonts w:cs="Arial"/>
                <w:lang w:val="en-AU"/>
              </w:rPr>
              <w:t>use monitoring and evaluation data to improve management (adaptive management)?</w:t>
            </w:r>
          </w:p>
        </w:tc>
      </w:tr>
      <w:tr w:rsidR="004668D3" w:rsidRPr="005D74D1" w14:paraId="5431196E" w14:textId="77777777" w:rsidTr="00140664">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0" w:type="pct"/>
            <w:gridSpan w:val="2"/>
            <w:shd w:val="clear" w:color="auto" w:fill="C8C8C8" w:themeFill="accent6"/>
            <w:vAlign w:val="center"/>
          </w:tcPr>
          <w:p w14:paraId="3F3AF761" w14:textId="3C435884" w:rsidR="004668D3" w:rsidRPr="005D74D1" w:rsidRDefault="004668D3" w:rsidP="00D442E3">
            <w:pPr>
              <w:pStyle w:val="TableText"/>
              <w:rPr>
                <w:rFonts w:cs="Arial"/>
                <w:lang w:val="en-AU"/>
              </w:rPr>
            </w:pPr>
            <w:r w:rsidRPr="005D74D1">
              <w:rPr>
                <w:rFonts w:cs="Arial"/>
                <w:lang w:val="en-AU"/>
              </w:rPr>
              <w:t>Efficiency</w:t>
            </w:r>
          </w:p>
        </w:tc>
      </w:tr>
      <w:tr w:rsidR="008D54C7" w:rsidRPr="005D74D1" w14:paraId="506ADC66" w14:textId="77777777" w:rsidTr="00140664">
        <w:tc>
          <w:tcPr>
            <w:cnfStyle w:val="001000000000" w:firstRow="0" w:lastRow="0" w:firstColumn="1" w:lastColumn="0" w:oddVBand="0" w:evenVBand="0" w:oddHBand="0" w:evenHBand="0" w:firstRowFirstColumn="0" w:firstRowLastColumn="0" w:lastRowFirstColumn="0" w:lastRowLastColumn="0"/>
            <w:tcW w:w="1166" w:type="pct"/>
          </w:tcPr>
          <w:p w14:paraId="4AB03277" w14:textId="739C0F7E" w:rsidR="008D54C7" w:rsidRPr="00A134A7" w:rsidRDefault="008D54C7" w:rsidP="007601C9">
            <w:pPr>
              <w:pStyle w:val="TableText"/>
              <w:rPr>
                <w:rFonts w:cs="Arial"/>
                <w:b w:val="0"/>
                <w:lang w:val="en-AU"/>
              </w:rPr>
            </w:pPr>
            <w:r w:rsidRPr="005D74D1">
              <w:rPr>
                <w:rFonts w:cs="Arial"/>
              </w:rPr>
              <w:t>To what extent has EC5 demonstrated efficiency and value for money?</w:t>
            </w:r>
          </w:p>
        </w:tc>
        <w:tc>
          <w:tcPr>
            <w:tcW w:w="3834" w:type="pct"/>
          </w:tcPr>
          <w:p w14:paraId="64385505" w14:textId="23B0DC17" w:rsidR="008D54C7" w:rsidRPr="00A134A7" w:rsidRDefault="008D54C7" w:rsidP="007601C9">
            <w:pPr>
              <w:pStyle w:val="TableBullet"/>
              <w:cnfStyle w:val="000000000000" w:firstRow="0" w:lastRow="0" w:firstColumn="0" w:lastColumn="0" w:oddVBand="0" w:evenVBand="0" w:oddHBand="0" w:evenHBand="0" w:firstRowFirstColumn="0" w:firstRowLastColumn="0" w:lastRowFirstColumn="0" w:lastRowLastColumn="0"/>
              <w:rPr>
                <w:rFonts w:cs="Arial"/>
                <w:lang w:val="en-AU"/>
              </w:rPr>
            </w:pPr>
            <w:r w:rsidRPr="00A134A7">
              <w:rPr>
                <w:rFonts w:cs="Arial"/>
                <w:lang w:val="en-AU"/>
              </w:rPr>
              <w:t>How has EC5 demonstrated efficiency through delivery?</w:t>
            </w:r>
          </w:p>
          <w:p w14:paraId="7623A2AC" w14:textId="77777777" w:rsidR="008D54C7" w:rsidRPr="00A134A7" w:rsidRDefault="008D54C7" w:rsidP="007601C9">
            <w:pPr>
              <w:pStyle w:val="TableBullet"/>
              <w:cnfStyle w:val="000000000000" w:firstRow="0" w:lastRow="0" w:firstColumn="0" w:lastColumn="0" w:oddVBand="0" w:evenVBand="0" w:oddHBand="0" w:evenHBand="0" w:firstRowFirstColumn="0" w:firstRowLastColumn="0" w:lastRowFirstColumn="0" w:lastRowLastColumn="0"/>
              <w:rPr>
                <w:rFonts w:cs="Arial"/>
                <w:lang w:val="en-AU"/>
              </w:rPr>
            </w:pPr>
            <w:r w:rsidRPr="00A134A7">
              <w:rPr>
                <w:rFonts w:cs="Arial"/>
                <w:lang w:val="en-AU"/>
              </w:rPr>
              <w:t>To what extent were efficiencies gained through working together with others to achieve better outcomes?</w:t>
            </w:r>
          </w:p>
          <w:p w14:paraId="1C53D151" w14:textId="77777777" w:rsidR="008D54C7" w:rsidRPr="00A134A7" w:rsidRDefault="008D54C7" w:rsidP="007601C9">
            <w:pPr>
              <w:pStyle w:val="TableBullet"/>
              <w:cnfStyle w:val="000000000000" w:firstRow="0" w:lastRow="0" w:firstColumn="0" w:lastColumn="0" w:oddVBand="0" w:evenVBand="0" w:oddHBand="0" w:evenHBand="0" w:firstRowFirstColumn="0" w:firstRowLastColumn="0" w:lastRowFirstColumn="0" w:lastRowLastColumn="0"/>
              <w:rPr>
                <w:rFonts w:cs="Arial"/>
                <w:lang w:val="en-AU"/>
              </w:rPr>
            </w:pPr>
            <w:r w:rsidRPr="00A134A7">
              <w:rPr>
                <w:rFonts w:cs="Arial"/>
                <w:lang w:val="en-AU"/>
              </w:rPr>
              <w:t>Have initiatives leveraged additional funding sources and in what way was this leverage applied?</w:t>
            </w:r>
          </w:p>
          <w:p w14:paraId="65C84E25" w14:textId="5691CC71" w:rsidR="008D54C7" w:rsidRPr="005D74D1" w:rsidRDefault="008D54C7" w:rsidP="007601C9">
            <w:pPr>
              <w:pStyle w:val="TableBullet"/>
              <w:cnfStyle w:val="000000000000" w:firstRow="0" w:lastRow="0" w:firstColumn="0" w:lastColumn="0" w:oddVBand="0" w:evenVBand="0" w:oddHBand="0" w:evenHBand="0" w:firstRowFirstColumn="0" w:firstRowLastColumn="0" w:lastRowFirstColumn="0" w:lastRowLastColumn="0"/>
              <w:rPr>
                <w:rFonts w:cs="Arial"/>
                <w:lang w:val="en-AU"/>
              </w:rPr>
            </w:pPr>
            <w:r w:rsidRPr="00A134A7">
              <w:rPr>
                <w:rFonts w:cs="Arial"/>
                <w:lang w:val="en-AU"/>
              </w:rPr>
              <w:t>What evidence is there of initiatives undertaking options assessment and/or cost-benefit analysis of approaches?</w:t>
            </w:r>
          </w:p>
        </w:tc>
      </w:tr>
      <w:tr w:rsidR="00C348AA" w:rsidRPr="005D74D1" w14:paraId="25314F1C" w14:textId="77777777" w:rsidTr="00140664">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0" w:type="pct"/>
            <w:gridSpan w:val="2"/>
            <w:shd w:val="clear" w:color="auto" w:fill="C8C8C8" w:themeFill="accent6"/>
            <w:vAlign w:val="center"/>
          </w:tcPr>
          <w:p w14:paraId="5CF7B03F" w14:textId="7B2FF9C1" w:rsidR="00C348AA" w:rsidRPr="005D74D1" w:rsidRDefault="00C348AA" w:rsidP="00D442E3">
            <w:pPr>
              <w:pStyle w:val="TableText"/>
              <w:rPr>
                <w:rFonts w:cs="Arial"/>
                <w:lang w:val="en-AU"/>
              </w:rPr>
            </w:pPr>
            <w:r w:rsidRPr="005D74D1">
              <w:rPr>
                <w:rFonts w:cs="Arial"/>
                <w:lang w:val="en-AU"/>
              </w:rPr>
              <w:t>Legacy</w:t>
            </w:r>
          </w:p>
        </w:tc>
      </w:tr>
      <w:tr w:rsidR="00AD1D1C" w:rsidRPr="005D74D1" w14:paraId="09C24061" w14:textId="77777777" w:rsidTr="00140664">
        <w:trPr>
          <w:trHeight w:val="341"/>
        </w:trPr>
        <w:tc>
          <w:tcPr>
            <w:cnfStyle w:val="001000000000" w:firstRow="0" w:lastRow="0" w:firstColumn="1" w:lastColumn="0" w:oddVBand="0" w:evenVBand="0" w:oddHBand="0" w:evenHBand="0" w:firstRowFirstColumn="0" w:firstRowLastColumn="0" w:lastRowFirstColumn="0" w:lastRowLastColumn="0"/>
            <w:tcW w:w="0" w:type="pct"/>
            <w:gridSpan w:val="2"/>
            <w:vAlign w:val="center"/>
          </w:tcPr>
          <w:p w14:paraId="3DF20BFA" w14:textId="0A4C7401" w:rsidR="00AD1D1C" w:rsidRPr="005D74D1" w:rsidRDefault="00AD1D1C" w:rsidP="00D442E3">
            <w:pPr>
              <w:pStyle w:val="TableBullet"/>
              <w:rPr>
                <w:rFonts w:cs="Arial"/>
                <w:b w:val="0"/>
                <w:lang w:val="en-AU"/>
              </w:rPr>
            </w:pPr>
            <w:r w:rsidRPr="005D74D1">
              <w:rPr>
                <w:rFonts w:cs="Arial"/>
                <w:b w:val="0"/>
                <w:bCs w:val="0"/>
                <w:lang w:val="en-AU"/>
              </w:rPr>
              <w:t xml:space="preserve">To what extent are </w:t>
            </w:r>
            <w:r w:rsidRPr="00A134A7">
              <w:rPr>
                <w:rFonts w:cs="Arial"/>
                <w:lang w:val="en-AU"/>
              </w:rPr>
              <w:t>impacts</w:t>
            </w:r>
            <w:r w:rsidRPr="005D74D1">
              <w:rPr>
                <w:rFonts w:cs="Arial"/>
                <w:b w:val="0"/>
                <w:bCs w:val="0"/>
                <w:lang w:val="en-AU"/>
              </w:rPr>
              <w:t xml:space="preserve"> expected to be sustained over time?</w:t>
            </w:r>
          </w:p>
        </w:tc>
      </w:tr>
    </w:tbl>
    <w:p w14:paraId="1C094071" w14:textId="6DD76489" w:rsidR="0013488C" w:rsidRPr="005D74D1" w:rsidRDefault="0013488C" w:rsidP="0010437E">
      <w:pPr>
        <w:pStyle w:val="Heading2"/>
        <w:rPr>
          <w:rFonts w:cs="Arial"/>
        </w:rPr>
      </w:pPr>
      <w:bookmarkStart w:id="142" w:name="_Toc147342385"/>
      <w:bookmarkStart w:id="143" w:name="_Toc147352275"/>
      <w:bookmarkStart w:id="144" w:name="_Toc147329327"/>
      <w:bookmarkStart w:id="145" w:name="_Toc183777364"/>
      <w:bookmarkEnd w:id="142"/>
      <w:bookmarkEnd w:id="143"/>
      <w:r w:rsidRPr="005D74D1">
        <w:rPr>
          <w:rFonts w:cs="Arial"/>
        </w:rPr>
        <w:lastRenderedPageBreak/>
        <w:t xml:space="preserve">Performance assessment </w:t>
      </w:r>
      <w:r w:rsidR="0010437E" w:rsidRPr="005D74D1">
        <w:rPr>
          <w:rFonts w:cs="Arial"/>
        </w:rPr>
        <w:t>scale</w:t>
      </w:r>
      <w:bookmarkEnd w:id="144"/>
      <w:bookmarkEnd w:id="145"/>
    </w:p>
    <w:p w14:paraId="38315AFB" w14:textId="62C140E1" w:rsidR="00A50E7D" w:rsidRPr="005D74D1" w:rsidRDefault="00925BCE" w:rsidP="007601C9">
      <w:pPr>
        <w:pStyle w:val="BodyText"/>
        <w:keepNext/>
        <w:keepLines/>
        <w:rPr>
          <w:rFonts w:cs="Arial"/>
        </w:rPr>
      </w:pPr>
      <w:r w:rsidRPr="005D74D1">
        <w:rPr>
          <w:rFonts w:cs="Arial"/>
        </w:rPr>
        <w:fldChar w:fldCharType="begin"/>
      </w:r>
      <w:r w:rsidRPr="005D74D1">
        <w:rPr>
          <w:rFonts w:cs="Arial"/>
        </w:rPr>
        <w:instrText xml:space="preserve"> REF _Ref183452479 \h </w:instrText>
      </w:r>
      <w:r w:rsidR="005D74D1" w:rsidRPr="005D74D1">
        <w:rPr>
          <w:rFonts w:cs="Arial"/>
        </w:rPr>
        <w:instrText xml:space="preserve"> \* MERGEFORMAT </w:instrText>
      </w:r>
      <w:r w:rsidRPr="005D74D1">
        <w:rPr>
          <w:rFonts w:cs="Arial"/>
        </w:rPr>
      </w:r>
      <w:r w:rsidRPr="005D74D1">
        <w:rPr>
          <w:rFonts w:cs="Arial"/>
        </w:rPr>
        <w:fldChar w:fldCharType="separate"/>
      </w:r>
      <w:r w:rsidR="003870A0" w:rsidRPr="005D74D1">
        <w:rPr>
          <w:rFonts w:cs="Arial"/>
        </w:rPr>
        <w:t xml:space="preserve">Figure </w:t>
      </w:r>
      <w:r w:rsidR="003870A0">
        <w:rPr>
          <w:rFonts w:cs="Arial"/>
        </w:rPr>
        <w:t>3</w:t>
      </w:r>
      <w:r w:rsidRPr="005D74D1">
        <w:rPr>
          <w:rFonts w:cs="Arial"/>
        </w:rPr>
        <w:fldChar w:fldCharType="end"/>
      </w:r>
      <w:r w:rsidRPr="005D74D1">
        <w:rPr>
          <w:rFonts w:cs="Arial"/>
        </w:rPr>
        <w:t xml:space="preserve"> </w:t>
      </w:r>
      <w:r w:rsidR="006C55E9" w:rsidRPr="005D74D1">
        <w:rPr>
          <w:rFonts w:cs="Arial"/>
        </w:rPr>
        <w:t xml:space="preserve">shows the performance assessment scale used for evaluating the impact domain. The performance assessment scale provides a qualitative assessment of how EC5 has performed </w:t>
      </w:r>
      <w:r w:rsidR="005D0793" w:rsidRPr="005D74D1">
        <w:rPr>
          <w:rFonts w:cs="Arial"/>
        </w:rPr>
        <w:t>against</w:t>
      </w:r>
      <w:r w:rsidR="006C55E9" w:rsidRPr="005D74D1">
        <w:rPr>
          <w:rFonts w:cs="Arial"/>
        </w:rPr>
        <w:t xml:space="preserve"> the intended outcomes. The intended outcomes for EC5</w:t>
      </w:r>
      <w:r w:rsidR="005D0793" w:rsidRPr="005D74D1">
        <w:rPr>
          <w:rFonts w:cs="Arial"/>
        </w:rPr>
        <w:t>,</w:t>
      </w:r>
      <w:r w:rsidR="006C55E9" w:rsidRPr="005D74D1">
        <w:rPr>
          <w:rFonts w:cs="Arial"/>
        </w:rPr>
        <w:t xml:space="preserve"> and over the long-term</w:t>
      </w:r>
      <w:r w:rsidR="005D0793" w:rsidRPr="005D74D1">
        <w:rPr>
          <w:rFonts w:cs="Arial"/>
        </w:rPr>
        <w:t>,</w:t>
      </w:r>
      <w:r w:rsidR="006C55E9" w:rsidRPr="005D74D1">
        <w:rPr>
          <w:rFonts w:cs="Arial"/>
        </w:rPr>
        <w:t xml:space="preserve"> are </w:t>
      </w:r>
      <w:r w:rsidR="005D0793" w:rsidRPr="005D74D1">
        <w:rPr>
          <w:rFonts w:cs="Arial"/>
        </w:rPr>
        <w:t xml:space="preserve">shown </w:t>
      </w:r>
      <w:r w:rsidR="006C55E9" w:rsidRPr="005D74D1">
        <w:rPr>
          <w:rFonts w:cs="Arial"/>
        </w:rPr>
        <w:t xml:space="preserve">in the EC5 program logic (presented in </w:t>
      </w:r>
      <w:r w:rsidR="00A13A3A" w:rsidRPr="005D74D1">
        <w:rPr>
          <w:rFonts w:cs="Arial"/>
        </w:rPr>
        <w:t>Section 3.3</w:t>
      </w:r>
      <w:r w:rsidR="006C55E9" w:rsidRPr="005D74D1">
        <w:rPr>
          <w:rFonts w:cs="Arial"/>
        </w:rPr>
        <w:t>) and are the benchmark for the</w:t>
      </w:r>
      <w:r w:rsidR="007601C9" w:rsidRPr="005D74D1">
        <w:rPr>
          <w:rFonts w:cs="Arial"/>
        </w:rPr>
        <w:t> </w:t>
      </w:r>
      <w:r w:rsidR="006C55E9" w:rsidRPr="005D74D1">
        <w:rPr>
          <w:rFonts w:cs="Arial"/>
        </w:rPr>
        <w:t>assessment.</w:t>
      </w:r>
    </w:p>
    <w:p w14:paraId="36C0A2C4" w14:textId="77777777" w:rsidR="00A50E7D" w:rsidRPr="005D74D1" w:rsidRDefault="006C55E9" w:rsidP="007601C9">
      <w:pPr>
        <w:pStyle w:val="BodyText"/>
        <w:keepNext/>
        <w:keepLines/>
        <w:rPr>
          <w:rFonts w:cs="Arial"/>
        </w:rPr>
      </w:pPr>
      <w:r w:rsidRPr="005D74D1">
        <w:rPr>
          <w:rFonts w:cs="Arial"/>
        </w:rPr>
        <w:t xml:space="preserve">The </w:t>
      </w:r>
      <w:r w:rsidR="005F181F" w:rsidRPr="005D74D1">
        <w:rPr>
          <w:rFonts w:cs="Arial"/>
        </w:rPr>
        <w:t xml:space="preserve">purpose of the </w:t>
      </w:r>
      <w:r w:rsidRPr="005D74D1">
        <w:rPr>
          <w:rFonts w:cs="Arial"/>
        </w:rPr>
        <w:t>performance assessment scale is to support the accompanying evaluation narratives, enable findings to be concisely summarised, and communicate clearly where there are areas for improvement.</w:t>
      </w:r>
    </w:p>
    <w:p w14:paraId="3DA85A6E" w14:textId="77777777" w:rsidR="00A50E7D" w:rsidRPr="005D74D1" w:rsidRDefault="006C55E9" w:rsidP="006C55E9">
      <w:pPr>
        <w:pStyle w:val="BodyText"/>
        <w:rPr>
          <w:rFonts w:cs="Arial"/>
        </w:rPr>
      </w:pPr>
      <w:r w:rsidRPr="005D74D1">
        <w:rPr>
          <w:rFonts w:cs="Arial"/>
        </w:rPr>
        <w:t xml:space="preserve">The EC investment is complex, spanning a broad range of priorities and involves </w:t>
      </w:r>
      <w:r w:rsidR="005F181F" w:rsidRPr="005D74D1">
        <w:rPr>
          <w:rFonts w:cs="Arial"/>
        </w:rPr>
        <w:t xml:space="preserve">initiatives and projects </w:t>
      </w:r>
      <w:r w:rsidRPr="005D74D1">
        <w:rPr>
          <w:rFonts w:cs="Arial"/>
        </w:rPr>
        <w:t xml:space="preserve">that are operating at a range of maturity levels, which are influenced by the EC priorities and progress made in past tranches. To address this complexity, </w:t>
      </w:r>
      <w:r w:rsidR="00BC637F" w:rsidRPr="005D74D1">
        <w:rPr>
          <w:rFonts w:cs="Arial"/>
        </w:rPr>
        <w:t>two</w:t>
      </w:r>
      <w:r w:rsidRPr="005D74D1">
        <w:rPr>
          <w:rFonts w:cs="Arial"/>
        </w:rPr>
        <w:t xml:space="preserve"> metrics have been used to distinguish between:</w:t>
      </w:r>
    </w:p>
    <w:p w14:paraId="017DDCA3" w14:textId="77777777" w:rsidR="00A50E7D" w:rsidRPr="00A134A7" w:rsidRDefault="00451FCD" w:rsidP="006C55E9">
      <w:pPr>
        <w:pStyle w:val="BulletLevel1"/>
        <w:rPr>
          <w:rFonts w:cs="Arial"/>
          <w:lang w:val="en-AU"/>
        </w:rPr>
      </w:pPr>
      <w:r w:rsidRPr="00A134A7">
        <w:rPr>
          <w:rFonts w:cs="Arial"/>
          <w:lang w:val="en-AU"/>
        </w:rPr>
        <w:t>The extent to which the end-of-EC5 outcomes were achieved</w:t>
      </w:r>
      <w:r w:rsidR="545CFC44" w:rsidRPr="00A134A7">
        <w:rPr>
          <w:rFonts w:cs="Arial"/>
          <w:lang w:val="en-AU"/>
        </w:rPr>
        <w:t xml:space="preserve"> (from the beginning of EC5 tranche period to the </w:t>
      </w:r>
      <w:r w:rsidR="00615878" w:rsidRPr="00A134A7">
        <w:rPr>
          <w:rFonts w:cs="Arial"/>
          <w:lang w:val="en-AU"/>
        </w:rPr>
        <w:t>E</w:t>
      </w:r>
      <w:r w:rsidR="545CFC44" w:rsidRPr="00A134A7">
        <w:rPr>
          <w:rFonts w:cs="Arial"/>
          <w:lang w:val="en-AU"/>
        </w:rPr>
        <w:t>nd</w:t>
      </w:r>
      <w:r w:rsidR="00355D1F" w:rsidRPr="00A134A7">
        <w:rPr>
          <w:rFonts w:cs="Arial"/>
          <w:lang w:val="en-AU"/>
        </w:rPr>
        <w:t>-</w:t>
      </w:r>
      <w:r w:rsidR="00615878" w:rsidRPr="00A134A7">
        <w:rPr>
          <w:rFonts w:cs="Arial"/>
          <w:lang w:val="en-AU"/>
        </w:rPr>
        <w:t>O</w:t>
      </w:r>
      <w:r w:rsidR="545CFC44" w:rsidRPr="00A134A7">
        <w:rPr>
          <w:rFonts w:cs="Arial"/>
          <w:lang w:val="en-AU"/>
        </w:rPr>
        <w:t>f</w:t>
      </w:r>
      <w:r w:rsidR="00355D1F" w:rsidRPr="00A134A7">
        <w:rPr>
          <w:rFonts w:cs="Arial"/>
          <w:lang w:val="en-AU"/>
        </w:rPr>
        <w:t>-</w:t>
      </w:r>
      <w:r w:rsidR="00615878" w:rsidRPr="00A134A7">
        <w:rPr>
          <w:rFonts w:cs="Arial"/>
          <w:lang w:val="en-AU"/>
        </w:rPr>
        <w:t>T</w:t>
      </w:r>
      <w:r w:rsidR="545CFC44" w:rsidRPr="00A134A7">
        <w:rPr>
          <w:rFonts w:cs="Arial"/>
          <w:lang w:val="en-AU"/>
        </w:rPr>
        <w:t>ranche)</w:t>
      </w:r>
    </w:p>
    <w:p w14:paraId="2C08B0B1" w14:textId="53DDDD41" w:rsidR="006C55E9" w:rsidRPr="00A134A7" w:rsidRDefault="005F181F" w:rsidP="006C55E9">
      <w:pPr>
        <w:pStyle w:val="BulletLevel1"/>
        <w:rPr>
          <w:rFonts w:cs="Arial"/>
          <w:lang w:val="en-AU"/>
        </w:rPr>
      </w:pPr>
      <w:r w:rsidRPr="00A134A7">
        <w:rPr>
          <w:rFonts w:cs="Arial"/>
          <w:lang w:val="en-AU"/>
        </w:rPr>
        <w:t>T</w:t>
      </w:r>
      <w:r w:rsidR="006C55E9" w:rsidRPr="00A134A7">
        <w:rPr>
          <w:rFonts w:cs="Arial"/>
          <w:lang w:val="en-AU"/>
        </w:rPr>
        <w:t>he overall level of progress toward achieving the long-term outcomes (through EC5 and earlier EC tranches)</w:t>
      </w:r>
      <w:r w:rsidR="00DF1DD4" w:rsidRPr="00A134A7">
        <w:rPr>
          <w:rFonts w:cs="Arial"/>
          <w:lang w:val="en-AU"/>
        </w:rPr>
        <w:t>.</w:t>
      </w:r>
    </w:p>
    <w:tbl>
      <w:tblPr>
        <w:tblW w:w="9633" w:type="dxa"/>
        <w:tblBorders>
          <w:top w:val="single" w:sz="4" w:space="0" w:color="231EDC" w:themeColor="accent1"/>
          <w:left w:val="single" w:sz="4" w:space="0" w:color="231EDC" w:themeColor="accent1"/>
          <w:bottom w:val="single" w:sz="4" w:space="0" w:color="231EDC" w:themeColor="accent1"/>
          <w:right w:val="single" w:sz="4" w:space="0" w:color="231EDC" w:themeColor="accent1"/>
          <w:insideH w:val="single" w:sz="4" w:space="0" w:color="231EDC" w:themeColor="accent1"/>
          <w:insideV w:val="single" w:sz="4" w:space="0" w:color="231EDC" w:themeColor="accent1"/>
        </w:tblBorders>
        <w:tblLayout w:type="fixed"/>
        <w:tblLook w:val="04A0" w:firstRow="1" w:lastRow="0" w:firstColumn="1" w:lastColumn="0" w:noHBand="0" w:noVBand="1"/>
      </w:tblPr>
      <w:tblGrid>
        <w:gridCol w:w="624"/>
        <w:gridCol w:w="899"/>
        <w:gridCol w:w="900"/>
        <w:gridCol w:w="988"/>
        <w:gridCol w:w="813"/>
        <w:gridCol w:w="901"/>
        <w:gridCol w:w="900"/>
        <w:gridCol w:w="901"/>
        <w:gridCol w:w="989"/>
        <w:gridCol w:w="813"/>
        <w:gridCol w:w="905"/>
      </w:tblGrid>
      <w:tr w:rsidR="003C7CE1" w:rsidRPr="005D74D1" w14:paraId="719003C4" w14:textId="77777777" w:rsidTr="00140664">
        <w:trPr>
          <w:trHeight w:val="503"/>
        </w:trPr>
        <w:tc>
          <w:tcPr>
            <w:tcW w:w="624" w:type="dxa"/>
            <w:vMerge w:val="restart"/>
            <w:shd w:val="clear" w:color="auto" w:fill="231EDC" w:themeFill="accent1"/>
            <w:textDirection w:val="btLr"/>
          </w:tcPr>
          <w:p w14:paraId="646F4712" w14:textId="27501DF5" w:rsidR="003C7CE1" w:rsidRPr="005D74D1" w:rsidRDefault="003C7CE1" w:rsidP="00140664">
            <w:pPr>
              <w:pStyle w:val="TableText"/>
              <w:ind w:left="113" w:right="113"/>
              <w:jc w:val="center"/>
              <w:rPr>
                <w:rFonts w:cs="Arial"/>
              </w:rPr>
            </w:pPr>
            <w:r w:rsidRPr="005D74D1">
              <w:rPr>
                <w:rFonts w:cs="Arial"/>
                <w:b/>
                <w:bCs/>
              </w:rPr>
              <w:t>Rating</w:t>
            </w:r>
          </w:p>
        </w:tc>
        <w:tc>
          <w:tcPr>
            <w:tcW w:w="4501" w:type="dxa"/>
            <w:gridSpan w:val="5"/>
            <w:shd w:val="clear" w:color="auto" w:fill="231EDC" w:themeFill="accent1"/>
          </w:tcPr>
          <w:p w14:paraId="1C067667" w14:textId="102560C5" w:rsidR="003C7CE1" w:rsidRPr="005D74D1" w:rsidRDefault="00B333CD" w:rsidP="00140664">
            <w:pPr>
              <w:pStyle w:val="TableHeading"/>
              <w:jc w:val="center"/>
              <w:rPr>
                <w:rFonts w:cs="Arial"/>
              </w:rPr>
            </w:pPr>
            <w:r w:rsidRPr="005D74D1">
              <w:rPr>
                <w:rFonts w:cs="Arial"/>
              </w:rPr>
              <w:t>Extent to which</w:t>
            </w:r>
            <w:r w:rsidR="003E5A42" w:rsidRPr="005D74D1">
              <w:rPr>
                <w:rFonts w:cs="Arial"/>
              </w:rPr>
              <w:t xml:space="preserve"> e</w:t>
            </w:r>
            <w:r w:rsidR="00451FCD" w:rsidRPr="005D74D1">
              <w:rPr>
                <w:rFonts w:cs="Arial"/>
              </w:rPr>
              <w:t>nd-of-EC5 outcomes</w:t>
            </w:r>
            <w:r w:rsidR="00C96917" w:rsidRPr="005D74D1">
              <w:rPr>
                <w:rFonts w:cs="Arial"/>
              </w:rPr>
              <w:t xml:space="preserve"> </w:t>
            </w:r>
            <w:r w:rsidRPr="005D74D1">
              <w:rPr>
                <w:rFonts w:cs="Arial"/>
              </w:rPr>
              <w:t>were achieved</w:t>
            </w:r>
          </w:p>
        </w:tc>
        <w:tc>
          <w:tcPr>
            <w:tcW w:w="4508" w:type="dxa"/>
            <w:gridSpan w:val="5"/>
            <w:shd w:val="clear" w:color="auto" w:fill="FFC000"/>
          </w:tcPr>
          <w:p w14:paraId="3EF9005F" w14:textId="77777777" w:rsidR="003C7CE1" w:rsidRPr="005D74D1" w:rsidRDefault="003C7CE1" w:rsidP="00140664">
            <w:pPr>
              <w:pStyle w:val="TableHeading"/>
              <w:jc w:val="center"/>
              <w:rPr>
                <w:rFonts w:cs="Arial"/>
              </w:rPr>
            </w:pPr>
            <w:r w:rsidRPr="005D74D1">
              <w:rPr>
                <w:rFonts w:cs="Arial"/>
              </w:rPr>
              <w:t>Overall progress toward long-term outcomes</w:t>
            </w:r>
          </w:p>
        </w:tc>
      </w:tr>
      <w:tr w:rsidR="00A03B53" w:rsidRPr="005D74D1" w14:paraId="1C3BF315" w14:textId="77777777" w:rsidTr="00140664">
        <w:tc>
          <w:tcPr>
            <w:tcW w:w="624" w:type="dxa"/>
            <w:vMerge/>
            <w:shd w:val="clear" w:color="auto" w:fill="231EDC" w:themeFill="accent1"/>
          </w:tcPr>
          <w:p w14:paraId="3CED6C71" w14:textId="700AA606" w:rsidR="003C7CE1" w:rsidRPr="005D74D1" w:rsidRDefault="003C7CE1" w:rsidP="000867BE">
            <w:pPr>
              <w:rPr>
                <w:rFonts w:cs="Arial"/>
              </w:rPr>
            </w:pPr>
          </w:p>
        </w:tc>
        <w:tc>
          <w:tcPr>
            <w:tcW w:w="899" w:type="dxa"/>
          </w:tcPr>
          <w:p w14:paraId="7B65F6CD" w14:textId="77777777" w:rsidR="003C7CE1" w:rsidRPr="005D74D1" w:rsidRDefault="003C7CE1" w:rsidP="00140664">
            <w:pPr>
              <w:pStyle w:val="TableText"/>
              <w:jc w:val="center"/>
              <w:rPr>
                <w:rFonts w:cs="Arial"/>
              </w:rPr>
            </w:pPr>
            <w:r w:rsidRPr="005D74D1">
              <w:rPr>
                <w:rFonts w:cs="Arial"/>
              </w:rPr>
              <w:t>Very low</w:t>
            </w:r>
          </w:p>
        </w:tc>
        <w:tc>
          <w:tcPr>
            <w:tcW w:w="900" w:type="dxa"/>
          </w:tcPr>
          <w:p w14:paraId="11BA08D1" w14:textId="77777777" w:rsidR="003C7CE1" w:rsidRPr="005D74D1" w:rsidRDefault="003C7CE1" w:rsidP="00140664">
            <w:pPr>
              <w:pStyle w:val="TableText"/>
              <w:jc w:val="center"/>
              <w:rPr>
                <w:rFonts w:cs="Arial"/>
              </w:rPr>
            </w:pPr>
            <w:r w:rsidRPr="005D74D1">
              <w:rPr>
                <w:rFonts w:cs="Arial"/>
              </w:rPr>
              <w:t>Low</w:t>
            </w:r>
          </w:p>
        </w:tc>
        <w:tc>
          <w:tcPr>
            <w:tcW w:w="988" w:type="dxa"/>
          </w:tcPr>
          <w:p w14:paraId="28F0F499" w14:textId="77777777" w:rsidR="003C7CE1" w:rsidRPr="005D74D1" w:rsidRDefault="003C7CE1" w:rsidP="00140664">
            <w:pPr>
              <w:pStyle w:val="TableText"/>
              <w:jc w:val="center"/>
              <w:rPr>
                <w:rFonts w:cs="Arial"/>
              </w:rPr>
            </w:pPr>
            <w:r w:rsidRPr="005D74D1">
              <w:rPr>
                <w:rFonts w:cs="Arial"/>
              </w:rPr>
              <w:t>Medium</w:t>
            </w:r>
          </w:p>
        </w:tc>
        <w:tc>
          <w:tcPr>
            <w:tcW w:w="813" w:type="dxa"/>
          </w:tcPr>
          <w:p w14:paraId="3EE44DAD" w14:textId="77777777" w:rsidR="003C7CE1" w:rsidRPr="005D74D1" w:rsidRDefault="003C7CE1" w:rsidP="00140664">
            <w:pPr>
              <w:pStyle w:val="TableText"/>
              <w:jc w:val="center"/>
              <w:rPr>
                <w:rFonts w:cs="Arial"/>
              </w:rPr>
            </w:pPr>
            <w:r w:rsidRPr="005D74D1">
              <w:rPr>
                <w:rFonts w:cs="Arial"/>
              </w:rPr>
              <w:t>High</w:t>
            </w:r>
          </w:p>
        </w:tc>
        <w:tc>
          <w:tcPr>
            <w:tcW w:w="901" w:type="dxa"/>
          </w:tcPr>
          <w:p w14:paraId="5784B33F" w14:textId="63727151" w:rsidR="003C7CE1" w:rsidRPr="005D74D1" w:rsidRDefault="003C7CE1" w:rsidP="00140664">
            <w:pPr>
              <w:pStyle w:val="TableText"/>
              <w:jc w:val="center"/>
              <w:rPr>
                <w:rFonts w:cs="Arial"/>
              </w:rPr>
            </w:pPr>
            <w:r w:rsidRPr="005D74D1">
              <w:rPr>
                <w:rFonts w:cs="Arial"/>
              </w:rPr>
              <w:t>Very high</w:t>
            </w:r>
          </w:p>
        </w:tc>
        <w:tc>
          <w:tcPr>
            <w:tcW w:w="900" w:type="dxa"/>
          </w:tcPr>
          <w:p w14:paraId="18DD6A15" w14:textId="77777777" w:rsidR="003C7CE1" w:rsidRPr="005D74D1" w:rsidRDefault="003C7CE1" w:rsidP="00140664">
            <w:pPr>
              <w:pStyle w:val="TableText"/>
              <w:jc w:val="center"/>
              <w:rPr>
                <w:rFonts w:cs="Arial"/>
              </w:rPr>
            </w:pPr>
            <w:r w:rsidRPr="005D74D1">
              <w:rPr>
                <w:rFonts w:cs="Arial"/>
              </w:rPr>
              <w:t>Very low</w:t>
            </w:r>
          </w:p>
        </w:tc>
        <w:tc>
          <w:tcPr>
            <w:tcW w:w="901" w:type="dxa"/>
          </w:tcPr>
          <w:p w14:paraId="013B5437" w14:textId="77777777" w:rsidR="003C7CE1" w:rsidRPr="005D74D1" w:rsidRDefault="003C7CE1" w:rsidP="00140664">
            <w:pPr>
              <w:pStyle w:val="TableText"/>
              <w:jc w:val="center"/>
              <w:rPr>
                <w:rFonts w:cs="Arial"/>
              </w:rPr>
            </w:pPr>
            <w:r w:rsidRPr="005D74D1">
              <w:rPr>
                <w:rFonts w:cs="Arial"/>
              </w:rPr>
              <w:t>Low</w:t>
            </w:r>
          </w:p>
        </w:tc>
        <w:tc>
          <w:tcPr>
            <w:tcW w:w="989" w:type="dxa"/>
          </w:tcPr>
          <w:p w14:paraId="5C1A7861" w14:textId="77777777" w:rsidR="003C7CE1" w:rsidRPr="005D74D1" w:rsidRDefault="003C7CE1" w:rsidP="00140664">
            <w:pPr>
              <w:pStyle w:val="TableText"/>
              <w:jc w:val="center"/>
              <w:rPr>
                <w:rFonts w:cs="Arial"/>
              </w:rPr>
            </w:pPr>
            <w:r w:rsidRPr="005D74D1">
              <w:rPr>
                <w:rFonts w:cs="Arial"/>
              </w:rPr>
              <w:t>Medium</w:t>
            </w:r>
          </w:p>
        </w:tc>
        <w:tc>
          <w:tcPr>
            <w:tcW w:w="813" w:type="dxa"/>
          </w:tcPr>
          <w:p w14:paraId="7E88F621" w14:textId="77777777" w:rsidR="003C7CE1" w:rsidRPr="005D74D1" w:rsidRDefault="003C7CE1" w:rsidP="00140664">
            <w:pPr>
              <w:pStyle w:val="TableText"/>
              <w:jc w:val="center"/>
              <w:rPr>
                <w:rFonts w:cs="Arial"/>
              </w:rPr>
            </w:pPr>
            <w:r w:rsidRPr="005D74D1">
              <w:rPr>
                <w:rFonts w:cs="Arial"/>
              </w:rPr>
              <w:t>High</w:t>
            </w:r>
          </w:p>
        </w:tc>
        <w:tc>
          <w:tcPr>
            <w:tcW w:w="905" w:type="dxa"/>
          </w:tcPr>
          <w:p w14:paraId="675753EF" w14:textId="0A9EBD44" w:rsidR="003C7CE1" w:rsidRPr="005D74D1" w:rsidRDefault="003C7CE1" w:rsidP="00140664">
            <w:pPr>
              <w:pStyle w:val="TableText"/>
              <w:jc w:val="center"/>
              <w:rPr>
                <w:rFonts w:cs="Arial"/>
              </w:rPr>
            </w:pPr>
            <w:r w:rsidRPr="005D74D1">
              <w:rPr>
                <w:rFonts w:cs="Arial"/>
              </w:rPr>
              <w:t>Very high</w:t>
            </w:r>
          </w:p>
        </w:tc>
      </w:tr>
      <w:tr w:rsidR="003C7CE1" w:rsidRPr="005D74D1" w14:paraId="5C9C4338" w14:textId="77777777" w:rsidTr="00140664">
        <w:trPr>
          <w:trHeight w:val="872"/>
        </w:trPr>
        <w:tc>
          <w:tcPr>
            <w:tcW w:w="624" w:type="dxa"/>
            <w:vMerge/>
            <w:shd w:val="clear" w:color="auto" w:fill="231EDC" w:themeFill="accent1"/>
          </w:tcPr>
          <w:p w14:paraId="42E93EC0" w14:textId="77777777" w:rsidR="003C7CE1" w:rsidRPr="005D74D1" w:rsidRDefault="003C7CE1" w:rsidP="000867BE">
            <w:pPr>
              <w:rPr>
                <w:rFonts w:cs="Arial"/>
              </w:rPr>
            </w:pPr>
          </w:p>
        </w:tc>
        <w:tc>
          <w:tcPr>
            <w:tcW w:w="899" w:type="dxa"/>
            <w:vAlign w:val="center"/>
          </w:tcPr>
          <w:p w14:paraId="09192897" w14:textId="77777777" w:rsidR="003C7CE1" w:rsidRPr="005D74D1" w:rsidRDefault="003C7CE1" w:rsidP="00A03B53">
            <w:pPr>
              <w:rPr>
                <w:rFonts w:cs="Arial"/>
              </w:rPr>
            </w:pPr>
            <w:r w:rsidRPr="00A134A7">
              <w:rPr>
                <w:rFonts w:cs="Arial"/>
                <w:noProof/>
              </w:rPr>
              <mc:AlternateContent>
                <mc:Choice Requires="wpg">
                  <w:drawing>
                    <wp:inline distT="0" distB="0" distL="0" distR="0" wp14:anchorId="29DC411C" wp14:editId="01BAA0A0">
                      <wp:extent cx="460375" cy="248285"/>
                      <wp:effectExtent l="0" t="0" r="15875" b="18415"/>
                      <wp:docPr id="32" name="Group 32"/>
                      <wp:cNvGraphicFramePr/>
                      <a:graphic xmlns:a="http://schemas.openxmlformats.org/drawingml/2006/main">
                        <a:graphicData uri="http://schemas.microsoft.com/office/word/2010/wordprocessingGroup">
                          <wpg:wgp>
                            <wpg:cNvGrpSpPr/>
                            <wpg:grpSpPr>
                              <a:xfrm>
                                <a:off x="0" y="0"/>
                                <a:ext cx="460375" cy="248285"/>
                                <a:chOff x="0" y="0"/>
                                <a:chExt cx="675755" cy="248400"/>
                              </a:xfrm>
                            </wpg:grpSpPr>
                            <wps:wsp>
                              <wps:cNvPr id="33" name="Rectangle 33"/>
                              <wps:cNvSpPr/>
                              <wps:spPr>
                                <a:xfrm>
                                  <a:off x="0" y="0"/>
                                  <a:ext cx="133200" cy="24840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 name="Rectangle 34"/>
                              <wps:cNvSpPr/>
                              <wps:spPr>
                                <a:xfrm>
                                  <a:off x="135639" y="0"/>
                                  <a:ext cx="133200" cy="2484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 name="Rectangle 35"/>
                              <wps:cNvSpPr/>
                              <wps:spPr>
                                <a:xfrm>
                                  <a:off x="271278" y="0"/>
                                  <a:ext cx="133200" cy="2484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 name="Rectangle 36"/>
                              <wps:cNvSpPr/>
                              <wps:spPr>
                                <a:xfrm>
                                  <a:off x="406917" y="0"/>
                                  <a:ext cx="133200" cy="2484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7" name="Rectangle 37"/>
                              <wps:cNvSpPr/>
                              <wps:spPr>
                                <a:xfrm>
                                  <a:off x="542555" y="0"/>
                                  <a:ext cx="133200" cy="2484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xmlns:w16du="http://schemas.microsoft.com/office/word/2023/wordml/word16du">
                  <w:pict>
                    <v:group w14:anchorId="6150A8B6" id="Group 32" o:spid="_x0000_s1026" style="width:36.25pt;height:19.55pt;mso-position-horizontal-relative:char;mso-position-vertical-relative:line" coordsize="6757,2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">
                      <v:rect id="Rectangle 33" o:spid="_x0000_s1027" style="position:absolute;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" fillcolor="#231edc [3204]" strokecolor="black [3213]" strokeweight="1pt"/>
                      <v:rect id="Rectangle 34" o:spid="_x0000_s1028" style="position:absolute;left:1356;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" fillcolor="white [3212]" strokecolor="black [3213]" strokeweight="1pt"/>
                      <v:rect id="Rectangle 35" o:spid="_x0000_s1029" style="position:absolute;left:2712;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" fillcolor="white [3212]" strokecolor="black [3213]" strokeweight="1pt"/>
                      <v:rect id="Rectangle 36" o:spid="_x0000_s1030" style="position:absolute;left:4069;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" fillcolor="white [3212]" strokecolor="black [3213]" strokeweight="1pt"/>
                      <v:rect id="Rectangle 37" o:spid="_x0000_s1031" style="position:absolute;left:5425;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" fillcolor="white [3212]" strokecolor="black [3213]" strokeweight="1pt"/>
                      <w10:anchorlock/>
                    </v:group>
                  </w:pict>
                </mc:Fallback>
              </mc:AlternateContent>
            </w:r>
          </w:p>
        </w:tc>
        <w:tc>
          <w:tcPr>
            <w:tcW w:w="900" w:type="dxa"/>
            <w:vAlign w:val="center"/>
          </w:tcPr>
          <w:p w14:paraId="2536DE5B" w14:textId="77777777" w:rsidR="003C7CE1" w:rsidRPr="005D74D1" w:rsidRDefault="003C7CE1" w:rsidP="00A03B53">
            <w:pPr>
              <w:rPr>
                <w:rFonts w:cs="Arial"/>
              </w:rPr>
            </w:pPr>
            <w:r w:rsidRPr="00A134A7">
              <w:rPr>
                <w:rFonts w:cs="Arial"/>
                <w:noProof/>
              </w:rPr>
              <mc:AlternateContent>
                <mc:Choice Requires="wpg">
                  <w:drawing>
                    <wp:inline distT="0" distB="0" distL="0" distR="0" wp14:anchorId="6FB0B83E" wp14:editId="6999237A">
                      <wp:extent cx="460800" cy="248400"/>
                      <wp:effectExtent l="0" t="0" r="15875" b="18415"/>
                      <wp:docPr id="236" name="Group 236"/>
                      <wp:cNvGraphicFramePr/>
                      <a:graphic xmlns:a="http://schemas.openxmlformats.org/drawingml/2006/main">
                        <a:graphicData uri="http://schemas.microsoft.com/office/word/2010/wordprocessingGroup">
                          <wpg:wgp>
                            <wpg:cNvGrpSpPr/>
                            <wpg:grpSpPr>
                              <a:xfrm>
                                <a:off x="0" y="0"/>
                                <a:ext cx="460800" cy="248400"/>
                                <a:chOff x="0" y="0"/>
                                <a:chExt cx="675755" cy="248400"/>
                              </a:xfrm>
                            </wpg:grpSpPr>
                            <wps:wsp>
                              <wps:cNvPr id="237" name="Rectangle 237"/>
                              <wps:cNvSpPr/>
                              <wps:spPr>
                                <a:xfrm>
                                  <a:off x="0" y="0"/>
                                  <a:ext cx="133200" cy="24840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8" name="Rectangle 238"/>
                              <wps:cNvSpPr/>
                              <wps:spPr>
                                <a:xfrm>
                                  <a:off x="135639" y="0"/>
                                  <a:ext cx="133200" cy="24840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9" name="Rectangle 239"/>
                              <wps:cNvSpPr/>
                              <wps:spPr>
                                <a:xfrm>
                                  <a:off x="271278" y="0"/>
                                  <a:ext cx="133200" cy="2484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0" name="Rectangle 240"/>
                              <wps:cNvSpPr/>
                              <wps:spPr>
                                <a:xfrm>
                                  <a:off x="406917" y="0"/>
                                  <a:ext cx="133200" cy="2484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1" name="Rectangle 241"/>
                              <wps:cNvSpPr/>
                              <wps:spPr>
                                <a:xfrm>
                                  <a:off x="542555" y="0"/>
                                  <a:ext cx="133200" cy="2484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xmlns:w16du="http://schemas.microsoft.com/office/word/2023/wordml/word16du">
                  <w:pict>
                    <v:group w14:anchorId="5F0D3BEC" id="Group 236" o:spid="_x0000_s1026" style="width:36.3pt;height:19.55pt;mso-position-horizontal-relative:char;mso-position-vertical-relative:line" coordsize="6757,2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">
                      <v:rect id="Rectangle 237" o:spid="_x0000_s1027" style="position:absolute;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" fillcolor="#231edc [3204]" strokecolor="black [3213]" strokeweight="1pt"/>
                      <v:rect id="Rectangle 238" o:spid="_x0000_s1028" style="position:absolute;left:1356;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" fillcolor="#231edc [3204]" strokecolor="black [3213]" strokeweight="1pt"/>
                      <v:rect id="Rectangle 239" o:spid="_x0000_s1029" style="position:absolute;left:2712;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" fillcolor="white [3212]" strokecolor="black [3213]" strokeweight="1pt"/>
                      <v:rect id="Rectangle 240" o:spid="_x0000_s1030" style="position:absolute;left:4069;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" fillcolor="white [3212]" strokecolor="black [3213]" strokeweight="1pt"/>
                      <v:rect id="Rectangle 241" o:spid="_x0000_s1031" style="position:absolute;left:5425;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" fillcolor="white [3212]" strokecolor="black [3213]" strokeweight="1pt"/>
                      <w10:anchorlock/>
                    </v:group>
                  </w:pict>
                </mc:Fallback>
              </mc:AlternateContent>
            </w:r>
          </w:p>
        </w:tc>
        <w:tc>
          <w:tcPr>
            <w:tcW w:w="988" w:type="dxa"/>
            <w:vAlign w:val="center"/>
          </w:tcPr>
          <w:p w14:paraId="44FD170F" w14:textId="77777777" w:rsidR="003C7CE1" w:rsidRPr="005D74D1" w:rsidRDefault="003C7CE1" w:rsidP="00A03B53">
            <w:pPr>
              <w:rPr>
                <w:rFonts w:cs="Arial"/>
              </w:rPr>
            </w:pPr>
            <w:r w:rsidRPr="00A134A7">
              <w:rPr>
                <w:rFonts w:cs="Arial"/>
                <w:noProof/>
              </w:rPr>
              <mc:AlternateContent>
                <mc:Choice Requires="wpg">
                  <w:drawing>
                    <wp:inline distT="0" distB="0" distL="0" distR="0" wp14:anchorId="32F2E0F4" wp14:editId="2AACBE1E">
                      <wp:extent cx="460800" cy="248400"/>
                      <wp:effectExtent l="0" t="0" r="15875" b="18415"/>
                      <wp:docPr id="230" name="Group 230"/>
                      <wp:cNvGraphicFramePr/>
                      <a:graphic xmlns:a="http://schemas.openxmlformats.org/drawingml/2006/main">
                        <a:graphicData uri="http://schemas.microsoft.com/office/word/2010/wordprocessingGroup">
                          <wpg:wgp>
                            <wpg:cNvGrpSpPr/>
                            <wpg:grpSpPr>
                              <a:xfrm>
                                <a:off x="0" y="0"/>
                                <a:ext cx="460800" cy="248400"/>
                                <a:chOff x="0" y="0"/>
                                <a:chExt cx="675755" cy="248400"/>
                              </a:xfrm>
                            </wpg:grpSpPr>
                            <wps:wsp>
                              <wps:cNvPr id="231" name="Rectangle 231"/>
                              <wps:cNvSpPr/>
                              <wps:spPr>
                                <a:xfrm>
                                  <a:off x="0" y="0"/>
                                  <a:ext cx="133200" cy="24840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2" name="Rectangle 232"/>
                              <wps:cNvSpPr/>
                              <wps:spPr>
                                <a:xfrm>
                                  <a:off x="135639" y="0"/>
                                  <a:ext cx="133200" cy="24840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3" name="Rectangle 233"/>
                              <wps:cNvSpPr/>
                              <wps:spPr>
                                <a:xfrm>
                                  <a:off x="271278" y="0"/>
                                  <a:ext cx="133200" cy="24840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4" name="Rectangle 234"/>
                              <wps:cNvSpPr/>
                              <wps:spPr>
                                <a:xfrm>
                                  <a:off x="542555" y="0"/>
                                  <a:ext cx="133200" cy="2484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5" name="Rectangle 235"/>
                              <wps:cNvSpPr/>
                              <wps:spPr>
                                <a:xfrm>
                                  <a:off x="406917" y="0"/>
                                  <a:ext cx="133200" cy="2484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xmlns:w16du="http://schemas.microsoft.com/office/word/2023/wordml/word16du">
                  <w:pict>
                    <v:group w14:anchorId="6E312A5C" id="Group 230" o:spid="_x0000_s1026" style="width:36.3pt;height:19.55pt;mso-position-horizontal-relative:char;mso-position-vertical-relative:line" coordsize="6757,2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">
                      <v:rect id="Rectangle 231" o:spid="_x0000_s1027" style="position:absolute;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" fillcolor="#231edc [3204]" strokecolor="black [3213]" strokeweight="1pt"/>
                      <v:rect id="Rectangle 232" o:spid="_x0000_s1028" style="position:absolute;left:1356;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" fillcolor="#231edc [3204]" strokecolor="black [3213]" strokeweight="1pt"/>
                      <v:rect id="Rectangle 233" o:spid="_x0000_s1029" style="position:absolute;left:2712;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" fillcolor="#231edc [3204]" strokecolor="black [3213]" strokeweight="1pt"/>
                      <v:rect id="Rectangle 234" o:spid="_x0000_s1030" style="position:absolute;left:5425;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" fillcolor="white [3212]" strokecolor="black [3213]" strokeweight="1pt"/>
                      <v:rect id="Rectangle 235" o:spid="_x0000_s1031" style="position:absolute;left:4069;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" fillcolor="white [3212]" strokecolor="black [3213]" strokeweight="1pt"/>
                      <w10:anchorlock/>
                    </v:group>
                  </w:pict>
                </mc:Fallback>
              </mc:AlternateContent>
            </w:r>
          </w:p>
        </w:tc>
        <w:tc>
          <w:tcPr>
            <w:tcW w:w="813" w:type="dxa"/>
            <w:vAlign w:val="center"/>
          </w:tcPr>
          <w:p w14:paraId="3C6A77A9" w14:textId="77777777" w:rsidR="003C7CE1" w:rsidRPr="005D74D1" w:rsidRDefault="003C7CE1" w:rsidP="00A03B53">
            <w:pPr>
              <w:rPr>
                <w:rFonts w:cs="Arial"/>
              </w:rPr>
            </w:pPr>
            <w:r w:rsidRPr="00A134A7">
              <w:rPr>
                <w:rFonts w:cs="Arial"/>
                <w:noProof/>
              </w:rPr>
              <mc:AlternateContent>
                <mc:Choice Requires="wpg">
                  <w:drawing>
                    <wp:inline distT="0" distB="0" distL="0" distR="0" wp14:anchorId="400657B2" wp14:editId="4E5F167D">
                      <wp:extent cx="460375" cy="248285"/>
                      <wp:effectExtent l="0" t="0" r="15875" b="18415"/>
                      <wp:docPr id="38" name="Group 38"/>
                      <wp:cNvGraphicFramePr/>
                      <a:graphic xmlns:a="http://schemas.openxmlformats.org/drawingml/2006/main">
                        <a:graphicData uri="http://schemas.microsoft.com/office/word/2010/wordprocessingGroup">
                          <wpg:wgp>
                            <wpg:cNvGrpSpPr/>
                            <wpg:grpSpPr>
                              <a:xfrm>
                                <a:off x="0" y="0"/>
                                <a:ext cx="460375" cy="248285"/>
                                <a:chOff x="0" y="0"/>
                                <a:chExt cx="675125" cy="248400"/>
                              </a:xfrm>
                            </wpg:grpSpPr>
                            <wps:wsp>
                              <wps:cNvPr id="39" name="Rectangle 39"/>
                              <wps:cNvSpPr/>
                              <wps:spPr>
                                <a:xfrm>
                                  <a:off x="0" y="0"/>
                                  <a:ext cx="133200" cy="24840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0" name="Rectangle 40"/>
                              <wps:cNvSpPr/>
                              <wps:spPr>
                                <a:xfrm>
                                  <a:off x="135481" y="0"/>
                                  <a:ext cx="133200" cy="24840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1" name="Rectangle 41"/>
                              <wps:cNvSpPr/>
                              <wps:spPr>
                                <a:xfrm>
                                  <a:off x="270962" y="0"/>
                                  <a:ext cx="133200" cy="24840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2" name="Rectangle 42"/>
                              <wps:cNvSpPr/>
                              <wps:spPr>
                                <a:xfrm>
                                  <a:off x="406443" y="0"/>
                                  <a:ext cx="133200" cy="24840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3" name="Rectangle 43"/>
                              <wps:cNvSpPr/>
                              <wps:spPr>
                                <a:xfrm>
                                  <a:off x="541925" y="0"/>
                                  <a:ext cx="133200" cy="2484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xmlns:w16du="http://schemas.microsoft.com/office/word/2023/wordml/word16du">
                  <w:pict>
                    <v:group w14:anchorId="051E7749" id="Group 38" o:spid="_x0000_s1026" style="width:36.25pt;height:19.55pt;mso-position-horizontal-relative:char;mso-position-vertical-relative:line" coordsize="6751,2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">
                      <v:rect id="Rectangle 39" o:spid="_x0000_s1027" style="position:absolute;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" fillcolor="#231edc [3204]" strokecolor="black [3213]" strokeweight="1pt"/>
                      <v:rect id="Rectangle 40" o:spid="_x0000_s1028" style="position:absolute;left:1354;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" fillcolor="#231edc [3204]" strokecolor="black [3213]" strokeweight="1pt"/>
                      <v:rect id="Rectangle 41" o:spid="_x0000_s1029" style="position:absolute;left:2709;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" fillcolor="#231edc [3204]" strokecolor="black [3213]" strokeweight="1pt"/>
                      <v:rect id="Rectangle 42" o:spid="_x0000_s1030" style="position:absolute;left:4064;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" fillcolor="#231edc [3204]" strokecolor="black [3213]" strokeweight="1pt"/>
                      <v:rect id="Rectangle 43" o:spid="_x0000_s1031" style="position:absolute;left:5419;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" fillcolor="white [3212]" strokecolor="black [3213]" strokeweight="1pt"/>
                      <w10:anchorlock/>
                    </v:group>
                  </w:pict>
                </mc:Fallback>
              </mc:AlternateContent>
            </w:r>
          </w:p>
        </w:tc>
        <w:tc>
          <w:tcPr>
            <w:tcW w:w="901" w:type="dxa"/>
            <w:vAlign w:val="center"/>
          </w:tcPr>
          <w:p w14:paraId="5B7D66BC" w14:textId="77777777" w:rsidR="003C7CE1" w:rsidRPr="005D74D1" w:rsidRDefault="003C7CE1" w:rsidP="00A03B53">
            <w:pPr>
              <w:rPr>
                <w:rFonts w:cs="Arial"/>
              </w:rPr>
            </w:pPr>
            <w:r w:rsidRPr="00A134A7">
              <w:rPr>
                <w:rFonts w:cs="Arial"/>
                <w:noProof/>
              </w:rPr>
              <mc:AlternateContent>
                <mc:Choice Requires="wpg">
                  <w:drawing>
                    <wp:inline distT="0" distB="0" distL="0" distR="0" wp14:anchorId="30EE968C" wp14:editId="4C124A3B">
                      <wp:extent cx="460800" cy="248401"/>
                      <wp:effectExtent l="0" t="0" r="15875" b="18415"/>
                      <wp:docPr id="265" name="Group 265"/>
                      <wp:cNvGraphicFramePr/>
                      <a:graphic xmlns:a="http://schemas.openxmlformats.org/drawingml/2006/main">
                        <a:graphicData uri="http://schemas.microsoft.com/office/word/2010/wordprocessingGroup">
                          <wpg:wgp>
                            <wpg:cNvGrpSpPr/>
                            <wpg:grpSpPr>
                              <a:xfrm>
                                <a:off x="0" y="0"/>
                                <a:ext cx="460800" cy="248401"/>
                                <a:chOff x="0" y="0"/>
                                <a:chExt cx="657283" cy="248401"/>
                              </a:xfrm>
                            </wpg:grpSpPr>
                            <wps:wsp>
                              <wps:cNvPr id="266" name="Rectangle 266"/>
                              <wps:cNvSpPr/>
                              <wps:spPr>
                                <a:xfrm>
                                  <a:off x="0" y="0"/>
                                  <a:ext cx="133200" cy="24840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5" name="Rectangle 75"/>
                              <wps:cNvSpPr/>
                              <wps:spPr>
                                <a:xfrm>
                                  <a:off x="131021" y="0"/>
                                  <a:ext cx="133200" cy="24840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6" name="Rectangle 76"/>
                              <wps:cNvSpPr/>
                              <wps:spPr>
                                <a:xfrm>
                                  <a:off x="262042" y="0"/>
                                  <a:ext cx="133200" cy="24840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7" name="Rectangle 77"/>
                              <wps:cNvSpPr/>
                              <wps:spPr>
                                <a:xfrm>
                                  <a:off x="393063" y="1"/>
                                  <a:ext cx="133200" cy="24840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8" name="Rectangle 78"/>
                              <wps:cNvSpPr/>
                              <wps:spPr>
                                <a:xfrm>
                                  <a:off x="524083" y="0"/>
                                  <a:ext cx="133200" cy="24840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xmlns:w16du="http://schemas.microsoft.com/office/word/2023/wordml/word16du">
                  <w:pict>
                    <v:group w14:anchorId="7DC85725" id="Group 265" o:spid="_x0000_s1026" style="width:36.3pt;height:19.55pt;mso-position-horizontal-relative:char;mso-position-vertical-relative:line" coordsize="6572,2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">
                      <v:rect id="Rectangle 266" o:spid="_x0000_s1027" style="position:absolute;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" fillcolor="#231edc [3204]" strokecolor="black [3213]" strokeweight="1pt"/>
                      <v:rect id="Rectangle 75" o:spid="_x0000_s1028" style="position:absolute;left:1310;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" fillcolor="#231edc [3204]" strokecolor="black [3213]" strokeweight="1pt"/>
                      <v:rect id="Rectangle 76" o:spid="_x0000_s1029" style="position:absolute;left:2620;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" fillcolor="#231edc [3204]" strokecolor="black [3213]" strokeweight="1pt"/>
                      <v:rect id="Rectangle 77" o:spid="_x0000_s1030" style="position:absolute;left:3930;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" fillcolor="#231edc [3204]" strokecolor="black [3213]" strokeweight="1pt"/>
                      <v:rect id="Rectangle 78" o:spid="_x0000_s1031" style="position:absolute;left:5240;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" fillcolor="#231edc [3204]" strokecolor="black [3213]" strokeweight="1pt"/>
                      <w10:anchorlock/>
                    </v:group>
                  </w:pict>
                </mc:Fallback>
              </mc:AlternateContent>
            </w:r>
          </w:p>
        </w:tc>
        <w:tc>
          <w:tcPr>
            <w:tcW w:w="900" w:type="dxa"/>
            <w:vAlign w:val="center"/>
          </w:tcPr>
          <w:p w14:paraId="74DB1A0D" w14:textId="77777777" w:rsidR="003C7CE1" w:rsidRPr="005D74D1" w:rsidRDefault="003C7CE1" w:rsidP="00A03B53">
            <w:pPr>
              <w:rPr>
                <w:rFonts w:cs="Arial"/>
              </w:rPr>
            </w:pPr>
            <w:r w:rsidRPr="00A134A7">
              <w:rPr>
                <w:rFonts w:cs="Arial"/>
                <w:noProof/>
              </w:rPr>
              <mc:AlternateContent>
                <mc:Choice Requires="wpg">
                  <w:drawing>
                    <wp:inline distT="0" distB="0" distL="0" distR="0" wp14:anchorId="74B69D4F" wp14:editId="6199183F">
                      <wp:extent cx="460800" cy="248400"/>
                      <wp:effectExtent l="0" t="0" r="15875" b="18415"/>
                      <wp:docPr id="79" name="Group 79"/>
                      <wp:cNvGraphicFramePr/>
                      <a:graphic xmlns:a="http://schemas.openxmlformats.org/drawingml/2006/main">
                        <a:graphicData uri="http://schemas.microsoft.com/office/word/2010/wordprocessingGroup">
                          <wpg:wgp>
                            <wpg:cNvGrpSpPr/>
                            <wpg:grpSpPr>
                              <a:xfrm>
                                <a:off x="0" y="0"/>
                                <a:ext cx="460800" cy="248400"/>
                                <a:chOff x="0" y="0"/>
                                <a:chExt cx="675755" cy="248400"/>
                              </a:xfrm>
                            </wpg:grpSpPr>
                            <wps:wsp>
                              <wps:cNvPr id="80" name="Rectangle 80"/>
                              <wps:cNvSpPr/>
                              <wps:spPr>
                                <a:xfrm>
                                  <a:off x="0" y="0"/>
                                  <a:ext cx="133200" cy="248400"/>
                                </a:xfrm>
                                <a:prstGeom prst="rect">
                                  <a:avLst/>
                                </a:pr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1" name="Rectangle 81"/>
                              <wps:cNvSpPr/>
                              <wps:spPr>
                                <a:xfrm>
                                  <a:off x="135639" y="0"/>
                                  <a:ext cx="133200" cy="2484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2" name="Rectangle 82"/>
                              <wps:cNvSpPr/>
                              <wps:spPr>
                                <a:xfrm>
                                  <a:off x="271278" y="0"/>
                                  <a:ext cx="133200" cy="2484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3" name="Rectangle 83"/>
                              <wps:cNvSpPr/>
                              <wps:spPr>
                                <a:xfrm>
                                  <a:off x="406917" y="0"/>
                                  <a:ext cx="133200" cy="2484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4" name="Rectangle 84"/>
                              <wps:cNvSpPr/>
                              <wps:spPr>
                                <a:xfrm>
                                  <a:off x="542555" y="0"/>
                                  <a:ext cx="133200" cy="2484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xmlns:w16du="http://schemas.microsoft.com/office/word/2023/wordml/word16du">
                  <w:pict>
                    <v:group w14:anchorId="2289CD58" id="Group 79" o:spid="_x0000_s1026" style="width:36.3pt;height:19.55pt;mso-position-horizontal-relative:char;mso-position-vertical-relative:line" coordsize="6757,2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">
                      <v:rect id="Rectangle 80" o:spid="_x0000_s1027" style="position:absolute;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" fillcolor="#ffc000" strokecolor="black [3213]" strokeweight="1pt"/>
                      <v:rect id="Rectangle 81" o:spid="_x0000_s1028" style="position:absolute;left:1356;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" fillcolor="white [3212]" strokecolor="black [3213]" strokeweight="1pt"/>
                      <v:rect id="Rectangle 82" o:spid="_x0000_s1029" style="position:absolute;left:2712;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" fillcolor="white [3212]" strokecolor="black [3213]" strokeweight="1pt"/>
                      <v:rect id="Rectangle 83" o:spid="_x0000_s1030" style="position:absolute;left:4069;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" fillcolor="white [3212]" strokecolor="black [3213]" strokeweight="1pt"/>
                      <v:rect id="Rectangle 84" o:spid="_x0000_s1031" style="position:absolute;left:5425;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" fillcolor="white [3212]" strokecolor="black [3213]" strokeweight="1pt"/>
                      <w10:anchorlock/>
                    </v:group>
                  </w:pict>
                </mc:Fallback>
              </mc:AlternateContent>
            </w:r>
          </w:p>
        </w:tc>
        <w:tc>
          <w:tcPr>
            <w:tcW w:w="901" w:type="dxa"/>
            <w:vAlign w:val="center"/>
          </w:tcPr>
          <w:p w14:paraId="14836A2C" w14:textId="77777777" w:rsidR="003C7CE1" w:rsidRPr="005D74D1" w:rsidRDefault="003C7CE1" w:rsidP="00A03B53">
            <w:pPr>
              <w:rPr>
                <w:rFonts w:cs="Arial"/>
              </w:rPr>
            </w:pPr>
            <w:r w:rsidRPr="00A134A7">
              <w:rPr>
                <w:rFonts w:cs="Arial"/>
                <w:noProof/>
              </w:rPr>
              <mc:AlternateContent>
                <mc:Choice Requires="wpg">
                  <w:drawing>
                    <wp:inline distT="0" distB="0" distL="0" distR="0" wp14:anchorId="3BFE4A2F" wp14:editId="7B47B40F">
                      <wp:extent cx="460800" cy="248400"/>
                      <wp:effectExtent l="0" t="0" r="15875" b="18415"/>
                      <wp:docPr id="85" name="Group 85"/>
                      <wp:cNvGraphicFramePr/>
                      <a:graphic xmlns:a="http://schemas.openxmlformats.org/drawingml/2006/main">
                        <a:graphicData uri="http://schemas.microsoft.com/office/word/2010/wordprocessingGroup">
                          <wpg:wgp>
                            <wpg:cNvGrpSpPr/>
                            <wpg:grpSpPr>
                              <a:xfrm>
                                <a:off x="0" y="0"/>
                                <a:ext cx="460800" cy="248400"/>
                                <a:chOff x="0" y="0"/>
                                <a:chExt cx="675755" cy="248400"/>
                              </a:xfrm>
                            </wpg:grpSpPr>
                            <wps:wsp>
                              <wps:cNvPr id="86" name="Rectangle 86"/>
                              <wps:cNvSpPr/>
                              <wps:spPr>
                                <a:xfrm>
                                  <a:off x="0" y="0"/>
                                  <a:ext cx="133200" cy="248400"/>
                                </a:xfrm>
                                <a:prstGeom prst="rect">
                                  <a:avLst/>
                                </a:pr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7" name="Rectangle 87"/>
                              <wps:cNvSpPr/>
                              <wps:spPr>
                                <a:xfrm>
                                  <a:off x="135639" y="0"/>
                                  <a:ext cx="133200" cy="248400"/>
                                </a:xfrm>
                                <a:prstGeom prst="rect">
                                  <a:avLst/>
                                </a:pr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8" name="Rectangle 88"/>
                              <wps:cNvSpPr/>
                              <wps:spPr>
                                <a:xfrm>
                                  <a:off x="271278" y="0"/>
                                  <a:ext cx="133200" cy="2484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9" name="Rectangle 89"/>
                              <wps:cNvSpPr/>
                              <wps:spPr>
                                <a:xfrm>
                                  <a:off x="406917" y="0"/>
                                  <a:ext cx="133200" cy="2484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0" name="Rectangle 90"/>
                              <wps:cNvSpPr/>
                              <wps:spPr>
                                <a:xfrm>
                                  <a:off x="542555" y="0"/>
                                  <a:ext cx="133200" cy="2484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xmlns:w16du="http://schemas.microsoft.com/office/word/2023/wordml/word16du">
                  <w:pict>
                    <v:group w14:anchorId="77428A26" id="Group 85" o:spid="_x0000_s1026" style="width:36.3pt;height:19.55pt;mso-position-horizontal-relative:char;mso-position-vertical-relative:line" coordsize="6757,2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">
                      <v:rect id="Rectangle 86" o:spid="_x0000_s1027" style="position:absolute;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" fillcolor="#ffc000" strokecolor="black [3213]" strokeweight="1pt"/>
                      <v:rect id="Rectangle 87" o:spid="_x0000_s1028" style="position:absolute;left:1356;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" fillcolor="#ffc000" strokecolor="black [3213]" strokeweight="1pt"/>
                      <v:rect id="Rectangle 88" o:spid="_x0000_s1029" style="position:absolute;left:2712;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" fillcolor="white [3212]" strokecolor="black [3213]" strokeweight="1pt"/>
                      <v:rect id="Rectangle 89" o:spid="_x0000_s1030" style="position:absolute;left:4069;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" fillcolor="white [3212]" strokecolor="black [3213]" strokeweight="1pt"/>
                      <v:rect id="Rectangle 90" o:spid="_x0000_s1031" style="position:absolute;left:5425;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" fillcolor="white [3212]" strokecolor="black [3213]" strokeweight="1pt"/>
                      <w10:anchorlock/>
                    </v:group>
                  </w:pict>
                </mc:Fallback>
              </mc:AlternateContent>
            </w:r>
          </w:p>
        </w:tc>
        <w:tc>
          <w:tcPr>
            <w:tcW w:w="989" w:type="dxa"/>
            <w:vAlign w:val="center"/>
          </w:tcPr>
          <w:p w14:paraId="108CE0CB" w14:textId="77777777" w:rsidR="003C7CE1" w:rsidRPr="005D74D1" w:rsidRDefault="003C7CE1" w:rsidP="00A03B53">
            <w:pPr>
              <w:rPr>
                <w:rFonts w:cs="Arial"/>
              </w:rPr>
            </w:pPr>
            <w:r w:rsidRPr="00A134A7">
              <w:rPr>
                <w:rFonts w:cs="Arial"/>
                <w:noProof/>
              </w:rPr>
              <mc:AlternateContent>
                <mc:Choice Requires="wpg">
                  <w:drawing>
                    <wp:inline distT="0" distB="0" distL="0" distR="0" wp14:anchorId="7294704A" wp14:editId="224FE8AB">
                      <wp:extent cx="460800" cy="246491"/>
                      <wp:effectExtent l="0" t="0" r="15875" b="20320"/>
                      <wp:docPr id="91" name="Group 91"/>
                      <wp:cNvGraphicFramePr/>
                      <a:graphic xmlns:a="http://schemas.openxmlformats.org/drawingml/2006/main">
                        <a:graphicData uri="http://schemas.microsoft.com/office/word/2010/wordprocessingGroup">
                          <wpg:wgp>
                            <wpg:cNvGrpSpPr/>
                            <wpg:grpSpPr>
                              <a:xfrm>
                                <a:off x="0" y="0"/>
                                <a:ext cx="460800" cy="246491"/>
                                <a:chOff x="0" y="0"/>
                                <a:chExt cx="675755" cy="246491"/>
                              </a:xfrm>
                            </wpg:grpSpPr>
                            <wps:wsp>
                              <wps:cNvPr id="92" name="Rectangle 92"/>
                              <wps:cNvSpPr/>
                              <wps:spPr>
                                <a:xfrm>
                                  <a:off x="0" y="0"/>
                                  <a:ext cx="133200" cy="246491"/>
                                </a:xfrm>
                                <a:prstGeom prst="rect">
                                  <a:avLst/>
                                </a:pr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3" name="Rectangle 93"/>
                              <wps:cNvSpPr/>
                              <wps:spPr>
                                <a:xfrm>
                                  <a:off x="135639" y="0"/>
                                  <a:ext cx="133200" cy="246491"/>
                                </a:xfrm>
                                <a:prstGeom prst="rect">
                                  <a:avLst/>
                                </a:pr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4" name="Rectangle 94"/>
                              <wps:cNvSpPr/>
                              <wps:spPr>
                                <a:xfrm>
                                  <a:off x="271278" y="0"/>
                                  <a:ext cx="133200" cy="246491"/>
                                </a:xfrm>
                                <a:prstGeom prst="rect">
                                  <a:avLst/>
                                </a:pr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5" name="Rectangle 95"/>
                              <wps:cNvSpPr/>
                              <wps:spPr>
                                <a:xfrm>
                                  <a:off x="542555" y="0"/>
                                  <a:ext cx="133200" cy="246491"/>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1" name="Rectangle 291"/>
                              <wps:cNvSpPr/>
                              <wps:spPr>
                                <a:xfrm>
                                  <a:off x="406917" y="0"/>
                                  <a:ext cx="133200" cy="246491"/>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xmlns:w16du="http://schemas.microsoft.com/office/word/2023/wordml/word16du">
                  <w:pict>
                    <v:group w14:anchorId="538F1654" id="Group 91" o:spid="_x0000_s1026" style="width:36.3pt;height:19.4pt;mso-position-horizontal-relative:char;mso-position-vertical-relative:line" coordsize="6757,2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">
                      <v:rect id="Rectangle 92" o:spid="_x0000_s1027" style="position:absolute;width:1332;height:2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" fillcolor="#ffc000" strokecolor="black [3213]" strokeweight="1pt"/>
                      <v:rect id="Rectangle 93" o:spid="_x0000_s1028" style="position:absolute;left:1356;width:1332;height:2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" fillcolor="#ffc000" strokecolor="black [3213]" strokeweight="1pt"/>
                      <v:rect id="Rectangle 94" o:spid="_x0000_s1029" style="position:absolute;left:2712;width:1332;height:2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" fillcolor="#ffc000" strokecolor="black [3213]" strokeweight="1pt"/>
                      <v:rect id="Rectangle 95" o:spid="_x0000_s1030" style="position:absolute;left:5425;width:1332;height:2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" fillcolor="white [3212]" strokecolor="black [3213]" strokeweight="1pt"/>
                      <v:rect id="Rectangle 291" o:spid="_x0000_s1031" style="position:absolute;left:4069;width:1332;height:2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" fillcolor="white [3212]" strokecolor="black [3213]" strokeweight="1pt"/>
                      <w10:anchorlock/>
                    </v:group>
                  </w:pict>
                </mc:Fallback>
              </mc:AlternateContent>
            </w:r>
          </w:p>
        </w:tc>
        <w:tc>
          <w:tcPr>
            <w:tcW w:w="813" w:type="dxa"/>
            <w:vAlign w:val="center"/>
          </w:tcPr>
          <w:p w14:paraId="0798982D" w14:textId="77777777" w:rsidR="003C7CE1" w:rsidRPr="005D74D1" w:rsidRDefault="003C7CE1" w:rsidP="00A03B53">
            <w:pPr>
              <w:rPr>
                <w:rFonts w:cs="Arial"/>
              </w:rPr>
            </w:pPr>
            <w:r w:rsidRPr="00A134A7">
              <w:rPr>
                <w:rFonts w:cs="Arial"/>
                <w:noProof/>
              </w:rPr>
              <mc:AlternateContent>
                <mc:Choice Requires="wpg">
                  <w:drawing>
                    <wp:inline distT="0" distB="0" distL="0" distR="0" wp14:anchorId="218ADEC8" wp14:editId="16CDCD4E">
                      <wp:extent cx="460800" cy="248400"/>
                      <wp:effectExtent l="0" t="0" r="15875" b="18415"/>
                      <wp:docPr id="292" name="Group 292"/>
                      <wp:cNvGraphicFramePr/>
                      <a:graphic xmlns:a="http://schemas.openxmlformats.org/drawingml/2006/main">
                        <a:graphicData uri="http://schemas.microsoft.com/office/word/2010/wordprocessingGroup">
                          <wpg:wgp>
                            <wpg:cNvGrpSpPr/>
                            <wpg:grpSpPr>
                              <a:xfrm>
                                <a:off x="0" y="0"/>
                                <a:ext cx="460800" cy="248400"/>
                                <a:chOff x="0" y="0"/>
                                <a:chExt cx="675126" cy="248400"/>
                              </a:xfrm>
                            </wpg:grpSpPr>
                            <wps:wsp>
                              <wps:cNvPr id="293" name="Rectangle 293"/>
                              <wps:cNvSpPr/>
                              <wps:spPr>
                                <a:xfrm>
                                  <a:off x="0" y="0"/>
                                  <a:ext cx="133200" cy="248400"/>
                                </a:xfrm>
                                <a:prstGeom prst="rect">
                                  <a:avLst/>
                                </a:pr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4" name="Rectangle 294"/>
                              <wps:cNvSpPr/>
                              <wps:spPr>
                                <a:xfrm>
                                  <a:off x="135482" y="0"/>
                                  <a:ext cx="133200" cy="248400"/>
                                </a:xfrm>
                                <a:prstGeom prst="rect">
                                  <a:avLst/>
                                </a:pr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5" name="Rectangle 295"/>
                              <wps:cNvSpPr/>
                              <wps:spPr>
                                <a:xfrm>
                                  <a:off x="270963" y="0"/>
                                  <a:ext cx="133200" cy="248400"/>
                                </a:xfrm>
                                <a:prstGeom prst="rect">
                                  <a:avLst/>
                                </a:pr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6" name="Rectangle 296"/>
                              <wps:cNvSpPr/>
                              <wps:spPr>
                                <a:xfrm>
                                  <a:off x="406444" y="0"/>
                                  <a:ext cx="133200" cy="248400"/>
                                </a:xfrm>
                                <a:prstGeom prst="rect">
                                  <a:avLst/>
                                </a:pr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7" name="Rectangle 297"/>
                              <wps:cNvSpPr/>
                              <wps:spPr>
                                <a:xfrm>
                                  <a:off x="541926" y="0"/>
                                  <a:ext cx="133200" cy="2484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xmlns:w16du="http://schemas.microsoft.com/office/word/2023/wordml/word16du">
                  <w:pict>
                    <v:group w14:anchorId="2A5EBD29" id="Group 292" o:spid="_x0000_s1026" style="width:36.3pt;height:19.55pt;mso-position-horizontal-relative:char;mso-position-vertical-relative:line" coordsize="6751,2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">
                      <v:rect id="Rectangle 293" o:spid="_x0000_s1027" style="position:absolute;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" fillcolor="#ffc000" strokecolor="black [3213]" strokeweight="1pt"/>
                      <v:rect id="Rectangle 294" o:spid="_x0000_s1028" style="position:absolute;left:1354;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" fillcolor="#ffc000" strokecolor="black [3213]" strokeweight="1pt"/>
                      <v:rect id="Rectangle 295" o:spid="_x0000_s1029" style="position:absolute;left:2709;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" fillcolor="#ffc000" strokecolor="black [3213]" strokeweight="1pt"/>
                      <v:rect id="Rectangle 296" o:spid="_x0000_s1030" style="position:absolute;left:4064;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" fillcolor="#ffc000" strokecolor="black [3213]" strokeweight="1pt"/>
                      <v:rect id="Rectangle 297" o:spid="_x0000_s1031" style="position:absolute;left:5419;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" fillcolor="white [3212]" strokecolor="black [3213]" strokeweight="1pt"/>
                      <w10:anchorlock/>
                    </v:group>
                  </w:pict>
                </mc:Fallback>
              </mc:AlternateContent>
            </w:r>
          </w:p>
        </w:tc>
        <w:tc>
          <w:tcPr>
            <w:tcW w:w="905" w:type="dxa"/>
            <w:vAlign w:val="center"/>
          </w:tcPr>
          <w:p w14:paraId="0412B451" w14:textId="77777777" w:rsidR="003C7CE1" w:rsidRPr="005D74D1" w:rsidRDefault="003C7CE1" w:rsidP="00A03B53">
            <w:pPr>
              <w:rPr>
                <w:rFonts w:cs="Arial"/>
              </w:rPr>
            </w:pPr>
            <w:r w:rsidRPr="00A134A7">
              <w:rPr>
                <w:rFonts w:cs="Arial"/>
                <w:noProof/>
              </w:rPr>
              <mc:AlternateContent>
                <mc:Choice Requires="wpg">
                  <w:drawing>
                    <wp:inline distT="0" distB="0" distL="0" distR="0" wp14:anchorId="4F16BC5B" wp14:editId="15B5997A">
                      <wp:extent cx="460800" cy="248401"/>
                      <wp:effectExtent l="0" t="0" r="15875" b="18415"/>
                      <wp:docPr id="298" name="Group 298"/>
                      <wp:cNvGraphicFramePr/>
                      <a:graphic xmlns:a="http://schemas.openxmlformats.org/drawingml/2006/main">
                        <a:graphicData uri="http://schemas.microsoft.com/office/word/2010/wordprocessingGroup">
                          <wpg:wgp>
                            <wpg:cNvGrpSpPr/>
                            <wpg:grpSpPr>
                              <a:xfrm>
                                <a:off x="0" y="0"/>
                                <a:ext cx="460800" cy="248401"/>
                                <a:chOff x="0" y="0"/>
                                <a:chExt cx="657283" cy="248401"/>
                              </a:xfrm>
                              <a:solidFill>
                                <a:srgbClr val="FFC000"/>
                              </a:solidFill>
                            </wpg:grpSpPr>
                            <wps:wsp>
                              <wps:cNvPr id="299" name="Rectangle 299"/>
                              <wps:cNvSpPr/>
                              <wps:spPr>
                                <a:xfrm>
                                  <a:off x="0" y="0"/>
                                  <a:ext cx="133200" cy="248400"/>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0" name="Rectangle 300"/>
                              <wps:cNvSpPr/>
                              <wps:spPr>
                                <a:xfrm>
                                  <a:off x="131021" y="0"/>
                                  <a:ext cx="133200" cy="248400"/>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1" name="Rectangle 301"/>
                              <wps:cNvSpPr/>
                              <wps:spPr>
                                <a:xfrm>
                                  <a:off x="262042" y="0"/>
                                  <a:ext cx="133200" cy="248400"/>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2" name="Rectangle 302"/>
                              <wps:cNvSpPr/>
                              <wps:spPr>
                                <a:xfrm>
                                  <a:off x="393063" y="1"/>
                                  <a:ext cx="133200" cy="248400"/>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3" name="Rectangle 303"/>
                              <wps:cNvSpPr/>
                              <wps:spPr>
                                <a:xfrm>
                                  <a:off x="524083" y="0"/>
                                  <a:ext cx="133200" cy="248400"/>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xmlns:w16du="http://schemas.microsoft.com/office/word/2023/wordml/word16du">
                  <w:pict>
                    <v:group w14:anchorId="6CD7F5D8" id="Group 298" o:spid="_x0000_s1026" style="width:36.3pt;height:19.55pt;mso-position-horizontal-relative:char;mso-position-vertical-relative:line" coordsize="6572,2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">
                      <v:rect id="Rectangle 299" o:spid="_x0000_s1027" style="position:absolute;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" filled="f" strokecolor="black [3213]" strokeweight="1pt"/>
                      <v:rect id="Rectangle 300" o:spid="_x0000_s1028" style="position:absolute;left:1310;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" filled="f" strokecolor="black [3213]" strokeweight="1pt"/>
                      <v:rect id="Rectangle 301" o:spid="_x0000_s1029" style="position:absolute;left:2620;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" filled="f" strokecolor="black [3213]" strokeweight="1pt"/>
                      <v:rect id="Rectangle 302" o:spid="_x0000_s1030" style="position:absolute;left:3930;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" filled="f" strokecolor="black [3213]" strokeweight="1pt"/>
                      <v:rect id="Rectangle 303" o:spid="_x0000_s1031" style="position:absolute;left:5240;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" filled="f" strokecolor="black [3213]" strokeweight="1pt"/>
                      <w10:anchorlock/>
                    </v:group>
                  </w:pict>
                </mc:Fallback>
              </mc:AlternateContent>
            </w:r>
          </w:p>
        </w:tc>
      </w:tr>
    </w:tbl>
    <w:p w14:paraId="268AAB7B" w14:textId="6A7B05EA" w:rsidR="00AC32AC" w:rsidRPr="005D74D1" w:rsidRDefault="00B967A4" w:rsidP="00FA2930">
      <w:pPr>
        <w:pStyle w:val="FigureCaption"/>
        <w:rPr>
          <w:rFonts w:cs="Arial"/>
        </w:rPr>
      </w:pPr>
      <w:bookmarkStart w:id="146" w:name="_Ref183452479"/>
      <w:bookmarkStart w:id="147" w:name="_Toc183776653"/>
      <w:r w:rsidRPr="005D74D1">
        <w:rPr>
          <w:rFonts w:cs="Arial"/>
        </w:rPr>
        <w:t xml:space="preserve">Figure </w:t>
      </w:r>
      <w:r w:rsidRPr="00A134A7">
        <w:rPr>
          <w:rFonts w:cs="Arial"/>
        </w:rPr>
        <w:fldChar w:fldCharType="begin"/>
      </w:r>
      <w:r w:rsidRPr="005D74D1">
        <w:rPr>
          <w:rFonts w:cs="Arial"/>
        </w:rPr>
        <w:instrText xml:space="preserve"> SEQ Figure \* ARABIC </w:instrText>
      </w:r>
      <w:r w:rsidRPr="00A134A7">
        <w:rPr>
          <w:rFonts w:cs="Arial"/>
        </w:rPr>
        <w:fldChar w:fldCharType="separate"/>
      </w:r>
      <w:r w:rsidR="003870A0">
        <w:rPr>
          <w:rFonts w:cs="Arial"/>
          <w:noProof/>
        </w:rPr>
        <w:t>3</w:t>
      </w:r>
      <w:r w:rsidRPr="00A134A7">
        <w:rPr>
          <w:rFonts w:cs="Arial"/>
        </w:rPr>
        <w:fldChar w:fldCharType="end"/>
      </w:r>
      <w:bookmarkEnd w:id="146"/>
      <w:r w:rsidR="00E70B66" w:rsidRPr="005D74D1">
        <w:rPr>
          <w:rFonts w:cs="Arial"/>
        </w:rPr>
        <w:t>.</w:t>
      </w:r>
      <w:r w:rsidRPr="005D74D1">
        <w:rPr>
          <w:rFonts w:cs="Arial"/>
        </w:rPr>
        <w:t xml:space="preserve"> </w:t>
      </w:r>
      <w:r w:rsidR="006C55E9" w:rsidRPr="005D74D1">
        <w:rPr>
          <w:rFonts w:cs="Arial"/>
        </w:rPr>
        <w:t>Performance assessment</w:t>
      </w:r>
      <w:r w:rsidR="00B333CD" w:rsidRPr="005D74D1">
        <w:rPr>
          <w:rFonts w:cs="Arial"/>
        </w:rPr>
        <w:t xml:space="preserve"> scales</w:t>
      </w:r>
      <w:bookmarkEnd w:id="147"/>
    </w:p>
    <w:p w14:paraId="55941DCB" w14:textId="77777777" w:rsidR="00A50E7D" w:rsidRPr="00A134A7" w:rsidRDefault="00380C0D" w:rsidP="00380C0D">
      <w:pPr>
        <w:pStyle w:val="Heading3"/>
        <w:rPr>
          <w:rFonts w:ascii="Arial" w:hAnsi="Arial" w:cs="Arial"/>
        </w:rPr>
      </w:pPr>
      <w:r w:rsidRPr="00A134A7">
        <w:rPr>
          <w:rFonts w:ascii="Arial" w:hAnsi="Arial" w:cs="Arial"/>
        </w:rPr>
        <w:t>Limitations of the analysis</w:t>
      </w:r>
    </w:p>
    <w:p w14:paraId="15D35294" w14:textId="77777777" w:rsidR="00A50E7D" w:rsidRPr="005D74D1" w:rsidRDefault="00254A1D" w:rsidP="00400990">
      <w:pPr>
        <w:pStyle w:val="BodyText"/>
        <w:rPr>
          <w:rFonts w:cs="Arial"/>
        </w:rPr>
      </w:pPr>
      <w:r w:rsidRPr="005D74D1">
        <w:rPr>
          <w:rFonts w:cs="Arial"/>
        </w:rPr>
        <w:t>Limitations on the evaluation included:</w:t>
      </w:r>
    </w:p>
    <w:p w14:paraId="07DDF1A5" w14:textId="0FCF1132" w:rsidR="00B333CD" w:rsidRPr="005D74D1" w:rsidRDefault="00A76A0B" w:rsidP="009E3D9F">
      <w:pPr>
        <w:pStyle w:val="BulletLevel1"/>
        <w:rPr>
          <w:rFonts w:cs="Arial"/>
          <w:lang w:val="en-AU"/>
        </w:rPr>
      </w:pPr>
      <w:r w:rsidRPr="005D74D1">
        <w:rPr>
          <w:rFonts w:cs="Arial"/>
          <w:b/>
          <w:bCs/>
          <w:lang w:val="en-AU"/>
        </w:rPr>
        <w:t>There are complex interdependencies across EC tranches</w:t>
      </w:r>
      <w:r w:rsidR="00837F81" w:rsidRPr="005D74D1">
        <w:rPr>
          <w:rFonts w:cs="Arial"/>
          <w:b/>
          <w:bCs/>
          <w:lang w:val="en-AU"/>
        </w:rPr>
        <w:t xml:space="preserve"> and the broader context in which EC investment occurs</w:t>
      </w:r>
      <w:r w:rsidR="00EE27B4" w:rsidRPr="005D74D1">
        <w:rPr>
          <w:rFonts w:cs="Arial"/>
          <w:b/>
          <w:bCs/>
          <w:lang w:val="en-AU"/>
        </w:rPr>
        <w:t>:</w:t>
      </w:r>
      <w:r w:rsidR="00EE27B4" w:rsidRPr="005D74D1">
        <w:rPr>
          <w:rFonts w:cs="Arial"/>
          <w:lang w:val="en-AU"/>
        </w:rPr>
        <w:t xml:space="preserve"> </w:t>
      </w:r>
      <w:r w:rsidRPr="005D74D1">
        <w:rPr>
          <w:rFonts w:cs="Arial"/>
          <w:lang w:val="en-AU"/>
        </w:rPr>
        <w:t xml:space="preserve">Each subsequent </w:t>
      </w:r>
      <w:r w:rsidR="00B333CD" w:rsidRPr="005D74D1">
        <w:rPr>
          <w:rFonts w:cs="Arial"/>
          <w:lang w:val="en-AU"/>
        </w:rPr>
        <w:t xml:space="preserve">tranche </w:t>
      </w:r>
      <w:r w:rsidRPr="005D74D1">
        <w:rPr>
          <w:rFonts w:cs="Arial"/>
          <w:lang w:val="en-AU"/>
        </w:rPr>
        <w:t xml:space="preserve">will support the achievement of benefits from previous </w:t>
      </w:r>
      <w:r w:rsidR="00B333CD" w:rsidRPr="005D74D1">
        <w:rPr>
          <w:rFonts w:cs="Arial"/>
          <w:lang w:val="en-AU"/>
        </w:rPr>
        <w:t>tranches</w:t>
      </w:r>
      <w:r w:rsidRPr="005D74D1">
        <w:rPr>
          <w:rFonts w:cs="Arial"/>
          <w:lang w:val="en-AU"/>
        </w:rPr>
        <w:t xml:space="preserve">. </w:t>
      </w:r>
      <w:r w:rsidR="000848D3" w:rsidRPr="005D74D1">
        <w:rPr>
          <w:rFonts w:cs="Arial"/>
          <w:lang w:val="en-AU"/>
        </w:rPr>
        <w:t>That is</w:t>
      </w:r>
      <w:r w:rsidR="00B333CD" w:rsidRPr="005D74D1">
        <w:rPr>
          <w:rFonts w:cs="Arial"/>
          <w:lang w:val="en-AU"/>
        </w:rPr>
        <w:t>:</w:t>
      </w:r>
    </w:p>
    <w:p w14:paraId="58511C41" w14:textId="77777777" w:rsidR="00A50E7D" w:rsidRPr="005D74D1" w:rsidRDefault="00A76A0B" w:rsidP="00FF5181">
      <w:pPr>
        <w:pStyle w:val="BulletLevel2"/>
        <w:rPr>
          <w:rFonts w:cs="Arial"/>
        </w:rPr>
      </w:pPr>
      <w:r w:rsidRPr="005D74D1">
        <w:rPr>
          <w:rFonts w:cs="Arial"/>
        </w:rPr>
        <w:t>works undertaken in subsequent tranches help preserve the benefits achieved in earlier tranches</w:t>
      </w:r>
      <w:r w:rsidR="00775F9E" w:rsidRPr="005D74D1">
        <w:rPr>
          <w:rFonts w:cs="Arial"/>
        </w:rPr>
        <w:t>;</w:t>
      </w:r>
      <w:r w:rsidR="00B333CD" w:rsidRPr="005D74D1">
        <w:rPr>
          <w:rFonts w:cs="Arial"/>
        </w:rPr>
        <w:t xml:space="preserve"> and</w:t>
      </w:r>
    </w:p>
    <w:p w14:paraId="770BFB7B" w14:textId="77777777" w:rsidR="00A50E7D" w:rsidRPr="005D74D1" w:rsidRDefault="00B333CD" w:rsidP="00FF5181">
      <w:pPr>
        <w:pStyle w:val="BulletLevel2"/>
        <w:rPr>
          <w:rFonts w:cs="Arial"/>
        </w:rPr>
      </w:pPr>
      <w:r w:rsidRPr="005D74D1">
        <w:rPr>
          <w:rFonts w:cs="Arial"/>
        </w:rPr>
        <w:t>t</w:t>
      </w:r>
      <w:r w:rsidR="00C96917" w:rsidRPr="005D74D1">
        <w:rPr>
          <w:rFonts w:cs="Arial"/>
        </w:rPr>
        <w:t>he</w:t>
      </w:r>
      <w:r w:rsidR="003D00FC" w:rsidRPr="005D74D1">
        <w:rPr>
          <w:rFonts w:cs="Arial"/>
        </w:rPr>
        <w:t xml:space="preserve"> works and benefits from subsequent </w:t>
      </w:r>
      <w:r w:rsidRPr="005D74D1">
        <w:rPr>
          <w:rFonts w:cs="Arial"/>
        </w:rPr>
        <w:t xml:space="preserve">tranches </w:t>
      </w:r>
      <w:r w:rsidR="003D00FC" w:rsidRPr="005D74D1">
        <w:rPr>
          <w:rFonts w:cs="Arial"/>
        </w:rPr>
        <w:t xml:space="preserve">are dependent on the works and benefits achieved in earlier </w:t>
      </w:r>
      <w:r w:rsidRPr="005D74D1">
        <w:rPr>
          <w:rFonts w:cs="Arial"/>
        </w:rPr>
        <w:t>tranches</w:t>
      </w:r>
      <w:r w:rsidR="003D00FC" w:rsidRPr="005D74D1">
        <w:rPr>
          <w:rFonts w:cs="Arial"/>
        </w:rPr>
        <w:t>.</w:t>
      </w:r>
    </w:p>
    <w:p w14:paraId="32F5D518" w14:textId="77777777" w:rsidR="00A50E7D" w:rsidRPr="005D74D1" w:rsidRDefault="00735ABC" w:rsidP="00B333CD">
      <w:pPr>
        <w:pStyle w:val="BulletLevel2"/>
        <w:numPr>
          <w:ilvl w:val="0"/>
          <w:numId w:val="0"/>
        </w:numPr>
        <w:ind w:left="357"/>
        <w:rPr>
          <w:rFonts w:cs="Arial"/>
        </w:rPr>
      </w:pPr>
      <w:r w:rsidRPr="005D74D1">
        <w:rPr>
          <w:rFonts w:cs="Arial"/>
        </w:rPr>
        <w:t xml:space="preserve">Also, there are multiple drivers </w:t>
      </w:r>
      <w:r w:rsidR="00041161" w:rsidRPr="005D74D1">
        <w:rPr>
          <w:rFonts w:cs="Arial"/>
        </w:rPr>
        <w:t>for the outcomes that the EC is contributing toward</w:t>
      </w:r>
      <w:r w:rsidR="00F907F5" w:rsidRPr="005D74D1">
        <w:rPr>
          <w:rFonts w:cs="Arial"/>
        </w:rPr>
        <w:t>. These include</w:t>
      </w:r>
      <w:r w:rsidR="00EC0703" w:rsidRPr="005D74D1">
        <w:rPr>
          <w:rFonts w:cs="Arial"/>
        </w:rPr>
        <w:t xml:space="preserve"> influences and achievements from other programs, changes to </w:t>
      </w:r>
      <w:r w:rsidR="00F907F5" w:rsidRPr="005D74D1">
        <w:rPr>
          <w:rFonts w:cs="Arial"/>
        </w:rPr>
        <w:t>policies and government priorities,</w:t>
      </w:r>
      <w:r w:rsidR="00EC0703" w:rsidRPr="005D74D1">
        <w:rPr>
          <w:rFonts w:cs="Arial"/>
        </w:rPr>
        <w:t xml:space="preserve"> and other externalities</w:t>
      </w:r>
      <w:r w:rsidR="00B333CD" w:rsidRPr="005D74D1">
        <w:rPr>
          <w:rFonts w:cs="Arial"/>
        </w:rPr>
        <w:t xml:space="preserve"> not funded under the EC</w:t>
      </w:r>
      <w:r w:rsidR="00EC0703" w:rsidRPr="005D74D1">
        <w:rPr>
          <w:rFonts w:cs="Arial"/>
        </w:rPr>
        <w:t xml:space="preserve">. </w:t>
      </w:r>
      <w:r w:rsidR="00A76A0B" w:rsidRPr="005D74D1">
        <w:rPr>
          <w:rFonts w:cs="Arial"/>
        </w:rPr>
        <w:t>Quantitative assessment of these interdependencies is complex and beyond the scope of th</w:t>
      </w:r>
      <w:r w:rsidR="00B333CD" w:rsidRPr="005D74D1">
        <w:rPr>
          <w:rFonts w:cs="Arial"/>
        </w:rPr>
        <w:t>e</w:t>
      </w:r>
      <w:r w:rsidR="00A76A0B" w:rsidRPr="005D74D1">
        <w:rPr>
          <w:rFonts w:cs="Arial"/>
        </w:rPr>
        <w:t xml:space="preserve"> evaluation.</w:t>
      </w:r>
    </w:p>
    <w:p w14:paraId="788CA654" w14:textId="77777777" w:rsidR="00A50E7D" w:rsidRPr="005D74D1" w:rsidRDefault="00196942" w:rsidP="00CC49CB">
      <w:pPr>
        <w:pStyle w:val="BulletLevel1"/>
        <w:keepNext/>
        <w:keepLines/>
        <w:ind w:left="360" w:hanging="360"/>
        <w:rPr>
          <w:rFonts w:cs="Arial"/>
          <w:lang w:val="en-AU"/>
        </w:rPr>
      </w:pPr>
      <w:r w:rsidRPr="005D74D1">
        <w:rPr>
          <w:rFonts w:cs="Arial"/>
          <w:b/>
          <w:bCs/>
          <w:lang w:val="en-AU"/>
        </w:rPr>
        <w:lastRenderedPageBreak/>
        <w:t>An economic assessment was beyond the scope of this evaluation</w:t>
      </w:r>
      <w:r w:rsidR="00EE27B4" w:rsidRPr="005D74D1">
        <w:rPr>
          <w:rFonts w:cs="Arial"/>
          <w:b/>
          <w:bCs/>
          <w:lang w:val="en-AU"/>
        </w:rPr>
        <w:t>:</w:t>
      </w:r>
      <w:r w:rsidR="00EE27B4" w:rsidRPr="005D74D1">
        <w:rPr>
          <w:rFonts w:cs="Arial"/>
          <w:lang w:val="en-AU"/>
        </w:rPr>
        <w:t xml:space="preserve"> </w:t>
      </w:r>
      <w:r w:rsidR="004F350F" w:rsidRPr="005D74D1">
        <w:rPr>
          <w:rFonts w:cs="Arial"/>
          <w:lang w:val="en-AU"/>
        </w:rPr>
        <w:t xml:space="preserve">While this evaluation </w:t>
      </w:r>
      <w:r w:rsidR="00B6227F" w:rsidRPr="005D74D1">
        <w:rPr>
          <w:rFonts w:cs="Arial"/>
          <w:lang w:val="en-AU"/>
        </w:rPr>
        <w:t xml:space="preserve">reported on efficiency, </w:t>
      </w:r>
      <w:r w:rsidR="00B333CD" w:rsidRPr="005D74D1">
        <w:rPr>
          <w:rFonts w:cs="Arial"/>
          <w:lang w:val="en-AU"/>
        </w:rPr>
        <w:t>the scope</w:t>
      </w:r>
      <w:r w:rsidR="00205D31" w:rsidRPr="005D74D1">
        <w:rPr>
          <w:rFonts w:cs="Arial"/>
          <w:lang w:val="en-AU"/>
        </w:rPr>
        <w:t xml:space="preserve"> did not include an</w:t>
      </w:r>
      <w:r w:rsidR="00EE6F7E" w:rsidRPr="005D74D1">
        <w:rPr>
          <w:rFonts w:cs="Arial"/>
          <w:lang w:val="en-AU"/>
        </w:rPr>
        <w:t xml:space="preserve"> economic assessment. This means </w:t>
      </w:r>
      <w:r w:rsidR="00342000" w:rsidRPr="005D74D1">
        <w:rPr>
          <w:rFonts w:cs="Arial"/>
          <w:lang w:val="en-AU"/>
        </w:rPr>
        <w:t xml:space="preserve">evaluation </w:t>
      </w:r>
      <w:r w:rsidR="00EE6F7E" w:rsidRPr="005D74D1">
        <w:rPr>
          <w:rFonts w:cs="Arial"/>
          <w:lang w:val="en-AU"/>
        </w:rPr>
        <w:t>of efficiency and value for money is qualitative onl</w:t>
      </w:r>
      <w:r w:rsidR="00886344" w:rsidRPr="005D74D1">
        <w:rPr>
          <w:rFonts w:cs="Arial"/>
          <w:lang w:val="en-AU"/>
        </w:rPr>
        <w:t xml:space="preserve">y and does not quantitatively compare the value of investment to the benefits </w:t>
      </w:r>
      <w:r w:rsidR="00981C0F" w:rsidRPr="005D74D1">
        <w:rPr>
          <w:rFonts w:cs="Arial"/>
          <w:lang w:val="en-AU"/>
        </w:rPr>
        <w:t>achieved</w:t>
      </w:r>
      <w:r w:rsidR="00886344" w:rsidRPr="005D74D1">
        <w:rPr>
          <w:rFonts w:cs="Arial"/>
          <w:lang w:val="en-AU"/>
        </w:rPr>
        <w:t xml:space="preserve">. </w:t>
      </w:r>
      <w:r w:rsidR="00A825AD" w:rsidRPr="005D74D1">
        <w:rPr>
          <w:rFonts w:cs="Arial"/>
          <w:lang w:val="en-AU"/>
        </w:rPr>
        <w:t xml:space="preserve">However, some of the projects undertook economic assessments as part of the investment cycle and the outcomes of these </w:t>
      </w:r>
      <w:r w:rsidR="00163A92" w:rsidRPr="005D74D1">
        <w:rPr>
          <w:rFonts w:cs="Arial"/>
          <w:lang w:val="en-AU"/>
        </w:rPr>
        <w:t xml:space="preserve">were reviewed as part of the project evaluations. </w:t>
      </w:r>
      <w:r w:rsidR="003B0EC3" w:rsidRPr="005D74D1">
        <w:rPr>
          <w:rFonts w:cs="Arial"/>
          <w:lang w:val="en-AU"/>
        </w:rPr>
        <w:t xml:space="preserve">Monetisation of many of the values the EC supports have traditionally </w:t>
      </w:r>
      <w:r w:rsidR="00723F36" w:rsidRPr="005D74D1">
        <w:rPr>
          <w:rFonts w:cs="Arial"/>
          <w:lang w:val="en-AU"/>
        </w:rPr>
        <w:t xml:space="preserve">been </w:t>
      </w:r>
      <w:r w:rsidR="003B0EC3" w:rsidRPr="005D74D1">
        <w:rPr>
          <w:rFonts w:cs="Arial"/>
          <w:lang w:val="en-AU"/>
        </w:rPr>
        <w:t xml:space="preserve">complex </w:t>
      </w:r>
      <w:r w:rsidR="00555442" w:rsidRPr="005D74D1">
        <w:rPr>
          <w:rFonts w:cs="Arial"/>
          <w:lang w:val="en-AU"/>
        </w:rPr>
        <w:t>(such as environmental and social values)</w:t>
      </w:r>
      <w:r w:rsidR="003B0EC3" w:rsidRPr="005D74D1">
        <w:rPr>
          <w:rFonts w:cs="Arial"/>
          <w:lang w:val="en-AU"/>
        </w:rPr>
        <w:t>, although new methods and techni</w:t>
      </w:r>
      <w:r w:rsidR="00555442" w:rsidRPr="005D74D1">
        <w:rPr>
          <w:rFonts w:cs="Arial"/>
          <w:lang w:val="en-AU"/>
        </w:rPr>
        <w:t>ques are increasingly being used to analyse these.</w:t>
      </w:r>
    </w:p>
    <w:p w14:paraId="296B960E" w14:textId="77777777" w:rsidR="00A50E7D" w:rsidRPr="005D74D1" w:rsidRDefault="00FE457D" w:rsidP="009E3D9F">
      <w:pPr>
        <w:pStyle w:val="BulletLevel1"/>
        <w:rPr>
          <w:rFonts w:cs="Arial"/>
          <w:lang w:val="en-AU"/>
        </w:rPr>
      </w:pPr>
      <w:r w:rsidRPr="005D74D1">
        <w:rPr>
          <w:rFonts w:cs="Arial"/>
          <w:b/>
          <w:bCs/>
          <w:lang w:val="en-AU"/>
        </w:rPr>
        <w:t>Relying on qualitative data:</w:t>
      </w:r>
      <w:r w:rsidRPr="005D74D1">
        <w:rPr>
          <w:rFonts w:cs="Arial"/>
          <w:lang w:val="en-AU"/>
        </w:rPr>
        <w:t xml:space="preserve"> The main source of information </w:t>
      </w:r>
      <w:r w:rsidR="00431411" w:rsidRPr="005D74D1">
        <w:rPr>
          <w:rFonts w:cs="Arial"/>
          <w:lang w:val="en-AU"/>
        </w:rPr>
        <w:t xml:space="preserve">used for this evaluation was </w:t>
      </w:r>
      <w:r w:rsidR="00372437" w:rsidRPr="005D74D1">
        <w:rPr>
          <w:rFonts w:cs="Arial"/>
          <w:lang w:val="en-AU"/>
        </w:rPr>
        <w:t xml:space="preserve">project evaluation reports </w:t>
      </w:r>
      <w:r w:rsidR="00FB4E1A" w:rsidRPr="005D74D1">
        <w:rPr>
          <w:rFonts w:cs="Arial"/>
          <w:lang w:val="en-AU"/>
        </w:rPr>
        <w:t>developed</w:t>
      </w:r>
      <w:r w:rsidR="00372437" w:rsidRPr="005D74D1">
        <w:rPr>
          <w:rFonts w:cs="Arial"/>
          <w:lang w:val="en-AU"/>
        </w:rPr>
        <w:t xml:space="preserve"> by DEECA project leads. </w:t>
      </w:r>
      <w:r w:rsidR="00FB4E1A" w:rsidRPr="005D74D1">
        <w:rPr>
          <w:rFonts w:cs="Arial"/>
          <w:lang w:val="en-AU"/>
        </w:rPr>
        <w:t xml:space="preserve">These were comprehensive </w:t>
      </w:r>
      <w:r w:rsidR="006A3BF8" w:rsidRPr="005D74D1">
        <w:rPr>
          <w:rFonts w:cs="Arial"/>
          <w:lang w:val="en-AU"/>
        </w:rPr>
        <w:t>and have</w:t>
      </w:r>
      <w:r w:rsidR="00FB4E1A" w:rsidRPr="005D74D1">
        <w:rPr>
          <w:rFonts w:cs="Arial"/>
          <w:lang w:val="en-AU"/>
        </w:rPr>
        <w:t xml:space="preserve"> undergone internal reviews within DEECA </w:t>
      </w:r>
      <w:r w:rsidR="00B6469A" w:rsidRPr="005D74D1">
        <w:rPr>
          <w:rFonts w:cs="Arial"/>
          <w:lang w:val="en-AU"/>
        </w:rPr>
        <w:t xml:space="preserve">prior to their </w:t>
      </w:r>
      <w:r w:rsidR="00B72538" w:rsidRPr="005D74D1">
        <w:rPr>
          <w:rFonts w:cs="Arial"/>
          <w:lang w:val="en-AU"/>
        </w:rPr>
        <w:t>use in</w:t>
      </w:r>
      <w:r w:rsidR="00B6469A" w:rsidRPr="005D74D1">
        <w:rPr>
          <w:rFonts w:cs="Arial"/>
          <w:lang w:val="en-AU"/>
        </w:rPr>
        <w:t xml:space="preserve"> the evaluation</w:t>
      </w:r>
      <w:r w:rsidR="00E23174" w:rsidRPr="005D74D1">
        <w:rPr>
          <w:rFonts w:cs="Arial"/>
          <w:lang w:val="en-AU"/>
        </w:rPr>
        <w:t>;</w:t>
      </w:r>
      <w:r w:rsidR="006A3BF8" w:rsidRPr="005D74D1">
        <w:rPr>
          <w:rFonts w:cs="Arial"/>
          <w:lang w:val="en-AU"/>
        </w:rPr>
        <w:t xml:space="preserve"> however </w:t>
      </w:r>
      <w:r w:rsidR="00E23174" w:rsidRPr="005D74D1">
        <w:rPr>
          <w:rFonts w:cs="Arial"/>
          <w:lang w:val="en-AU"/>
        </w:rPr>
        <w:t xml:space="preserve">they </w:t>
      </w:r>
      <w:r w:rsidR="006A3BF8" w:rsidRPr="005D74D1">
        <w:rPr>
          <w:rFonts w:cs="Arial"/>
          <w:lang w:val="en-AU"/>
        </w:rPr>
        <w:t>were of variable quality</w:t>
      </w:r>
      <w:r w:rsidR="00E23174" w:rsidRPr="005D74D1">
        <w:rPr>
          <w:rFonts w:cs="Arial"/>
          <w:lang w:val="en-AU"/>
        </w:rPr>
        <w:t>,</w:t>
      </w:r>
      <w:r w:rsidR="006A3BF8" w:rsidRPr="005D74D1">
        <w:rPr>
          <w:rFonts w:cs="Arial"/>
          <w:lang w:val="en-AU"/>
        </w:rPr>
        <w:t xml:space="preserve"> </w:t>
      </w:r>
      <w:r w:rsidR="007E5A1F" w:rsidRPr="005D74D1">
        <w:rPr>
          <w:rFonts w:cs="Arial"/>
          <w:lang w:val="en-AU"/>
        </w:rPr>
        <w:t>with some reports reflecting the purposes of the evaluation better than others</w:t>
      </w:r>
      <w:r w:rsidR="00B6469A" w:rsidRPr="005D74D1">
        <w:rPr>
          <w:rFonts w:cs="Arial"/>
          <w:lang w:val="en-AU"/>
        </w:rPr>
        <w:t xml:space="preserve">. </w:t>
      </w:r>
      <w:r w:rsidR="002718B7" w:rsidRPr="005D74D1">
        <w:rPr>
          <w:rFonts w:cs="Arial"/>
          <w:lang w:val="en-AU"/>
        </w:rPr>
        <w:t xml:space="preserve">Improvements were made </w:t>
      </w:r>
      <w:r w:rsidR="00216520" w:rsidRPr="005D74D1">
        <w:rPr>
          <w:rFonts w:cs="Arial"/>
          <w:lang w:val="en-AU"/>
        </w:rPr>
        <w:t xml:space="preserve">in the reporting process that was used for the </w:t>
      </w:r>
      <w:r w:rsidR="002718B7" w:rsidRPr="005D74D1">
        <w:rPr>
          <w:rFonts w:cs="Arial"/>
          <w:lang w:val="en-AU"/>
        </w:rPr>
        <w:t>third year evaluation</w:t>
      </w:r>
      <w:r w:rsidR="00216520" w:rsidRPr="005D74D1">
        <w:rPr>
          <w:rFonts w:cs="Arial"/>
          <w:lang w:val="en-AU"/>
        </w:rPr>
        <w:t>, to improve the efficiency and reliability of information provided for the End-Of-Tranche evaluation.</w:t>
      </w:r>
      <w:r w:rsidR="002718B7" w:rsidRPr="005D74D1">
        <w:rPr>
          <w:rFonts w:cs="Arial"/>
          <w:lang w:val="en-AU"/>
        </w:rPr>
        <w:t xml:space="preserve"> </w:t>
      </w:r>
      <w:r w:rsidR="00B6469A" w:rsidRPr="005D74D1">
        <w:rPr>
          <w:rFonts w:cs="Arial"/>
          <w:lang w:val="en-AU"/>
        </w:rPr>
        <w:t>Many project evaluation reports used quantitative evidence</w:t>
      </w:r>
      <w:r w:rsidR="00B72538" w:rsidRPr="005D74D1">
        <w:rPr>
          <w:rFonts w:cs="Arial"/>
          <w:lang w:val="en-AU"/>
        </w:rPr>
        <w:t>,</w:t>
      </w:r>
      <w:r w:rsidR="00B6469A" w:rsidRPr="005D74D1">
        <w:rPr>
          <w:rFonts w:cs="Arial"/>
          <w:lang w:val="en-AU"/>
        </w:rPr>
        <w:t xml:space="preserve"> where possible</w:t>
      </w:r>
      <w:r w:rsidR="00B72538" w:rsidRPr="005D74D1">
        <w:rPr>
          <w:rFonts w:cs="Arial"/>
          <w:lang w:val="en-AU"/>
        </w:rPr>
        <w:t>,</w:t>
      </w:r>
      <w:r w:rsidR="00B6469A" w:rsidRPr="005D74D1">
        <w:rPr>
          <w:rFonts w:cs="Arial"/>
          <w:lang w:val="en-AU"/>
        </w:rPr>
        <w:t xml:space="preserve"> to demonstrate </w:t>
      </w:r>
      <w:r w:rsidR="00C91450" w:rsidRPr="005D74D1">
        <w:rPr>
          <w:rFonts w:cs="Arial"/>
          <w:lang w:val="en-AU"/>
        </w:rPr>
        <w:t>achievements</w:t>
      </w:r>
      <w:r w:rsidR="00A52D2C" w:rsidRPr="005D74D1">
        <w:rPr>
          <w:rFonts w:cs="Arial"/>
          <w:lang w:val="en-AU"/>
        </w:rPr>
        <w:t>, however there was still significant reliance on qualitative information</w:t>
      </w:r>
      <w:r w:rsidR="007B0736" w:rsidRPr="005D74D1">
        <w:rPr>
          <w:rFonts w:cs="Arial"/>
          <w:lang w:val="en-AU"/>
        </w:rPr>
        <w:t xml:space="preserve"> where quantitative evidence did not exist.</w:t>
      </w:r>
    </w:p>
    <w:p w14:paraId="3EA17928" w14:textId="2A7D712D" w:rsidR="00432AB1" w:rsidRPr="005D74D1" w:rsidRDefault="00432AB1" w:rsidP="00432AB1">
      <w:pPr>
        <w:pStyle w:val="BodyText"/>
        <w:rPr>
          <w:rFonts w:cs="Arial"/>
        </w:rPr>
        <w:sectPr w:rsidR="00432AB1" w:rsidRPr="005D74D1" w:rsidSect="00AF519B">
          <w:headerReference w:type="even" r:id="rId62"/>
          <w:headerReference w:type="default" r:id="rId63"/>
          <w:footerReference w:type="even" r:id="rId64"/>
          <w:footerReference w:type="default" r:id="rId65"/>
          <w:footerReference w:type="first" r:id="rId66"/>
          <w:pgSz w:w="11906" w:h="16838" w:code="9"/>
          <w:pgMar w:top="1134" w:right="1134" w:bottom="567" w:left="1134" w:header="567" w:footer="0" w:gutter="0"/>
          <w:cols w:space="720"/>
          <w:docGrid w:linePitch="360"/>
        </w:sectPr>
      </w:pPr>
    </w:p>
    <w:p w14:paraId="0347124E" w14:textId="4D82579D" w:rsidR="00432AB1" w:rsidRPr="00A134A7" w:rsidRDefault="00432AB1" w:rsidP="00432AB1">
      <w:pPr>
        <w:spacing w:before="100" w:beforeAutospacing="1" w:after="100" w:afterAutospacing="1"/>
        <w:rPr>
          <w:rFonts w:eastAsia="Times New Roman" w:cs="Arial"/>
          <w:sz w:val="24"/>
          <w:szCs w:val="24"/>
        </w:rPr>
      </w:pPr>
      <w:r w:rsidRPr="00A134A7">
        <w:rPr>
          <w:rFonts w:eastAsia="Times New Roman" w:cs="Arial"/>
          <w:noProof/>
          <w:sz w:val="24"/>
          <w:szCs w:val="24"/>
        </w:rPr>
        <w:lastRenderedPageBreak/>
        <w:drawing>
          <wp:anchor distT="0" distB="0" distL="114300" distR="114300" simplePos="0" relativeHeight="251645952" behindDoc="0" locked="0" layoutInCell="1" allowOverlap="1" wp14:anchorId="55FA6D7C" wp14:editId="59F38EB1">
            <wp:simplePos x="723900" y="1304925"/>
            <wp:positionH relativeFrom="page">
              <wp:align>left</wp:align>
            </wp:positionH>
            <wp:positionV relativeFrom="page">
              <wp:align>top</wp:align>
            </wp:positionV>
            <wp:extent cx="7562088" cy="10689336"/>
            <wp:effectExtent l="0" t="0" r="1270" b="0"/>
            <wp:wrapNone/>
            <wp:docPr id="113644660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7562088" cy="1068933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E14A3E" w14:textId="77777777" w:rsidR="00432AB1" w:rsidRPr="005D74D1" w:rsidRDefault="00432AB1" w:rsidP="00432AB1">
      <w:pPr>
        <w:pStyle w:val="BodyText"/>
        <w:rPr>
          <w:rFonts w:cs="Arial"/>
        </w:rPr>
      </w:pPr>
    </w:p>
    <w:p w14:paraId="268A0961" w14:textId="77777777" w:rsidR="00432AB1" w:rsidRPr="005D74D1" w:rsidRDefault="00432AB1" w:rsidP="00432AB1">
      <w:pPr>
        <w:pStyle w:val="BodyText"/>
        <w:rPr>
          <w:rFonts w:cs="Arial"/>
        </w:rPr>
      </w:pPr>
    </w:p>
    <w:p w14:paraId="53B1C8B9" w14:textId="77777777" w:rsidR="00432AB1" w:rsidRPr="005D74D1" w:rsidRDefault="00432AB1" w:rsidP="00432AB1">
      <w:pPr>
        <w:pStyle w:val="BodyText"/>
        <w:rPr>
          <w:rFonts w:cs="Arial"/>
        </w:rPr>
        <w:sectPr w:rsidR="00432AB1" w:rsidRPr="005D74D1" w:rsidSect="00AF519B">
          <w:pgSz w:w="11906" w:h="16838" w:code="9"/>
          <w:pgMar w:top="1134" w:right="1134" w:bottom="567" w:left="1134" w:header="567" w:footer="0" w:gutter="0"/>
          <w:cols w:space="720"/>
          <w:docGrid w:linePitch="360"/>
        </w:sectPr>
      </w:pPr>
    </w:p>
    <w:p w14:paraId="33F6B4C4" w14:textId="087F2C91" w:rsidR="001174A1" w:rsidRPr="005D74D1" w:rsidRDefault="001174A1" w:rsidP="001174A1">
      <w:pPr>
        <w:pStyle w:val="Heading1"/>
        <w:rPr>
          <w:rFonts w:cs="Arial"/>
        </w:rPr>
      </w:pPr>
      <w:bookmarkStart w:id="148" w:name="_Toc147341220"/>
      <w:bookmarkStart w:id="149" w:name="_Toc147329473"/>
      <w:bookmarkStart w:id="150" w:name="_Toc147330045"/>
      <w:bookmarkStart w:id="151" w:name="_Toc147330617"/>
      <w:bookmarkStart w:id="152" w:name="_Toc147331190"/>
      <w:bookmarkStart w:id="153" w:name="_Toc147334557"/>
      <w:bookmarkStart w:id="154" w:name="_Toc147337421"/>
      <w:bookmarkStart w:id="155" w:name="_Toc147338026"/>
      <w:bookmarkStart w:id="156" w:name="_Toc147342387"/>
      <w:bookmarkStart w:id="157" w:name="_Toc147352277"/>
      <w:bookmarkStart w:id="158" w:name="_Toc147341221"/>
      <w:bookmarkStart w:id="159" w:name="_Toc147329474"/>
      <w:bookmarkStart w:id="160" w:name="_Toc147330046"/>
      <w:bookmarkStart w:id="161" w:name="_Toc147330618"/>
      <w:bookmarkStart w:id="162" w:name="_Toc147331191"/>
      <w:bookmarkStart w:id="163" w:name="_Toc147334558"/>
      <w:bookmarkStart w:id="164" w:name="_Toc147337422"/>
      <w:bookmarkStart w:id="165" w:name="_Toc147338027"/>
      <w:bookmarkStart w:id="166" w:name="_Toc147342388"/>
      <w:bookmarkStart w:id="167" w:name="_Toc147352278"/>
      <w:bookmarkStart w:id="168" w:name="_Toc147341222"/>
      <w:bookmarkStart w:id="169" w:name="_Toc147329475"/>
      <w:bookmarkStart w:id="170" w:name="_Toc147330047"/>
      <w:bookmarkStart w:id="171" w:name="_Toc147330619"/>
      <w:bookmarkStart w:id="172" w:name="_Toc147331192"/>
      <w:bookmarkStart w:id="173" w:name="_Toc147334559"/>
      <w:bookmarkStart w:id="174" w:name="_Toc147337423"/>
      <w:bookmarkStart w:id="175" w:name="_Toc147338028"/>
      <w:bookmarkStart w:id="176" w:name="_Toc147342389"/>
      <w:bookmarkStart w:id="177" w:name="_Toc147352279"/>
      <w:bookmarkStart w:id="178" w:name="_Toc147341223"/>
      <w:bookmarkStart w:id="179" w:name="_Toc147329476"/>
      <w:bookmarkStart w:id="180" w:name="_Toc147330048"/>
      <w:bookmarkStart w:id="181" w:name="_Toc147330620"/>
      <w:bookmarkStart w:id="182" w:name="_Toc147331193"/>
      <w:bookmarkStart w:id="183" w:name="_Toc147334560"/>
      <w:bookmarkStart w:id="184" w:name="_Toc147337424"/>
      <w:bookmarkStart w:id="185" w:name="_Toc147338029"/>
      <w:bookmarkStart w:id="186" w:name="_Toc147342390"/>
      <w:bookmarkStart w:id="187" w:name="_Toc147352280"/>
      <w:bookmarkStart w:id="188" w:name="_Toc147341224"/>
      <w:bookmarkStart w:id="189" w:name="_Toc147329477"/>
      <w:bookmarkStart w:id="190" w:name="_Toc147330049"/>
      <w:bookmarkStart w:id="191" w:name="_Toc147330621"/>
      <w:bookmarkStart w:id="192" w:name="_Toc147331194"/>
      <w:bookmarkStart w:id="193" w:name="_Toc147334561"/>
      <w:bookmarkStart w:id="194" w:name="_Toc147337425"/>
      <w:bookmarkStart w:id="195" w:name="_Toc147338030"/>
      <w:bookmarkStart w:id="196" w:name="_Toc147342391"/>
      <w:bookmarkStart w:id="197" w:name="_Toc147352281"/>
      <w:bookmarkStart w:id="198" w:name="_Toc147341225"/>
      <w:bookmarkStart w:id="199" w:name="_Toc147329478"/>
      <w:bookmarkStart w:id="200" w:name="_Toc147330050"/>
      <w:bookmarkStart w:id="201" w:name="_Toc147330622"/>
      <w:bookmarkStart w:id="202" w:name="_Toc147331195"/>
      <w:bookmarkStart w:id="203" w:name="_Toc147334562"/>
      <w:bookmarkStart w:id="204" w:name="_Toc147337426"/>
      <w:bookmarkStart w:id="205" w:name="_Toc147338031"/>
      <w:bookmarkStart w:id="206" w:name="_Toc147342392"/>
      <w:bookmarkStart w:id="207" w:name="_Toc147352282"/>
      <w:bookmarkStart w:id="208" w:name="_Toc147341226"/>
      <w:bookmarkStart w:id="209" w:name="_Toc147329479"/>
      <w:bookmarkStart w:id="210" w:name="_Toc147330051"/>
      <w:bookmarkStart w:id="211" w:name="_Toc147330623"/>
      <w:bookmarkStart w:id="212" w:name="_Toc147331196"/>
      <w:bookmarkStart w:id="213" w:name="_Toc147334563"/>
      <w:bookmarkStart w:id="214" w:name="_Toc147337427"/>
      <w:bookmarkStart w:id="215" w:name="_Toc147338032"/>
      <w:bookmarkStart w:id="216" w:name="_Toc147342393"/>
      <w:bookmarkStart w:id="217" w:name="_Toc147352283"/>
      <w:bookmarkStart w:id="218" w:name="_Toc147341227"/>
      <w:bookmarkStart w:id="219" w:name="_Toc147329480"/>
      <w:bookmarkStart w:id="220" w:name="_Toc147330052"/>
      <w:bookmarkStart w:id="221" w:name="_Toc147330624"/>
      <w:bookmarkStart w:id="222" w:name="_Toc147331197"/>
      <w:bookmarkStart w:id="223" w:name="_Toc147334564"/>
      <w:bookmarkStart w:id="224" w:name="_Toc147337428"/>
      <w:bookmarkStart w:id="225" w:name="_Toc147338033"/>
      <w:bookmarkStart w:id="226" w:name="_Toc147342394"/>
      <w:bookmarkStart w:id="227" w:name="_Toc147352284"/>
      <w:bookmarkStart w:id="228" w:name="_Toc147341228"/>
      <w:bookmarkStart w:id="229" w:name="_Toc147329481"/>
      <w:bookmarkStart w:id="230" w:name="_Toc147330053"/>
      <w:bookmarkStart w:id="231" w:name="_Toc147330625"/>
      <w:bookmarkStart w:id="232" w:name="_Toc147331198"/>
      <w:bookmarkStart w:id="233" w:name="_Toc147334565"/>
      <w:bookmarkStart w:id="234" w:name="_Toc147337429"/>
      <w:bookmarkStart w:id="235" w:name="_Toc147338034"/>
      <w:bookmarkStart w:id="236" w:name="_Toc147342395"/>
      <w:bookmarkStart w:id="237" w:name="_Toc147352285"/>
      <w:bookmarkStart w:id="238" w:name="_Toc147341229"/>
      <w:bookmarkStart w:id="239" w:name="_Toc147329482"/>
      <w:bookmarkStart w:id="240" w:name="_Toc147330054"/>
      <w:bookmarkStart w:id="241" w:name="_Toc147330626"/>
      <w:bookmarkStart w:id="242" w:name="_Toc147331199"/>
      <w:bookmarkStart w:id="243" w:name="_Toc147334566"/>
      <w:bookmarkStart w:id="244" w:name="_Toc147337430"/>
      <w:bookmarkStart w:id="245" w:name="_Toc147338035"/>
      <w:bookmarkStart w:id="246" w:name="_Toc147342396"/>
      <w:bookmarkStart w:id="247" w:name="_Toc147352286"/>
      <w:bookmarkStart w:id="248" w:name="_Toc147341230"/>
      <w:bookmarkStart w:id="249" w:name="_Toc147329483"/>
      <w:bookmarkStart w:id="250" w:name="_Toc147330055"/>
      <w:bookmarkStart w:id="251" w:name="_Toc147330627"/>
      <w:bookmarkStart w:id="252" w:name="_Toc147331200"/>
      <w:bookmarkStart w:id="253" w:name="_Toc147334567"/>
      <w:bookmarkStart w:id="254" w:name="_Toc147337431"/>
      <w:bookmarkStart w:id="255" w:name="_Toc147338036"/>
      <w:bookmarkStart w:id="256" w:name="_Toc147342397"/>
      <w:bookmarkStart w:id="257" w:name="_Toc147352287"/>
      <w:bookmarkStart w:id="258" w:name="_Toc147341231"/>
      <w:bookmarkStart w:id="259" w:name="_Toc147329484"/>
      <w:bookmarkStart w:id="260" w:name="_Toc147330056"/>
      <w:bookmarkStart w:id="261" w:name="_Toc147330628"/>
      <w:bookmarkStart w:id="262" w:name="_Toc147331201"/>
      <w:bookmarkStart w:id="263" w:name="_Toc147334568"/>
      <w:bookmarkStart w:id="264" w:name="_Toc147337432"/>
      <w:bookmarkStart w:id="265" w:name="_Toc147338037"/>
      <w:bookmarkStart w:id="266" w:name="_Toc147342398"/>
      <w:bookmarkStart w:id="267" w:name="_Toc147352288"/>
      <w:bookmarkStart w:id="268" w:name="_Toc147341232"/>
      <w:bookmarkStart w:id="269" w:name="_Toc147329485"/>
      <w:bookmarkStart w:id="270" w:name="_Toc147330057"/>
      <w:bookmarkStart w:id="271" w:name="_Toc147330629"/>
      <w:bookmarkStart w:id="272" w:name="_Toc147331202"/>
      <w:bookmarkStart w:id="273" w:name="_Toc147334569"/>
      <w:bookmarkStart w:id="274" w:name="_Toc147337433"/>
      <w:bookmarkStart w:id="275" w:name="_Toc147338038"/>
      <w:bookmarkStart w:id="276" w:name="_Toc147342399"/>
      <w:bookmarkStart w:id="277" w:name="_Toc147352289"/>
      <w:bookmarkStart w:id="278" w:name="_Toc147341404"/>
      <w:bookmarkStart w:id="279" w:name="_Toc147329657"/>
      <w:bookmarkStart w:id="280" w:name="_Toc147330229"/>
      <w:bookmarkStart w:id="281" w:name="_Toc147330801"/>
      <w:bookmarkStart w:id="282" w:name="_Toc147331374"/>
      <w:bookmarkStart w:id="283" w:name="_Toc147334741"/>
      <w:bookmarkStart w:id="284" w:name="_Toc147337605"/>
      <w:bookmarkStart w:id="285" w:name="_Toc147338210"/>
      <w:bookmarkStart w:id="286" w:name="_Toc147342571"/>
      <w:bookmarkStart w:id="287" w:name="_Toc147352461"/>
      <w:bookmarkStart w:id="288" w:name="_Toc147341405"/>
      <w:bookmarkStart w:id="289" w:name="_Toc147329658"/>
      <w:bookmarkStart w:id="290" w:name="_Toc147330230"/>
      <w:bookmarkStart w:id="291" w:name="_Toc147330802"/>
      <w:bookmarkStart w:id="292" w:name="_Toc147331375"/>
      <w:bookmarkStart w:id="293" w:name="_Toc147334742"/>
      <w:bookmarkStart w:id="294" w:name="_Toc147337606"/>
      <w:bookmarkStart w:id="295" w:name="_Toc147338211"/>
      <w:bookmarkStart w:id="296" w:name="_Toc147342572"/>
      <w:bookmarkStart w:id="297" w:name="_Toc147352462"/>
      <w:bookmarkStart w:id="298" w:name="_Toc147341406"/>
      <w:bookmarkStart w:id="299" w:name="_Toc147329659"/>
      <w:bookmarkStart w:id="300" w:name="_Toc147330231"/>
      <w:bookmarkStart w:id="301" w:name="_Toc147330803"/>
      <w:bookmarkStart w:id="302" w:name="_Toc147331376"/>
      <w:bookmarkStart w:id="303" w:name="_Toc147334743"/>
      <w:bookmarkStart w:id="304" w:name="_Toc147337607"/>
      <w:bookmarkStart w:id="305" w:name="_Toc147338212"/>
      <w:bookmarkStart w:id="306" w:name="_Toc147342573"/>
      <w:bookmarkStart w:id="307" w:name="_Toc147352463"/>
      <w:bookmarkStart w:id="308" w:name="_Toc147341407"/>
      <w:bookmarkStart w:id="309" w:name="_Toc147329660"/>
      <w:bookmarkStart w:id="310" w:name="_Toc147330232"/>
      <w:bookmarkStart w:id="311" w:name="_Toc147330804"/>
      <w:bookmarkStart w:id="312" w:name="_Toc147331377"/>
      <w:bookmarkStart w:id="313" w:name="_Toc147334744"/>
      <w:bookmarkStart w:id="314" w:name="_Toc147337608"/>
      <w:bookmarkStart w:id="315" w:name="_Toc147338213"/>
      <w:bookmarkStart w:id="316" w:name="_Toc147342574"/>
      <w:bookmarkStart w:id="317" w:name="_Toc147352464"/>
      <w:bookmarkStart w:id="318" w:name="_Toc147341544"/>
      <w:bookmarkStart w:id="319" w:name="_Toc147329797"/>
      <w:bookmarkStart w:id="320" w:name="_Toc147330369"/>
      <w:bookmarkStart w:id="321" w:name="_Toc147330941"/>
      <w:bookmarkStart w:id="322" w:name="_Toc147331514"/>
      <w:bookmarkStart w:id="323" w:name="_Toc147334881"/>
      <w:bookmarkStart w:id="324" w:name="_Toc147337745"/>
      <w:bookmarkStart w:id="325" w:name="_Toc147338350"/>
      <w:bookmarkStart w:id="326" w:name="_Toc147342711"/>
      <w:bookmarkStart w:id="327" w:name="_Toc147352601"/>
      <w:bookmarkStart w:id="328" w:name="_Toc147341545"/>
      <w:bookmarkStart w:id="329" w:name="_Toc147329798"/>
      <w:bookmarkStart w:id="330" w:name="_Toc147330370"/>
      <w:bookmarkStart w:id="331" w:name="_Toc147330942"/>
      <w:bookmarkStart w:id="332" w:name="_Toc147331515"/>
      <w:bookmarkStart w:id="333" w:name="_Toc147334882"/>
      <w:bookmarkStart w:id="334" w:name="_Toc147337746"/>
      <w:bookmarkStart w:id="335" w:name="_Toc147338351"/>
      <w:bookmarkStart w:id="336" w:name="_Toc147342712"/>
      <w:bookmarkStart w:id="337" w:name="_Toc147352602"/>
      <w:bookmarkStart w:id="338" w:name="_Toc147341546"/>
      <w:bookmarkStart w:id="339" w:name="_Toc147329799"/>
      <w:bookmarkStart w:id="340" w:name="_Toc147330371"/>
      <w:bookmarkStart w:id="341" w:name="_Toc147330943"/>
      <w:bookmarkStart w:id="342" w:name="_Toc147331516"/>
      <w:bookmarkStart w:id="343" w:name="_Toc147334883"/>
      <w:bookmarkStart w:id="344" w:name="_Toc147337747"/>
      <w:bookmarkStart w:id="345" w:name="_Toc147338352"/>
      <w:bookmarkStart w:id="346" w:name="_Toc147342713"/>
      <w:bookmarkStart w:id="347" w:name="_Toc147352603"/>
      <w:bookmarkStart w:id="348" w:name="_Toc147341547"/>
      <w:bookmarkStart w:id="349" w:name="_Toc147329800"/>
      <w:bookmarkStart w:id="350" w:name="_Toc147330372"/>
      <w:bookmarkStart w:id="351" w:name="_Toc147330944"/>
      <w:bookmarkStart w:id="352" w:name="_Toc147331517"/>
      <w:bookmarkStart w:id="353" w:name="_Toc147334884"/>
      <w:bookmarkStart w:id="354" w:name="_Toc147337748"/>
      <w:bookmarkStart w:id="355" w:name="_Toc147338353"/>
      <w:bookmarkStart w:id="356" w:name="_Toc147342714"/>
      <w:bookmarkStart w:id="357" w:name="_Toc147352604"/>
      <w:bookmarkStart w:id="358" w:name="_Toc147341665"/>
      <w:bookmarkStart w:id="359" w:name="_Toc147329918"/>
      <w:bookmarkStart w:id="360" w:name="_Toc147330490"/>
      <w:bookmarkStart w:id="361" w:name="_Toc147331062"/>
      <w:bookmarkStart w:id="362" w:name="_Toc147331635"/>
      <w:bookmarkStart w:id="363" w:name="_Toc147335002"/>
      <w:bookmarkStart w:id="364" w:name="_Toc147337866"/>
      <w:bookmarkStart w:id="365" w:name="_Toc147338471"/>
      <w:bookmarkStart w:id="366" w:name="_Toc147342832"/>
      <w:bookmarkStart w:id="367" w:name="_Toc147352722"/>
      <w:bookmarkStart w:id="368" w:name="_Toc147329333"/>
      <w:bookmarkStart w:id="369" w:name="_Toc183777365"/>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r w:rsidRPr="005D74D1">
        <w:rPr>
          <w:rFonts w:cs="Arial"/>
        </w:rPr>
        <w:lastRenderedPageBreak/>
        <w:t xml:space="preserve">Evaluation of </w:t>
      </w:r>
      <w:bookmarkEnd w:id="368"/>
      <w:r w:rsidR="00E052A5" w:rsidRPr="005D74D1">
        <w:rPr>
          <w:rFonts w:cs="Arial"/>
        </w:rPr>
        <w:t>impact</w:t>
      </w:r>
      <w:bookmarkEnd w:id="369"/>
    </w:p>
    <w:tbl>
      <w:tblPr>
        <w:tblStyle w:val="TableGrid"/>
        <w:tblW w:w="0" w:type="auto"/>
        <w:tblLook w:val="04A0" w:firstRow="1" w:lastRow="0" w:firstColumn="1" w:lastColumn="0" w:noHBand="0" w:noVBand="1"/>
      </w:tblPr>
      <w:tblGrid>
        <w:gridCol w:w="9628"/>
      </w:tblGrid>
      <w:tr w:rsidR="00C83B44" w:rsidRPr="005D74D1" w14:paraId="50E97FB0" w14:textId="77777777" w:rsidTr="005F0E67">
        <w:tc>
          <w:tcPr>
            <w:tcW w:w="9638" w:type="dxa"/>
            <w:shd w:val="clear" w:color="auto" w:fill="F4F4F4" w:themeFill="accent6" w:themeFillTint="33"/>
          </w:tcPr>
          <w:p w14:paraId="34FA1E67" w14:textId="77777777" w:rsidR="00C83B44" w:rsidRPr="005D74D1" w:rsidRDefault="00C83B44" w:rsidP="005F0E67">
            <w:pPr>
              <w:pStyle w:val="BodyText"/>
              <w:ind w:right="168"/>
              <w:rPr>
                <w:rFonts w:cs="Arial"/>
                <w:b/>
                <w:sz w:val="24"/>
                <w:szCs w:val="24"/>
                <w:lang w:val="en-AU"/>
              </w:rPr>
            </w:pPr>
            <w:r w:rsidRPr="005D74D1">
              <w:rPr>
                <w:rFonts w:cs="Arial"/>
                <w:b/>
                <w:sz w:val="24"/>
                <w:szCs w:val="24"/>
                <w:lang w:val="en-AU"/>
              </w:rPr>
              <w:t>Key findings</w:t>
            </w:r>
          </w:p>
          <w:p w14:paraId="7A6D3207" w14:textId="44CA8E71" w:rsidR="00C83B44" w:rsidRPr="005D74D1" w:rsidRDefault="00C83B44" w:rsidP="005F0E67">
            <w:pPr>
              <w:pStyle w:val="BulletLevel1"/>
              <w:rPr>
                <w:rFonts w:cs="Arial"/>
                <w:lang w:val="en-AU"/>
              </w:rPr>
            </w:pPr>
            <w:r w:rsidRPr="005D74D1">
              <w:rPr>
                <w:rFonts w:cs="Arial"/>
                <w:b/>
                <w:bCs/>
                <w:lang w:val="en-AU"/>
              </w:rPr>
              <w:t>Overall achievements:</w:t>
            </w:r>
            <w:r w:rsidRPr="005D74D1">
              <w:rPr>
                <w:rFonts w:cs="Arial"/>
                <w:lang w:val="en-AU"/>
              </w:rPr>
              <w:t xml:space="preserve"> </w:t>
            </w:r>
            <w:r w:rsidRPr="00A134A7">
              <w:rPr>
                <w:rFonts w:cs="Arial"/>
                <w:lang w:val="en-AU"/>
              </w:rPr>
              <w:t xml:space="preserve">Over the 4 years of EC5, a broad range of positive outcomes for the environment, communities, and industries throughout Victoria have been achieved. A key driver of these achievements was the way in which EC5 initiatives either built on or extended work started in EC4 or earlier tranches. </w:t>
            </w:r>
            <w:r w:rsidRPr="005D74D1">
              <w:rPr>
                <w:rFonts w:cs="Arial"/>
                <w:lang w:val="en-AU"/>
              </w:rPr>
              <w:t>This is supported by evidence of completion of the planned works and outcomes assessments</w:t>
            </w:r>
            <w:r w:rsidRPr="005D74D1" w:rsidDel="00D94D14">
              <w:rPr>
                <w:rFonts w:cs="Arial"/>
                <w:lang w:val="en-AU"/>
              </w:rPr>
              <w:t xml:space="preserve"> </w:t>
            </w:r>
            <w:r w:rsidRPr="005D74D1">
              <w:rPr>
                <w:rFonts w:cs="Arial"/>
                <w:lang w:val="en-AU"/>
              </w:rPr>
              <w:t xml:space="preserve">in the detailed project evaluation reports prepared by DEECA project teams. Several projects had to adapt the planned activities throughout the tranche due to changes in sector priorities, delays or to accommodate impacts from unforeseen events (such as COVID-19, floods, bushfires), or project complexities and resourcing issues. These changes were acknowledged and described in the project evaluation reports and were part of the expected evolution of project delivery over the four-year timeframe. </w:t>
            </w:r>
          </w:p>
          <w:p w14:paraId="4A2523DD" w14:textId="77777777" w:rsidR="00C83B44" w:rsidRPr="005D74D1" w:rsidRDefault="00C83B44" w:rsidP="005F0E67">
            <w:pPr>
              <w:pStyle w:val="BulletLevel1"/>
              <w:rPr>
                <w:rFonts w:cs="Arial"/>
                <w:lang w:val="en-AU"/>
              </w:rPr>
            </w:pPr>
            <w:r w:rsidRPr="005D74D1">
              <w:rPr>
                <w:rFonts w:cs="Arial"/>
                <w:b/>
                <w:bCs/>
                <w:lang w:val="en-AU"/>
              </w:rPr>
              <w:t>Water security:</w:t>
            </w:r>
            <w:r w:rsidRPr="005D74D1">
              <w:rPr>
                <w:rFonts w:cs="Arial"/>
                <w:lang w:val="en-AU"/>
              </w:rPr>
              <w:t xml:space="preserve"> EC5 delivered a suite of projects to improve Victoria’s ability to plan for long-term water security. The development of the CGRSWS, and associated implementation works, were key achievements of EC5. The CGRSWS identified the opportunity for the region to shift away from reliance on river water and move towards climate-resilient, manufactured water to augment the region’s water supplies. Options included fit-for-purpose recycled water, treated stormwater and desalinated water. A range of on-ground works, designs, and planning for uptake of diverse water supplies were delivered, representing a shift from primarily policy and planning (in EC4) toward increasing implementation to achieve water security. A suite of reviews, planning processes, reform and technology improvement works were implemented to reduce pressure on the water grid, improve functioning of water markets, and enhance Victoria’s water entitlement framework. A summary of the performance assessment for this outcome is shown below: </w:t>
            </w:r>
          </w:p>
          <w:tbl>
            <w:tblPr>
              <w:tblStyle w:val="GridTable4-Accent1"/>
              <w:tblW w:w="8913" w:type="dxa"/>
              <w:tblInd w:w="325" w:type="dxa"/>
              <w:tblBorders>
                <w:top w:val="single" w:sz="4" w:space="0" w:color="231EDC" w:themeColor="accent1"/>
                <w:left w:val="single" w:sz="4" w:space="0" w:color="231EDC" w:themeColor="accent1"/>
                <w:bottom w:val="single" w:sz="4" w:space="0" w:color="231EDC" w:themeColor="accent1"/>
                <w:right w:val="single" w:sz="4" w:space="0" w:color="231EDC" w:themeColor="accent1"/>
                <w:insideH w:val="single" w:sz="4" w:space="0" w:color="231EDC" w:themeColor="accent1"/>
                <w:insideV w:val="single" w:sz="4" w:space="0" w:color="231EDC" w:themeColor="accent1"/>
              </w:tblBorders>
              <w:tblLook w:val="04A0" w:firstRow="1" w:lastRow="0" w:firstColumn="1" w:lastColumn="0" w:noHBand="0" w:noVBand="1"/>
            </w:tblPr>
            <w:tblGrid>
              <w:gridCol w:w="1850"/>
              <w:gridCol w:w="1135"/>
              <w:gridCol w:w="5928"/>
            </w:tblGrid>
            <w:tr w:rsidR="00C83B44" w:rsidRPr="005D74D1" w14:paraId="3E1528D9" w14:textId="77777777" w:rsidTr="00D37E55">
              <w:trPr>
                <w:cnfStyle w:val="100000000000" w:firstRow="1" w:lastRow="0" w:firstColumn="0" w:lastColumn="0" w:oddVBand="0" w:evenVBand="0" w:oddHBand="0" w:evenHBand="0" w:firstRowFirstColumn="0" w:firstRowLastColumn="0" w:lastRowFirstColumn="0" w:lastRowLastColumn="0"/>
                <w:trHeight w:val="521"/>
                <w:tblHeader/>
              </w:trPr>
              <w:tc>
                <w:tcPr>
                  <w:cnfStyle w:val="001000000000" w:firstRow="0" w:lastRow="0" w:firstColumn="1" w:lastColumn="0" w:oddVBand="0" w:evenVBand="0" w:oddHBand="0" w:evenHBand="0" w:firstRowFirstColumn="0" w:firstRowLastColumn="0" w:lastRowFirstColumn="0" w:lastRowLastColumn="0"/>
                  <w:tcW w:w="1850" w:type="dxa"/>
                  <w:tcBorders>
                    <w:top w:val="none" w:sz="0" w:space="0" w:color="auto"/>
                    <w:left w:val="none" w:sz="0" w:space="0" w:color="auto"/>
                    <w:bottom w:val="none" w:sz="0" w:space="0" w:color="auto"/>
                    <w:right w:val="none" w:sz="0" w:space="0" w:color="auto"/>
                  </w:tcBorders>
                  <w:vAlign w:val="bottom"/>
                </w:tcPr>
                <w:p w14:paraId="0DDDAFBA" w14:textId="77777777" w:rsidR="00C83B44" w:rsidRPr="005D74D1" w:rsidRDefault="00C83B44" w:rsidP="005F0E67">
                  <w:pPr>
                    <w:spacing w:before="180" w:after="60"/>
                    <w:rPr>
                      <w:rFonts w:cs="Arial"/>
                      <w:bCs w:val="0"/>
                      <w:lang w:val="en-AU"/>
                    </w:rPr>
                  </w:pPr>
                  <w:r w:rsidRPr="005D74D1">
                    <w:rPr>
                      <w:rFonts w:cs="Arial"/>
                      <w:bCs w:val="0"/>
                      <w:lang w:val="en-AU"/>
                    </w:rPr>
                    <w:t>Rating type</w:t>
                  </w:r>
                </w:p>
              </w:tc>
              <w:tc>
                <w:tcPr>
                  <w:tcW w:w="1135" w:type="dxa"/>
                  <w:tcBorders>
                    <w:top w:val="none" w:sz="0" w:space="0" w:color="auto"/>
                    <w:left w:val="none" w:sz="0" w:space="0" w:color="auto"/>
                    <w:bottom w:val="none" w:sz="0" w:space="0" w:color="auto"/>
                    <w:right w:val="none" w:sz="0" w:space="0" w:color="auto"/>
                  </w:tcBorders>
                  <w:vAlign w:val="bottom"/>
                </w:tcPr>
                <w:p w14:paraId="0CAB2F44" w14:textId="77777777" w:rsidR="00C83B44" w:rsidRPr="005D74D1" w:rsidRDefault="00C83B44" w:rsidP="005F0E67">
                  <w:pPr>
                    <w:spacing w:before="180" w:after="60"/>
                    <w:cnfStyle w:val="100000000000" w:firstRow="1" w:lastRow="0" w:firstColumn="0" w:lastColumn="0" w:oddVBand="0" w:evenVBand="0" w:oddHBand="0" w:evenHBand="0" w:firstRowFirstColumn="0" w:firstRowLastColumn="0" w:lastRowFirstColumn="0" w:lastRowLastColumn="0"/>
                    <w:rPr>
                      <w:rFonts w:cs="Arial"/>
                      <w:bCs w:val="0"/>
                      <w:lang w:val="en-AU"/>
                    </w:rPr>
                  </w:pPr>
                  <w:r w:rsidRPr="005D74D1">
                    <w:rPr>
                      <w:rFonts w:cs="Arial"/>
                      <w:bCs w:val="0"/>
                      <w:lang w:val="en-AU"/>
                    </w:rPr>
                    <w:t>Rating</w:t>
                  </w:r>
                </w:p>
              </w:tc>
              <w:tc>
                <w:tcPr>
                  <w:tcW w:w="5928" w:type="dxa"/>
                  <w:tcBorders>
                    <w:top w:val="none" w:sz="0" w:space="0" w:color="auto"/>
                    <w:left w:val="none" w:sz="0" w:space="0" w:color="auto"/>
                    <w:bottom w:val="none" w:sz="0" w:space="0" w:color="auto"/>
                    <w:right w:val="none" w:sz="0" w:space="0" w:color="auto"/>
                  </w:tcBorders>
                  <w:vAlign w:val="bottom"/>
                </w:tcPr>
                <w:p w14:paraId="1E40FC20" w14:textId="77777777" w:rsidR="00C83B44" w:rsidRPr="005D74D1" w:rsidRDefault="00C83B44" w:rsidP="005F0E67">
                  <w:pPr>
                    <w:spacing w:before="180" w:after="60"/>
                    <w:cnfStyle w:val="100000000000" w:firstRow="1" w:lastRow="0" w:firstColumn="0" w:lastColumn="0" w:oddVBand="0" w:evenVBand="0" w:oddHBand="0" w:evenHBand="0" w:firstRowFirstColumn="0" w:firstRowLastColumn="0" w:lastRowFirstColumn="0" w:lastRowLastColumn="0"/>
                    <w:rPr>
                      <w:rFonts w:cs="Arial"/>
                      <w:bCs w:val="0"/>
                      <w:lang w:val="en-AU"/>
                    </w:rPr>
                  </w:pPr>
                  <w:r w:rsidRPr="005D74D1">
                    <w:rPr>
                      <w:rFonts w:cs="Arial"/>
                      <w:bCs w:val="0"/>
                      <w:lang w:val="en-AU"/>
                    </w:rPr>
                    <w:t>Rationale</w:t>
                  </w:r>
                </w:p>
              </w:tc>
            </w:tr>
            <w:tr w:rsidR="00C83B44" w:rsidRPr="005D74D1" w14:paraId="3742F5E1" w14:textId="77777777" w:rsidTr="00D37E55">
              <w:trPr>
                <w:cnfStyle w:val="000000100000" w:firstRow="0" w:lastRow="0" w:firstColumn="0" w:lastColumn="0" w:oddVBand="0" w:evenVBand="0" w:oddHBand="1"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1850" w:type="dxa"/>
                  <w:shd w:val="clear" w:color="auto" w:fill="auto"/>
                  <w:vAlign w:val="center"/>
                </w:tcPr>
                <w:p w14:paraId="4CCCE2C6" w14:textId="77777777" w:rsidR="00C83B44" w:rsidRPr="00ED126B" w:rsidRDefault="00C83B44" w:rsidP="005F0E67">
                  <w:pPr>
                    <w:pStyle w:val="BodyText"/>
                    <w:rPr>
                      <w:rFonts w:cs="Arial"/>
                      <w:b w:val="0"/>
                      <w:bCs w:val="0"/>
                      <w:sz w:val="20"/>
                      <w:lang w:val="en-AU"/>
                    </w:rPr>
                  </w:pPr>
                  <w:r w:rsidRPr="00ED126B">
                    <w:rPr>
                      <w:rFonts w:cs="Arial"/>
                      <w:b w:val="0"/>
                      <w:bCs w:val="0"/>
                      <w:sz w:val="20"/>
                    </w:rPr>
                    <w:t>Extent to which end-of-EC5 outcomes were achieved</w:t>
                  </w:r>
                </w:p>
              </w:tc>
              <w:tc>
                <w:tcPr>
                  <w:tcW w:w="1135" w:type="dxa"/>
                  <w:shd w:val="clear" w:color="auto" w:fill="auto"/>
                  <w:vAlign w:val="center"/>
                </w:tcPr>
                <w:p w14:paraId="6B24ACE1" w14:textId="77777777" w:rsidR="00C83B44" w:rsidRPr="005D74D1" w:rsidRDefault="00C83B44" w:rsidP="00514DAC">
                  <w:pPr>
                    <w:pStyle w:val="BodyText"/>
                    <w:jc w:val="center"/>
                    <w:cnfStyle w:val="000000100000" w:firstRow="0" w:lastRow="0" w:firstColumn="0" w:lastColumn="0" w:oddVBand="0" w:evenVBand="0" w:oddHBand="1" w:evenHBand="0" w:firstRowFirstColumn="0" w:firstRowLastColumn="0" w:lastRowFirstColumn="0" w:lastRowLastColumn="0"/>
                    <w:rPr>
                      <w:rFonts w:cs="Arial"/>
                      <w:sz w:val="20"/>
                      <w:lang w:val="en-AU"/>
                    </w:rPr>
                  </w:pPr>
                  <w:r w:rsidRPr="005D74D1">
                    <w:rPr>
                      <w:rFonts w:cs="Arial"/>
                      <w:sz w:val="20"/>
                      <w:lang w:val="en-AU"/>
                    </w:rPr>
                    <w:t>Medium</w:t>
                  </w:r>
                </w:p>
                <w:p w14:paraId="7909239A" w14:textId="77777777" w:rsidR="00C83B44" w:rsidRPr="005D74D1" w:rsidRDefault="00C83B44" w:rsidP="00514DAC">
                  <w:pPr>
                    <w:pStyle w:val="BodyText"/>
                    <w:jc w:val="center"/>
                    <w:cnfStyle w:val="000000100000" w:firstRow="0" w:lastRow="0" w:firstColumn="0" w:lastColumn="0" w:oddVBand="0" w:evenVBand="0" w:oddHBand="1" w:evenHBand="0" w:firstRowFirstColumn="0" w:firstRowLastColumn="0" w:lastRowFirstColumn="0" w:lastRowLastColumn="0"/>
                    <w:rPr>
                      <w:rFonts w:cs="Arial"/>
                      <w:sz w:val="20"/>
                      <w:lang w:val="en-AU"/>
                    </w:rPr>
                  </w:pPr>
                  <w:r w:rsidRPr="00A134A7">
                    <w:rPr>
                      <w:rFonts w:cs="Arial"/>
                      <w:noProof/>
                      <w:sz w:val="20"/>
                    </w:rPr>
                    <mc:AlternateContent>
                      <mc:Choice Requires="wpg">
                        <w:drawing>
                          <wp:inline distT="0" distB="0" distL="0" distR="0" wp14:anchorId="28D45150" wp14:editId="744043C0">
                            <wp:extent cx="460800" cy="248400"/>
                            <wp:effectExtent l="0" t="0" r="15875" b="18415"/>
                            <wp:docPr id="1916687594" name="Group 1916687594"/>
                            <wp:cNvGraphicFramePr/>
                            <a:graphic xmlns:a="http://schemas.openxmlformats.org/drawingml/2006/main">
                              <a:graphicData uri="http://schemas.microsoft.com/office/word/2010/wordprocessingGroup">
                                <wpg:wgp>
                                  <wpg:cNvGrpSpPr/>
                                  <wpg:grpSpPr>
                                    <a:xfrm>
                                      <a:off x="0" y="0"/>
                                      <a:ext cx="460800" cy="248400"/>
                                      <a:chOff x="0" y="0"/>
                                      <a:chExt cx="675755" cy="248400"/>
                                    </a:xfrm>
                                  </wpg:grpSpPr>
                                  <wps:wsp>
                                    <wps:cNvPr id="1502638788" name="Rectangle 1502638788"/>
                                    <wps:cNvSpPr/>
                                    <wps:spPr>
                                      <a:xfrm>
                                        <a:off x="0" y="0"/>
                                        <a:ext cx="133200" cy="24840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11669335" name="Rectangle 2011669335"/>
                                    <wps:cNvSpPr/>
                                    <wps:spPr>
                                      <a:xfrm>
                                        <a:off x="135639" y="0"/>
                                        <a:ext cx="133200" cy="24840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59517420" name="Rectangle 1659517420"/>
                                    <wps:cNvSpPr/>
                                    <wps:spPr>
                                      <a:xfrm>
                                        <a:off x="271278" y="0"/>
                                        <a:ext cx="133200" cy="24840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50534579" name="Rectangle 1650534579"/>
                                    <wps:cNvSpPr/>
                                    <wps:spPr>
                                      <a:xfrm>
                                        <a:off x="542555" y="0"/>
                                        <a:ext cx="133200" cy="2484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09424299" name="Rectangle 609424299"/>
                                    <wps:cNvSpPr/>
                                    <wps:spPr>
                                      <a:xfrm>
                                        <a:off x="406917" y="0"/>
                                        <a:ext cx="133200" cy="2484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xmlns:w16du="http://schemas.microsoft.com/office/word/2023/wordml/word16du">
                        <w:pict>
                          <v:group w14:anchorId="282C8E52" id="Group 1916687594" o:spid="_x0000_s1026" style="width:36.3pt;height:19.55pt;mso-position-horizontal-relative:char;mso-position-vertical-relative:line" coordsize="6757,2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">
                            <v:rect id="Rectangle 1502638788" o:spid="_x0000_s1027" style="position:absolute;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" fillcolor="#231edc [3204]" strokecolor="black [3213]" strokeweight="1pt"/>
                            <v:rect id="Rectangle 2011669335" o:spid="_x0000_s1028" style="position:absolute;left:1356;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" fillcolor="#231edc [3204]" strokecolor="black [3213]" strokeweight="1pt"/>
                            <v:rect id="Rectangle 1659517420" o:spid="_x0000_s1029" style="position:absolute;left:2712;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" fillcolor="#231edc [3204]" strokecolor="black [3213]" strokeweight="1pt"/>
                            <v:rect id="Rectangle 1650534579" o:spid="_x0000_s1030" style="position:absolute;left:5425;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" fillcolor="white [3212]" strokecolor="black [3213]" strokeweight="1pt"/>
                            <v:rect id="Rectangle 609424299" o:spid="_x0000_s1031" style="position:absolute;left:4069;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" fillcolor="white [3212]" strokecolor="black [3213]" strokeweight="1pt"/>
                            <w10:anchorlock/>
                          </v:group>
                        </w:pict>
                      </mc:Fallback>
                    </mc:AlternateContent>
                  </w:r>
                </w:p>
              </w:tc>
              <w:tc>
                <w:tcPr>
                  <w:tcW w:w="5928" w:type="dxa"/>
                  <w:shd w:val="clear" w:color="auto" w:fill="auto"/>
                  <w:vAlign w:val="center"/>
                </w:tcPr>
                <w:p w14:paraId="6EA7D27D" w14:textId="77777777" w:rsidR="00C83B44" w:rsidRPr="005D74D1" w:rsidRDefault="00C83B44" w:rsidP="005F0E67">
                  <w:pPr>
                    <w:pStyle w:val="BodyText"/>
                    <w:cnfStyle w:val="000000100000" w:firstRow="0" w:lastRow="0" w:firstColumn="0" w:lastColumn="0" w:oddVBand="0" w:evenVBand="0" w:oddHBand="1" w:evenHBand="0" w:firstRowFirstColumn="0" w:firstRowLastColumn="0" w:lastRowFirstColumn="0" w:lastRowLastColumn="0"/>
                    <w:rPr>
                      <w:rFonts w:cs="Arial"/>
                      <w:sz w:val="20"/>
                      <w:lang w:val="en-AU"/>
                    </w:rPr>
                  </w:pPr>
                  <w:r w:rsidRPr="005D74D1">
                    <w:rPr>
                      <w:rFonts w:cs="Arial"/>
                      <w:sz w:val="20"/>
                      <w:lang w:val="en-AU"/>
                    </w:rPr>
                    <w:t>Publication of the CGRSWS and associated implementation works, and a suite of reform works represent key achievements</w:t>
                  </w:r>
                  <w:r w:rsidRPr="005D74D1">
                    <w:rPr>
                      <w:rFonts w:cs="Arial"/>
                      <w:sz w:val="20"/>
                    </w:rPr>
                    <w:t xml:space="preserve"> against</w:t>
                  </w:r>
                  <w:r w:rsidRPr="005D74D1">
                    <w:rPr>
                      <w:rFonts w:cs="Arial"/>
                      <w:sz w:val="20"/>
                      <w:lang w:val="en-AU"/>
                    </w:rPr>
                    <w:t xml:space="preserve"> the end-of-EC5 outcomes. Some aspects experienced changes in approach which resulted in delays to </w:t>
                  </w:r>
                  <w:r w:rsidRPr="005D74D1">
                    <w:rPr>
                      <w:rFonts w:cs="Arial"/>
                      <w:sz w:val="20"/>
                    </w:rPr>
                    <w:t>achievement</w:t>
                  </w:r>
                  <w:r w:rsidRPr="005D74D1">
                    <w:rPr>
                      <w:rFonts w:cs="Arial"/>
                      <w:sz w:val="20"/>
                      <w:lang w:val="en-AU"/>
                    </w:rPr>
                    <w:t xml:space="preserve"> of planned outcomes for EC5 and will flow through into EC6. For example, the development of a renewed Victorian Water Register platform will be part of EC6.</w:t>
                  </w:r>
                </w:p>
              </w:tc>
            </w:tr>
            <w:tr w:rsidR="00C83B44" w:rsidRPr="005D74D1" w14:paraId="0EFE4851" w14:textId="77777777" w:rsidTr="00D37E55">
              <w:trPr>
                <w:trHeight w:val="1134"/>
              </w:trPr>
              <w:tc>
                <w:tcPr>
                  <w:cnfStyle w:val="001000000000" w:firstRow="0" w:lastRow="0" w:firstColumn="1" w:lastColumn="0" w:oddVBand="0" w:evenVBand="0" w:oddHBand="0" w:evenHBand="0" w:firstRowFirstColumn="0" w:firstRowLastColumn="0" w:lastRowFirstColumn="0" w:lastRowLastColumn="0"/>
                  <w:tcW w:w="1850" w:type="dxa"/>
                  <w:shd w:val="clear" w:color="auto" w:fill="auto"/>
                  <w:vAlign w:val="center"/>
                </w:tcPr>
                <w:p w14:paraId="1EDF84F1" w14:textId="77777777" w:rsidR="00C83B44" w:rsidRPr="005D74D1" w:rsidRDefault="00C83B44" w:rsidP="005F0E67">
                  <w:pPr>
                    <w:pStyle w:val="BodyText"/>
                    <w:rPr>
                      <w:rFonts w:cs="Arial"/>
                      <w:b w:val="0"/>
                      <w:bCs w:val="0"/>
                      <w:sz w:val="20"/>
                      <w:lang w:val="en-AU"/>
                    </w:rPr>
                  </w:pPr>
                  <w:r w:rsidRPr="005D74D1">
                    <w:rPr>
                      <w:rFonts w:cs="Arial"/>
                      <w:b w:val="0"/>
                      <w:bCs w:val="0"/>
                      <w:sz w:val="20"/>
                      <w:lang w:val="en-AU"/>
                    </w:rPr>
                    <w:t>Overall progress toward long-term outcomes</w:t>
                  </w:r>
                </w:p>
              </w:tc>
              <w:tc>
                <w:tcPr>
                  <w:tcW w:w="1135" w:type="dxa"/>
                  <w:shd w:val="clear" w:color="auto" w:fill="auto"/>
                  <w:vAlign w:val="center"/>
                </w:tcPr>
                <w:p w14:paraId="7FFBE0F9" w14:textId="77777777" w:rsidR="00C83B44" w:rsidRPr="005D74D1" w:rsidRDefault="00C83B44" w:rsidP="00514DAC">
                  <w:pPr>
                    <w:pStyle w:val="BodyText"/>
                    <w:jc w:val="center"/>
                    <w:cnfStyle w:val="000000000000" w:firstRow="0" w:lastRow="0" w:firstColumn="0" w:lastColumn="0" w:oddVBand="0" w:evenVBand="0" w:oddHBand="0" w:evenHBand="0" w:firstRowFirstColumn="0" w:firstRowLastColumn="0" w:lastRowFirstColumn="0" w:lastRowLastColumn="0"/>
                    <w:rPr>
                      <w:rFonts w:cs="Arial"/>
                      <w:sz w:val="20"/>
                      <w:lang w:val="en-AU"/>
                    </w:rPr>
                  </w:pPr>
                  <w:r w:rsidRPr="005D74D1">
                    <w:rPr>
                      <w:rFonts w:cs="Arial"/>
                      <w:sz w:val="20"/>
                      <w:lang w:val="en-AU"/>
                    </w:rPr>
                    <w:t>Medium</w:t>
                  </w:r>
                </w:p>
                <w:p w14:paraId="7CF29EF9" w14:textId="77777777" w:rsidR="00C83B44" w:rsidRPr="005D74D1" w:rsidRDefault="00C83B44" w:rsidP="00514DAC">
                  <w:pPr>
                    <w:pStyle w:val="BodyText"/>
                    <w:jc w:val="center"/>
                    <w:cnfStyle w:val="000000000000" w:firstRow="0" w:lastRow="0" w:firstColumn="0" w:lastColumn="0" w:oddVBand="0" w:evenVBand="0" w:oddHBand="0" w:evenHBand="0" w:firstRowFirstColumn="0" w:firstRowLastColumn="0" w:lastRowFirstColumn="0" w:lastRowLastColumn="0"/>
                    <w:rPr>
                      <w:rFonts w:cs="Arial"/>
                      <w:sz w:val="20"/>
                      <w:lang w:val="en-AU"/>
                    </w:rPr>
                  </w:pPr>
                  <w:r w:rsidRPr="00A134A7">
                    <w:rPr>
                      <w:rFonts w:cs="Arial"/>
                      <w:noProof/>
                      <w:sz w:val="20"/>
                    </w:rPr>
                    <mc:AlternateContent>
                      <mc:Choice Requires="wpg">
                        <w:drawing>
                          <wp:inline distT="0" distB="0" distL="0" distR="0" wp14:anchorId="607406D9" wp14:editId="5E379476">
                            <wp:extent cx="460800" cy="246491"/>
                            <wp:effectExtent l="0" t="0" r="15875" b="20320"/>
                            <wp:docPr id="274" name="Group 274"/>
                            <wp:cNvGraphicFramePr/>
                            <a:graphic xmlns:a="http://schemas.openxmlformats.org/drawingml/2006/main">
                              <a:graphicData uri="http://schemas.microsoft.com/office/word/2010/wordprocessingGroup">
                                <wpg:wgp>
                                  <wpg:cNvGrpSpPr/>
                                  <wpg:grpSpPr>
                                    <a:xfrm>
                                      <a:off x="0" y="0"/>
                                      <a:ext cx="460800" cy="246491"/>
                                      <a:chOff x="0" y="0"/>
                                      <a:chExt cx="675755" cy="246491"/>
                                    </a:xfrm>
                                  </wpg:grpSpPr>
                                  <wps:wsp>
                                    <wps:cNvPr id="275" name="Rectangle 275"/>
                                    <wps:cNvSpPr/>
                                    <wps:spPr>
                                      <a:xfrm>
                                        <a:off x="0" y="0"/>
                                        <a:ext cx="133200" cy="246491"/>
                                      </a:xfrm>
                                      <a:prstGeom prst="rect">
                                        <a:avLst/>
                                      </a:prstGeom>
                                      <a:solidFill>
                                        <a:srgbClr val="FFC000"/>
                                      </a:solidFill>
                                      <a:ln w="12700" cap="flat" cmpd="sng" algn="ctr">
                                        <a:solidFill>
                                          <a:srgbClr val="000000"/>
                                        </a:solidFill>
                                        <a:prstDash val="solid"/>
                                        <a:miter lim="800000"/>
                                      </a:ln>
                                      <a:effectLst/>
                                    </wps:spPr>
                                    <wps:bodyPr rtlCol="0" anchor="ctr"/>
                                  </wps:wsp>
                                  <wps:wsp>
                                    <wps:cNvPr id="276" name="Rectangle 276"/>
                                    <wps:cNvSpPr/>
                                    <wps:spPr>
                                      <a:xfrm>
                                        <a:off x="135639" y="0"/>
                                        <a:ext cx="133200" cy="246491"/>
                                      </a:xfrm>
                                      <a:prstGeom prst="rect">
                                        <a:avLst/>
                                      </a:prstGeom>
                                      <a:solidFill>
                                        <a:srgbClr val="FFC000"/>
                                      </a:solidFill>
                                      <a:ln w="12700" cap="flat" cmpd="sng" algn="ctr">
                                        <a:solidFill>
                                          <a:srgbClr val="000000"/>
                                        </a:solidFill>
                                        <a:prstDash val="solid"/>
                                        <a:miter lim="800000"/>
                                      </a:ln>
                                      <a:effectLst/>
                                    </wps:spPr>
                                    <wps:bodyPr rtlCol="0" anchor="ctr"/>
                                  </wps:wsp>
                                  <wps:wsp>
                                    <wps:cNvPr id="277" name="Rectangle 277"/>
                                    <wps:cNvSpPr/>
                                    <wps:spPr>
                                      <a:xfrm>
                                        <a:off x="271278" y="0"/>
                                        <a:ext cx="133200" cy="246491"/>
                                      </a:xfrm>
                                      <a:prstGeom prst="rect">
                                        <a:avLst/>
                                      </a:prstGeom>
                                      <a:solidFill>
                                        <a:srgbClr val="FFC000"/>
                                      </a:solidFill>
                                      <a:ln w="12700" cap="flat" cmpd="sng" algn="ctr">
                                        <a:solidFill>
                                          <a:srgbClr val="000000"/>
                                        </a:solidFill>
                                        <a:prstDash val="solid"/>
                                        <a:miter lim="800000"/>
                                      </a:ln>
                                      <a:effectLst/>
                                    </wps:spPr>
                                    <wps:bodyPr rtlCol="0" anchor="ctr"/>
                                  </wps:wsp>
                                  <wps:wsp>
                                    <wps:cNvPr id="278" name="Rectangle 278"/>
                                    <wps:cNvSpPr/>
                                    <wps:spPr>
                                      <a:xfrm>
                                        <a:off x="542555" y="0"/>
                                        <a:ext cx="133200" cy="246491"/>
                                      </a:xfrm>
                                      <a:prstGeom prst="rect">
                                        <a:avLst/>
                                      </a:prstGeom>
                                      <a:solidFill>
                                        <a:srgbClr val="FFFFFF"/>
                                      </a:solidFill>
                                      <a:ln w="12700" cap="flat" cmpd="sng" algn="ctr">
                                        <a:solidFill>
                                          <a:srgbClr val="000000"/>
                                        </a:solidFill>
                                        <a:prstDash val="solid"/>
                                        <a:miter lim="800000"/>
                                      </a:ln>
                                      <a:effectLst/>
                                    </wps:spPr>
                                    <wps:bodyPr rtlCol="0" anchor="ctr"/>
                                  </wps:wsp>
                                  <wps:wsp>
                                    <wps:cNvPr id="279" name="Rectangle 279"/>
                                    <wps:cNvSpPr/>
                                    <wps:spPr>
                                      <a:xfrm>
                                        <a:off x="406917" y="0"/>
                                        <a:ext cx="133200" cy="246491"/>
                                      </a:xfrm>
                                      <a:prstGeom prst="rect">
                                        <a:avLst/>
                                      </a:prstGeom>
                                      <a:solidFill>
                                        <a:srgbClr val="FFFFFF"/>
                                      </a:solidFill>
                                      <a:ln w="12700" cap="flat" cmpd="sng" algn="ctr">
                                        <a:solidFill>
                                          <a:srgbClr val="000000"/>
                                        </a:solidFill>
                                        <a:prstDash val="solid"/>
                                        <a:miter lim="800000"/>
                                      </a:ln>
                                      <a:effectLst/>
                                    </wps:spPr>
                                    <wps:bodyPr rtlCol="0" anchor="ctr"/>
                                  </wps:wsp>
                                </wpg:wgp>
                              </a:graphicData>
                            </a:graphic>
                          </wp:inline>
                        </w:drawing>
                      </mc:Choice>
                      <mc:Fallback xmlns:w16du="http://schemas.microsoft.com/office/word/2023/wordml/word16du">
                        <w:pict>
                          <v:group w14:anchorId="3C667AF1" id="Group 274" o:spid="_x0000_s1026" style="width:36.3pt;height:19.4pt;mso-position-horizontal-relative:char;mso-position-vertical-relative:line" coordsize="6757,2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">
                            <v:rect id="Rectangle 275" o:spid="_x0000_s1027" style="position:absolute;width:1332;height:2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" fillcolor="#ffc000" strokeweight="1pt"/>
                            <v:rect id="Rectangle 276" o:spid="_x0000_s1028" style="position:absolute;left:1356;width:1332;height:2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" fillcolor="#ffc000" strokeweight="1pt"/>
                            <v:rect id="Rectangle 277" o:spid="_x0000_s1029" style="position:absolute;left:2712;width:1332;height:2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" fillcolor="#ffc000" strokeweight="1pt"/>
                            <v:rect id="Rectangle 278" o:spid="_x0000_s1030" style="position:absolute;left:5425;width:1332;height:2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" strokeweight="1pt"/>
                            <v:rect id="Rectangle 279" o:spid="_x0000_s1031" style="position:absolute;left:4069;width:1332;height:2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" strokeweight="1pt"/>
                            <w10:anchorlock/>
                          </v:group>
                        </w:pict>
                      </mc:Fallback>
                    </mc:AlternateContent>
                  </w:r>
                </w:p>
              </w:tc>
              <w:tc>
                <w:tcPr>
                  <w:tcW w:w="5928" w:type="dxa"/>
                  <w:shd w:val="clear" w:color="auto" w:fill="auto"/>
                  <w:vAlign w:val="center"/>
                </w:tcPr>
                <w:p w14:paraId="02C9B3AB" w14:textId="77777777" w:rsidR="00C83B44" w:rsidRPr="005D74D1" w:rsidRDefault="00C83B44" w:rsidP="005F0E67">
                  <w:pPr>
                    <w:pStyle w:val="BodyText"/>
                    <w:cnfStyle w:val="000000000000" w:firstRow="0" w:lastRow="0" w:firstColumn="0" w:lastColumn="0" w:oddVBand="0" w:evenVBand="0" w:oddHBand="0" w:evenHBand="0" w:firstRowFirstColumn="0" w:firstRowLastColumn="0" w:lastRowFirstColumn="0" w:lastRowLastColumn="0"/>
                    <w:rPr>
                      <w:rFonts w:cs="Arial"/>
                      <w:sz w:val="20"/>
                      <w:lang w:val="en-AU"/>
                    </w:rPr>
                  </w:pPr>
                  <w:r w:rsidRPr="005D74D1">
                    <w:rPr>
                      <w:rFonts w:cs="Arial"/>
                      <w:sz w:val="20"/>
                      <w:lang w:val="en-AU"/>
                    </w:rPr>
                    <w:t>Investment through pr</w:t>
                  </w:r>
                  <w:r w:rsidRPr="005D74D1">
                    <w:rPr>
                      <w:rFonts w:cs="Arial"/>
                      <w:sz w:val="20"/>
                    </w:rPr>
                    <w:t>evious</w:t>
                  </w:r>
                  <w:r w:rsidRPr="005D74D1">
                    <w:rPr>
                      <w:rFonts w:cs="Arial"/>
                      <w:sz w:val="20"/>
                      <w:lang w:val="en-AU"/>
                    </w:rPr>
                    <w:t xml:space="preserve"> EC tranches and other programs has maintained or increased water security in many systems throughout Victoria. Continued work is needed to maintain current water security and build resilience in the face of multiple stressors, such as population growth and a variable and changing climate. </w:t>
                  </w:r>
                </w:p>
              </w:tc>
            </w:tr>
          </w:tbl>
          <w:p w14:paraId="4C2910D0" w14:textId="77777777" w:rsidR="00C83B44" w:rsidRPr="005D74D1" w:rsidRDefault="00C83B44" w:rsidP="005F0E67">
            <w:pPr>
              <w:pStyle w:val="BulletLevel1"/>
              <w:rPr>
                <w:rFonts w:cs="Arial"/>
                <w:lang w:val="en-AU"/>
              </w:rPr>
            </w:pPr>
            <w:r w:rsidRPr="005D74D1">
              <w:rPr>
                <w:rFonts w:cs="Arial"/>
                <w:b/>
                <w:bCs/>
                <w:lang w:val="en-AU"/>
              </w:rPr>
              <w:t>Water efficiency:</w:t>
            </w:r>
            <w:r w:rsidRPr="005D74D1">
              <w:rPr>
                <w:rFonts w:cs="Arial"/>
                <w:lang w:val="en-AU"/>
              </w:rPr>
              <w:t xml:space="preserve"> Water efficiency outcomes were delivered in multiple Victorian communities, including schools, urban households, irrigators and regional communities. Several water efficiency programs have provided significant water savings, water awareness, and cost-saving benefits with 0.</w:t>
            </w:r>
            <w:r w:rsidRPr="00A134A7">
              <w:rPr>
                <w:rFonts w:cs="Arial"/>
                <w:lang w:val="en-AU"/>
              </w:rPr>
              <w:t xml:space="preserve">298 GL of water saved </w:t>
            </w:r>
            <w:r w:rsidRPr="005D74D1">
              <w:rPr>
                <w:rFonts w:cs="Arial"/>
                <w:lang w:val="en-AU"/>
              </w:rPr>
              <w:t xml:space="preserve">in households and community housing properties through the </w:t>
            </w:r>
            <w:r w:rsidRPr="005D74D1">
              <w:rPr>
                <w:rFonts w:cs="Arial"/>
                <w:iCs/>
                <w:lang w:val="en-AU"/>
              </w:rPr>
              <w:t>Community Retrofit Program (</w:t>
            </w:r>
            <w:r w:rsidRPr="005D74D1">
              <w:rPr>
                <w:rFonts w:cs="Arial"/>
                <w:lang w:val="en-AU"/>
              </w:rPr>
              <w:t xml:space="preserve">CRP) and </w:t>
            </w:r>
            <w:r w:rsidRPr="005D74D1">
              <w:rPr>
                <w:rFonts w:cs="Arial"/>
                <w:iCs/>
                <w:lang w:val="en-AU"/>
              </w:rPr>
              <w:t>Community Housing Retrofit Program</w:t>
            </w:r>
            <w:r w:rsidRPr="005D74D1">
              <w:rPr>
                <w:rFonts w:cs="Arial"/>
                <w:lang w:val="en-AU"/>
              </w:rPr>
              <w:t xml:space="preserve"> (CHRP), and 1.9 GL saved in schools through the Schools Water Efficiency Program (SWEP) over the investment period. </w:t>
            </w:r>
            <w:r w:rsidRPr="00A134A7">
              <w:rPr>
                <w:rFonts w:cs="Arial"/>
                <w:lang w:val="en-AU"/>
              </w:rPr>
              <w:t xml:space="preserve">Smart Water Advice portal provided water saving tips to households and businesses and Target 155 was reinvigorated to Target 150. Victoria’s contribution to the Commonwealth’s WELS scheme resulted in 4 GL of water </w:t>
            </w:r>
            <w:r w:rsidRPr="00A134A7">
              <w:rPr>
                <w:rFonts w:cs="Arial"/>
                <w:lang w:val="en-AU"/>
              </w:rPr>
              <w:lastRenderedPageBreak/>
              <w:t>savings</w:t>
            </w:r>
            <w:r w:rsidRPr="005D74D1">
              <w:rPr>
                <w:rFonts w:cs="Arial"/>
                <w:lang w:val="en-AU"/>
              </w:rPr>
              <w:t>. Irrigators are more prepared for a future with reduced water availability through the provision of educational tools, knowledge, and farm planning support. Irrigation losses are on track to be reduced by up to 10.3 GL annually, through modernisation of over 80 km of irrigation in the Macalister Irrigation District (upon project completion in EC6). A modern risk-based compliance and enforcement framework was implemented to manage unauthorised take of water. A summary of the performance assessment for this outcome is provided shown below.</w:t>
            </w:r>
          </w:p>
          <w:tbl>
            <w:tblPr>
              <w:tblStyle w:val="GridTable4-Accent1"/>
              <w:tblW w:w="8913" w:type="dxa"/>
              <w:tblInd w:w="325" w:type="dxa"/>
              <w:tblBorders>
                <w:top w:val="single" w:sz="4" w:space="0" w:color="231EDC" w:themeColor="accent1"/>
                <w:left w:val="single" w:sz="4" w:space="0" w:color="231EDC" w:themeColor="accent1"/>
                <w:bottom w:val="single" w:sz="4" w:space="0" w:color="231EDC" w:themeColor="accent1"/>
                <w:right w:val="single" w:sz="4" w:space="0" w:color="231EDC" w:themeColor="accent1"/>
                <w:insideH w:val="single" w:sz="4" w:space="0" w:color="231EDC" w:themeColor="accent1"/>
                <w:insideV w:val="single" w:sz="4" w:space="0" w:color="231EDC" w:themeColor="accent1"/>
              </w:tblBorders>
              <w:tblLook w:val="04A0" w:firstRow="1" w:lastRow="0" w:firstColumn="1" w:lastColumn="0" w:noHBand="0" w:noVBand="1"/>
            </w:tblPr>
            <w:tblGrid>
              <w:gridCol w:w="1523"/>
              <w:gridCol w:w="1138"/>
              <w:gridCol w:w="6252"/>
            </w:tblGrid>
            <w:tr w:rsidR="00C83B44" w:rsidRPr="005D74D1" w14:paraId="696899BA" w14:textId="77777777" w:rsidTr="00D37E55">
              <w:trPr>
                <w:cnfStyle w:val="100000000000" w:firstRow="1" w:lastRow="0" w:firstColumn="0" w:lastColumn="0" w:oddVBand="0" w:evenVBand="0" w:oddHBand="0" w:evenHBand="0" w:firstRowFirstColumn="0" w:firstRowLastColumn="0" w:lastRowFirstColumn="0" w:lastRowLastColumn="0"/>
                <w:trHeight w:val="503"/>
                <w:tblHeader/>
              </w:trPr>
              <w:tc>
                <w:tcPr>
                  <w:cnfStyle w:val="001000000000" w:firstRow="0" w:lastRow="0" w:firstColumn="1" w:lastColumn="0" w:oddVBand="0" w:evenVBand="0" w:oddHBand="0" w:evenHBand="0" w:firstRowFirstColumn="0" w:firstRowLastColumn="0" w:lastRowFirstColumn="0" w:lastRowLastColumn="0"/>
                  <w:tcW w:w="1523" w:type="dxa"/>
                  <w:tcBorders>
                    <w:top w:val="none" w:sz="0" w:space="0" w:color="auto"/>
                    <w:left w:val="none" w:sz="0" w:space="0" w:color="auto"/>
                    <w:bottom w:val="none" w:sz="0" w:space="0" w:color="auto"/>
                    <w:right w:val="none" w:sz="0" w:space="0" w:color="auto"/>
                  </w:tcBorders>
                  <w:vAlign w:val="bottom"/>
                </w:tcPr>
                <w:p w14:paraId="5E76CDAF" w14:textId="77777777" w:rsidR="00C83B44" w:rsidRPr="00A134A7" w:rsidRDefault="00C83B44" w:rsidP="005F0E67">
                  <w:pPr>
                    <w:spacing w:before="180" w:after="60"/>
                    <w:rPr>
                      <w:rFonts w:cs="Arial"/>
                      <w:bCs w:val="0"/>
                      <w:lang w:val="en-AU"/>
                    </w:rPr>
                  </w:pPr>
                  <w:r w:rsidRPr="00A134A7">
                    <w:rPr>
                      <w:rFonts w:cs="Arial"/>
                    </w:rPr>
                    <w:t>Rating type</w:t>
                  </w:r>
                </w:p>
              </w:tc>
              <w:tc>
                <w:tcPr>
                  <w:tcW w:w="1138" w:type="dxa"/>
                  <w:tcBorders>
                    <w:top w:val="none" w:sz="0" w:space="0" w:color="auto"/>
                    <w:left w:val="none" w:sz="0" w:space="0" w:color="auto"/>
                    <w:bottom w:val="none" w:sz="0" w:space="0" w:color="auto"/>
                    <w:right w:val="none" w:sz="0" w:space="0" w:color="auto"/>
                  </w:tcBorders>
                  <w:vAlign w:val="bottom"/>
                </w:tcPr>
                <w:p w14:paraId="0EBD8F6A" w14:textId="77777777" w:rsidR="00C83B44" w:rsidRPr="00A134A7" w:rsidRDefault="00C83B44" w:rsidP="005F0E67">
                  <w:pPr>
                    <w:spacing w:before="180" w:after="60"/>
                    <w:cnfStyle w:val="100000000000" w:firstRow="1" w:lastRow="0" w:firstColumn="0" w:lastColumn="0" w:oddVBand="0" w:evenVBand="0" w:oddHBand="0" w:evenHBand="0" w:firstRowFirstColumn="0" w:firstRowLastColumn="0" w:lastRowFirstColumn="0" w:lastRowLastColumn="0"/>
                    <w:rPr>
                      <w:rFonts w:cs="Arial"/>
                      <w:bCs w:val="0"/>
                      <w:lang w:val="en-AU"/>
                    </w:rPr>
                  </w:pPr>
                  <w:r w:rsidRPr="00A134A7">
                    <w:rPr>
                      <w:rFonts w:cs="Arial"/>
                    </w:rPr>
                    <w:t>Rating</w:t>
                  </w:r>
                </w:p>
              </w:tc>
              <w:tc>
                <w:tcPr>
                  <w:tcW w:w="6252" w:type="dxa"/>
                  <w:tcBorders>
                    <w:top w:val="none" w:sz="0" w:space="0" w:color="auto"/>
                    <w:left w:val="none" w:sz="0" w:space="0" w:color="auto"/>
                    <w:bottom w:val="none" w:sz="0" w:space="0" w:color="auto"/>
                    <w:right w:val="none" w:sz="0" w:space="0" w:color="auto"/>
                  </w:tcBorders>
                  <w:vAlign w:val="bottom"/>
                </w:tcPr>
                <w:p w14:paraId="19338B02" w14:textId="77777777" w:rsidR="00C83B44" w:rsidRPr="00A134A7" w:rsidRDefault="00C83B44" w:rsidP="005F0E67">
                  <w:pPr>
                    <w:spacing w:before="180" w:after="60"/>
                    <w:cnfStyle w:val="100000000000" w:firstRow="1" w:lastRow="0" w:firstColumn="0" w:lastColumn="0" w:oddVBand="0" w:evenVBand="0" w:oddHBand="0" w:evenHBand="0" w:firstRowFirstColumn="0" w:firstRowLastColumn="0" w:lastRowFirstColumn="0" w:lastRowLastColumn="0"/>
                    <w:rPr>
                      <w:rFonts w:cs="Arial"/>
                      <w:bCs w:val="0"/>
                      <w:lang w:val="en-AU"/>
                    </w:rPr>
                  </w:pPr>
                  <w:r w:rsidRPr="00A134A7">
                    <w:rPr>
                      <w:rFonts w:cs="Arial"/>
                    </w:rPr>
                    <w:t>Rationale</w:t>
                  </w:r>
                </w:p>
              </w:tc>
            </w:tr>
            <w:tr w:rsidR="00C83B44" w:rsidRPr="005D74D1" w14:paraId="658AD6EA" w14:textId="77777777" w:rsidTr="00D37E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3" w:type="dxa"/>
                  <w:shd w:val="clear" w:color="auto" w:fill="auto"/>
                  <w:vAlign w:val="center"/>
                </w:tcPr>
                <w:p w14:paraId="6CDE51C7" w14:textId="77777777" w:rsidR="00C83B44" w:rsidRPr="005D74D1" w:rsidRDefault="00C83B44" w:rsidP="005F0E67">
                  <w:pPr>
                    <w:pStyle w:val="BodyText"/>
                    <w:rPr>
                      <w:rFonts w:cs="Arial"/>
                      <w:b w:val="0"/>
                      <w:bCs w:val="0"/>
                      <w:sz w:val="20"/>
                      <w:lang w:val="en-AU"/>
                    </w:rPr>
                  </w:pPr>
                  <w:r w:rsidRPr="005D74D1">
                    <w:rPr>
                      <w:rFonts w:cs="Arial"/>
                      <w:b w:val="0"/>
                      <w:sz w:val="20"/>
                      <w:lang w:val="en-AU"/>
                    </w:rPr>
                    <w:t>Extent to which end-of-EC5 outcomes were achieved</w:t>
                  </w:r>
                </w:p>
              </w:tc>
              <w:tc>
                <w:tcPr>
                  <w:tcW w:w="1138" w:type="dxa"/>
                  <w:shd w:val="clear" w:color="auto" w:fill="auto"/>
                  <w:vAlign w:val="center"/>
                </w:tcPr>
                <w:p w14:paraId="27F43E00" w14:textId="77777777" w:rsidR="00C83B44" w:rsidRPr="005D74D1" w:rsidRDefault="00C83B44" w:rsidP="00514DAC">
                  <w:pPr>
                    <w:pStyle w:val="BodyText"/>
                    <w:jc w:val="center"/>
                    <w:cnfStyle w:val="000000100000" w:firstRow="0" w:lastRow="0" w:firstColumn="0" w:lastColumn="0" w:oddVBand="0" w:evenVBand="0" w:oddHBand="1" w:evenHBand="0" w:firstRowFirstColumn="0" w:firstRowLastColumn="0" w:lastRowFirstColumn="0" w:lastRowLastColumn="0"/>
                    <w:rPr>
                      <w:rFonts w:cs="Arial"/>
                      <w:sz w:val="20"/>
                      <w:lang w:val="en-AU"/>
                    </w:rPr>
                  </w:pPr>
                  <w:r w:rsidRPr="005D74D1">
                    <w:rPr>
                      <w:rFonts w:cs="Arial"/>
                      <w:sz w:val="20"/>
                      <w:lang w:val="en-AU"/>
                    </w:rPr>
                    <w:t>High</w:t>
                  </w:r>
                </w:p>
                <w:p w14:paraId="5FFB3F78" w14:textId="77777777" w:rsidR="00C83B44" w:rsidRPr="005D74D1" w:rsidRDefault="00C83B44" w:rsidP="00514DAC">
                  <w:pPr>
                    <w:pStyle w:val="BodyText"/>
                    <w:jc w:val="center"/>
                    <w:cnfStyle w:val="000000100000" w:firstRow="0" w:lastRow="0" w:firstColumn="0" w:lastColumn="0" w:oddVBand="0" w:evenVBand="0" w:oddHBand="1" w:evenHBand="0" w:firstRowFirstColumn="0" w:firstRowLastColumn="0" w:lastRowFirstColumn="0" w:lastRowLastColumn="0"/>
                    <w:rPr>
                      <w:rFonts w:cs="Arial"/>
                      <w:sz w:val="20"/>
                      <w:lang w:val="en-AU"/>
                    </w:rPr>
                  </w:pPr>
                  <w:r w:rsidRPr="00A134A7">
                    <w:rPr>
                      <w:rFonts w:cs="Arial"/>
                      <w:noProof/>
                      <w:sz w:val="20"/>
                    </w:rPr>
                    <mc:AlternateContent>
                      <mc:Choice Requires="wpg">
                        <w:drawing>
                          <wp:inline distT="0" distB="0" distL="0" distR="0" wp14:anchorId="154766B6" wp14:editId="6F3C008C">
                            <wp:extent cx="460375" cy="248285"/>
                            <wp:effectExtent l="0" t="0" r="15875" b="18415"/>
                            <wp:docPr id="2031611450" name="Group 2031611450"/>
                            <wp:cNvGraphicFramePr/>
                            <a:graphic xmlns:a="http://schemas.openxmlformats.org/drawingml/2006/main">
                              <a:graphicData uri="http://schemas.microsoft.com/office/word/2010/wordprocessingGroup">
                                <wpg:wgp>
                                  <wpg:cNvGrpSpPr/>
                                  <wpg:grpSpPr>
                                    <a:xfrm>
                                      <a:off x="0" y="0"/>
                                      <a:ext cx="460375" cy="248285"/>
                                      <a:chOff x="0" y="0"/>
                                      <a:chExt cx="675125" cy="248400"/>
                                    </a:xfrm>
                                  </wpg:grpSpPr>
                                  <wps:wsp>
                                    <wps:cNvPr id="1928300046" name="Rectangle 1928300046"/>
                                    <wps:cNvSpPr/>
                                    <wps:spPr>
                                      <a:xfrm>
                                        <a:off x="0" y="0"/>
                                        <a:ext cx="133200" cy="24840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39314719" name="Rectangle 1939314719"/>
                                    <wps:cNvSpPr/>
                                    <wps:spPr>
                                      <a:xfrm>
                                        <a:off x="135481" y="0"/>
                                        <a:ext cx="133200" cy="24840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30223606" name="Rectangle 730223606"/>
                                    <wps:cNvSpPr/>
                                    <wps:spPr>
                                      <a:xfrm>
                                        <a:off x="270962" y="0"/>
                                        <a:ext cx="133200" cy="24840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5828331" name="Rectangle 185828331"/>
                                    <wps:cNvSpPr/>
                                    <wps:spPr>
                                      <a:xfrm>
                                        <a:off x="406443" y="0"/>
                                        <a:ext cx="133200" cy="24840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67812058" name="Rectangle 1367812058"/>
                                    <wps:cNvSpPr/>
                                    <wps:spPr>
                                      <a:xfrm>
                                        <a:off x="541925" y="0"/>
                                        <a:ext cx="133200" cy="2484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xmlns:w16du="http://schemas.microsoft.com/office/word/2023/wordml/word16du">
                        <w:pict>
                          <v:group w14:anchorId="1C89A612" id="Group 2031611450" o:spid="_x0000_s1026" style="width:36.25pt;height:19.55pt;mso-position-horizontal-relative:char;mso-position-vertical-relative:line" coordsize="6751,2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">
                            <v:rect id="Rectangle 1928300046" o:spid="_x0000_s1027" style="position:absolute;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" fillcolor="#231edc [3204]" strokecolor="black [3213]" strokeweight="1pt"/>
                            <v:rect id="Rectangle 1939314719" o:spid="_x0000_s1028" style="position:absolute;left:1354;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" fillcolor="#231edc [3204]" strokecolor="black [3213]" strokeweight="1pt"/>
                            <v:rect id="Rectangle 730223606" o:spid="_x0000_s1029" style="position:absolute;left:2709;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" fillcolor="#231edc [3204]" strokecolor="black [3213]" strokeweight="1pt"/>
                            <v:rect id="Rectangle 185828331" o:spid="_x0000_s1030" style="position:absolute;left:4064;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" fillcolor="#231edc [3204]" strokecolor="black [3213]" strokeweight="1pt"/>
                            <v:rect id="Rectangle 1367812058" o:spid="_x0000_s1031" style="position:absolute;left:5419;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" fillcolor="white [3212]" strokecolor="black [3213]" strokeweight="1pt"/>
                            <w10:anchorlock/>
                          </v:group>
                        </w:pict>
                      </mc:Fallback>
                    </mc:AlternateContent>
                  </w:r>
                </w:p>
              </w:tc>
              <w:tc>
                <w:tcPr>
                  <w:tcW w:w="6252" w:type="dxa"/>
                  <w:shd w:val="clear" w:color="auto" w:fill="auto"/>
                  <w:vAlign w:val="center"/>
                </w:tcPr>
                <w:p w14:paraId="44BEC4A5" w14:textId="77777777" w:rsidR="00C83B44" w:rsidRPr="005D74D1" w:rsidRDefault="00C83B44" w:rsidP="005F0E67">
                  <w:pPr>
                    <w:pStyle w:val="BodyText"/>
                    <w:cnfStyle w:val="000000100000" w:firstRow="0" w:lastRow="0" w:firstColumn="0" w:lastColumn="0" w:oddVBand="0" w:evenVBand="0" w:oddHBand="1" w:evenHBand="0" w:firstRowFirstColumn="0" w:firstRowLastColumn="0" w:lastRowFirstColumn="0" w:lastRowLastColumn="0"/>
                    <w:rPr>
                      <w:rFonts w:cs="Arial"/>
                      <w:sz w:val="20"/>
                      <w:lang w:val="en-AU"/>
                    </w:rPr>
                  </w:pPr>
                  <w:r w:rsidRPr="005D74D1">
                    <w:rPr>
                      <w:rFonts w:cs="Arial"/>
                      <w:sz w:val="20"/>
                      <w:lang w:val="en-AU"/>
                    </w:rPr>
                    <w:t>EC5 continued a range of initiatives focused on improving water efficiency in schools, homes, rural communities and irrigation districts, for which water savings were monitored and quantified. Work to improve regulation of water use compliance was a key achievement of EC5.</w:t>
                  </w:r>
                </w:p>
              </w:tc>
            </w:tr>
            <w:tr w:rsidR="00C83B44" w:rsidRPr="005D74D1" w14:paraId="7C345400" w14:textId="77777777" w:rsidTr="00D37E55">
              <w:tc>
                <w:tcPr>
                  <w:cnfStyle w:val="001000000000" w:firstRow="0" w:lastRow="0" w:firstColumn="1" w:lastColumn="0" w:oddVBand="0" w:evenVBand="0" w:oddHBand="0" w:evenHBand="0" w:firstRowFirstColumn="0" w:firstRowLastColumn="0" w:lastRowFirstColumn="0" w:lastRowLastColumn="0"/>
                  <w:tcW w:w="1523" w:type="dxa"/>
                  <w:shd w:val="clear" w:color="auto" w:fill="auto"/>
                  <w:vAlign w:val="center"/>
                </w:tcPr>
                <w:p w14:paraId="1A63BB35" w14:textId="77777777" w:rsidR="00C83B44" w:rsidRPr="005D74D1" w:rsidRDefault="00C83B44" w:rsidP="005F0E67">
                  <w:pPr>
                    <w:pStyle w:val="BodyText"/>
                    <w:rPr>
                      <w:rFonts w:cs="Arial"/>
                      <w:b w:val="0"/>
                      <w:bCs w:val="0"/>
                      <w:sz w:val="20"/>
                      <w:lang w:val="en-AU"/>
                    </w:rPr>
                  </w:pPr>
                  <w:r w:rsidRPr="005D74D1">
                    <w:rPr>
                      <w:rFonts w:cs="Arial"/>
                      <w:b w:val="0"/>
                      <w:bCs w:val="0"/>
                      <w:sz w:val="20"/>
                      <w:lang w:val="en-AU"/>
                    </w:rPr>
                    <w:t>Overall progress toward long-term outcomes</w:t>
                  </w:r>
                </w:p>
              </w:tc>
              <w:tc>
                <w:tcPr>
                  <w:tcW w:w="1138" w:type="dxa"/>
                  <w:shd w:val="clear" w:color="auto" w:fill="auto"/>
                  <w:vAlign w:val="center"/>
                </w:tcPr>
                <w:p w14:paraId="7F119ED1" w14:textId="77777777" w:rsidR="00C83B44" w:rsidRPr="005D74D1" w:rsidRDefault="00C83B44" w:rsidP="00514DAC">
                  <w:pPr>
                    <w:pStyle w:val="BodyText"/>
                    <w:jc w:val="center"/>
                    <w:cnfStyle w:val="000000000000" w:firstRow="0" w:lastRow="0" w:firstColumn="0" w:lastColumn="0" w:oddVBand="0" w:evenVBand="0" w:oddHBand="0" w:evenHBand="0" w:firstRowFirstColumn="0" w:firstRowLastColumn="0" w:lastRowFirstColumn="0" w:lastRowLastColumn="0"/>
                    <w:rPr>
                      <w:rFonts w:cs="Arial"/>
                      <w:sz w:val="20"/>
                      <w:lang w:val="en-AU"/>
                    </w:rPr>
                  </w:pPr>
                  <w:r w:rsidRPr="005D74D1">
                    <w:rPr>
                      <w:rFonts w:cs="Arial"/>
                      <w:sz w:val="20"/>
                      <w:lang w:val="en-AU"/>
                    </w:rPr>
                    <w:t>Medium</w:t>
                  </w:r>
                </w:p>
                <w:p w14:paraId="6206AB77" w14:textId="77777777" w:rsidR="00C83B44" w:rsidRPr="005D74D1" w:rsidRDefault="00C83B44" w:rsidP="00514DAC">
                  <w:pPr>
                    <w:pStyle w:val="BodyText"/>
                    <w:jc w:val="center"/>
                    <w:cnfStyle w:val="000000000000" w:firstRow="0" w:lastRow="0" w:firstColumn="0" w:lastColumn="0" w:oddVBand="0" w:evenVBand="0" w:oddHBand="0" w:evenHBand="0" w:firstRowFirstColumn="0" w:firstRowLastColumn="0" w:lastRowFirstColumn="0" w:lastRowLastColumn="0"/>
                    <w:rPr>
                      <w:rFonts w:cs="Arial"/>
                      <w:sz w:val="20"/>
                      <w:lang w:val="en-AU"/>
                    </w:rPr>
                  </w:pPr>
                  <w:r w:rsidRPr="00A134A7">
                    <w:rPr>
                      <w:rFonts w:cs="Arial"/>
                      <w:noProof/>
                      <w:sz w:val="20"/>
                    </w:rPr>
                    <mc:AlternateContent>
                      <mc:Choice Requires="wpg">
                        <w:drawing>
                          <wp:inline distT="0" distB="0" distL="0" distR="0" wp14:anchorId="6BEDF00B" wp14:editId="221ED97F">
                            <wp:extent cx="460800" cy="246491"/>
                            <wp:effectExtent l="0" t="0" r="15875" b="20320"/>
                            <wp:docPr id="320" name="Group 320"/>
                            <wp:cNvGraphicFramePr/>
                            <a:graphic xmlns:a="http://schemas.openxmlformats.org/drawingml/2006/main">
                              <a:graphicData uri="http://schemas.microsoft.com/office/word/2010/wordprocessingGroup">
                                <wpg:wgp>
                                  <wpg:cNvGrpSpPr/>
                                  <wpg:grpSpPr>
                                    <a:xfrm>
                                      <a:off x="0" y="0"/>
                                      <a:ext cx="460800" cy="246491"/>
                                      <a:chOff x="0" y="0"/>
                                      <a:chExt cx="675755" cy="246491"/>
                                    </a:xfrm>
                                  </wpg:grpSpPr>
                                  <wps:wsp>
                                    <wps:cNvPr id="325" name="Rectangle 325"/>
                                    <wps:cNvSpPr/>
                                    <wps:spPr>
                                      <a:xfrm>
                                        <a:off x="0" y="0"/>
                                        <a:ext cx="133200" cy="246491"/>
                                      </a:xfrm>
                                      <a:prstGeom prst="rect">
                                        <a:avLst/>
                                      </a:pr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4" name="Rectangle 334"/>
                                    <wps:cNvSpPr/>
                                    <wps:spPr>
                                      <a:xfrm>
                                        <a:off x="135639" y="0"/>
                                        <a:ext cx="133200" cy="246491"/>
                                      </a:xfrm>
                                      <a:prstGeom prst="rect">
                                        <a:avLst/>
                                      </a:pr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5" name="Rectangle 335"/>
                                    <wps:cNvSpPr/>
                                    <wps:spPr>
                                      <a:xfrm>
                                        <a:off x="271278" y="0"/>
                                        <a:ext cx="133200" cy="246491"/>
                                      </a:xfrm>
                                      <a:prstGeom prst="rect">
                                        <a:avLst/>
                                      </a:pr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6" name="Rectangle 336"/>
                                    <wps:cNvSpPr/>
                                    <wps:spPr>
                                      <a:xfrm>
                                        <a:off x="542555" y="0"/>
                                        <a:ext cx="133200" cy="246491"/>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7" name="Rectangle 337"/>
                                    <wps:cNvSpPr/>
                                    <wps:spPr>
                                      <a:xfrm>
                                        <a:off x="406917" y="0"/>
                                        <a:ext cx="133200" cy="246491"/>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xmlns:w16du="http://schemas.microsoft.com/office/word/2023/wordml/word16du">
                        <w:pict>
                          <v:group w14:anchorId="6655CEAE" id="Group 320" o:spid="_x0000_s1026" style="width:36.3pt;height:19.4pt;mso-position-horizontal-relative:char;mso-position-vertical-relative:line" coordsize="6757,2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">
                            <v:rect id="Rectangle 325" o:spid="_x0000_s1027" style="position:absolute;width:1332;height:2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" fillcolor="#ffc000" strokecolor="black [3213]" strokeweight="1pt"/>
                            <v:rect id="Rectangle 334" o:spid="_x0000_s1028" style="position:absolute;left:1356;width:1332;height:2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" fillcolor="#ffc000" strokecolor="black [3213]" strokeweight="1pt"/>
                            <v:rect id="Rectangle 335" o:spid="_x0000_s1029" style="position:absolute;left:2712;width:1332;height:2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" fillcolor="#ffc000" strokecolor="black [3213]" strokeweight="1pt"/>
                            <v:rect id="Rectangle 336" o:spid="_x0000_s1030" style="position:absolute;left:5425;width:1332;height:2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" fillcolor="white [3212]" strokecolor="black [3213]" strokeweight="1pt"/>
                            <v:rect id="Rectangle 337" o:spid="_x0000_s1031" style="position:absolute;left:4069;width:1332;height:2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" fillcolor="white [3212]" strokecolor="black [3213]" strokeweight="1pt"/>
                            <w10:anchorlock/>
                          </v:group>
                        </w:pict>
                      </mc:Fallback>
                    </mc:AlternateContent>
                  </w:r>
                </w:p>
              </w:tc>
              <w:tc>
                <w:tcPr>
                  <w:tcW w:w="6252" w:type="dxa"/>
                  <w:shd w:val="clear" w:color="auto" w:fill="auto"/>
                  <w:vAlign w:val="center"/>
                </w:tcPr>
                <w:p w14:paraId="34ECD1AB" w14:textId="77777777" w:rsidR="00C83B44" w:rsidRPr="005D74D1" w:rsidRDefault="00C83B44" w:rsidP="005F0E67">
                  <w:pPr>
                    <w:pStyle w:val="BodyText"/>
                    <w:cnfStyle w:val="000000000000" w:firstRow="0" w:lastRow="0" w:firstColumn="0" w:lastColumn="0" w:oddVBand="0" w:evenVBand="0" w:oddHBand="0" w:evenHBand="0" w:firstRowFirstColumn="0" w:firstRowLastColumn="0" w:lastRowFirstColumn="0" w:lastRowLastColumn="0"/>
                    <w:rPr>
                      <w:rFonts w:cs="Arial"/>
                      <w:sz w:val="20"/>
                      <w:lang w:val="en-AU"/>
                    </w:rPr>
                  </w:pPr>
                  <w:r w:rsidRPr="005D74D1">
                    <w:rPr>
                      <w:rFonts w:cs="Arial"/>
                      <w:sz w:val="20"/>
                      <w:lang w:val="en-AU"/>
                    </w:rPr>
                    <w:t xml:space="preserve">Prior investment in rural water infrastructure has created the gains in improved irrigation efficiency. However, continued investment and ongoing work is needed to realise the remaining opportunities. Urban water efficiency varies due to multiple factors and there is more work needed to achieve Melbourne’s per capita water use targets. </w:t>
                  </w:r>
                </w:p>
              </w:tc>
            </w:tr>
          </w:tbl>
          <w:p w14:paraId="7E877DC1" w14:textId="77777777" w:rsidR="00C83B44" w:rsidRPr="005D74D1" w:rsidRDefault="00C83B44" w:rsidP="005F0E67">
            <w:pPr>
              <w:pStyle w:val="BulletLevel1"/>
              <w:rPr>
                <w:rFonts w:cs="Arial"/>
                <w:lang w:val="en-AU"/>
              </w:rPr>
            </w:pPr>
            <w:r w:rsidRPr="005D74D1">
              <w:rPr>
                <w:rFonts w:cs="Arial"/>
                <w:b/>
                <w:bCs/>
                <w:lang w:val="en-AU"/>
              </w:rPr>
              <w:t>Waterway and catchment health:</w:t>
            </w:r>
            <w:r w:rsidRPr="005D74D1">
              <w:rPr>
                <w:rFonts w:cs="Arial"/>
                <w:lang w:val="en-AU"/>
              </w:rPr>
              <w:t xml:space="preserve"> Strong progress was made in improving the health of waterways and catchments throughout Victoria, with the continuation and extension of several long-term projects. EC5 enabled a suite of 52 IWM projects, including stormwater harvesting, recycled water and rainwater harvesting projects which – when completed – will result in significant stormwater pollution reduction. Over 46,764 ha of place-based, on-ground catchment stewardship projects were delivered, along with 35,465 ha of waterway vegetation improvement works across priority sites. The Flagship Waterway projects were also continued and expanded such as with the Jan Juc daylighting project and a commitment to deliver 88 projects from the YSP, focused on protecting and enhancing Birrarung (Yarra River) and its parklands. Over 3,212 GL of water for the environment was delivered to 161 rivers and wetlands sites in 2023-24, 154 sites in 2022-23, 170 sites in 2021-22, and 225 sites in 2020-21. While environmental outcomes generally take time to accrue following investment in waterway health projects, monitoring programs are beginning to show long-term positive environmental changes associated with works from EC5 and earlier tranches, building a strong evidence base. This includes the recording of significant colonial waterbird breeding at sites that received water for the environment and natural flooding. A summary of the performance assessment for this outcome is shown below.</w:t>
            </w:r>
          </w:p>
          <w:tbl>
            <w:tblPr>
              <w:tblStyle w:val="GridTable4-Accent1"/>
              <w:tblW w:w="8913" w:type="dxa"/>
              <w:tblInd w:w="325" w:type="dxa"/>
              <w:tblBorders>
                <w:top w:val="single" w:sz="4" w:space="0" w:color="231EDC" w:themeColor="accent1"/>
                <w:left w:val="single" w:sz="4" w:space="0" w:color="231EDC" w:themeColor="accent1"/>
                <w:bottom w:val="single" w:sz="4" w:space="0" w:color="231EDC" w:themeColor="accent1"/>
                <w:right w:val="single" w:sz="4" w:space="0" w:color="231EDC" w:themeColor="accent1"/>
                <w:insideH w:val="single" w:sz="4" w:space="0" w:color="231EDC" w:themeColor="accent1"/>
                <w:insideV w:val="single" w:sz="4" w:space="0" w:color="231EDC" w:themeColor="accent1"/>
              </w:tblBorders>
              <w:tblLook w:val="04A0" w:firstRow="1" w:lastRow="0" w:firstColumn="1" w:lastColumn="0" w:noHBand="0" w:noVBand="1"/>
            </w:tblPr>
            <w:tblGrid>
              <w:gridCol w:w="1440"/>
              <w:gridCol w:w="967"/>
              <w:gridCol w:w="6506"/>
            </w:tblGrid>
            <w:tr w:rsidR="00C83B44" w:rsidRPr="005D74D1" w14:paraId="2B328983" w14:textId="77777777" w:rsidTr="00D37E55">
              <w:trPr>
                <w:cnfStyle w:val="100000000000" w:firstRow="1" w:lastRow="0" w:firstColumn="0" w:lastColumn="0" w:oddVBand="0" w:evenVBand="0" w:oddHBand="0"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440" w:type="dxa"/>
                  <w:tcBorders>
                    <w:top w:val="none" w:sz="0" w:space="0" w:color="auto"/>
                    <w:left w:val="none" w:sz="0" w:space="0" w:color="auto"/>
                    <w:bottom w:val="none" w:sz="0" w:space="0" w:color="auto"/>
                    <w:right w:val="none" w:sz="0" w:space="0" w:color="auto"/>
                  </w:tcBorders>
                  <w:vAlign w:val="bottom"/>
                </w:tcPr>
                <w:p w14:paraId="2EF05BC3" w14:textId="77777777" w:rsidR="00C83B44" w:rsidRPr="005D74D1" w:rsidRDefault="00C83B44" w:rsidP="00514DAC">
                  <w:pPr>
                    <w:spacing w:before="180" w:after="60"/>
                    <w:jc w:val="center"/>
                    <w:rPr>
                      <w:rFonts w:cs="Arial"/>
                      <w:bCs w:val="0"/>
                      <w:lang w:val="en-AU"/>
                    </w:rPr>
                  </w:pPr>
                  <w:r w:rsidRPr="005D74D1">
                    <w:rPr>
                      <w:rFonts w:cs="Arial"/>
                      <w:bCs w:val="0"/>
                      <w:lang w:val="en-AU"/>
                    </w:rPr>
                    <w:t>Rating type</w:t>
                  </w:r>
                </w:p>
              </w:tc>
              <w:tc>
                <w:tcPr>
                  <w:tcW w:w="967" w:type="dxa"/>
                  <w:tcBorders>
                    <w:top w:val="none" w:sz="0" w:space="0" w:color="auto"/>
                    <w:left w:val="none" w:sz="0" w:space="0" w:color="auto"/>
                    <w:bottom w:val="none" w:sz="0" w:space="0" w:color="auto"/>
                    <w:right w:val="none" w:sz="0" w:space="0" w:color="auto"/>
                  </w:tcBorders>
                  <w:vAlign w:val="bottom"/>
                </w:tcPr>
                <w:p w14:paraId="55FD0B0D" w14:textId="77777777" w:rsidR="00C83B44" w:rsidRPr="005D74D1" w:rsidRDefault="00C83B44" w:rsidP="00514DAC">
                  <w:pPr>
                    <w:spacing w:before="180" w:after="60"/>
                    <w:jc w:val="center"/>
                    <w:cnfStyle w:val="100000000000" w:firstRow="1" w:lastRow="0" w:firstColumn="0" w:lastColumn="0" w:oddVBand="0" w:evenVBand="0" w:oddHBand="0" w:evenHBand="0" w:firstRowFirstColumn="0" w:firstRowLastColumn="0" w:lastRowFirstColumn="0" w:lastRowLastColumn="0"/>
                    <w:rPr>
                      <w:rFonts w:cs="Arial"/>
                      <w:bCs w:val="0"/>
                      <w:lang w:val="en-AU"/>
                    </w:rPr>
                  </w:pPr>
                  <w:r w:rsidRPr="005D74D1">
                    <w:rPr>
                      <w:rFonts w:cs="Arial"/>
                      <w:bCs w:val="0"/>
                      <w:lang w:val="en-AU"/>
                    </w:rPr>
                    <w:t>Rating</w:t>
                  </w:r>
                </w:p>
              </w:tc>
              <w:tc>
                <w:tcPr>
                  <w:tcW w:w="6506" w:type="dxa"/>
                  <w:tcBorders>
                    <w:top w:val="none" w:sz="0" w:space="0" w:color="auto"/>
                    <w:left w:val="none" w:sz="0" w:space="0" w:color="auto"/>
                    <w:bottom w:val="none" w:sz="0" w:space="0" w:color="auto"/>
                    <w:right w:val="none" w:sz="0" w:space="0" w:color="auto"/>
                  </w:tcBorders>
                  <w:vAlign w:val="bottom"/>
                </w:tcPr>
                <w:p w14:paraId="679DC8F0" w14:textId="77777777" w:rsidR="00C83B44" w:rsidRPr="005D74D1" w:rsidRDefault="00C83B44" w:rsidP="00514DAC">
                  <w:pPr>
                    <w:spacing w:before="180" w:after="60"/>
                    <w:jc w:val="center"/>
                    <w:cnfStyle w:val="100000000000" w:firstRow="1" w:lastRow="0" w:firstColumn="0" w:lastColumn="0" w:oddVBand="0" w:evenVBand="0" w:oddHBand="0" w:evenHBand="0" w:firstRowFirstColumn="0" w:firstRowLastColumn="0" w:lastRowFirstColumn="0" w:lastRowLastColumn="0"/>
                    <w:rPr>
                      <w:rFonts w:cs="Arial"/>
                      <w:bCs w:val="0"/>
                      <w:lang w:val="en-AU"/>
                    </w:rPr>
                  </w:pPr>
                  <w:r w:rsidRPr="005D74D1">
                    <w:rPr>
                      <w:rFonts w:cs="Arial"/>
                      <w:bCs w:val="0"/>
                      <w:lang w:val="en-AU"/>
                    </w:rPr>
                    <w:t>Rationale</w:t>
                  </w:r>
                </w:p>
              </w:tc>
            </w:tr>
            <w:tr w:rsidR="00C83B44" w:rsidRPr="005D74D1" w14:paraId="2D9AA3E7" w14:textId="77777777" w:rsidTr="00D37E55">
              <w:trPr>
                <w:cnfStyle w:val="000000100000" w:firstRow="0" w:lastRow="0" w:firstColumn="0" w:lastColumn="0" w:oddVBand="0" w:evenVBand="0" w:oddHBand="1" w:evenHBand="0" w:firstRowFirstColumn="0" w:firstRowLastColumn="0" w:lastRowFirstColumn="0" w:lastRowLastColumn="0"/>
                <w:trHeight w:val="1133"/>
              </w:trPr>
              <w:tc>
                <w:tcPr>
                  <w:cnfStyle w:val="001000000000" w:firstRow="0" w:lastRow="0" w:firstColumn="1" w:lastColumn="0" w:oddVBand="0" w:evenVBand="0" w:oddHBand="0" w:evenHBand="0" w:firstRowFirstColumn="0" w:firstRowLastColumn="0" w:lastRowFirstColumn="0" w:lastRowLastColumn="0"/>
                  <w:tcW w:w="1440" w:type="dxa"/>
                  <w:shd w:val="clear" w:color="auto" w:fill="auto"/>
                  <w:vAlign w:val="center"/>
                </w:tcPr>
                <w:p w14:paraId="4CD236C3" w14:textId="77777777" w:rsidR="00C83B44" w:rsidRPr="005D74D1" w:rsidRDefault="00C83B44" w:rsidP="005F0E67">
                  <w:pPr>
                    <w:pStyle w:val="BodyText"/>
                    <w:rPr>
                      <w:rFonts w:cs="Arial"/>
                      <w:b w:val="0"/>
                      <w:bCs w:val="0"/>
                      <w:sz w:val="20"/>
                      <w:lang w:val="en-AU"/>
                    </w:rPr>
                  </w:pPr>
                  <w:r w:rsidRPr="005D74D1">
                    <w:rPr>
                      <w:rFonts w:cs="Arial"/>
                      <w:b w:val="0"/>
                      <w:sz w:val="20"/>
                      <w:lang w:val="en-AU"/>
                    </w:rPr>
                    <w:t>Extent to which end-of-EC5 outcomes were achieved</w:t>
                  </w:r>
                </w:p>
              </w:tc>
              <w:tc>
                <w:tcPr>
                  <w:tcW w:w="967" w:type="dxa"/>
                  <w:shd w:val="clear" w:color="auto" w:fill="auto"/>
                  <w:vAlign w:val="center"/>
                </w:tcPr>
                <w:p w14:paraId="378BBE51" w14:textId="77777777" w:rsidR="00C83B44" w:rsidRPr="005D74D1" w:rsidRDefault="00C83B44" w:rsidP="00514DAC">
                  <w:pPr>
                    <w:pStyle w:val="BodyText"/>
                    <w:jc w:val="center"/>
                    <w:cnfStyle w:val="000000100000" w:firstRow="0" w:lastRow="0" w:firstColumn="0" w:lastColumn="0" w:oddVBand="0" w:evenVBand="0" w:oddHBand="1" w:evenHBand="0" w:firstRowFirstColumn="0" w:firstRowLastColumn="0" w:lastRowFirstColumn="0" w:lastRowLastColumn="0"/>
                    <w:rPr>
                      <w:rFonts w:cs="Arial"/>
                      <w:sz w:val="20"/>
                      <w:lang w:val="en-AU"/>
                    </w:rPr>
                  </w:pPr>
                  <w:r w:rsidRPr="005D74D1">
                    <w:rPr>
                      <w:rFonts w:cs="Arial"/>
                      <w:sz w:val="20"/>
                      <w:lang w:val="en-AU"/>
                    </w:rPr>
                    <w:t>Very High</w:t>
                  </w:r>
                </w:p>
                <w:p w14:paraId="0710FD59" w14:textId="77777777" w:rsidR="00C83B44" w:rsidRPr="005D74D1" w:rsidRDefault="00C83B44" w:rsidP="00514DAC">
                  <w:pPr>
                    <w:pStyle w:val="BodyText"/>
                    <w:jc w:val="center"/>
                    <w:cnfStyle w:val="000000100000" w:firstRow="0" w:lastRow="0" w:firstColumn="0" w:lastColumn="0" w:oddVBand="0" w:evenVBand="0" w:oddHBand="1" w:evenHBand="0" w:firstRowFirstColumn="0" w:firstRowLastColumn="0" w:lastRowFirstColumn="0" w:lastRowLastColumn="0"/>
                    <w:rPr>
                      <w:rFonts w:cs="Arial"/>
                      <w:sz w:val="20"/>
                      <w:lang w:val="en-AU"/>
                    </w:rPr>
                  </w:pPr>
                  <w:r w:rsidRPr="00A134A7">
                    <w:rPr>
                      <w:rFonts w:cs="Arial"/>
                      <w:noProof/>
                      <w:sz w:val="20"/>
                    </w:rPr>
                    <mc:AlternateContent>
                      <mc:Choice Requires="wpg">
                        <w:drawing>
                          <wp:inline distT="0" distB="0" distL="0" distR="0" wp14:anchorId="148AAE96" wp14:editId="275874FA">
                            <wp:extent cx="460800" cy="248401"/>
                            <wp:effectExtent l="0" t="0" r="15875" b="18415"/>
                            <wp:docPr id="338" name="Group 338"/>
                            <wp:cNvGraphicFramePr/>
                            <a:graphic xmlns:a="http://schemas.openxmlformats.org/drawingml/2006/main">
                              <a:graphicData uri="http://schemas.microsoft.com/office/word/2010/wordprocessingGroup">
                                <wpg:wgp>
                                  <wpg:cNvGrpSpPr/>
                                  <wpg:grpSpPr>
                                    <a:xfrm>
                                      <a:off x="0" y="0"/>
                                      <a:ext cx="460800" cy="248401"/>
                                      <a:chOff x="0" y="0"/>
                                      <a:chExt cx="657283" cy="248401"/>
                                    </a:xfrm>
                                  </wpg:grpSpPr>
                                  <wps:wsp>
                                    <wps:cNvPr id="339" name="Rectangle 339"/>
                                    <wps:cNvSpPr/>
                                    <wps:spPr>
                                      <a:xfrm>
                                        <a:off x="0" y="0"/>
                                        <a:ext cx="133200" cy="24840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0" name="Rectangle 340"/>
                                    <wps:cNvSpPr/>
                                    <wps:spPr>
                                      <a:xfrm>
                                        <a:off x="131021" y="0"/>
                                        <a:ext cx="133200" cy="24840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1" name="Rectangle 341"/>
                                    <wps:cNvSpPr/>
                                    <wps:spPr>
                                      <a:xfrm>
                                        <a:off x="262042" y="0"/>
                                        <a:ext cx="133200" cy="24840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2" name="Rectangle 342"/>
                                    <wps:cNvSpPr/>
                                    <wps:spPr>
                                      <a:xfrm>
                                        <a:off x="393063" y="1"/>
                                        <a:ext cx="133200" cy="24840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4" name="Rectangle 344"/>
                                    <wps:cNvSpPr/>
                                    <wps:spPr>
                                      <a:xfrm>
                                        <a:off x="524083" y="0"/>
                                        <a:ext cx="133200" cy="24840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xmlns:w16du="http://schemas.microsoft.com/office/word/2023/wordml/word16du">
                        <w:pict>
                          <v:group w14:anchorId="3A4B7688" id="Group 338" o:spid="_x0000_s1026" style="width:36.3pt;height:19.55pt;mso-position-horizontal-relative:char;mso-position-vertical-relative:line" coordsize="6572,2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">
                            <v:rect id="Rectangle 339" o:spid="_x0000_s1027" style="position:absolute;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" fillcolor="#231edc [3204]" strokecolor="black [3213]" strokeweight="1pt"/>
                            <v:rect id="Rectangle 340" o:spid="_x0000_s1028" style="position:absolute;left:1310;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" fillcolor="#231edc [3204]" strokecolor="black [3213]" strokeweight="1pt"/>
                            <v:rect id="Rectangle 341" o:spid="_x0000_s1029" style="position:absolute;left:2620;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" fillcolor="#231edc [3204]" strokecolor="black [3213]" strokeweight="1pt"/>
                            <v:rect id="Rectangle 342" o:spid="_x0000_s1030" style="position:absolute;left:3930;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" fillcolor="#231edc [3204]" strokecolor="black [3213]" strokeweight="1pt"/>
                            <v:rect id="Rectangle 344" o:spid="_x0000_s1031" style="position:absolute;left:5240;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" fillcolor="#231edc [3204]" strokecolor="black [3213]" strokeweight="1pt"/>
                            <w10:anchorlock/>
                          </v:group>
                        </w:pict>
                      </mc:Fallback>
                    </mc:AlternateContent>
                  </w:r>
                </w:p>
              </w:tc>
              <w:tc>
                <w:tcPr>
                  <w:tcW w:w="6506" w:type="dxa"/>
                  <w:shd w:val="clear" w:color="auto" w:fill="auto"/>
                  <w:vAlign w:val="center"/>
                </w:tcPr>
                <w:p w14:paraId="31D40398" w14:textId="77777777" w:rsidR="00C83B44" w:rsidRPr="005D74D1" w:rsidRDefault="00C83B44" w:rsidP="005F0E67">
                  <w:pPr>
                    <w:pStyle w:val="BodyText"/>
                    <w:cnfStyle w:val="000000100000" w:firstRow="0" w:lastRow="0" w:firstColumn="0" w:lastColumn="0" w:oddVBand="0" w:evenVBand="0" w:oddHBand="1" w:evenHBand="0" w:firstRowFirstColumn="0" w:firstRowLastColumn="0" w:lastRowFirstColumn="0" w:lastRowLastColumn="0"/>
                    <w:rPr>
                      <w:rFonts w:cs="Arial"/>
                      <w:sz w:val="20"/>
                      <w:lang w:val="en-AU"/>
                    </w:rPr>
                  </w:pPr>
                  <w:r w:rsidRPr="005D74D1">
                    <w:rPr>
                      <w:rFonts w:cs="Arial"/>
                      <w:sz w:val="20"/>
                      <w:lang w:val="en-AU"/>
                    </w:rPr>
                    <w:t>The health of waterways and catchments throughout Victoria were improved, with the continuation and extension of several long-term projects. Increased implementation of IWM initiatives, delivery of a large volume of vegetation and habitat improvement works, environmental water delivery, and delivery of actions from the YSP were strengths of EC5. An increased evidence base was also developed for ecological improvements resulting from waterway management works.</w:t>
                  </w:r>
                </w:p>
              </w:tc>
            </w:tr>
            <w:tr w:rsidR="00C83B44" w:rsidRPr="005D74D1" w14:paraId="0A811110" w14:textId="77777777" w:rsidTr="00D37E55">
              <w:trPr>
                <w:trHeight w:val="467"/>
              </w:trPr>
              <w:tc>
                <w:tcPr>
                  <w:cnfStyle w:val="001000000000" w:firstRow="0" w:lastRow="0" w:firstColumn="1" w:lastColumn="0" w:oddVBand="0" w:evenVBand="0" w:oddHBand="0" w:evenHBand="0" w:firstRowFirstColumn="0" w:firstRowLastColumn="0" w:lastRowFirstColumn="0" w:lastRowLastColumn="0"/>
                  <w:tcW w:w="1440" w:type="dxa"/>
                  <w:shd w:val="clear" w:color="auto" w:fill="auto"/>
                  <w:vAlign w:val="center"/>
                </w:tcPr>
                <w:p w14:paraId="208EABE9" w14:textId="77777777" w:rsidR="00C83B44" w:rsidRPr="005D74D1" w:rsidRDefault="00C83B44" w:rsidP="005F0E67">
                  <w:pPr>
                    <w:pStyle w:val="BodyText"/>
                    <w:rPr>
                      <w:rFonts w:cs="Arial"/>
                      <w:b w:val="0"/>
                      <w:bCs w:val="0"/>
                      <w:sz w:val="20"/>
                      <w:lang w:val="en-AU"/>
                    </w:rPr>
                  </w:pPr>
                  <w:r w:rsidRPr="005D74D1">
                    <w:rPr>
                      <w:rFonts w:cs="Arial"/>
                      <w:b w:val="0"/>
                      <w:bCs w:val="0"/>
                      <w:sz w:val="20"/>
                      <w:lang w:val="en-AU"/>
                    </w:rPr>
                    <w:t xml:space="preserve">Overall progress toward long </w:t>
                  </w:r>
                  <w:r w:rsidRPr="005D74D1">
                    <w:rPr>
                      <w:rFonts w:cs="Arial"/>
                      <w:b w:val="0"/>
                      <w:bCs w:val="0"/>
                      <w:sz w:val="20"/>
                      <w:lang w:val="en-AU"/>
                    </w:rPr>
                    <w:lastRenderedPageBreak/>
                    <w:t>term outcomes</w:t>
                  </w:r>
                </w:p>
              </w:tc>
              <w:tc>
                <w:tcPr>
                  <w:tcW w:w="967" w:type="dxa"/>
                  <w:shd w:val="clear" w:color="auto" w:fill="auto"/>
                  <w:vAlign w:val="center"/>
                </w:tcPr>
                <w:p w14:paraId="1C65DF11" w14:textId="77777777" w:rsidR="00C83B44" w:rsidRPr="005D74D1" w:rsidRDefault="00C83B44" w:rsidP="00514DAC">
                  <w:pPr>
                    <w:pStyle w:val="BodyText"/>
                    <w:jc w:val="center"/>
                    <w:cnfStyle w:val="000000000000" w:firstRow="0" w:lastRow="0" w:firstColumn="0" w:lastColumn="0" w:oddVBand="0" w:evenVBand="0" w:oddHBand="0" w:evenHBand="0" w:firstRowFirstColumn="0" w:firstRowLastColumn="0" w:lastRowFirstColumn="0" w:lastRowLastColumn="0"/>
                    <w:rPr>
                      <w:rFonts w:cs="Arial"/>
                      <w:sz w:val="20"/>
                      <w:lang w:val="en-AU"/>
                    </w:rPr>
                  </w:pPr>
                  <w:r w:rsidRPr="005D74D1">
                    <w:rPr>
                      <w:rFonts w:cs="Arial"/>
                      <w:sz w:val="20"/>
                      <w:lang w:val="en-AU"/>
                    </w:rPr>
                    <w:lastRenderedPageBreak/>
                    <w:t>Medium</w:t>
                  </w:r>
                </w:p>
                <w:p w14:paraId="0B2B455A" w14:textId="77777777" w:rsidR="00C83B44" w:rsidRPr="005D74D1" w:rsidRDefault="00C83B44" w:rsidP="00514DAC">
                  <w:pPr>
                    <w:pStyle w:val="BodyText"/>
                    <w:jc w:val="center"/>
                    <w:cnfStyle w:val="000000000000" w:firstRow="0" w:lastRow="0" w:firstColumn="0" w:lastColumn="0" w:oddVBand="0" w:evenVBand="0" w:oddHBand="0" w:evenHBand="0" w:firstRowFirstColumn="0" w:firstRowLastColumn="0" w:lastRowFirstColumn="0" w:lastRowLastColumn="0"/>
                    <w:rPr>
                      <w:rFonts w:cs="Arial"/>
                      <w:sz w:val="20"/>
                      <w:lang w:val="en-AU"/>
                    </w:rPr>
                  </w:pPr>
                  <w:r w:rsidRPr="00A134A7">
                    <w:rPr>
                      <w:rFonts w:cs="Arial"/>
                      <w:noProof/>
                      <w:sz w:val="20"/>
                    </w:rPr>
                    <mc:AlternateContent>
                      <mc:Choice Requires="wpg">
                        <w:drawing>
                          <wp:inline distT="0" distB="0" distL="0" distR="0" wp14:anchorId="078C756A" wp14:editId="328107C6">
                            <wp:extent cx="460800" cy="246491"/>
                            <wp:effectExtent l="0" t="0" r="15875" b="20320"/>
                            <wp:docPr id="345" name="Group 345"/>
                            <wp:cNvGraphicFramePr/>
                            <a:graphic xmlns:a="http://schemas.openxmlformats.org/drawingml/2006/main">
                              <a:graphicData uri="http://schemas.microsoft.com/office/word/2010/wordprocessingGroup">
                                <wpg:wgp>
                                  <wpg:cNvGrpSpPr/>
                                  <wpg:grpSpPr>
                                    <a:xfrm>
                                      <a:off x="0" y="0"/>
                                      <a:ext cx="460800" cy="246491"/>
                                      <a:chOff x="0" y="0"/>
                                      <a:chExt cx="675755" cy="246491"/>
                                    </a:xfrm>
                                  </wpg:grpSpPr>
                                  <wps:wsp>
                                    <wps:cNvPr id="346" name="Rectangle 346"/>
                                    <wps:cNvSpPr/>
                                    <wps:spPr>
                                      <a:xfrm>
                                        <a:off x="0" y="0"/>
                                        <a:ext cx="133200" cy="246491"/>
                                      </a:xfrm>
                                      <a:prstGeom prst="rect">
                                        <a:avLst/>
                                      </a:pr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7" name="Rectangle 347"/>
                                    <wps:cNvSpPr/>
                                    <wps:spPr>
                                      <a:xfrm>
                                        <a:off x="135639" y="0"/>
                                        <a:ext cx="133200" cy="246491"/>
                                      </a:xfrm>
                                      <a:prstGeom prst="rect">
                                        <a:avLst/>
                                      </a:pr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8" name="Rectangle 348"/>
                                    <wps:cNvSpPr/>
                                    <wps:spPr>
                                      <a:xfrm>
                                        <a:off x="271278" y="0"/>
                                        <a:ext cx="133200" cy="246491"/>
                                      </a:xfrm>
                                      <a:prstGeom prst="rect">
                                        <a:avLst/>
                                      </a:pr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9" name="Rectangle 349"/>
                                    <wps:cNvSpPr/>
                                    <wps:spPr>
                                      <a:xfrm>
                                        <a:off x="542555" y="0"/>
                                        <a:ext cx="133200" cy="246491"/>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0" name="Rectangle 350"/>
                                    <wps:cNvSpPr/>
                                    <wps:spPr>
                                      <a:xfrm>
                                        <a:off x="406917" y="0"/>
                                        <a:ext cx="133200" cy="246491"/>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xmlns:w16du="http://schemas.microsoft.com/office/word/2023/wordml/word16du">
                        <w:pict>
                          <v:group w14:anchorId="04F1AAF3" id="Group 345" o:spid="_x0000_s1026" style="width:36.3pt;height:19.4pt;mso-position-horizontal-relative:char;mso-position-vertical-relative:line" coordsize="6757,2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">
                            <v:rect id="Rectangle 346" o:spid="_x0000_s1027" style="position:absolute;width:1332;height:2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" fillcolor="#ffc000" strokecolor="black [3213]" strokeweight="1pt"/>
                            <v:rect id="Rectangle 347" o:spid="_x0000_s1028" style="position:absolute;left:1356;width:1332;height:2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" fillcolor="#ffc000" strokecolor="black [3213]" strokeweight="1pt"/>
                            <v:rect id="Rectangle 348" o:spid="_x0000_s1029" style="position:absolute;left:2712;width:1332;height:2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" fillcolor="#ffc000" strokecolor="black [3213]" strokeweight="1pt"/>
                            <v:rect id="Rectangle 349" o:spid="_x0000_s1030" style="position:absolute;left:5425;width:1332;height:2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" fillcolor="white [3212]" strokecolor="black [3213]" strokeweight="1pt"/>
                            <v:rect id="Rectangle 350" o:spid="_x0000_s1031" style="position:absolute;left:4069;width:1332;height:2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" fillcolor="white [3212]" strokecolor="black [3213]" strokeweight="1pt"/>
                            <w10:anchorlock/>
                          </v:group>
                        </w:pict>
                      </mc:Fallback>
                    </mc:AlternateContent>
                  </w:r>
                </w:p>
              </w:tc>
              <w:tc>
                <w:tcPr>
                  <w:tcW w:w="6506" w:type="dxa"/>
                  <w:shd w:val="clear" w:color="auto" w:fill="auto"/>
                  <w:vAlign w:val="center"/>
                </w:tcPr>
                <w:p w14:paraId="16104DB0" w14:textId="77777777" w:rsidR="00C83B44" w:rsidRPr="005D74D1" w:rsidRDefault="00C83B44" w:rsidP="005F0E67">
                  <w:pPr>
                    <w:pStyle w:val="BodyText"/>
                    <w:cnfStyle w:val="000000000000" w:firstRow="0" w:lastRow="0" w:firstColumn="0" w:lastColumn="0" w:oddVBand="0" w:evenVBand="0" w:oddHBand="0" w:evenHBand="0" w:firstRowFirstColumn="0" w:firstRowLastColumn="0" w:lastRowFirstColumn="0" w:lastRowLastColumn="0"/>
                    <w:rPr>
                      <w:rFonts w:cs="Arial"/>
                      <w:sz w:val="20"/>
                      <w:lang w:val="en-AU"/>
                    </w:rPr>
                  </w:pPr>
                  <w:r w:rsidRPr="005D74D1">
                    <w:rPr>
                      <w:rFonts w:cs="Arial"/>
                      <w:sz w:val="20"/>
                      <w:lang w:val="en-AU"/>
                    </w:rPr>
                    <w:t xml:space="preserve">Prior EC tranches have invested significantly in waterway and catchment health, and while environmental outcomes generally take time to accrue following investment, there is emerging and strengthening evidence of environmental benefits from EC </w:t>
                  </w:r>
                  <w:r w:rsidRPr="005D74D1">
                    <w:rPr>
                      <w:rFonts w:cs="Arial"/>
                      <w:sz w:val="20"/>
                      <w:lang w:val="en-AU"/>
                    </w:rPr>
                    <w:lastRenderedPageBreak/>
                    <w:t>investments. Ongoing investment is required to continue to address significant remaining environmental degradation amid continued stressors.</w:t>
                  </w:r>
                </w:p>
              </w:tc>
            </w:tr>
          </w:tbl>
          <w:p w14:paraId="1478482A" w14:textId="77777777" w:rsidR="00C83B44" w:rsidRPr="005D74D1" w:rsidRDefault="00C83B44" w:rsidP="005F0E67">
            <w:pPr>
              <w:pStyle w:val="BulletLevel1"/>
              <w:rPr>
                <w:rFonts w:cs="Arial"/>
                <w:lang w:val="en-AU"/>
              </w:rPr>
            </w:pPr>
            <w:r w:rsidRPr="005D74D1">
              <w:rPr>
                <w:rFonts w:cs="Arial"/>
                <w:b/>
                <w:bCs/>
                <w:lang w:val="en-AU"/>
              </w:rPr>
              <w:lastRenderedPageBreak/>
              <w:t>Traditional Owner priorities:</w:t>
            </w:r>
            <w:r w:rsidRPr="005D74D1">
              <w:rPr>
                <w:rFonts w:cs="Arial"/>
                <w:lang w:val="en-AU"/>
              </w:rPr>
              <w:t xml:space="preserve"> Over EC5,frameworks and strategies have increasingly considered and included Traditional Owner priorities and support Traditional Owner participation. The publication of </w:t>
            </w:r>
            <w:r w:rsidRPr="005D74D1">
              <w:rPr>
                <w:rFonts w:cs="Arial"/>
                <w:i/>
                <w:iCs/>
                <w:lang w:val="en-AU"/>
              </w:rPr>
              <w:t>Water is Life: Traditional Owner Access to Water Roadmap</w:t>
            </w:r>
            <w:r w:rsidRPr="005D74D1">
              <w:rPr>
                <w:rFonts w:cs="Arial"/>
                <w:lang w:val="en-AU"/>
              </w:rPr>
              <w:t xml:space="preserve"> and the CGRSWS in 2022 were key achievements of EC5. Both documents include standalone Traditional Owner contributions (27 Traditional Owner Nation Statements in </w:t>
            </w:r>
            <w:r w:rsidRPr="005D74D1">
              <w:rPr>
                <w:rFonts w:cs="Arial"/>
                <w:i/>
                <w:iCs/>
                <w:lang w:val="en-AU"/>
              </w:rPr>
              <w:t>Water is Life</w:t>
            </w:r>
            <w:r w:rsidRPr="005D74D1">
              <w:rPr>
                <w:rFonts w:cs="Arial"/>
                <w:lang w:val="en-AU"/>
              </w:rPr>
              <w:t xml:space="preserve">, and Chapter 6 of the CGRSWS) and represent a policy shift that provides new guidance and policy direction for the inclusion of Traditional Owners in the management of Victoria’s water resources. Continuation and modest growth in the Aboriginal Water Program means there are now 24 Aboriginal Water Officers, plus dedicated funding for Traditional Owner-led water-related projects across 18 Traditional Owner groups (including the all Registered Aboriginal Parties) and 4 CMAs, to strengthen Traditional Owner capacity and enable greater consideration of Traditional Owner priorities and involvement in the way water is managed and delivered in Victoria. Continued investment is needed into EC6 to successfully implement the actions from </w:t>
            </w:r>
            <w:r w:rsidRPr="005D74D1">
              <w:rPr>
                <w:rFonts w:cs="Arial"/>
                <w:i/>
                <w:iCs/>
                <w:lang w:val="en-AU"/>
              </w:rPr>
              <w:t>Water is Life</w:t>
            </w:r>
            <w:r w:rsidRPr="005D74D1">
              <w:rPr>
                <w:rFonts w:cs="Arial"/>
                <w:lang w:val="en-AU"/>
              </w:rPr>
              <w:t xml:space="preserve"> and CGRSWS, and meaningfully embed Traditional Owner involvement, values and principles of self-determination throughout EC projects and the broader Victorian water sector. A summary of the performance assessment for this outcome is shown below.</w:t>
            </w:r>
          </w:p>
          <w:tbl>
            <w:tblPr>
              <w:tblStyle w:val="GridTable4-Accent1"/>
              <w:tblW w:w="9003" w:type="dxa"/>
              <w:tblInd w:w="325" w:type="dxa"/>
              <w:tblBorders>
                <w:top w:val="single" w:sz="4" w:space="0" w:color="231EDC" w:themeColor="accent1"/>
                <w:left w:val="single" w:sz="4" w:space="0" w:color="231EDC" w:themeColor="accent1"/>
                <w:bottom w:val="single" w:sz="4" w:space="0" w:color="231EDC" w:themeColor="accent1"/>
                <w:right w:val="single" w:sz="4" w:space="0" w:color="231EDC" w:themeColor="accent1"/>
                <w:insideH w:val="single" w:sz="4" w:space="0" w:color="231EDC" w:themeColor="accent1"/>
                <w:insideV w:val="single" w:sz="4" w:space="0" w:color="231EDC" w:themeColor="accent1"/>
              </w:tblBorders>
              <w:tblLook w:val="04A0" w:firstRow="1" w:lastRow="0" w:firstColumn="1" w:lastColumn="0" w:noHBand="0" w:noVBand="1"/>
            </w:tblPr>
            <w:tblGrid>
              <w:gridCol w:w="1307"/>
              <w:gridCol w:w="1108"/>
              <w:gridCol w:w="6588"/>
            </w:tblGrid>
            <w:tr w:rsidR="00C83B44" w:rsidRPr="005D74D1" w14:paraId="3EC27F56" w14:textId="77777777" w:rsidTr="00D37E55">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1307" w:type="dxa"/>
                  <w:tcBorders>
                    <w:top w:val="none" w:sz="0" w:space="0" w:color="auto"/>
                    <w:left w:val="none" w:sz="0" w:space="0" w:color="auto"/>
                    <w:bottom w:val="none" w:sz="0" w:space="0" w:color="auto"/>
                    <w:right w:val="none" w:sz="0" w:space="0" w:color="auto"/>
                  </w:tcBorders>
                  <w:vAlign w:val="center"/>
                </w:tcPr>
                <w:p w14:paraId="65753352" w14:textId="77777777" w:rsidR="00C83B44" w:rsidRPr="005D74D1" w:rsidRDefault="00C83B44" w:rsidP="00514DAC">
                  <w:pPr>
                    <w:spacing w:before="180" w:after="60"/>
                    <w:jc w:val="center"/>
                    <w:rPr>
                      <w:rFonts w:cs="Arial"/>
                      <w:bCs w:val="0"/>
                      <w:lang w:val="en-AU"/>
                    </w:rPr>
                  </w:pPr>
                  <w:r w:rsidRPr="005D74D1">
                    <w:rPr>
                      <w:rFonts w:cs="Arial"/>
                      <w:bCs w:val="0"/>
                      <w:lang w:val="en-AU"/>
                    </w:rPr>
                    <w:t>Rating type</w:t>
                  </w:r>
                </w:p>
              </w:tc>
              <w:tc>
                <w:tcPr>
                  <w:tcW w:w="1108" w:type="dxa"/>
                  <w:tcBorders>
                    <w:top w:val="none" w:sz="0" w:space="0" w:color="auto"/>
                    <w:left w:val="none" w:sz="0" w:space="0" w:color="auto"/>
                    <w:bottom w:val="none" w:sz="0" w:space="0" w:color="auto"/>
                    <w:right w:val="none" w:sz="0" w:space="0" w:color="auto"/>
                  </w:tcBorders>
                  <w:vAlign w:val="center"/>
                </w:tcPr>
                <w:p w14:paraId="5C3EB63E" w14:textId="77777777" w:rsidR="00C83B44" w:rsidRPr="005D74D1" w:rsidRDefault="00C83B44" w:rsidP="00514DAC">
                  <w:pPr>
                    <w:spacing w:before="180" w:after="60"/>
                    <w:jc w:val="center"/>
                    <w:cnfStyle w:val="100000000000" w:firstRow="1" w:lastRow="0" w:firstColumn="0" w:lastColumn="0" w:oddVBand="0" w:evenVBand="0" w:oddHBand="0" w:evenHBand="0" w:firstRowFirstColumn="0" w:firstRowLastColumn="0" w:lastRowFirstColumn="0" w:lastRowLastColumn="0"/>
                    <w:rPr>
                      <w:rFonts w:cs="Arial"/>
                      <w:bCs w:val="0"/>
                      <w:lang w:val="en-AU"/>
                    </w:rPr>
                  </w:pPr>
                  <w:r w:rsidRPr="005D74D1">
                    <w:rPr>
                      <w:rFonts w:cs="Arial"/>
                      <w:bCs w:val="0"/>
                      <w:lang w:val="en-AU"/>
                    </w:rPr>
                    <w:t>Rating</w:t>
                  </w:r>
                </w:p>
              </w:tc>
              <w:tc>
                <w:tcPr>
                  <w:tcW w:w="6588" w:type="dxa"/>
                  <w:tcBorders>
                    <w:top w:val="none" w:sz="0" w:space="0" w:color="auto"/>
                    <w:left w:val="none" w:sz="0" w:space="0" w:color="auto"/>
                    <w:bottom w:val="none" w:sz="0" w:space="0" w:color="auto"/>
                    <w:right w:val="none" w:sz="0" w:space="0" w:color="auto"/>
                  </w:tcBorders>
                  <w:vAlign w:val="center"/>
                </w:tcPr>
                <w:p w14:paraId="6CE2401D" w14:textId="77777777" w:rsidR="00C83B44" w:rsidRPr="005D74D1" w:rsidRDefault="00C83B44" w:rsidP="00514DAC">
                  <w:pPr>
                    <w:spacing w:before="180" w:after="60"/>
                    <w:jc w:val="center"/>
                    <w:cnfStyle w:val="100000000000" w:firstRow="1" w:lastRow="0" w:firstColumn="0" w:lastColumn="0" w:oddVBand="0" w:evenVBand="0" w:oddHBand="0" w:evenHBand="0" w:firstRowFirstColumn="0" w:firstRowLastColumn="0" w:lastRowFirstColumn="0" w:lastRowLastColumn="0"/>
                    <w:rPr>
                      <w:rFonts w:cs="Arial"/>
                      <w:bCs w:val="0"/>
                      <w:lang w:val="en-AU"/>
                    </w:rPr>
                  </w:pPr>
                  <w:r w:rsidRPr="005D74D1">
                    <w:rPr>
                      <w:rFonts w:cs="Arial"/>
                      <w:bCs w:val="0"/>
                      <w:lang w:val="en-AU"/>
                    </w:rPr>
                    <w:t>Rationale</w:t>
                  </w:r>
                </w:p>
              </w:tc>
            </w:tr>
            <w:tr w:rsidR="00C83B44" w:rsidRPr="005D74D1" w14:paraId="4DB98EB2" w14:textId="77777777" w:rsidTr="00D37E55">
              <w:trPr>
                <w:cnfStyle w:val="000000100000" w:firstRow="0" w:lastRow="0" w:firstColumn="0" w:lastColumn="0" w:oddVBand="0" w:evenVBand="0" w:oddHBand="1" w:evenHBand="0" w:firstRowFirstColumn="0" w:firstRowLastColumn="0" w:lastRowFirstColumn="0" w:lastRowLastColumn="0"/>
                <w:trHeight w:val="1361"/>
              </w:trPr>
              <w:tc>
                <w:tcPr>
                  <w:cnfStyle w:val="001000000000" w:firstRow="0" w:lastRow="0" w:firstColumn="1" w:lastColumn="0" w:oddVBand="0" w:evenVBand="0" w:oddHBand="0" w:evenHBand="0" w:firstRowFirstColumn="0" w:firstRowLastColumn="0" w:lastRowFirstColumn="0" w:lastRowLastColumn="0"/>
                  <w:tcW w:w="1307" w:type="dxa"/>
                  <w:shd w:val="clear" w:color="auto" w:fill="auto"/>
                  <w:vAlign w:val="center"/>
                </w:tcPr>
                <w:p w14:paraId="469BE82C" w14:textId="77777777" w:rsidR="00C83B44" w:rsidRPr="005D74D1" w:rsidRDefault="00C83B44" w:rsidP="005F0E67">
                  <w:pPr>
                    <w:pStyle w:val="BodyText"/>
                    <w:rPr>
                      <w:rFonts w:cs="Arial"/>
                      <w:b w:val="0"/>
                      <w:bCs w:val="0"/>
                      <w:sz w:val="20"/>
                      <w:lang w:val="en-AU"/>
                    </w:rPr>
                  </w:pPr>
                  <w:r w:rsidRPr="005D74D1">
                    <w:rPr>
                      <w:rFonts w:cs="Arial"/>
                      <w:b w:val="0"/>
                      <w:sz w:val="20"/>
                      <w:lang w:val="en-AU"/>
                    </w:rPr>
                    <w:t>Extent to which end-of-EC5 outcomes were achieved</w:t>
                  </w:r>
                </w:p>
              </w:tc>
              <w:tc>
                <w:tcPr>
                  <w:tcW w:w="1108" w:type="dxa"/>
                  <w:shd w:val="clear" w:color="auto" w:fill="auto"/>
                  <w:vAlign w:val="center"/>
                </w:tcPr>
                <w:p w14:paraId="6626C955" w14:textId="77777777" w:rsidR="00C83B44" w:rsidRPr="005D74D1" w:rsidRDefault="00C83B44" w:rsidP="00514DAC">
                  <w:pPr>
                    <w:pStyle w:val="BodyText"/>
                    <w:jc w:val="center"/>
                    <w:cnfStyle w:val="000000100000" w:firstRow="0" w:lastRow="0" w:firstColumn="0" w:lastColumn="0" w:oddVBand="0" w:evenVBand="0" w:oddHBand="1" w:evenHBand="0" w:firstRowFirstColumn="0" w:firstRowLastColumn="0" w:lastRowFirstColumn="0" w:lastRowLastColumn="0"/>
                    <w:rPr>
                      <w:rFonts w:cs="Arial"/>
                      <w:sz w:val="20"/>
                      <w:lang w:val="en-AU"/>
                    </w:rPr>
                  </w:pPr>
                  <w:r w:rsidRPr="005D74D1">
                    <w:rPr>
                      <w:rFonts w:cs="Arial"/>
                      <w:sz w:val="20"/>
                      <w:lang w:val="en-AU"/>
                    </w:rPr>
                    <w:t>Very High</w:t>
                  </w:r>
                </w:p>
                <w:p w14:paraId="7906AA8D" w14:textId="77777777" w:rsidR="00C83B44" w:rsidRPr="005D74D1" w:rsidRDefault="00C83B44" w:rsidP="00514DAC">
                  <w:pPr>
                    <w:pStyle w:val="BodyText"/>
                    <w:jc w:val="center"/>
                    <w:cnfStyle w:val="000000100000" w:firstRow="0" w:lastRow="0" w:firstColumn="0" w:lastColumn="0" w:oddVBand="0" w:evenVBand="0" w:oddHBand="1" w:evenHBand="0" w:firstRowFirstColumn="0" w:firstRowLastColumn="0" w:lastRowFirstColumn="0" w:lastRowLastColumn="0"/>
                    <w:rPr>
                      <w:rFonts w:cs="Arial"/>
                      <w:sz w:val="20"/>
                      <w:lang w:val="en-AU"/>
                    </w:rPr>
                  </w:pPr>
                  <w:r w:rsidRPr="00A134A7">
                    <w:rPr>
                      <w:rFonts w:cs="Arial"/>
                      <w:noProof/>
                      <w:sz w:val="20"/>
                    </w:rPr>
                    <mc:AlternateContent>
                      <mc:Choice Requires="wpg">
                        <w:drawing>
                          <wp:inline distT="0" distB="0" distL="0" distR="0" wp14:anchorId="1B140D79" wp14:editId="6B55ACED">
                            <wp:extent cx="460800" cy="248401"/>
                            <wp:effectExtent l="0" t="0" r="15875" b="18415"/>
                            <wp:docPr id="201011043" name="Group 201011043"/>
                            <wp:cNvGraphicFramePr/>
                            <a:graphic xmlns:a="http://schemas.openxmlformats.org/drawingml/2006/main">
                              <a:graphicData uri="http://schemas.microsoft.com/office/word/2010/wordprocessingGroup">
                                <wpg:wgp>
                                  <wpg:cNvGrpSpPr/>
                                  <wpg:grpSpPr>
                                    <a:xfrm>
                                      <a:off x="0" y="0"/>
                                      <a:ext cx="460800" cy="248401"/>
                                      <a:chOff x="0" y="0"/>
                                      <a:chExt cx="657283" cy="248401"/>
                                    </a:xfrm>
                                  </wpg:grpSpPr>
                                  <wps:wsp>
                                    <wps:cNvPr id="166400241" name="Rectangle 166400241"/>
                                    <wps:cNvSpPr/>
                                    <wps:spPr>
                                      <a:xfrm>
                                        <a:off x="0" y="0"/>
                                        <a:ext cx="133200" cy="24840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71377313" name="Rectangle 1971377313"/>
                                    <wps:cNvSpPr/>
                                    <wps:spPr>
                                      <a:xfrm>
                                        <a:off x="131021" y="0"/>
                                        <a:ext cx="133200" cy="24840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98038080" name="Rectangle 498038080"/>
                                    <wps:cNvSpPr/>
                                    <wps:spPr>
                                      <a:xfrm>
                                        <a:off x="262042" y="0"/>
                                        <a:ext cx="133200" cy="24840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33701555" name="Rectangle 1633701555"/>
                                    <wps:cNvSpPr/>
                                    <wps:spPr>
                                      <a:xfrm>
                                        <a:off x="393063" y="1"/>
                                        <a:ext cx="133200" cy="24840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28285730" name="Rectangle 1628285730"/>
                                    <wps:cNvSpPr/>
                                    <wps:spPr>
                                      <a:xfrm>
                                        <a:off x="524083" y="0"/>
                                        <a:ext cx="133200" cy="24840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xmlns:w16du="http://schemas.microsoft.com/office/word/2023/wordml/word16du">
                        <w:pict>
                          <v:group w14:anchorId="0650F80F" id="Group 201011043" o:spid="_x0000_s1026" style="width:36.3pt;height:19.55pt;mso-position-horizontal-relative:char;mso-position-vertical-relative:line" coordsize="6572,2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">
                            <v:rect id="Rectangle 166400241" o:spid="_x0000_s1027" style="position:absolute;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" fillcolor="#231edc [3204]" strokecolor="black [3213]" strokeweight="1pt"/>
                            <v:rect id="Rectangle 1971377313" o:spid="_x0000_s1028" style="position:absolute;left:1310;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" fillcolor="#231edc [3204]" strokecolor="black [3213]" strokeweight="1pt"/>
                            <v:rect id="Rectangle 498038080" o:spid="_x0000_s1029" style="position:absolute;left:2620;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" fillcolor="#231edc [3204]" strokecolor="black [3213]" strokeweight="1pt"/>
                            <v:rect id="Rectangle 1633701555" o:spid="_x0000_s1030" style="position:absolute;left:3930;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" fillcolor="#231edc [3204]" strokecolor="black [3213]" strokeweight="1pt"/>
                            <v:rect id="Rectangle 1628285730" o:spid="_x0000_s1031" style="position:absolute;left:5240;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" fillcolor="#231edc [3204]" strokecolor="black [3213]" strokeweight="1pt"/>
                            <w10:anchorlock/>
                          </v:group>
                        </w:pict>
                      </mc:Fallback>
                    </mc:AlternateContent>
                  </w:r>
                </w:p>
              </w:tc>
              <w:tc>
                <w:tcPr>
                  <w:tcW w:w="6588" w:type="dxa"/>
                  <w:shd w:val="clear" w:color="auto" w:fill="auto"/>
                  <w:vAlign w:val="center"/>
                </w:tcPr>
                <w:p w14:paraId="0FC9D9EA" w14:textId="77777777" w:rsidR="00C83B44" w:rsidRPr="005D74D1" w:rsidRDefault="00C83B44" w:rsidP="005F0E67">
                  <w:pPr>
                    <w:pStyle w:val="BodyText"/>
                    <w:cnfStyle w:val="000000100000" w:firstRow="0" w:lastRow="0" w:firstColumn="0" w:lastColumn="0" w:oddVBand="0" w:evenVBand="0" w:oddHBand="1" w:evenHBand="0" w:firstRowFirstColumn="0" w:firstRowLastColumn="0" w:lastRowFirstColumn="0" w:lastRowLastColumn="0"/>
                    <w:rPr>
                      <w:rFonts w:cs="Arial"/>
                      <w:sz w:val="20"/>
                      <w:lang w:val="en-AU"/>
                    </w:rPr>
                  </w:pPr>
                  <w:r w:rsidRPr="005D74D1">
                    <w:rPr>
                      <w:rFonts w:cs="Arial"/>
                      <w:sz w:val="20"/>
                      <w:lang w:val="en-AU"/>
                    </w:rPr>
                    <w:t xml:space="preserve">The publication of </w:t>
                  </w:r>
                  <w:r w:rsidRPr="005D74D1">
                    <w:rPr>
                      <w:rFonts w:cs="Arial"/>
                      <w:i/>
                      <w:iCs/>
                      <w:sz w:val="20"/>
                      <w:lang w:val="en-AU"/>
                    </w:rPr>
                    <w:t>Water is Life</w:t>
                  </w:r>
                  <w:r w:rsidRPr="005D74D1">
                    <w:rPr>
                      <w:rFonts w:cs="Arial"/>
                      <w:sz w:val="20"/>
                      <w:lang w:val="en-AU"/>
                    </w:rPr>
                    <w:t xml:space="preserve"> in 2022 was a key achievement of the EC5 tranche, representing a policy shift that provides new guidance and policy direction for the inclusion of Traditional Owners which has the potential to deliver tangible outcomes and staged systemic change. Within EC5, the inclusion of Traditional Owners was increasingly integrated into project frameworks and strategies. </w:t>
                  </w:r>
                  <w:r w:rsidRPr="005D74D1">
                    <w:rPr>
                      <w:rFonts w:cs="Arial"/>
                      <w:sz w:val="20"/>
                    </w:rPr>
                    <w:t>With increased responsibilities and obligations to include Traditional Owners in water management, new challenges are emerging relating to resourcing and the availability for Traditional Owner organisations to balance and engage with competing priorities, and to exercise self-determination in water management.</w:t>
                  </w:r>
                </w:p>
              </w:tc>
            </w:tr>
            <w:tr w:rsidR="00C83B44" w:rsidRPr="005D74D1" w14:paraId="6167AF1D" w14:textId="77777777" w:rsidTr="00D37E55">
              <w:trPr>
                <w:trHeight w:val="1618"/>
              </w:trPr>
              <w:tc>
                <w:tcPr>
                  <w:cnfStyle w:val="001000000000" w:firstRow="0" w:lastRow="0" w:firstColumn="1" w:lastColumn="0" w:oddVBand="0" w:evenVBand="0" w:oddHBand="0" w:evenHBand="0" w:firstRowFirstColumn="0" w:firstRowLastColumn="0" w:lastRowFirstColumn="0" w:lastRowLastColumn="0"/>
                  <w:tcW w:w="1307" w:type="dxa"/>
                  <w:shd w:val="clear" w:color="auto" w:fill="auto"/>
                  <w:vAlign w:val="center"/>
                </w:tcPr>
                <w:p w14:paraId="62A40E57" w14:textId="77777777" w:rsidR="00C83B44" w:rsidRPr="005D74D1" w:rsidRDefault="00C83B44" w:rsidP="005F0E67">
                  <w:pPr>
                    <w:pStyle w:val="BodyText"/>
                    <w:rPr>
                      <w:rFonts w:cs="Arial"/>
                      <w:b w:val="0"/>
                      <w:bCs w:val="0"/>
                      <w:sz w:val="20"/>
                      <w:lang w:val="en-AU"/>
                    </w:rPr>
                  </w:pPr>
                  <w:r w:rsidRPr="005D74D1">
                    <w:rPr>
                      <w:rFonts w:cs="Arial"/>
                      <w:b w:val="0"/>
                      <w:bCs w:val="0"/>
                      <w:sz w:val="20"/>
                      <w:lang w:val="en-AU"/>
                    </w:rPr>
                    <w:t>Overall progress toward long-term outcomes</w:t>
                  </w:r>
                </w:p>
              </w:tc>
              <w:tc>
                <w:tcPr>
                  <w:tcW w:w="1108" w:type="dxa"/>
                  <w:shd w:val="clear" w:color="auto" w:fill="auto"/>
                  <w:vAlign w:val="center"/>
                </w:tcPr>
                <w:p w14:paraId="4AC70AFA" w14:textId="77777777" w:rsidR="00C83B44" w:rsidRPr="005D74D1" w:rsidRDefault="00C83B44" w:rsidP="00514DAC">
                  <w:pPr>
                    <w:pStyle w:val="BodyText"/>
                    <w:jc w:val="center"/>
                    <w:cnfStyle w:val="000000000000" w:firstRow="0" w:lastRow="0" w:firstColumn="0" w:lastColumn="0" w:oddVBand="0" w:evenVBand="0" w:oddHBand="0" w:evenHBand="0" w:firstRowFirstColumn="0" w:firstRowLastColumn="0" w:lastRowFirstColumn="0" w:lastRowLastColumn="0"/>
                    <w:rPr>
                      <w:rFonts w:cs="Arial"/>
                      <w:sz w:val="20"/>
                      <w:lang w:val="en-AU"/>
                    </w:rPr>
                  </w:pPr>
                  <w:r w:rsidRPr="005D74D1">
                    <w:rPr>
                      <w:rFonts w:cs="Arial"/>
                      <w:sz w:val="20"/>
                      <w:lang w:val="en-AU"/>
                    </w:rPr>
                    <w:t>Low</w:t>
                  </w:r>
                </w:p>
                <w:p w14:paraId="50FCFDD3" w14:textId="77777777" w:rsidR="00C83B44" w:rsidRPr="005D74D1" w:rsidRDefault="00C83B44" w:rsidP="00514DAC">
                  <w:pPr>
                    <w:pStyle w:val="BodyText"/>
                    <w:jc w:val="center"/>
                    <w:cnfStyle w:val="000000000000" w:firstRow="0" w:lastRow="0" w:firstColumn="0" w:lastColumn="0" w:oddVBand="0" w:evenVBand="0" w:oddHBand="0" w:evenHBand="0" w:firstRowFirstColumn="0" w:firstRowLastColumn="0" w:lastRowFirstColumn="0" w:lastRowLastColumn="0"/>
                    <w:rPr>
                      <w:rFonts w:cs="Arial"/>
                      <w:sz w:val="20"/>
                      <w:lang w:val="en-AU"/>
                    </w:rPr>
                  </w:pPr>
                  <w:r w:rsidRPr="00A134A7">
                    <w:rPr>
                      <w:rFonts w:cs="Arial"/>
                      <w:noProof/>
                      <w:sz w:val="20"/>
                    </w:rPr>
                    <mc:AlternateContent>
                      <mc:Choice Requires="wpg">
                        <w:drawing>
                          <wp:inline distT="0" distB="0" distL="0" distR="0" wp14:anchorId="50D7F55C" wp14:editId="07ECAE9B">
                            <wp:extent cx="460800" cy="248400"/>
                            <wp:effectExtent l="0" t="0" r="15875" b="18415"/>
                            <wp:docPr id="135" name="Group 135"/>
                            <wp:cNvGraphicFramePr/>
                            <a:graphic xmlns:a="http://schemas.openxmlformats.org/drawingml/2006/main">
                              <a:graphicData uri="http://schemas.microsoft.com/office/word/2010/wordprocessingGroup">
                                <wpg:wgp>
                                  <wpg:cNvGrpSpPr/>
                                  <wpg:grpSpPr>
                                    <a:xfrm>
                                      <a:off x="0" y="0"/>
                                      <a:ext cx="460800" cy="248400"/>
                                      <a:chOff x="0" y="0"/>
                                      <a:chExt cx="675755" cy="248400"/>
                                    </a:xfrm>
                                  </wpg:grpSpPr>
                                  <wps:wsp>
                                    <wps:cNvPr id="136" name="Rectangle 136"/>
                                    <wps:cNvSpPr/>
                                    <wps:spPr>
                                      <a:xfrm>
                                        <a:off x="0" y="0"/>
                                        <a:ext cx="133200" cy="248400"/>
                                      </a:xfrm>
                                      <a:prstGeom prst="rect">
                                        <a:avLst/>
                                      </a:pr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7" name="Rectangle 137"/>
                                    <wps:cNvSpPr/>
                                    <wps:spPr>
                                      <a:xfrm>
                                        <a:off x="135639" y="0"/>
                                        <a:ext cx="133200" cy="248400"/>
                                      </a:xfrm>
                                      <a:prstGeom prst="rect">
                                        <a:avLst/>
                                      </a:pr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8" name="Rectangle 138"/>
                                    <wps:cNvSpPr/>
                                    <wps:spPr>
                                      <a:xfrm>
                                        <a:off x="271278" y="0"/>
                                        <a:ext cx="133200" cy="2484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9" name="Rectangle 139"/>
                                    <wps:cNvSpPr/>
                                    <wps:spPr>
                                      <a:xfrm>
                                        <a:off x="406917" y="0"/>
                                        <a:ext cx="133200" cy="2484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0" name="Rectangle 140"/>
                                    <wps:cNvSpPr/>
                                    <wps:spPr>
                                      <a:xfrm>
                                        <a:off x="542555" y="0"/>
                                        <a:ext cx="133200" cy="2484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xmlns:w16du="http://schemas.microsoft.com/office/word/2023/wordml/word16du">
                        <w:pict>
                          <v:group w14:anchorId="2164C1A5" id="Group 135" o:spid="_x0000_s1026" style="width:36.3pt;height:19.55pt;mso-position-horizontal-relative:char;mso-position-vertical-relative:line" coordsize="6757,2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">
                            <v:rect id="Rectangle 136" o:spid="_x0000_s1027" style="position:absolute;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" fillcolor="#ffc000" strokecolor="black [3213]" strokeweight="1pt"/>
                            <v:rect id="Rectangle 137" o:spid="_x0000_s1028" style="position:absolute;left:1356;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" fillcolor="#ffc000" strokecolor="black [3213]" strokeweight="1pt"/>
                            <v:rect id="Rectangle 138" o:spid="_x0000_s1029" style="position:absolute;left:2712;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" fillcolor="white [3212]" strokecolor="black [3213]" strokeweight="1pt"/>
                            <v:rect id="Rectangle 139" o:spid="_x0000_s1030" style="position:absolute;left:4069;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" fillcolor="white [3212]" strokecolor="black [3213]" strokeweight="1pt"/>
                            <v:rect id="Rectangle 140" o:spid="_x0000_s1031" style="position:absolute;left:5425;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" fillcolor="white [3212]" strokecolor="black [3213]" strokeweight="1pt"/>
                            <w10:anchorlock/>
                          </v:group>
                        </w:pict>
                      </mc:Fallback>
                    </mc:AlternateContent>
                  </w:r>
                </w:p>
                <w:p w14:paraId="14A25BCD" w14:textId="77777777" w:rsidR="00C83B44" w:rsidRPr="005D74D1" w:rsidRDefault="00C83B44" w:rsidP="00514DAC">
                  <w:pPr>
                    <w:pStyle w:val="BodyText"/>
                    <w:jc w:val="center"/>
                    <w:cnfStyle w:val="000000000000" w:firstRow="0" w:lastRow="0" w:firstColumn="0" w:lastColumn="0" w:oddVBand="0" w:evenVBand="0" w:oddHBand="0" w:evenHBand="0" w:firstRowFirstColumn="0" w:firstRowLastColumn="0" w:lastRowFirstColumn="0" w:lastRowLastColumn="0"/>
                    <w:rPr>
                      <w:rFonts w:cs="Arial"/>
                      <w:sz w:val="20"/>
                      <w:lang w:val="en-AU"/>
                    </w:rPr>
                  </w:pPr>
                </w:p>
              </w:tc>
              <w:tc>
                <w:tcPr>
                  <w:tcW w:w="6588" w:type="dxa"/>
                  <w:shd w:val="clear" w:color="auto" w:fill="auto"/>
                  <w:vAlign w:val="center"/>
                </w:tcPr>
                <w:p w14:paraId="33A87A46" w14:textId="77777777" w:rsidR="00C83B44" w:rsidRPr="005D74D1" w:rsidRDefault="00C83B44" w:rsidP="005F0E67">
                  <w:pPr>
                    <w:pStyle w:val="BodyText"/>
                    <w:cnfStyle w:val="000000000000" w:firstRow="0" w:lastRow="0" w:firstColumn="0" w:lastColumn="0" w:oddVBand="0" w:evenVBand="0" w:oddHBand="0" w:evenHBand="0" w:firstRowFirstColumn="0" w:firstRowLastColumn="0" w:lastRowFirstColumn="0" w:lastRowLastColumn="0"/>
                    <w:rPr>
                      <w:rFonts w:cs="Arial"/>
                      <w:sz w:val="20"/>
                      <w:lang w:val="en-AU"/>
                    </w:rPr>
                  </w:pPr>
                  <w:r w:rsidRPr="005D74D1">
                    <w:rPr>
                      <w:rFonts w:cs="Arial"/>
                      <w:sz w:val="20"/>
                      <w:lang w:val="en-AU"/>
                    </w:rPr>
                    <w:t xml:space="preserve">There remains significant work to be done to successfully implement the actions from </w:t>
                  </w:r>
                  <w:r w:rsidRPr="005D74D1">
                    <w:rPr>
                      <w:rFonts w:cs="Arial"/>
                      <w:i/>
                      <w:iCs/>
                      <w:sz w:val="20"/>
                      <w:lang w:val="en-AU"/>
                    </w:rPr>
                    <w:t>Water is Life</w:t>
                  </w:r>
                  <w:r w:rsidRPr="005D74D1">
                    <w:rPr>
                      <w:rFonts w:cs="Arial"/>
                      <w:sz w:val="20"/>
                      <w:lang w:val="en-AU"/>
                    </w:rPr>
                    <w:t>, and meaningfully integrate Traditional Owner involvement, values and principles of self-determination throughout EC projects and the broader Victorian water sector. While important progress has been made through EC5, there is still a large gap between the current level of Traditional Ownership self-determined participation and the long-term outcome.</w:t>
                  </w:r>
                </w:p>
              </w:tc>
            </w:tr>
          </w:tbl>
          <w:p w14:paraId="61B5C3A6" w14:textId="77777777" w:rsidR="00C83B44" w:rsidRPr="005D74D1" w:rsidRDefault="00C83B44" w:rsidP="005F0E67">
            <w:pPr>
              <w:pStyle w:val="BulletLevel1"/>
              <w:rPr>
                <w:rFonts w:cs="Arial"/>
                <w:lang w:val="en-AU"/>
              </w:rPr>
            </w:pPr>
            <w:r w:rsidRPr="005D74D1">
              <w:rPr>
                <w:rFonts w:cs="Arial"/>
                <w:b/>
                <w:bCs/>
                <w:lang w:val="en-AU"/>
              </w:rPr>
              <w:t>Inclusive management:</w:t>
            </w:r>
            <w:r w:rsidRPr="005D74D1">
              <w:rPr>
                <w:rFonts w:cs="Arial"/>
                <w:lang w:val="en-AU"/>
              </w:rPr>
              <w:t xml:space="preserve"> The EC5 projects were inclusive of social and community values, with 87% of the projects reporting that they are increasing community participation and inclusion of community values in water management. New </w:t>
            </w:r>
            <w:r w:rsidRPr="005D74D1">
              <w:rPr>
                <w:rFonts w:cs="Arial"/>
                <w:i/>
                <w:iCs/>
                <w:lang w:val="en-AU"/>
              </w:rPr>
              <w:t>Recreational Area (Water) Regulations 2023</w:t>
            </w:r>
            <w:r w:rsidRPr="005D74D1">
              <w:rPr>
                <w:rFonts w:cs="Arial"/>
                <w:lang w:val="en-AU"/>
              </w:rPr>
              <w:t xml:space="preserve"> were developed to manage recreation at storages, recreational values will be embedded in the new Victorian Waterway Management Strategy, and $2.89 million of grants funds were distributed to support 19 projects focused on improving recreational outcomes. New technology platforms and communications products were developed for improved community and sector access to information. A summary of the performance assessment for this outcome is shown below.</w:t>
            </w:r>
          </w:p>
          <w:p w14:paraId="068C9C7D" w14:textId="77777777" w:rsidR="00514DAC" w:rsidRPr="005D74D1" w:rsidRDefault="00514DAC" w:rsidP="00514DAC">
            <w:pPr>
              <w:pStyle w:val="BulletLevel1"/>
              <w:numPr>
                <w:ilvl w:val="0"/>
                <w:numId w:val="0"/>
              </w:numPr>
              <w:ind w:left="357" w:hanging="357"/>
              <w:rPr>
                <w:rFonts w:cs="Arial"/>
                <w:lang w:val="en-AU"/>
              </w:rPr>
            </w:pPr>
          </w:p>
          <w:p w14:paraId="09DE4DAD" w14:textId="77777777" w:rsidR="00514DAC" w:rsidRPr="005D74D1" w:rsidRDefault="00514DAC" w:rsidP="00514DAC">
            <w:pPr>
              <w:pStyle w:val="BulletLevel1"/>
              <w:numPr>
                <w:ilvl w:val="0"/>
                <w:numId w:val="0"/>
              </w:numPr>
              <w:ind w:left="357" w:hanging="357"/>
              <w:rPr>
                <w:rFonts w:cs="Arial"/>
                <w:lang w:val="en-AU"/>
              </w:rPr>
            </w:pPr>
          </w:p>
          <w:tbl>
            <w:tblPr>
              <w:tblStyle w:val="GridTable4-Accent1"/>
              <w:tblW w:w="9060" w:type="dxa"/>
              <w:tblInd w:w="325" w:type="dxa"/>
              <w:tblBorders>
                <w:top w:val="single" w:sz="4" w:space="0" w:color="231EDC" w:themeColor="accent1"/>
                <w:left w:val="single" w:sz="4" w:space="0" w:color="231EDC" w:themeColor="accent1"/>
                <w:bottom w:val="single" w:sz="4" w:space="0" w:color="231EDC" w:themeColor="accent1"/>
                <w:right w:val="single" w:sz="4" w:space="0" w:color="231EDC" w:themeColor="accent1"/>
                <w:insideH w:val="single" w:sz="4" w:space="0" w:color="231EDC" w:themeColor="accent1"/>
                <w:insideV w:val="single" w:sz="4" w:space="0" w:color="231EDC" w:themeColor="accent1"/>
              </w:tblBorders>
              <w:tblLook w:val="04A0" w:firstRow="1" w:lastRow="0" w:firstColumn="1" w:lastColumn="0" w:noHBand="0" w:noVBand="1"/>
            </w:tblPr>
            <w:tblGrid>
              <w:gridCol w:w="1440"/>
              <w:gridCol w:w="970"/>
              <w:gridCol w:w="6650"/>
            </w:tblGrid>
            <w:tr w:rsidR="00C83B44" w:rsidRPr="005D74D1" w14:paraId="4BB0B8A9" w14:textId="77777777" w:rsidTr="00D37E55">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440" w:type="dxa"/>
                  <w:tcBorders>
                    <w:top w:val="none" w:sz="0" w:space="0" w:color="auto"/>
                    <w:left w:val="none" w:sz="0" w:space="0" w:color="auto"/>
                    <w:bottom w:val="none" w:sz="0" w:space="0" w:color="auto"/>
                    <w:right w:val="none" w:sz="0" w:space="0" w:color="auto"/>
                  </w:tcBorders>
                </w:tcPr>
                <w:p w14:paraId="151FA886" w14:textId="77777777" w:rsidR="00C83B44" w:rsidRPr="005D74D1" w:rsidRDefault="00C83B44" w:rsidP="005F0E67">
                  <w:pPr>
                    <w:spacing w:before="180" w:after="60"/>
                    <w:rPr>
                      <w:rFonts w:cs="Arial"/>
                      <w:bCs w:val="0"/>
                      <w:lang w:val="en-AU"/>
                    </w:rPr>
                  </w:pPr>
                  <w:r w:rsidRPr="005D74D1">
                    <w:rPr>
                      <w:rFonts w:cs="Arial"/>
                      <w:bCs w:val="0"/>
                      <w:lang w:val="en-AU"/>
                    </w:rPr>
                    <w:lastRenderedPageBreak/>
                    <w:t>Rating type</w:t>
                  </w:r>
                </w:p>
              </w:tc>
              <w:tc>
                <w:tcPr>
                  <w:tcW w:w="970" w:type="dxa"/>
                  <w:tcBorders>
                    <w:top w:val="none" w:sz="0" w:space="0" w:color="auto"/>
                    <w:left w:val="none" w:sz="0" w:space="0" w:color="auto"/>
                    <w:bottom w:val="none" w:sz="0" w:space="0" w:color="auto"/>
                    <w:right w:val="none" w:sz="0" w:space="0" w:color="auto"/>
                  </w:tcBorders>
                </w:tcPr>
                <w:p w14:paraId="7A90E1C3" w14:textId="77777777" w:rsidR="00C83B44" w:rsidRPr="005D74D1" w:rsidRDefault="00C83B44" w:rsidP="005F0E67">
                  <w:pPr>
                    <w:spacing w:before="180" w:after="60"/>
                    <w:cnfStyle w:val="100000000000" w:firstRow="1" w:lastRow="0" w:firstColumn="0" w:lastColumn="0" w:oddVBand="0" w:evenVBand="0" w:oddHBand="0" w:evenHBand="0" w:firstRowFirstColumn="0" w:firstRowLastColumn="0" w:lastRowFirstColumn="0" w:lastRowLastColumn="0"/>
                    <w:rPr>
                      <w:rFonts w:cs="Arial"/>
                      <w:bCs w:val="0"/>
                      <w:lang w:val="en-AU"/>
                    </w:rPr>
                  </w:pPr>
                  <w:r w:rsidRPr="005D74D1">
                    <w:rPr>
                      <w:rFonts w:cs="Arial"/>
                      <w:bCs w:val="0"/>
                      <w:lang w:val="en-AU"/>
                    </w:rPr>
                    <w:t>Rating</w:t>
                  </w:r>
                </w:p>
              </w:tc>
              <w:tc>
                <w:tcPr>
                  <w:tcW w:w="6650" w:type="dxa"/>
                  <w:tcBorders>
                    <w:top w:val="none" w:sz="0" w:space="0" w:color="auto"/>
                    <w:left w:val="none" w:sz="0" w:space="0" w:color="auto"/>
                    <w:bottom w:val="none" w:sz="0" w:space="0" w:color="auto"/>
                    <w:right w:val="none" w:sz="0" w:space="0" w:color="auto"/>
                  </w:tcBorders>
                </w:tcPr>
                <w:p w14:paraId="2331E1D0" w14:textId="77777777" w:rsidR="00C83B44" w:rsidRPr="005D74D1" w:rsidRDefault="00C83B44" w:rsidP="005F0E67">
                  <w:pPr>
                    <w:spacing w:before="180" w:after="60"/>
                    <w:cnfStyle w:val="100000000000" w:firstRow="1" w:lastRow="0" w:firstColumn="0" w:lastColumn="0" w:oddVBand="0" w:evenVBand="0" w:oddHBand="0" w:evenHBand="0" w:firstRowFirstColumn="0" w:firstRowLastColumn="0" w:lastRowFirstColumn="0" w:lastRowLastColumn="0"/>
                    <w:rPr>
                      <w:rFonts w:cs="Arial"/>
                      <w:bCs w:val="0"/>
                      <w:lang w:val="en-AU"/>
                    </w:rPr>
                  </w:pPr>
                  <w:r w:rsidRPr="005D74D1">
                    <w:rPr>
                      <w:rFonts w:cs="Arial"/>
                      <w:bCs w:val="0"/>
                      <w:lang w:val="en-AU"/>
                    </w:rPr>
                    <w:t>Rationale</w:t>
                  </w:r>
                </w:p>
              </w:tc>
            </w:tr>
            <w:tr w:rsidR="00C83B44" w:rsidRPr="005D74D1" w14:paraId="43D79886" w14:textId="77777777" w:rsidTr="00D37E55">
              <w:trPr>
                <w:cnfStyle w:val="000000100000" w:firstRow="0" w:lastRow="0" w:firstColumn="0" w:lastColumn="0" w:oddVBand="0" w:evenVBand="0" w:oddHBand="1" w:evenHBand="0" w:firstRowFirstColumn="0" w:firstRowLastColumn="0" w:lastRowFirstColumn="0" w:lastRowLastColumn="0"/>
                <w:trHeight w:val="1204"/>
              </w:trPr>
              <w:tc>
                <w:tcPr>
                  <w:cnfStyle w:val="001000000000" w:firstRow="0" w:lastRow="0" w:firstColumn="1" w:lastColumn="0" w:oddVBand="0" w:evenVBand="0" w:oddHBand="0" w:evenHBand="0" w:firstRowFirstColumn="0" w:firstRowLastColumn="0" w:lastRowFirstColumn="0" w:lastRowLastColumn="0"/>
                  <w:tcW w:w="1440" w:type="dxa"/>
                  <w:shd w:val="clear" w:color="auto" w:fill="auto"/>
                  <w:vAlign w:val="center"/>
                </w:tcPr>
                <w:p w14:paraId="55A90BE7" w14:textId="77777777" w:rsidR="00C83B44" w:rsidRPr="005D74D1" w:rsidRDefault="00C83B44" w:rsidP="005F0E67">
                  <w:pPr>
                    <w:pStyle w:val="BodyText"/>
                    <w:rPr>
                      <w:rFonts w:cs="Arial"/>
                      <w:b w:val="0"/>
                      <w:bCs w:val="0"/>
                      <w:sz w:val="20"/>
                      <w:lang w:val="en-AU"/>
                    </w:rPr>
                  </w:pPr>
                  <w:r w:rsidRPr="005D74D1">
                    <w:rPr>
                      <w:rFonts w:cs="Arial"/>
                      <w:b w:val="0"/>
                      <w:sz w:val="20"/>
                      <w:lang w:val="en-AU"/>
                    </w:rPr>
                    <w:t>Extent to which end-of-EC5 outcomes were achieved</w:t>
                  </w:r>
                </w:p>
              </w:tc>
              <w:tc>
                <w:tcPr>
                  <w:tcW w:w="970" w:type="dxa"/>
                  <w:shd w:val="clear" w:color="auto" w:fill="auto"/>
                  <w:vAlign w:val="center"/>
                </w:tcPr>
                <w:p w14:paraId="513A74F5" w14:textId="77777777" w:rsidR="00C83B44" w:rsidRPr="005D74D1" w:rsidRDefault="00C83B44" w:rsidP="00514DAC">
                  <w:pPr>
                    <w:pStyle w:val="BodyText"/>
                    <w:jc w:val="center"/>
                    <w:cnfStyle w:val="000000100000" w:firstRow="0" w:lastRow="0" w:firstColumn="0" w:lastColumn="0" w:oddVBand="0" w:evenVBand="0" w:oddHBand="1" w:evenHBand="0" w:firstRowFirstColumn="0" w:firstRowLastColumn="0" w:lastRowFirstColumn="0" w:lastRowLastColumn="0"/>
                    <w:rPr>
                      <w:rFonts w:cs="Arial"/>
                      <w:sz w:val="20"/>
                      <w:lang w:val="en-AU"/>
                    </w:rPr>
                  </w:pPr>
                  <w:r w:rsidRPr="005D74D1">
                    <w:rPr>
                      <w:rFonts w:cs="Arial"/>
                      <w:sz w:val="20"/>
                      <w:lang w:val="en-AU"/>
                    </w:rPr>
                    <w:t>High</w:t>
                  </w:r>
                </w:p>
                <w:p w14:paraId="4AA5C540" w14:textId="77777777" w:rsidR="00C83B44" w:rsidRPr="005D74D1" w:rsidRDefault="00C83B44" w:rsidP="00514DAC">
                  <w:pPr>
                    <w:pStyle w:val="BodyText"/>
                    <w:jc w:val="center"/>
                    <w:cnfStyle w:val="000000100000" w:firstRow="0" w:lastRow="0" w:firstColumn="0" w:lastColumn="0" w:oddVBand="0" w:evenVBand="0" w:oddHBand="1" w:evenHBand="0" w:firstRowFirstColumn="0" w:firstRowLastColumn="0" w:lastRowFirstColumn="0" w:lastRowLastColumn="0"/>
                    <w:rPr>
                      <w:rFonts w:cs="Arial"/>
                      <w:sz w:val="20"/>
                      <w:lang w:val="en-AU"/>
                    </w:rPr>
                  </w:pPr>
                  <w:r w:rsidRPr="00A134A7">
                    <w:rPr>
                      <w:rFonts w:cs="Arial"/>
                      <w:noProof/>
                      <w:sz w:val="20"/>
                    </w:rPr>
                    <mc:AlternateContent>
                      <mc:Choice Requires="wpg">
                        <w:drawing>
                          <wp:inline distT="0" distB="0" distL="0" distR="0" wp14:anchorId="1DF31E2B" wp14:editId="12D91165">
                            <wp:extent cx="460375" cy="248285"/>
                            <wp:effectExtent l="0" t="0" r="15875" b="18415"/>
                            <wp:docPr id="186963579" name="Group 186963579"/>
                            <wp:cNvGraphicFramePr/>
                            <a:graphic xmlns:a="http://schemas.openxmlformats.org/drawingml/2006/main">
                              <a:graphicData uri="http://schemas.microsoft.com/office/word/2010/wordprocessingGroup">
                                <wpg:wgp>
                                  <wpg:cNvGrpSpPr/>
                                  <wpg:grpSpPr>
                                    <a:xfrm>
                                      <a:off x="0" y="0"/>
                                      <a:ext cx="460375" cy="248285"/>
                                      <a:chOff x="0" y="0"/>
                                      <a:chExt cx="675125" cy="248400"/>
                                    </a:xfrm>
                                  </wpg:grpSpPr>
                                  <wps:wsp>
                                    <wps:cNvPr id="1098887136" name="Rectangle 1098887136"/>
                                    <wps:cNvSpPr/>
                                    <wps:spPr>
                                      <a:xfrm>
                                        <a:off x="0" y="0"/>
                                        <a:ext cx="133200" cy="24840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30784040" name="Rectangle 630784040"/>
                                    <wps:cNvSpPr/>
                                    <wps:spPr>
                                      <a:xfrm>
                                        <a:off x="135481" y="0"/>
                                        <a:ext cx="133200" cy="24840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09492916" name="Rectangle 1309492916"/>
                                    <wps:cNvSpPr/>
                                    <wps:spPr>
                                      <a:xfrm>
                                        <a:off x="270962" y="0"/>
                                        <a:ext cx="133200" cy="24840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25789526" name="Rectangle 1925789526"/>
                                    <wps:cNvSpPr/>
                                    <wps:spPr>
                                      <a:xfrm>
                                        <a:off x="406443" y="0"/>
                                        <a:ext cx="133200" cy="24840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81589323" name="Rectangle 1881589323"/>
                                    <wps:cNvSpPr/>
                                    <wps:spPr>
                                      <a:xfrm>
                                        <a:off x="541925" y="0"/>
                                        <a:ext cx="133200" cy="2484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xmlns:w16du="http://schemas.microsoft.com/office/word/2023/wordml/word16du">
                        <w:pict>
                          <v:group w14:anchorId="2246A29B" id="Group 186963579" o:spid="_x0000_s1026" style="width:36.25pt;height:19.55pt;mso-position-horizontal-relative:char;mso-position-vertical-relative:line" coordsize="6751,2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">
                            <v:rect id="Rectangle 1098887136" o:spid="_x0000_s1027" style="position:absolute;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" fillcolor="#231edc [3204]" strokecolor="black [3213]" strokeweight="1pt"/>
                            <v:rect id="Rectangle 630784040" o:spid="_x0000_s1028" style="position:absolute;left:1354;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" fillcolor="#231edc [3204]" strokecolor="black [3213]" strokeweight="1pt"/>
                            <v:rect id="Rectangle 1309492916" o:spid="_x0000_s1029" style="position:absolute;left:2709;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" fillcolor="#231edc [3204]" strokecolor="black [3213]" strokeweight="1pt"/>
                            <v:rect id="Rectangle 1925789526" o:spid="_x0000_s1030" style="position:absolute;left:4064;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" fillcolor="#231edc [3204]" strokecolor="black [3213]" strokeweight="1pt"/>
                            <v:rect id="Rectangle 1881589323" o:spid="_x0000_s1031" style="position:absolute;left:5419;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" fillcolor="white [3212]" strokecolor="black [3213]" strokeweight="1pt"/>
                            <w10:anchorlock/>
                          </v:group>
                        </w:pict>
                      </mc:Fallback>
                    </mc:AlternateContent>
                  </w:r>
                </w:p>
              </w:tc>
              <w:tc>
                <w:tcPr>
                  <w:tcW w:w="6650" w:type="dxa"/>
                  <w:shd w:val="clear" w:color="auto" w:fill="auto"/>
                  <w:vAlign w:val="center"/>
                </w:tcPr>
                <w:p w14:paraId="548D17D1" w14:textId="77777777" w:rsidR="00C83B44" w:rsidRPr="005D74D1" w:rsidRDefault="00C83B44" w:rsidP="005F0E67">
                  <w:pPr>
                    <w:pStyle w:val="BodyText"/>
                    <w:cnfStyle w:val="000000100000" w:firstRow="0" w:lastRow="0" w:firstColumn="0" w:lastColumn="0" w:oddVBand="0" w:evenVBand="0" w:oddHBand="1" w:evenHBand="0" w:firstRowFirstColumn="0" w:firstRowLastColumn="0" w:lastRowFirstColumn="0" w:lastRowLastColumn="0"/>
                    <w:rPr>
                      <w:rFonts w:cs="Arial"/>
                      <w:sz w:val="20"/>
                      <w:lang w:val="en-AU"/>
                    </w:rPr>
                  </w:pPr>
                  <w:r w:rsidRPr="005D74D1">
                    <w:rPr>
                      <w:rFonts w:cs="Arial"/>
                      <w:sz w:val="20"/>
                      <w:lang w:val="en-AU"/>
                    </w:rPr>
                    <w:t xml:space="preserve">The EC5 projects continued being inclusive of social and community values. Key features of EC5 were a focus on managing recreation at Victoria’s water storages, projects focused on improved recreational values and new technology platforms for improved access to information. Some priorities shifted throughout EC5 due to COVID-19 disruption and flood recovery works. </w:t>
                  </w:r>
                </w:p>
              </w:tc>
            </w:tr>
            <w:tr w:rsidR="00C83B44" w:rsidRPr="005D74D1" w14:paraId="56BF9948" w14:textId="77777777" w:rsidTr="00D37E55">
              <w:trPr>
                <w:trHeight w:val="1485"/>
              </w:trPr>
              <w:tc>
                <w:tcPr>
                  <w:cnfStyle w:val="001000000000" w:firstRow="0" w:lastRow="0" w:firstColumn="1" w:lastColumn="0" w:oddVBand="0" w:evenVBand="0" w:oddHBand="0" w:evenHBand="0" w:firstRowFirstColumn="0" w:firstRowLastColumn="0" w:lastRowFirstColumn="0" w:lastRowLastColumn="0"/>
                  <w:tcW w:w="1440" w:type="dxa"/>
                  <w:shd w:val="clear" w:color="auto" w:fill="auto"/>
                  <w:vAlign w:val="center"/>
                </w:tcPr>
                <w:p w14:paraId="4103203A" w14:textId="77777777" w:rsidR="00C83B44" w:rsidRPr="005D74D1" w:rsidRDefault="00C83B44" w:rsidP="005F0E67">
                  <w:pPr>
                    <w:pStyle w:val="BodyText"/>
                    <w:rPr>
                      <w:rFonts w:cs="Arial"/>
                      <w:b w:val="0"/>
                      <w:bCs w:val="0"/>
                      <w:sz w:val="20"/>
                      <w:lang w:val="en-AU"/>
                    </w:rPr>
                  </w:pPr>
                  <w:r w:rsidRPr="005D74D1">
                    <w:rPr>
                      <w:rFonts w:cs="Arial"/>
                      <w:b w:val="0"/>
                      <w:bCs w:val="0"/>
                      <w:sz w:val="20"/>
                      <w:lang w:val="en-AU"/>
                    </w:rPr>
                    <w:t>Overall progress toward long term outcomes</w:t>
                  </w:r>
                </w:p>
              </w:tc>
              <w:tc>
                <w:tcPr>
                  <w:tcW w:w="970" w:type="dxa"/>
                  <w:shd w:val="clear" w:color="auto" w:fill="auto"/>
                  <w:vAlign w:val="center"/>
                </w:tcPr>
                <w:p w14:paraId="2FF818DA" w14:textId="77777777" w:rsidR="00C83B44" w:rsidRPr="005D74D1" w:rsidRDefault="00C83B44" w:rsidP="00514DAC">
                  <w:pPr>
                    <w:pStyle w:val="BodyText"/>
                    <w:jc w:val="center"/>
                    <w:cnfStyle w:val="000000000000" w:firstRow="0" w:lastRow="0" w:firstColumn="0" w:lastColumn="0" w:oddVBand="0" w:evenVBand="0" w:oddHBand="0" w:evenHBand="0" w:firstRowFirstColumn="0" w:firstRowLastColumn="0" w:lastRowFirstColumn="0" w:lastRowLastColumn="0"/>
                    <w:rPr>
                      <w:rFonts w:cs="Arial"/>
                      <w:sz w:val="20"/>
                      <w:lang w:val="en-AU"/>
                    </w:rPr>
                  </w:pPr>
                  <w:r w:rsidRPr="005D74D1">
                    <w:rPr>
                      <w:rFonts w:cs="Arial"/>
                      <w:sz w:val="20"/>
                      <w:lang w:val="en-AU"/>
                    </w:rPr>
                    <w:t>High</w:t>
                  </w:r>
                </w:p>
                <w:p w14:paraId="5BDE3D7C" w14:textId="77777777" w:rsidR="00C83B44" w:rsidRPr="005D74D1" w:rsidRDefault="00C83B44" w:rsidP="00514DAC">
                  <w:pPr>
                    <w:pStyle w:val="BodyText"/>
                    <w:jc w:val="center"/>
                    <w:cnfStyle w:val="000000000000" w:firstRow="0" w:lastRow="0" w:firstColumn="0" w:lastColumn="0" w:oddVBand="0" w:evenVBand="0" w:oddHBand="0" w:evenHBand="0" w:firstRowFirstColumn="0" w:firstRowLastColumn="0" w:lastRowFirstColumn="0" w:lastRowLastColumn="0"/>
                    <w:rPr>
                      <w:rFonts w:cs="Arial"/>
                      <w:sz w:val="20"/>
                      <w:lang w:val="en-AU"/>
                    </w:rPr>
                  </w:pPr>
                  <w:r w:rsidRPr="00A134A7">
                    <w:rPr>
                      <w:rFonts w:cs="Arial"/>
                      <w:noProof/>
                      <w:sz w:val="20"/>
                    </w:rPr>
                    <mc:AlternateContent>
                      <mc:Choice Requires="wpg">
                        <w:drawing>
                          <wp:inline distT="0" distB="0" distL="0" distR="0" wp14:anchorId="2C7D04E4" wp14:editId="53317751">
                            <wp:extent cx="460800" cy="248400"/>
                            <wp:effectExtent l="0" t="0" r="15875" b="18415"/>
                            <wp:docPr id="159" name="Group 159"/>
                            <wp:cNvGraphicFramePr/>
                            <a:graphic xmlns:a="http://schemas.openxmlformats.org/drawingml/2006/main">
                              <a:graphicData uri="http://schemas.microsoft.com/office/word/2010/wordprocessingGroup">
                                <wpg:wgp>
                                  <wpg:cNvGrpSpPr/>
                                  <wpg:grpSpPr>
                                    <a:xfrm>
                                      <a:off x="0" y="0"/>
                                      <a:ext cx="460800" cy="248400"/>
                                      <a:chOff x="0" y="0"/>
                                      <a:chExt cx="675126" cy="248400"/>
                                    </a:xfrm>
                                  </wpg:grpSpPr>
                                  <wps:wsp>
                                    <wps:cNvPr id="1157484288" name="Rectangle 1157484288"/>
                                    <wps:cNvSpPr/>
                                    <wps:spPr>
                                      <a:xfrm>
                                        <a:off x="0" y="0"/>
                                        <a:ext cx="133200" cy="248400"/>
                                      </a:xfrm>
                                      <a:prstGeom prst="rect">
                                        <a:avLst/>
                                      </a:prstGeom>
                                      <a:solidFill>
                                        <a:srgbClr val="FFC000"/>
                                      </a:solidFill>
                                      <a:ln w="12700" cap="flat" cmpd="sng" algn="ctr">
                                        <a:solidFill>
                                          <a:srgbClr val="000000"/>
                                        </a:solidFill>
                                        <a:prstDash val="solid"/>
                                        <a:miter lim="800000"/>
                                      </a:ln>
                                      <a:effectLst/>
                                    </wps:spPr>
                                    <wps:bodyPr rtlCol="0" anchor="ctr"/>
                                  </wps:wsp>
                                  <wps:wsp>
                                    <wps:cNvPr id="1157484289" name="Rectangle 1157484289"/>
                                    <wps:cNvSpPr/>
                                    <wps:spPr>
                                      <a:xfrm>
                                        <a:off x="135482" y="0"/>
                                        <a:ext cx="133200" cy="248400"/>
                                      </a:xfrm>
                                      <a:prstGeom prst="rect">
                                        <a:avLst/>
                                      </a:prstGeom>
                                      <a:solidFill>
                                        <a:srgbClr val="FFC000"/>
                                      </a:solidFill>
                                      <a:ln w="12700" cap="flat" cmpd="sng" algn="ctr">
                                        <a:solidFill>
                                          <a:srgbClr val="000000"/>
                                        </a:solidFill>
                                        <a:prstDash val="solid"/>
                                        <a:miter lim="800000"/>
                                      </a:ln>
                                      <a:effectLst/>
                                    </wps:spPr>
                                    <wps:bodyPr rtlCol="0" anchor="ctr"/>
                                  </wps:wsp>
                                  <wps:wsp>
                                    <wps:cNvPr id="1157484290" name="Rectangle 1157484290"/>
                                    <wps:cNvSpPr/>
                                    <wps:spPr>
                                      <a:xfrm>
                                        <a:off x="270963" y="0"/>
                                        <a:ext cx="133200" cy="248400"/>
                                      </a:xfrm>
                                      <a:prstGeom prst="rect">
                                        <a:avLst/>
                                      </a:prstGeom>
                                      <a:solidFill>
                                        <a:srgbClr val="FFC000"/>
                                      </a:solidFill>
                                      <a:ln w="12700" cap="flat" cmpd="sng" algn="ctr">
                                        <a:solidFill>
                                          <a:srgbClr val="000000"/>
                                        </a:solidFill>
                                        <a:prstDash val="solid"/>
                                        <a:miter lim="800000"/>
                                      </a:ln>
                                      <a:effectLst/>
                                    </wps:spPr>
                                    <wps:bodyPr rtlCol="0" anchor="ctr"/>
                                  </wps:wsp>
                                  <wps:wsp>
                                    <wps:cNvPr id="1157484291" name="Rectangle 1157484291"/>
                                    <wps:cNvSpPr/>
                                    <wps:spPr>
                                      <a:xfrm>
                                        <a:off x="406444" y="0"/>
                                        <a:ext cx="133200" cy="248400"/>
                                      </a:xfrm>
                                      <a:prstGeom prst="rect">
                                        <a:avLst/>
                                      </a:prstGeom>
                                      <a:solidFill>
                                        <a:srgbClr val="FFC000"/>
                                      </a:solidFill>
                                      <a:ln w="12700" cap="flat" cmpd="sng" algn="ctr">
                                        <a:solidFill>
                                          <a:srgbClr val="000000"/>
                                        </a:solidFill>
                                        <a:prstDash val="solid"/>
                                        <a:miter lim="800000"/>
                                      </a:ln>
                                      <a:effectLst/>
                                    </wps:spPr>
                                    <wps:bodyPr rtlCol="0" anchor="ctr"/>
                                  </wps:wsp>
                                  <wps:wsp>
                                    <wps:cNvPr id="1157484292" name="Rectangle 1157484292"/>
                                    <wps:cNvSpPr/>
                                    <wps:spPr>
                                      <a:xfrm>
                                        <a:off x="541926" y="0"/>
                                        <a:ext cx="133200" cy="248400"/>
                                      </a:xfrm>
                                      <a:prstGeom prst="rect">
                                        <a:avLst/>
                                      </a:prstGeom>
                                      <a:solidFill>
                                        <a:srgbClr val="FFFFFF"/>
                                      </a:solidFill>
                                      <a:ln w="12700" cap="flat" cmpd="sng" algn="ctr">
                                        <a:solidFill>
                                          <a:srgbClr val="000000"/>
                                        </a:solidFill>
                                        <a:prstDash val="solid"/>
                                        <a:miter lim="800000"/>
                                      </a:ln>
                                      <a:effectLst/>
                                    </wps:spPr>
                                    <wps:bodyPr rtlCol="0" anchor="ctr"/>
                                  </wps:wsp>
                                </wpg:wgp>
                              </a:graphicData>
                            </a:graphic>
                          </wp:inline>
                        </w:drawing>
                      </mc:Choice>
                      <mc:Fallback xmlns:w16du="http://schemas.microsoft.com/office/word/2023/wordml/word16du">
                        <w:pict>
                          <v:group w14:anchorId="40FA8CDB" id="Group 159" o:spid="_x0000_s1026" style="width:36.3pt;height:19.55pt;mso-position-horizontal-relative:char;mso-position-vertical-relative:line" coordsize="6751,2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">
                            <v:rect id="Rectangle 1157484288" o:spid="_x0000_s1027" style="position:absolute;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" fillcolor="#ffc000" strokeweight="1pt"/>
                            <v:rect id="Rectangle 1157484289" o:spid="_x0000_s1028" style="position:absolute;left:1354;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" fillcolor="#ffc000" strokeweight="1pt"/>
                            <v:rect id="Rectangle 1157484290" o:spid="_x0000_s1029" style="position:absolute;left:2709;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" fillcolor="#ffc000" strokeweight="1pt"/>
                            <v:rect id="Rectangle 1157484291" o:spid="_x0000_s1030" style="position:absolute;left:4064;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" fillcolor="#ffc000" strokeweight="1pt"/>
                            <v:rect id="Rectangle 1157484292" o:spid="_x0000_s1031" style="position:absolute;left:5419;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" strokeweight="1pt"/>
                            <w10:anchorlock/>
                          </v:group>
                        </w:pict>
                      </mc:Fallback>
                    </mc:AlternateContent>
                  </w:r>
                </w:p>
              </w:tc>
              <w:tc>
                <w:tcPr>
                  <w:tcW w:w="6650" w:type="dxa"/>
                  <w:shd w:val="clear" w:color="auto" w:fill="auto"/>
                  <w:vAlign w:val="center"/>
                </w:tcPr>
                <w:p w14:paraId="77E9932A" w14:textId="77777777" w:rsidR="00C83B44" w:rsidRPr="005D74D1" w:rsidRDefault="00C83B44" w:rsidP="005F0E67">
                  <w:pPr>
                    <w:pStyle w:val="BodyText"/>
                    <w:cnfStyle w:val="000000000000" w:firstRow="0" w:lastRow="0" w:firstColumn="0" w:lastColumn="0" w:oddVBand="0" w:evenVBand="0" w:oddHBand="0" w:evenHBand="0" w:firstRowFirstColumn="0" w:firstRowLastColumn="0" w:lastRowFirstColumn="0" w:lastRowLastColumn="0"/>
                    <w:rPr>
                      <w:rFonts w:cs="Arial"/>
                      <w:sz w:val="20"/>
                      <w:lang w:val="en-AU"/>
                    </w:rPr>
                  </w:pPr>
                  <w:r w:rsidRPr="005D74D1">
                    <w:rPr>
                      <w:rFonts w:cs="Arial"/>
                      <w:sz w:val="20"/>
                      <w:lang w:val="en-AU"/>
                    </w:rPr>
                    <w:t xml:space="preserve">Community participation and inclusion of community values were strongly integrated throughout the EC5 initiatives, indicating a high level of inclusive management throughout the Victorian water sector. Significant opportunities remain to improve high value recreation opportunities. </w:t>
                  </w:r>
                </w:p>
              </w:tc>
            </w:tr>
          </w:tbl>
          <w:p w14:paraId="0F685612" w14:textId="77777777" w:rsidR="00C83B44" w:rsidRPr="005D74D1" w:rsidRDefault="00C83B44" w:rsidP="005F0E67">
            <w:pPr>
              <w:pStyle w:val="BulletLevel1"/>
              <w:rPr>
                <w:rFonts w:cs="Arial"/>
                <w:lang w:val="en-AU"/>
              </w:rPr>
            </w:pPr>
            <w:r w:rsidRPr="005D74D1">
              <w:rPr>
                <w:rFonts w:cs="Arial"/>
                <w:b/>
                <w:bCs/>
                <w:lang w:val="en-AU"/>
              </w:rPr>
              <w:t>Water governance:</w:t>
            </w:r>
            <w:r w:rsidRPr="005D74D1">
              <w:rPr>
                <w:rFonts w:cs="Arial"/>
                <w:lang w:val="en-AU"/>
              </w:rPr>
              <w:t xml:space="preserve"> Many of the projects contributed to meeting the needs of customers and the community, through improved water planning, access to information and inclusion in water planning and decision-making. Flood risks were reduced, as well as the risks posed by the three highest-risk local government authority owned small dams. Climate change was embedded into water sector planning and decision-making through the development of </w:t>
            </w:r>
            <w:r w:rsidRPr="005D74D1">
              <w:rPr>
                <w:rFonts w:cs="Arial"/>
                <w:i/>
                <w:iCs/>
                <w:lang w:val="en-AU"/>
              </w:rPr>
              <w:t>Guidelines for Assessing the Impact of Climate Change on Water Availability in Victoria</w:t>
            </w:r>
            <w:r w:rsidRPr="005D74D1">
              <w:rPr>
                <w:rFonts w:cs="Arial"/>
                <w:lang w:val="en-AU"/>
              </w:rPr>
              <w:t>, which have been widely adopted across the Victorian water sector. A summary of the performance assessment for this outcome is shown below.</w:t>
            </w:r>
          </w:p>
          <w:tbl>
            <w:tblPr>
              <w:tblStyle w:val="GridTable4-Accent1"/>
              <w:tblW w:w="9003" w:type="dxa"/>
              <w:tblInd w:w="325" w:type="dxa"/>
              <w:tblBorders>
                <w:top w:val="single" w:sz="4" w:space="0" w:color="231EDC" w:themeColor="accent1"/>
                <w:left w:val="single" w:sz="4" w:space="0" w:color="231EDC" w:themeColor="accent1"/>
                <w:bottom w:val="single" w:sz="4" w:space="0" w:color="231EDC" w:themeColor="accent1"/>
                <w:right w:val="single" w:sz="4" w:space="0" w:color="231EDC" w:themeColor="accent1"/>
                <w:insideH w:val="single" w:sz="4" w:space="0" w:color="231EDC" w:themeColor="accent1"/>
                <w:insideV w:val="single" w:sz="4" w:space="0" w:color="231EDC" w:themeColor="accent1"/>
              </w:tblBorders>
              <w:tblLook w:val="04A0" w:firstRow="1" w:lastRow="0" w:firstColumn="1" w:lastColumn="0" w:noHBand="0" w:noVBand="1"/>
            </w:tblPr>
            <w:tblGrid>
              <w:gridCol w:w="1307"/>
              <w:gridCol w:w="1108"/>
              <w:gridCol w:w="6588"/>
            </w:tblGrid>
            <w:tr w:rsidR="00C83B44" w:rsidRPr="005D74D1" w14:paraId="367FDB0D" w14:textId="77777777" w:rsidTr="00D37E55">
              <w:trPr>
                <w:cnfStyle w:val="100000000000" w:firstRow="1" w:lastRow="0" w:firstColumn="0" w:lastColumn="0" w:oddVBand="0" w:evenVBand="0" w:oddHBand="0"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1307" w:type="dxa"/>
                  <w:tcBorders>
                    <w:top w:val="none" w:sz="0" w:space="0" w:color="auto"/>
                    <w:left w:val="none" w:sz="0" w:space="0" w:color="auto"/>
                    <w:bottom w:val="none" w:sz="0" w:space="0" w:color="auto"/>
                    <w:right w:val="none" w:sz="0" w:space="0" w:color="auto"/>
                  </w:tcBorders>
                </w:tcPr>
                <w:p w14:paraId="30BAAE22" w14:textId="77777777" w:rsidR="00C83B44" w:rsidRPr="005D74D1" w:rsidRDefault="00C83B44" w:rsidP="005F0E67">
                  <w:pPr>
                    <w:spacing w:before="180" w:after="60"/>
                    <w:rPr>
                      <w:rFonts w:cs="Arial"/>
                      <w:bCs w:val="0"/>
                      <w:lang w:val="en-AU"/>
                    </w:rPr>
                  </w:pPr>
                  <w:r w:rsidRPr="005D74D1">
                    <w:rPr>
                      <w:rFonts w:cs="Arial"/>
                      <w:bCs w:val="0"/>
                      <w:lang w:val="en-AU"/>
                    </w:rPr>
                    <w:t>Rating type</w:t>
                  </w:r>
                </w:p>
              </w:tc>
              <w:tc>
                <w:tcPr>
                  <w:tcW w:w="1108" w:type="dxa"/>
                  <w:tcBorders>
                    <w:top w:val="none" w:sz="0" w:space="0" w:color="auto"/>
                    <w:left w:val="none" w:sz="0" w:space="0" w:color="auto"/>
                    <w:bottom w:val="none" w:sz="0" w:space="0" w:color="auto"/>
                    <w:right w:val="none" w:sz="0" w:space="0" w:color="auto"/>
                  </w:tcBorders>
                </w:tcPr>
                <w:p w14:paraId="04B70DAB" w14:textId="77777777" w:rsidR="00C83B44" w:rsidRPr="005D74D1" w:rsidRDefault="00C83B44" w:rsidP="005F0E67">
                  <w:pPr>
                    <w:spacing w:before="180" w:after="60"/>
                    <w:cnfStyle w:val="100000000000" w:firstRow="1" w:lastRow="0" w:firstColumn="0" w:lastColumn="0" w:oddVBand="0" w:evenVBand="0" w:oddHBand="0" w:evenHBand="0" w:firstRowFirstColumn="0" w:firstRowLastColumn="0" w:lastRowFirstColumn="0" w:lastRowLastColumn="0"/>
                    <w:rPr>
                      <w:rFonts w:cs="Arial"/>
                      <w:bCs w:val="0"/>
                      <w:lang w:val="en-AU"/>
                    </w:rPr>
                  </w:pPr>
                  <w:r w:rsidRPr="005D74D1">
                    <w:rPr>
                      <w:rFonts w:cs="Arial"/>
                      <w:bCs w:val="0"/>
                      <w:lang w:val="en-AU"/>
                    </w:rPr>
                    <w:t>Rating</w:t>
                  </w:r>
                </w:p>
              </w:tc>
              <w:tc>
                <w:tcPr>
                  <w:tcW w:w="6588" w:type="dxa"/>
                  <w:tcBorders>
                    <w:top w:val="none" w:sz="0" w:space="0" w:color="auto"/>
                    <w:left w:val="none" w:sz="0" w:space="0" w:color="auto"/>
                    <w:bottom w:val="none" w:sz="0" w:space="0" w:color="auto"/>
                    <w:right w:val="none" w:sz="0" w:space="0" w:color="auto"/>
                  </w:tcBorders>
                </w:tcPr>
                <w:p w14:paraId="7D941F40" w14:textId="77777777" w:rsidR="00C83B44" w:rsidRPr="005D74D1" w:rsidRDefault="00C83B44" w:rsidP="005F0E67">
                  <w:pPr>
                    <w:spacing w:before="180" w:after="60"/>
                    <w:cnfStyle w:val="100000000000" w:firstRow="1" w:lastRow="0" w:firstColumn="0" w:lastColumn="0" w:oddVBand="0" w:evenVBand="0" w:oddHBand="0" w:evenHBand="0" w:firstRowFirstColumn="0" w:firstRowLastColumn="0" w:lastRowFirstColumn="0" w:lastRowLastColumn="0"/>
                    <w:rPr>
                      <w:rFonts w:cs="Arial"/>
                      <w:bCs w:val="0"/>
                      <w:lang w:val="en-AU"/>
                    </w:rPr>
                  </w:pPr>
                  <w:r w:rsidRPr="005D74D1">
                    <w:rPr>
                      <w:rFonts w:cs="Arial"/>
                      <w:bCs w:val="0"/>
                      <w:lang w:val="en-AU"/>
                    </w:rPr>
                    <w:t>Rationale</w:t>
                  </w:r>
                </w:p>
              </w:tc>
            </w:tr>
            <w:tr w:rsidR="00C83B44" w:rsidRPr="005D74D1" w14:paraId="6ED15103" w14:textId="77777777" w:rsidTr="00D37E55">
              <w:trPr>
                <w:cnfStyle w:val="000000100000" w:firstRow="0" w:lastRow="0" w:firstColumn="0" w:lastColumn="0" w:oddVBand="0" w:evenVBand="0" w:oddHBand="1" w:evenHBand="0" w:firstRowFirstColumn="0" w:firstRowLastColumn="0" w:lastRowFirstColumn="0" w:lastRowLastColumn="0"/>
                <w:trHeight w:val="857"/>
              </w:trPr>
              <w:tc>
                <w:tcPr>
                  <w:cnfStyle w:val="001000000000" w:firstRow="0" w:lastRow="0" w:firstColumn="1" w:lastColumn="0" w:oddVBand="0" w:evenVBand="0" w:oddHBand="0" w:evenHBand="0" w:firstRowFirstColumn="0" w:firstRowLastColumn="0" w:lastRowFirstColumn="0" w:lastRowLastColumn="0"/>
                  <w:tcW w:w="1307" w:type="dxa"/>
                  <w:shd w:val="clear" w:color="auto" w:fill="auto"/>
                  <w:vAlign w:val="center"/>
                </w:tcPr>
                <w:p w14:paraId="620364DA" w14:textId="77777777" w:rsidR="00C83B44" w:rsidRPr="005D74D1" w:rsidRDefault="00C83B44" w:rsidP="005F0E67">
                  <w:pPr>
                    <w:pStyle w:val="BodyText"/>
                    <w:rPr>
                      <w:rFonts w:cs="Arial"/>
                      <w:b w:val="0"/>
                      <w:bCs w:val="0"/>
                      <w:sz w:val="20"/>
                      <w:lang w:val="en-AU"/>
                    </w:rPr>
                  </w:pPr>
                  <w:r w:rsidRPr="005D74D1">
                    <w:rPr>
                      <w:rFonts w:cs="Arial"/>
                      <w:b w:val="0"/>
                      <w:sz w:val="20"/>
                      <w:lang w:val="en-AU"/>
                    </w:rPr>
                    <w:t>Extent to which end-of-EC5 outcomes were achieved</w:t>
                  </w:r>
                </w:p>
              </w:tc>
              <w:tc>
                <w:tcPr>
                  <w:tcW w:w="1108" w:type="dxa"/>
                  <w:shd w:val="clear" w:color="auto" w:fill="auto"/>
                  <w:vAlign w:val="center"/>
                </w:tcPr>
                <w:p w14:paraId="3740E4F3" w14:textId="77777777" w:rsidR="00C83B44" w:rsidRPr="005D74D1" w:rsidRDefault="00C83B44" w:rsidP="00514DAC">
                  <w:pPr>
                    <w:pStyle w:val="BodyText"/>
                    <w:jc w:val="center"/>
                    <w:cnfStyle w:val="000000100000" w:firstRow="0" w:lastRow="0" w:firstColumn="0" w:lastColumn="0" w:oddVBand="0" w:evenVBand="0" w:oddHBand="1" w:evenHBand="0" w:firstRowFirstColumn="0" w:firstRowLastColumn="0" w:lastRowFirstColumn="0" w:lastRowLastColumn="0"/>
                    <w:rPr>
                      <w:rFonts w:cs="Arial"/>
                      <w:sz w:val="20"/>
                      <w:lang w:val="en-AU"/>
                    </w:rPr>
                  </w:pPr>
                  <w:r w:rsidRPr="005D74D1">
                    <w:rPr>
                      <w:rFonts w:cs="Arial"/>
                      <w:sz w:val="20"/>
                      <w:lang w:val="en-AU"/>
                    </w:rPr>
                    <w:t>High</w:t>
                  </w:r>
                </w:p>
                <w:p w14:paraId="4F9C0B61" w14:textId="77777777" w:rsidR="00C83B44" w:rsidRPr="005D74D1" w:rsidRDefault="00C83B44" w:rsidP="00514DAC">
                  <w:pPr>
                    <w:pStyle w:val="BodyText"/>
                    <w:jc w:val="center"/>
                    <w:cnfStyle w:val="000000100000" w:firstRow="0" w:lastRow="0" w:firstColumn="0" w:lastColumn="0" w:oddVBand="0" w:evenVBand="0" w:oddHBand="1" w:evenHBand="0" w:firstRowFirstColumn="0" w:firstRowLastColumn="0" w:lastRowFirstColumn="0" w:lastRowLastColumn="0"/>
                    <w:rPr>
                      <w:rFonts w:cs="Arial"/>
                      <w:sz w:val="20"/>
                      <w:lang w:val="en-AU"/>
                    </w:rPr>
                  </w:pPr>
                  <w:r w:rsidRPr="00A134A7">
                    <w:rPr>
                      <w:rFonts w:cs="Arial"/>
                      <w:noProof/>
                      <w:sz w:val="20"/>
                    </w:rPr>
                    <mc:AlternateContent>
                      <mc:Choice Requires="wpg">
                        <w:drawing>
                          <wp:inline distT="0" distB="0" distL="0" distR="0" wp14:anchorId="2BBB4C1F" wp14:editId="4B64181A">
                            <wp:extent cx="460375" cy="248285"/>
                            <wp:effectExtent l="0" t="0" r="15875" b="18415"/>
                            <wp:docPr id="108432746" name="Group 108432746"/>
                            <wp:cNvGraphicFramePr/>
                            <a:graphic xmlns:a="http://schemas.openxmlformats.org/drawingml/2006/main">
                              <a:graphicData uri="http://schemas.microsoft.com/office/word/2010/wordprocessingGroup">
                                <wpg:wgp>
                                  <wpg:cNvGrpSpPr/>
                                  <wpg:grpSpPr>
                                    <a:xfrm>
                                      <a:off x="0" y="0"/>
                                      <a:ext cx="460375" cy="248285"/>
                                      <a:chOff x="0" y="0"/>
                                      <a:chExt cx="675125" cy="248400"/>
                                    </a:xfrm>
                                  </wpg:grpSpPr>
                                  <wps:wsp>
                                    <wps:cNvPr id="7113536" name="Rectangle 7113536"/>
                                    <wps:cNvSpPr/>
                                    <wps:spPr>
                                      <a:xfrm>
                                        <a:off x="0" y="0"/>
                                        <a:ext cx="133200" cy="24840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92905536" name="Rectangle 1492905536"/>
                                    <wps:cNvSpPr/>
                                    <wps:spPr>
                                      <a:xfrm>
                                        <a:off x="135481" y="0"/>
                                        <a:ext cx="133200" cy="24840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18810367" name="Rectangle 1818810367"/>
                                    <wps:cNvSpPr/>
                                    <wps:spPr>
                                      <a:xfrm>
                                        <a:off x="270962" y="0"/>
                                        <a:ext cx="133200" cy="24840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92069148" name="Rectangle 492069148"/>
                                    <wps:cNvSpPr/>
                                    <wps:spPr>
                                      <a:xfrm>
                                        <a:off x="406443" y="0"/>
                                        <a:ext cx="133200" cy="24840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51373456" name="Rectangle 851373456"/>
                                    <wps:cNvSpPr/>
                                    <wps:spPr>
                                      <a:xfrm>
                                        <a:off x="541925" y="0"/>
                                        <a:ext cx="133200" cy="2484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xmlns:w16du="http://schemas.microsoft.com/office/word/2023/wordml/word16du">
                        <w:pict>
                          <v:group w14:anchorId="2EF65A1D" id="Group 108432746" o:spid="_x0000_s1026" style="width:36.25pt;height:19.55pt;mso-position-horizontal-relative:char;mso-position-vertical-relative:line" coordsize="6751,2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">
                            <v:rect id="Rectangle 7113536" o:spid="_x0000_s1027" style="position:absolute;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" fillcolor="#231edc [3204]" strokecolor="black [3213]" strokeweight="1pt"/>
                            <v:rect id="Rectangle 1492905536" o:spid="_x0000_s1028" style="position:absolute;left:1354;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" fillcolor="#231edc [3204]" strokecolor="black [3213]" strokeweight="1pt"/>
                            <v:rect id="Rectangle 1818810367" o:spid="_x0000_s1029" style="position:absolute;left:2709;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" fillcolor="#231edc [3204]" strokecolor="black [3213]" strokeweight="1pt"/>
                            <v:rect id="Rectangle 492069148" o:spid="_x0000_s1030" style="position:absolute;left:4064;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" fillcolor="#231edc [3204]" strokecolor="black [3213]" strokeweight="1pt"/>
                            <v:rect id="Rectangle 851373456" o:spid="_x0000_s1031" style="position:absolute;left:5419;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" fillcolor="white [3212]" strokecolor="black [3213]" strokeweight="1pt"/>
                            <w10:anchorlock/>
                          </v:group>
                        </w:pict>
                      </mc:Fallback>
                    </mc:AlternateContent>
                  </w:r>
                </w:p>
              </w:tc>
              <w:tc>
                <w:tcPr>
                  <w:tcW w:w="6588" w:type="dxa"/>
                  <w:shd w:val="clear" w:color="auto" w:fill="auto"/>
                </w:tcPr>
                <w:p w14:paraId="306D5E8F" w14:textId="77777777" w:rsidR="00C83B44" w:rsidRPr="005D74D1" w:rsidRDefault="00C83B44" w:rsidP="005F0E67">
                  <w:pPr>
                    <w:pStyle w:val="BodyText"/>
                    <w:cnfStyle w:val="000000100000" w:firstRow="0" w:lastRow="0" w:firstColumn="0" w:lastColumn="0" w:oddVBand="0" w:evenVBand="0" w:oddHBand="1" w:evenHBand="0" w:firstRowFirstColumn="0" w:firstRowLastColumn="0" w:lastRowFirstColumn="0" w:lastRowLastColumn="0"/>
                    <w:rPr>
                      <w:rFonts w:cs="Arial"/>
                      <w:sz w:val="20"/>
                      <w:lang w:val="en-AU"/>
                    </w:rPr>
                  </w:pPr>
                  <w:r w:rsidRPr="005D74D1">
                    <w:rPr>
                      <w:rFonts w:cs="Arial"/>
                      <w:sz w:val="20"/>
                      <w:lang w:val="en-AU"/>
                    </w:rPr>
                    <w:t xml:space="preserve">Many of the EC5 projects contributed to meeting the needs of customers and the community, through improved water planning, access to information and broad community / stakeholder inclusion in water planning and decision-making. </w:t>
                  </w:r>
                </w:p>
              </w:tc>
            </w:tr>
            <w:tr w:rsidR="00C83B44" w:rsidRPr="005D74D1" w14:paraId="06A59F3D" w14:textId="77777777" w:rsidTr="00D37E55">
              <w:trPr>
                <w:trHeight w:val="1378"/>
              </w:trPr>
              <w:tc>
                <w:tcPr>
                  <w:cnfStyle w:val="001000000000" w:firstRow="0" w:lastRow="0" w:firstColumn="1" w:lastColumn="0" w:oddVBand="0" w:evenVBand="0" w:oddHBand="0" w:evenHBand="0" w:firstRowFirstColumn="0" w:firstRowLastColumn="0" w:lastRowFirstColumn="0" w:lastRowLastColumn="0"/>
                  <w:tcW w:w="1307" w:type="dxa"/>
                  <w:shd w:val="clear" w:color="auto" w:fill="auto"/>
                  <w:vAlign w:val="center"/>
                </w:tcPr>
                <w:p w14:paraId="6F1DE1B7" w14:textId="77777777" w:rsidR="00C83B44" w:rsidRPr="005D74D1" w:rsidRDefault="00C83B44" w:rsidP="005F0E67">
                  <w:pPr>
                    <w:pStyle w:val="BodyText"/>
                    <w:rPr>
                      <w:rFonts w:cs="Arial"/>
                      <w:b w:val="0"/>
                      <w:bCs w:val="0"/>
                      <w:sz w:val="20"/>
                      <w:lang w:val="en-AU"/>
                    </w:rPr>
                  </w:pPr>
                  <w:r w:rsidRPr="005D74D1">
                    <w:rPr>
                      <w:rFonts w:cs="Arial"/>
                      <w:b w:val="0"/>
                      <w:bCs w:val="0"/>
                      <w:sz w:val="20"/>
                      <w:lang w:val="en-AU"/>
                    </w:rPr>
                    <w:t>Overall progress toward long-term outcomes</w:t>
                  </w:r>
                </w:p>
              </w:tc>
              <w:tc>
                <w:tcPr>
                  <w:tcW w:w="1108" w:type="dxa"/>
                  <w:shd w:val="clear" w:color="auto" w:fill="auto"/>
                  <w:vAlign w:val="center"/>
                </w:tcPr>
                <w:p w14:paraId="68690C9C" w14:textId="77777777" w:rsidR="00C83B44" w:rsidRPr="005D74D1" w:rsidRDefault="00C83B44" w:rsidP="00514DAC">
                  <w:pPr>
                    <w:pStyle w:val="BodyText"/>
                    <w:jc w:val="center"/>
                    <w:cnfStyle w:val="000000000000" w:firstRow="0" w:lastRow="0" w:firstColumn="0" w:lastColumn="0" w:oddVBand="0" w:evenVBand="0" w:oddHBand="0" w:evenHBand="0" w:firstRowFirstColumn="0" w:firstRowLastColumn="0" w:lastRowFirstColumn="0" w:lastRowLastColumn="0"/>
                    <w:rPr>
                      <w:rFonts w:cs="Arial"/>
                      <w:sz w:val="20"/>
                      <w:lang w:val="en-AU"/>
                    </w:rPr>
                  </w:pPr>
                  <w:r w:rsidRPr="005D74D1">
                    <w:rPr>
                      <w:rFonts w:cs="Arial"/>
                      <w:sz w:val="20"/>
                      <w:lang w:val="en-AU"/>
                    </w:rPr>
                    <w:t>Very High</w:t>
                  </w:r>
                </w:p>
                <w:p w14:paraId="2115A280" w14:textId="77777777" w:rsidR="00C83B44" w:rsidRPr="005D74D1" w:rsidRDefault="00C83B44" w:rsidP="00514DAC">
                  <w:pPr>
                    <w:pStyle w:val="BodyText"/>
                    <w:jc w:val="center"/>
                    <w:cnfStyle w:val="000000000000" w:firstRow="0" w:lastRow="0" w:firstColumn="0" w:lastColumn="0" w:oddVBand="0" w:evenVBand="0" w:oddHBand="0" w:evenHBand="0" w:firstRowFirstColumn="0" w:firstRowLastColumn="0" w:lastRowFirstColumn="0" w:lastRowLastColumn="0"/>
                    <w:rPr>
                      <w:rFonts w:cs="Arial"/>
                      <w:sz w:val="20"/>
                      <w:lang w:val="en-AU"/>
                    </w:rPr>
                  </w:pPr>
                  <w:r w:rsidRPr="00A134A7">
                    <w:rPr>
                      <w:rFonts w:cs="Arial"/>
                      <w:noProof/>
                      <w:sz w:val="20"/>
                    </w:rPr>
                    <mc:AlternateContent>
                      <mc:Choice Requires="wpg">
                        <w:drawing>
                          <wp:inline distT="0" distB="0" distL="0" distR="0" wp14:anchorId="59FD8B4A" wp14:editId="6ED57AA9">
                            <wp:extent cx="460800" cy="248401"/>
                            <wp:effectExtent l="0" t="0" r="15875" b="18415"/>
                            <wp:docPr id="1157484299" name="Group 1157484299"/>
                            <wp:cNvGraphicFramePr/>
                            <a:graphic xmlns:a="http://schemas.openxmlformats.org/drawingml/2006/main">
                              <a:graphicData uri="http://schemas.microsoft.com/office/word/2010/wordprocessingGroup">
                                <wpg:wgp>
                                  <wpg:cNvGrpSpPr/>
                                  <wpg:grpSpPr>
                                    <a:xfrm>
                                      <a:off x="0" y="0"/>
                                      <a:ext cx="460800" cy="248401"/>
                                      <a:chOff x="0" y="0"/>
                                      <a:chExt cx="657283" cy="248401"/>
                                    </a:xfrm>
                                    <a:solidFill>
                                      <a:srgbClr val="FFA014"/>
                                    </a:solidFill>
                                  </wpg:grpSpPr>
                                  <wps:wsp>
                                    <wps:cNvPr id="1157484300" name="Rectangle 1157484300"/>
                                    <wps:cNvSpPr/>
                                    <wps:spPr>
                                      <a:xfrm>
                                        <a:off x="0" y="0"/>
                                        <a:ext cx="133200" cy="248400"/>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57484301" name="Rectangle 1157484301"/>
                                    <wps:cNvSpPr/>
                                    <wps:spPr>
                                      <a:xfrm>
                                        <a:off x="131021" y="0"/>
                                        <a:ext cx="133200" cy="248400"/>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57484302" name="Rectangle 1157484302"/>
                                    <wps:cNvSpPr/>
                                    <wps:spPr>
                                      <a:xfrm>
                                        <a:off x="262042" y="0"/>
                                        <a:ext cx="133200" cy="248400"/>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57484303" name="Rectangle 1157484303"/>
                                    <wps:cNvSpPr/>
                                    <wps:spPr>
                                      <a:xfrm>
                                        <a:off x="393063" y="1"/>
                                        <a:ext cx="133200" cy="248400"/>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57484304" name="Rectangle 1157484304"/>
                                    <wps:cNvSpPr/>
                                    <wps:spPr>
                                      <a:xfrm>
                                        <a:off x="524083" y="0"/>
                                        <a:ext cx="133200" cy="248400"/>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xmlns:w16du="http://schemas.microsoft.com/office/word/2023/wordml/word16du">
                        <w:pict>
                          <v:group w14:anchorId="5B486356" id="Group 1157484299" o:spid="_x0000_s1026" style="width:36.3pt;height:19.55pt;mso-position-horizontal-relative:char;mso-position-vertical-relative:line" coordsize="6572,2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">
                            <v:rect id="Rectangle 1157484300" o:spid="_x0000_s1027" style="position:absolute;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" filled="f" strokecolor="black [3213]" strokeweight="1pt"/>
                            <v:rect id="Rectangle 1157484301" o:spid="_x0000_s1028" style="position:absolute;left:1310;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" filled="f" strokecolor="black [3213]" strokeweight="1pt"/>
                            <v:rect id="Rectangle 1157484302" o:spid="_x0000_s1029" style="position:absolute;left:2620;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" filled="f" strokecolor="black [3213]" strokeweight="1pt"/>
                            <v:rect id="Rectangle 1157484303" o:spid="_x0000_s1030" style="position:absolute;left:3930;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" filled="f" strokecolor="black [3213]" strokeweight="1pt"/>
                            <v:rect id="Rectangle 1157484304" o:spid="_x0000_s1031" style="position:absolute;left:5240;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" filled="f" strokecolor="black [3213]" strokeweight="1pt"/>
                            <w10:anchorlock/>
                          </v:group>
                        </w:pict>
                      </mc:Fallback>
                    </mc:AlternateContent>
                  </w:r>
                </w:p>
              </w:tc>
              <w:tc>
                <w:tcPr>
                  <w:tcW w:w="6588" w:type="dxa"/>
                  <w:shd w:val="clear" w:color="auto" w:fill="auto"/>
                </w:tcPr>
                <w:p w14:paraId="5607DC92" w14:textId="77777777" w:rsidR="00C83B44" w:rsidRPr="005D74D1" w:rsidRDefault="00C83B44" w:rsidP="005F0E67">
                  <w:pPr>
                    <w:pStyle w:val="BodyText"/>
                    <w:cnfStyle w:val="000000000000" w:firstRow="0" w:lastRow="0" w:firstColumn="0" w:lastColumn="0" w:oddVBand="0" w:evenVBand="0" w:oddHBand="0" w:evenHBand="0" w:firstRowFirstColumn="0" w:firstRowLastColumn="0" w:lastRowFirstColumn="0" w:lastRowLastColumn="0"/>
                    <w:rPr>
                      <w:rFonts w:cs="Arial"/>
                      <w:sz w:val="20"/>
                      <w:lang w:val="en-AU"/>
                    </w:rPr>
                  </w:pPr>
                  <w:r w:rsidRPr="005D74D1">
                    <w:rPr>
                      <w:rFonts w:cs="Arial"/>
                      <w:sz w:val="20"/>
                      <w:lang w:val="en-AU"/>
                    </w:rPr>
                    <w:t xml:space="preserve">The Victorian water sector enjoys a high level of strong governance integration and effectiveness. Ongoing work, such as that provided in EC5, is needed to maintain and further improve as existing and new challenges emerge, and new technologies present opportunities. </w:t>
                  </w:r>
                </w:p>
              </w:tc>
            </w:tr>
          </w:tbl>
          <w:p w14:paraId="1ADAA49B" w14:textId="77777777" w:rsidR="00C83B44" w:rsidRPr="005D74D1" w:rsidRDefault="00C83B44" w:rsidP="005F0E67">
            <w:pPr>
              <w:pStyle w:val="BulletLevel1"/>
              <w:rPr>
                <w:rFonts w:cs="Arial"/>
                <w:lang w:val="en-AU"/>
              </w:rPr>
            </w:pPr>
            <w:r w:rsidRPr="005D74D1">
              <w:rPr>
                <w:rFonts w:cs="Arial"/>
                <w:b/>
                <w:bCs/>
                <w:lang w:val="en-AU"/>
              </w:rPr>
              <w:t>Ongoing foundational work:</w:t>
            </w:r>
            <w:r w:rsidRPr="005D74D1">
              <w:rPr>
                <w:rFonts w:cs="Arial"/>
                <w:lang w:val="en-AU"/>
              </w:rPr>
              <w:t xml:space="preserve"> Ongoing surface water and groundwater monitoring and modelling projects continued to build the foundational knowledge base of continuous and comprehensive water monitoring data and information which is used for planning and decision-making across the Victorian water sector. Many of the other EC5 projects noted the use of the EC to fund business-as-usual works that was critical to the project teams achieving their standard objectives and ongoing obligations. Overall, 81% of the projects reported having a degree of ongoing work (which started prior to EC5 and/or will continue post EC5). Along with benefits of EC funding supporting a range of short and long-term projects, several emerging risks associated with the EC increasingly funding ongoing, business-as-usual activities were noted. </w:t>
            </w:r>
          </w:p>
        </w:tc>
      </w:tr>
    </w:tbl>
    <w:p w14:paraId="42D047EB" w14:textId="77777777" w:rsidR="00A14572" w:rsidRPr="005D74D1" w:rsidRDefault="00A14572" w:rsidP="0038726F">
      <w:pPr>
        <w:pStyle w:val="BodyText"/>
        <w:rPr>
          <w:rFonts w:cs="Arial"/>
          <w:b/>
        </w:rPr>
      </w:pPr>
    </w:p>
    <w:p w14:paraId="0F5DBCA5" w14:textId="7A9A4FDF" w:rsidR="00875A29" w:rsidRPr="005D74D1" w:rsidRDefault="00875A29" w:rsidP="00875A29">
      <w:pPr>
        <w:pStyle w:val="Heading2"/>
        <w:rPr>
          <w:rFonts w:cs="Arial"/>
        </w:rPr>
      </w:pPr>
      <w:bookmarkStart w:id="370" w:name="_Toc147335004"/>
      <w:bookmarkStart w:id="371" w:name="_Toc147337868"/>
      <w:bookmarkStart w:id="372" w:name="_Toc147338473"/>
      <w:bookmarkStart w:id="373" w:name="_Toc147342834"/>
      <w:bookmarkStart w:id="374" w:name="_Toc147352724"/>
      <w:bookmarkStart w:id="375" w:name="_Toc147329334"/>
      <w:bookmarkStart w:id="376" w:name="_Toc183777366"/>
      <w:bookmarkEnd w:id="370"/>
      <w:bookmarkEnd w:id="371"/>
      <w:bookmarkEnd w:id="372"/>
      <w:bookmarkEnd w:id="373"/>
      <w:bookmarkEnd w:id="374"/>
      <w:r w:rsidRPr="005D74D1">
        <w:rPr>
          <w:rFonts w:cs="Arial"/>
        </w:rPr>
        <w:lastRenderedPageBreak/>
        <w:t>Overview</w:t>
      </w:r>
      <w:bookmarkEnd w:id="375"/>
      <w:bookmarkEnd w:id="376"/>
    </w:p>
    <w:p w14:paraId="3C03E82B" w14:textId="77777777" w:rsidR="00A50E7D" w:rsidRPr="005D74D1" w:rsidRDefault="00931EC5" w:rsidP="00875A29">
      <w:pPr>
        <w:pStyle w:val="BodyText"/>
        <w:rPr>
          <w:rFonts w:cs="Arial"/>
        </w:rPr>
      </w:pPr>
      <w:r w:rsidRPr="005D74D1">
        <w:rPr>
          <w:rFonts w:cs="Arial"/>
        </w:rPr>
        <w:t xml:space="preserve">The </w:t>
      </w:r>
      <w:r w:rsidR="00545437" w:rsidRPr="005D74D1">
        <w:rPr>
          <w:rFonts w:cs="Arial"/>
        </w:rPr>
        <w:t xml:space="preserve">impact of </w:t>
      </w:r>
      <w:r w:rsidR="0070627B" w:rsidRPr="005D74D1">
        <w:rPr>
          <w:rFonts w:cs="Arial"/>
        </w:rPr>
        <w:t xml:space="preserve">EC5 </w:t>
      </w:r>
      <w:r w:rsidR="00545437" w:rsidRPr="005D74D1">
        <w:rPr>
          <w:rFonts w:cs="Arial"/>
        </w:rPr>
        <w:t>was</w:t>
      </w:r>
      <w:r w:rsidRPr="005D74D1">
        <w:rPr>
          <w:rFonts w:cs="Arial"/>
        </w:rPr>
        <w:t xml:space="preserve"> assessed</w:t>
      </w:r>
      <w:r w:rsidR="004E6B17" w:rsidRPr="005D74D1">
        <w:rPr>
          <w:rFonts w:cs="Arial"/>
        </w:rPr>
        <w:t xml:space="preserve"> through</w:t>
      </w:r>
      <w:r w:rsidR="003E4CEB" w:rsidRPr="005D74D1">
        <w:rPr>
          <w:rFonts w:cs="Arial"/>
        </w:rPr>
        <w:t xml:space="preserve"> analysis of the extent to which</w:t>
      </w:r>
      <w:r w:rsidR="004E6B17" w:rsidRPr="005D74D1">
        <w:rPr>
          <w:rFonts w:cs="Arial"/>
        </w:rPr>
        <w:t xml:space="preserve"> the </w:t>
      </w:r>
      <w:r w:rsidR="00856D03" w:rsidRPr="005D74D1">
        <w:rPr>
          <w:rFonts w:cs="Arial"/>
        </w:rPr>
        <w:t>project</w:t>
      </w:r>
      <w:r w:rsidR="001E61C4" w:rsidRPr="005D74D1">
        <w:rPr>
          <w:rFonts w:cs="Arial"/>
        </w:rPr>
        <w:t xml:space="preserve">s have </w:t>
      </w:r>
      <w:r w:rsidR="00550FAC" w:rsidRPr="005D74D1">
        <w:rPr>
          <w:rFonts w:cs="Arial"/>
        </w:rPr>
        <w:t xml:space="preserve">collectively </w:t>
      </w:r>
      <w:r w:rsidR="001E61C4" w:rsidRPr="005D74D1">
        <w:rPr>
          <w:rFonts w:cs="Arial"/>
        </w:rPr>
        <w:t>achieved</w:t>
      </w:r>
      <w:r w:rsidR="00545437" w:rsidRPr="005D74D1">
        <w:rPr>
          <w:rFonts w:cs="Arial"/>
        </w:rPr>
        <w:t>,</w:t>
      </w:r>
      <w:r w:rsidR="001E61C4" w:rsidRPr="005D74D1">
        <w:rPr>
          <w:rFonts w:cs="Arial"/>
        </w:rPr>
        <w:t xml:space="preserve"> or made progress toward </w:t>
      </w:r>
      <w:r w:rsidR="00894218" w:rsidRPr="005D74D1">
        <w:rPr>
          <w:rFonts w:cs="Arial"/>
        </w:rPr>
        <w:t>achieving</w:t>
      </w:r>
      <w:r w:rsidR="00545437" w:rsidRPr="005D74D1">
        <w:rPr>
          <w:rFonts w:cs="Arial"/>
        </w:rPr>
        <w:t>,</w:t>
      </w:r>
      <w:r w:rsidR="00894218" w:rsidRPr="005D74D1">
        <w:rPr>
          <w:rFonts w:cs="Arial"/>
        </w:rPr>
        <w:t xml:space="preserve"> </w:t>
      </w:r>
      <w:r w:rsidR="001E61C4" w:rsidRPr="005D74D1">
        <w:rPr>
          <w:rFonts w:cs="Arial"/>
        </w:rPr>
        <w:t xml:space="preserve">the </w:t>
      </w:r>
      <w:r w:rsidR="00120B87" w:rsidRPr="005D74D1">
        <w:rPr>
          <w:rFonts w:cs="Arial"/>
        </w:rPr>
        <w:t>6</w:t>
      </w:r>
      <w:r w:rsidR="004E6B17" w:rsidRPr="005D74D1">
        <w:rPr>
          <w:rFonts w:cs="Arial"/>
        </w:rPr>
        <w:t xml:space="preserve"> </w:t>
      </w:r>
      <w:r w:rsidR="001E61C4" w:rsidRPr="005D74D1">
        <w:rPr>
          <w:rFonts w:cs="Arial"/>
        </w:rPr>
        <w:t xml:space="preserve">overarching </w:t>
      </w:r>
      <w:r w:rsidR="004E6B17" w:rsidRPr="005D74D1">
        <w:rPr>
          <w:rFonts w:cs="Arial"/>
        </w:rPr>
        <w:t>EC5 investment objective</w:t>
      </w:r>
      <w:r w:rsidR="00550FAC" w:rsidRPr="005D74D1">
        <w:rPr>
          <w:rFonts w:cs="Arial"/>
        </w:rPr>
        <w:t>s</w:t>
      </w:r>
      <w:r w:rsidR="004E6B17" w:rsidRPr="005D74D1">
        <w:rPr>
          <w:rFonts w:cs="Arial"/>
        </w:rPr>
        <w:t>, and the</w:t>
      </w:r>
      <w:r w:rsidR="00886C29" w:rsidRPr="005D74D1">
        <w:rPr>
          <w:rFonts w:cs="Arial"/>
        </w:rPr>
        <w:t xml:space="preserve"> 26</w:t>
      </w:r>
      <w:r w:rsidR="003E4CEB" w:rsidRPr="005D74D1">
        <w:rPr>
          <w:rFonts w:cs="Arial"/>
        </w:rPr>
        <w:t xml:space="preserve"> </w:t>
      </w:r>
      <w:r w:rsidR="00A837E8" w:rsidRPr="005D74D1">
        <w:rPr>
          <w:rFonts w:cs="Arial"/>
        </w:rPr>
        <w:t>E</w:t>
      </w:r>
      <w:r w:rsidR="003E4CEB" w:rsidRPr="005D74D1">
        <w:rPr>
          <w:rFonts w:cs="Arial"/>
        </w:rPr>
        <w:t>nd</w:t>
      </w:r>
      <w:r w:rsidR="00A07465" w:rsidRPr="005D74D1">
        <w:rPr>
          <w:rFonts w:cs="Arial"/>
        </w:rPr>
        <w:t>-</w:t>
      </w:r>
      <w:r w:rsidR="003E4CEB" w:rsidRPr="005D74D1">
        <w:rPr>
          <w:rFonts w:cs="Arial"/>
        </w:rPr>
        <w:t>of</w:t>
      </w:r>
      <w:r w:rsidR="00A07465" w:rsidRPr="005D74D1">
        <w:rPr>
          <w:rFonts w:cs="Arial"/>
        </w:rPr>
        <w:t>-</w:t>
      </w:r>
      <w:r w:rsidR="00A837E8" w:rsidRPr="005D74D1">
        <w:rPr>
          <w:rFonts w:cs="Arial"/>
        </w:rPr>
        <w:t>T</w:t>
      </w:r>
      <w:r w:rsidR="00545437" w:rsidRPr="005D74D1">
        <w:rPr>
          <w:rFonts w:cs="Arial"/>
        </w:rPr>
        <w:t xml:space="preserve">ranche </w:t>
      </w:r>
      <w:r w:rsidR="003E4CEB" w:rsidRPr="005D74D1">
        <w:rPr>
          <w:rFonts w:cs="Arial"/>
        </w:rPr>
        <w:t>outcomes articulated in the EC5 program logic</w:t>
      </w:r>
      <w:r w:rsidR="00886C29" w:rsidRPr="005D74D1">
        <w:rPr>
          <w:rFonts w:cs="Arial"/>
        </w:rPr>
        <w:t xml:space="preserve"> (</w:t>
      </w:r>
      <w:r w:rsidR="0018786E" w:rsidRPr="005D74D1">
        <w:rPr>
          <w:rFonts w:cs="Arial"/>
        </w:rPr>
        <w:t>refer section 3.3</w:t>
      </w:r>
      <w:r w:rsidR="00B215E8" w:rsidRPr="005D74D1">
        <w:rPr>
          <w:rFonts w:cs="Arial"/>
        </w:rPr>
        <w:t>).</w:t>
      </w:r>
      <w:r w:rsidR="003E4CEB" w:rsidRPr="005D74D1">
        <w:rPr>
          <w:rFonts w:cs="Arial"/>
        </w:rPr>
        <w:t xml:space="preserve"> </w:t>
      </w:r>
      <w:r w:rsidR="00154041" w:rsidRPr="005D74D1">
        <w:rPr>
          <w:rFonts w:cs="Arial"/>
        </w:rPr>
        <w:t xml:space="preserve">The </w:t>
      </w:r>
      <w:r w:rsidR="005C095B" w:rsidRPr="005D74D1">
        <w:rPr>
          <w:rFonts w:cs="Arial"/>
        </w:rPr>
        <w:t>7</w:t>
      </w:r>
      <w:r w:rsidR="00154041" w:rsidRPr="005D74D1">
        <w:rPr>
          <w:rFonts w:cs="Arial"/>
        </w:rPr>
        <w:t xml:space="preserve"> key evaluation questions </w:t>
      </w:r>
      <w:r w:rsidR="00545437" w:rsidRPr="005D74D1">
        <w:rPr>
          <w:rFonts w:cs="Arial"/>
        </w:rPr>
        <w:t>used to assess impact were</w:t>
      </w:r>
      <w:r w:rsidR="006D7115" w:rsidRPr="005D74D1">
        <w:rPr>
          <w:rFonts w:cs="Arial"/>
        </w:rPr>
        <w:t>:</w:t>
      </w:r>
    </w:p>
    <w:p w14:paraId="609F5111" w14:textId="358EA2AF" w:rsidR="00713FC8" w:rsidRPr="005D74D1" w:rsidRDefault="00713FC8" w:rsidP="009E3D9F">
      <w:pPr>
        <w:pStyle w:val="BulletLevel1"/>
        <w:rPr>
          <w:rFonts w:cs="Arial"/>
          <w:lang w:val="en-AU"/>
        </w:rPr>
      </w:pPr>
      <w:r w:rsidRPr="005D74D1">
        <w:rPr>
          <w:rFonts w:cs="Arial"/>
          <w:lang w:val="en-AU"/>
        </w:rPr>
        <w:t>What progress has been made toward secure and resilient water systems?</w:t>
      </w:r>
    </w:p>
    <w:p w14:paraId="4F51858F" w14:textId="613246B2" w:rsidR="00713FC8" w:rsidRPr="005D74D1" w:rsidRDefault="00713FC8" w:rsidP="009E3D9F">
      <w:pPr>
        <w:pStyle w:val="BulletLevel1"/>
        <w:rPr>
          <w:rFonts w:cs="Arial"/>
          <w:lang w:val="en-AU"/>
        </w:rPr>
      </w:pPr>
      <w:r w:rsidRPr="005D74D1">
        <w:rPr>
          <w:rFonts w:cs="Arial"/>
          <w:lang w:val="en-AU"/>
        </w:rPr>
        <w:t>What progress has been made toward efficient water use?</w:t>
      </w:r>
    </w:p>
    <w:p w14:paraId="0462EBAF" w14:textId="61F84681" w:rsidR="00713FC8" w:rsidRPr="005D74D1" w:rsidRDefault="00713FC8" w:rsidP="009E3D9F">
      <w:pPr>
        <w:pStyle w:val="BulletLevel1"/>
        <w:rPr>
          <w:rFonts w:cs="Arial"/>
          <w:lang w:val="en-AU"/>
        </w:rPr>
      </w:pPr>
      <w:r w:rsidRPr="005D74D1">
        <w:rPr>
          <w:rFonts w:cs="Arial"/>
          <w:lang w:val="en-AU"/>
        </w:rPr>
        <w:t>How have risks to priority waterways and catchment health been reduced?</w:t>
      </w:r>
    </w:p>
    <w:p w14:paraId="77DCE0AF" w14:textId="6FA4A444" w:rsidR="00713FC8" w:rsidRPr="005D74D1" w:rsidRDefault="00713FC8" w:rsidP="009E3D9F">
      <w:pPr>
        <w:pStyle w:val="BulletLevel1"/>
        <w:rPr>
          <w:rFonts w:cs="Arial"/>
          <w:lang w:val="en-AU"/>
        </w:rPr>
      </w:pPr>
      <w:r w:rsidRPr="005D74D1">
        <w:rPr>
          <w:rFonts w:cs="Arial"/>
          <w:lang w:val="en-AU"/>
        </w:rPr>
        <w:t>To what extent were Traditional Owner priorities furthered?</w:t>
      </w:r>
    </w:p>
    <w:p w14:paraId="47CDF486" w14:textId="432AA03B" w:rsidR="00713FC8" w:rsidRPr="005D74D1" w:rsidRDefault="00713FC8" w:rsidP="009E3D9F">
      <w:pPr>
        <w:pStyle w:val="BulletLevel1"/>
        <w:rPr>
          <w:rFonts w:cs="Arial"/>
          <w:lang w:val="en-AU"/>
        </w:rPr>
      </w:pPr>
      <w:r w:rsidRPr="005D74D1">
        <w:rPr>
          <w:rFonts w:cs="Arial"/>
          <w:lang w:val="en-AU"/>
        </w:rPr>
        <w:t>To what extent were social and community values incorporated into water management?</w:t>
      </w:r>
    </w:p>
    <w:p w14:paraId="6BDF1A03" w14:textId="68F5C37F" w:rsidR="00713FC8" w:rsidRPr="005D74D1" w:rsidRDefault="00713FC8" w:rsidP="009E3D9F">
      <w:pPr>
        <w:pStyle w:val="BulletLevel1"/>
        <w:rPr>
          <w:rFonts w:cs="Arial"/>
          <w:lang w:val="en-AU"/>
        </w:rPr>
      </w:pPr>
      <w:r w:rsidRPr="005D74D1">
        <w:rPr>
          <w:rFonts w:cs="Arial"/>
          <w:lang w:val="en-AU"/>
        </w:rPr>
        <w:t>To what extent was the effectiveness of water governance improved?</w:t>
      </w:r>
    </w:p>
    <w:p w14:paraId="0D166713" w14:textId="728434E8" w:rsidR="00713FC8" w:rsidRPr="005D74D1" w:rsidRDefault="00713FC8" w:rsidP="009E3D9F">
      <w:pPr>
        <w:pStyle w:val="BulletLevel1"/>
        <w:rPr>
          <w:rFonts w:cs="Arial"/>
          <w:lang w:val="en-AU"/>
        </w:rPr>
      </w:pPr>
      <w:r w:rsidRPr="005D74D1">
        <w:rPr>
          <w:rFonts w:cs="Arial"/>
          <w:lang w:val="en-AU"/>
        </w:rPr>
        <w:t>To what extent has ongoing, foundational work, supported other programs and improved data availability and decision</w:t>
      </w:r>
      <w:r w:rsidR="00A81B74" w:rsidRPr="005D74D1">
        <w:rPr>
          <w:rFonts w:cs="Arial"/>
          <w:lang w:val="en-AU"/>
        </w:rPr>
        <w:t>-</w:t>
      </w:r>
      <w:r w:rsidRPr="005D74D1">
        <w:rPr>
          <w:rFonts w:cs="Arial"/>
          <w:lang w:val="en-AU"/>
        </w:rPr>
        <w:t>making?</w:t>
      </w:r>
    </w:p>
    <w:p w14:paraId="3656C447" w14:textId="77777777" w:rsidR="00A50E7D" w:rsidRPr="005D74D1" w:rsidRDefault="00682864" w:rsidP="008D28EE">
      <w:pPr>
        <w:pStyle w:val="BodyText"/>
        <w:keepNext/>
        <w:keepLines/>
        <w:rPr>
          <w:rFonts w:cs="Arial"/>
        </w:rPr>
      </w:pPr>
      <w:r w:rsidRPr="005D74D1">
        <w:rPr>
          <w:rFonts w:cs="Arial"/>
        </w:rPr>
        <w:t xml:space="preserve">The findings for each of these are discussed in the sections below. </w:t>
      </w:r>
      <w:r w:rsidR="00E4425F" w:rsidRPr="005D74D1">
        <w:rPr>
          <w:rFonts w:cs="Arial"/>
        </w:rPr>
        <w:t xml:space="preserve">The key sources of information </w:t>
      </w:r>
      <w:r w:rsidR="007F08CC" w:rsidRPr="005D74D1">
        <w:rPr>
          <w:rFonts w:cs="Arial"/>
        </w:rPr>
        <w:t>u</w:t>
      </w:r>
      <w:r w:rsidR="008E1C6A" w:rsidRPr="005D74D1">
        <w:rPr>
          <w:rFonts w:cs="Arial"/>
        </w:rPr>
        <w:t>sed in this</w:t>
      </w:r>
      <w:r w:rsidR="00F12673" w:rsidRPr="005D74D1">
        <w:rPr>
          <w:rFonts w:cs="Arial"/>
        </w:rPr>
        <w:t xml:space="preserve"> analysis w</w:t>
      </w:r>
      <w:r w:rsidR="008E1C6A" w:rsidRPr="005D74D1">
        <w:rPr>
          <w:rFonts w:cs="Arial"/>
        </w:rPr>
        <w:t>ere</w:t>
      </w:r>
      <w:r w:rsidR="00F12673" w:rsidRPr="005D74D1">
        <w:rPr>
          <w:rFonts w:cs="Arial"/>
        </w:rPr>
        <w:t xml:space="preserve"> </w:t>
      </w:r>
      <w:r w:rsidR="007F08CC" w:rsidRPr="005D74D1">
        <w:rPr>
          <w:rFonts w:cs="Arial"/>
        </w:rPr>
        <w:t xml:space="preserve">the </w:t>
      </w:r>
      <w:r w:rsidR="00856D03" w:rsidRPr="005D74D1">
        <w:rPr>
          <w:rFonts w:cs="Arial"/>
        </w:rPr>
        <w:t>project</w:t>
      </w:r>
      <w:r w:rsidR="00550FAC" w:rsidRPr="005D74D1">
        <w:rPr>
          <w:rFonts w:cs="Arial"/>
        </w:rPr>
        <w:t xml:space="preserve"> </w:t>
      </w:r>
      <w:r w:rsidR="00894218" w:rsidRPr="005D74D1">
        <w:rPr>
          <w:rFonts w:cs="Arial"/>
        </w:rPr>
        <w:t>evaluation reports</w:t>
      </w:r>
      <w:r w:rsidR="005C2011" w:rsidRPr="005D74D1">
        <w:rPr>
          <w:rFonts w:cs="Arial"/>
        </w:rPr>
        <w:t xml:space="preserve"> prepared by the DEECA project teams</w:t>
      </w:r>
      <w:r w:rsidR="007F08CC" w:rsidRPr="005D74D1">
        <w:rPr>
          <w:rFonts w:cs="Arial"/>
        </w:rPr>
        <w:t>, which</w:t>
      </w:r>
      <w:r w:rsidR="00894218" w:rsidRPr="005D74D1">
        <w:rPr>
          <w:rFonts w:cs="Arial"/>
        </w:rPr>
        <w:t xml:space="preserve"> were reviewed to understand </w:t>
      </w:r>
      <w:r w:rsidR="00C020B5" w:rsidRPr="005D74D1">
        <w:rPr>
          <w:rFonts w:cs="Arial"/>
        </w:rPr>
        <w:t xml:space="preserve">the progress </w:t>
      </w:r>
      <w:r w:rsidR="005C2011" w:rsidRPr="005D74D1">
        <w:rPr>
          <w:rFonts w:cs="Arial"/>
        </w:rPr>
        <w:t>against</w:t>
      </w:r>
      <w:r w:rsidR="00E8429C" w:rsidRPr="005D74D1">
        <w:rPr>
          <w:rFonts w:cs="Arial"/>
        </w:rPr>
        <w:t xml:space="preserve"> each outcome</w:t>
      </w:r>
      <w:r w:rsidR="00A72343" w:rsidRPr="005D74D1">
        <w:rPr>
          <w:rFonts w:cs="Arial"/>
        </w:rPr>
        <w:t xml:space="preserve"> </w:t>
      </w:r>
      <w:r w:rsidR="00972DB0" w:rsidRPr="005D74D1">
        <w:rPr>
          <w:rFonts w:cs="Arial"/>
        </w:rPr>
        <w:t xml:space="preserve">over the </w:t>
      </w:r>
      <w:r w:rsidR="003913B7" w:rsidRPr="005D74D1">
        <w:rPr>
          <w:rFonts w:cs="Arial"/>
        </w:rPr>
        <w:t>4 years of the EC5</w:t>
      </w:r>
      <w:r w:rsidR="00A72343" w:rsidRPr="005D74D1">
        <w:rPr>
          <w:rFonts w:cs="Arial"/>
        </w:rPr>
        <w:t xml:space="preserve"> (</w:t>
      </w:r>
      <w:r w:rsidR="003913B7" w:rsidRPr="005D74D1">
        <w:rPr>
          <w:rFonts w:cs="Arial"/>
        </w:rPr>
        <w:t xml:space="preserve">to </w:t>
      </w:r>
      <w:r w:rsidR="00A72343" w:rsidRPr="005D74D1">
        <w:rPr>
          <w:rFonts w:cs="Arial"/>
        </w:rPr>
        <w:t xml:space="preserve">30 June </w:t>
      </w:r>
      <w:r w:rsidR="00271E3A" w:rsidRPr="005D74D1">
        <w:rPr>
          <w:rFonts w:cs="Arial"/>
        </w:rPr>
        <w:t>2024</w:t>
      </w:r>
      <w:r w:rsidR="00A72343" w:rsidRPr="005D74D1">
        <w:rPr>
          <w:rFonts w:cs="Arial"/>
        </w:rPr>
        <w:t>)</w:t>
      </w:r>
      <w:r w:rsidR="00E8429C" w:rsidRPr="005D74D1">
        <w:rPr>
          <w:rFonts w:cs="Arial"/>
        </w:rPr>
        <w:t xml:space="preserve">. </w:t>
      </w:r>
      <w:r w:rsidR="003913B7" w:rsidRPr="005D74D1">
        <w:rPr>
          <w:rFonts w:cs="Arial"/>
        </w:rPr>
        <w:t>I</w:t>
      </w:r>
      <w:r w:rsidR="007F08CC" w:rsidRPr="005D74D1">
        <w:rPr>
          <w:rFonts w:cs="Arial"/>
        </w:rPr>
        <w:t xml:space="preserve">nterviews with </w:t>
      </w:r>
      <w:r w:rsidR="00A712EB" w:rsidRPr="005D74D1">
        <w:rPr>
          <w:rFonts w:cs="Arial"/>
        </w:rPr>
        <w:t>select</w:t>
      </w:r>
      <w:r w:rsidR="00CB5B26" w:rsidRPr="005D74D1">
        <w:rPr>
          <w:rFonts w:cs="Arial"/>
        </w:rPr>
        <w:t>ed</w:t>
      </w:r>
      <w:r w:rsidR="00A712EB" w:rsidRPr="005D74D1">
        <w:rPr>
          <w:rFonts w:cs="Arial"/>
        </w:rPr>
        <w:t xml:space="preserve"> </w:t>
      </w:r>
      <w:r w:rsidR="00856D03" w:rsidRPr="005D74D1">
        <w:rPr>
          <w:rFonts w:cs="Arial"/>
        </w:rPr>
        <w:t>project</w:t>
      </w:r>
      <w:r w:rsidR="00A712EB" w:rsidRPr="005D74D1">
        <w:rPr>
          <w:rFonts w:cs="Arial"/>
        </w:rPr>
        <w:t xml:space="preserve"> teams and DEECA leadership</w:t>
      </w:r>
      <w:r w:rsidR="00BA71A7" w:rsidRPr="005D74D1">
        <w:rPr>
          <w:rFonts w:cs="Arial"/>
        </w:rPr>
        <w:t xml:space="preserve"> </w:t>
      </w:r>
      <w:r w:rsidR="007F18C7" w:rsidRPr="005D74D1">
        <w:rPr>
          <w:rFonts w:cs="Arial"/>
        </w:rPr>
        <w:t xml:space="preserve">provided </w:t>
      </w:r>
      <w:r w:rsidR="00CB5B26" w:rsidRPr="005D74D1">
        <w:rPr>
          <w:rFonts w:cs="Arial"/>
        </w:rPr>
        <w:t xml:space="preserve">further </w:t>
      </w:r>
      <w:r w:rsidR="007F18C7" w:rsidRPr="005D74D1">
        <w:rPr>
          <w:rFonts w:cs="Arial"/>
        </w:rPr>
        <w:t>insights</w:t>
      </w:r>
      <w:r w:rsidR="00C7172D" w:rsidRPr="005D74D1">
        <w:rPr>
          <w:rFonts w:cs="Arial"/>
        </w:rPr>
        <w:t>.</w:t>
      </w:r>
    </w:p>
    <w:p w14:paraId="14B1F13A" w14:textId="533BC08D" w:rsidR="00875A29" w:rsidRPr="005D74D1" w:rsidRDefault="00875A29" w:rsidP="00875A29">
      <w:pPr>
        <w:pStyle w:val="Heading2"/>
        <w:rPr>
          <w:rFonts w:cs="Arial"/>
        </w:rPr>
      </w:pPr>
      <w:bookmarkStart w:id="377" w:name="_Ref146810265"/>
      <w:bookmarkStart w:id="378" w:name="_Toc147329335"/>
      <w:bookmarkStart w:id="379" w:name="_Toc183777367"/>
      <w:r w:rsidRPr="005D74D1">
        <w:rPr>
          <w:rFonts w:cs="Arial"/>
        </w:rPr>
        <w:t>What progress has been made toward secure and resilient water systems?</w:t>
      </w:r>
      <w:bookmarkEnd w:id="377"/>
      <w:bookmarkEnd w:id="378"/>
      <w:bookmarkEnd w:id="379"/>
    </w:p>
    <w:p w14:paraId="328FED6A" w14:textId="77777777" w:rsidR="00621DE3" w:rsidRPr="005D74D1" w:rsidRDefault="00381DD8" w:rsidP="00BD3635">
      <w:pPr>
        <w:pStyle w:val="BodyText"/>
        <w:keepNext/>
        <w:rPr>
          <w:rFonts w:cs="Arial"/>
        </w:rPr>
      </w:pPr>
      <w:r w:rsidRPr="005D74D1">
        <w:rPr>
          <w:rFonts w:cs="Arial"/>
        </w:rPr>
        <w:t xml:space="preserve">The overall performance assessment for </w:t>
      </w:r>
      <w:r w:rsidR="00713FC8" w:rsidRPr="005D74D1">
        <w:rPr>
          <w:rFonts w:cs="Arial"/>
        </w:rPr>
        <w:t>this KEQ is:</w:t>
      </w:r>
    </w:p>
    <w:tbl>
      <w:tblPr>
        <w:tblStyle w:val="GridTable4-Accent1"/>
        <w:tblW w:w="5000" w:type="pct"/>
        <w:tblBorders>
          <w:top w:val="single" w:sz="4" w:space="0" w:color="231EDC" w:themeColor="accent1"/>
          <w:left w:val="single" w:sz="4" w:space="0" w:color="231EDC" w:themeColor="accent1"/>
          <w:bottom w:val="single" w:sz="4" w:space="0" w:color="231EDC" w:themeColor="accent1"/>
          <w:right w:val="single" w:sz="4" w:space="0" w:color="231EDC" w:themeColor="accent1"/>
          <w:insideH w:val="single" w:sz="4" w:space="0" w:color="231EDC" w:themeColor="accent1"/>
          <w:insideV w:val="single" w:sz="4" w:space="0" w:color="231EDC" w:themeColor="accent1"/>
        </w:tblBorders>
        <w:tblLook w:val="04A0" w:firstRow="1" w:lastRow="0" w:firstColumn="1" w:lastColumn="0" w:noHBand="0" w:noVBand="1"/>
      </w:tblPr>
      <w:tblGrid>
        <w:gridCol w:w="1252"/>
        <w:gridCol w:w="1710"/>
        <w:gridCol w:w="1180"/>
        <w:gridCol w:w="5486"/>
      </w:tblGrid>
      <w:tr w:rsidR="007D3E3D" w:rsidRPr="005D74D1" w14:paraId="5F5DFFFA" w14:textId="77777777" w:rsidTr="009A0182">
        <w:trPr>
          <w:cnfStyle w:val="100000000000" w:firstRow="1" w:lastRow="0" w:firstColumn="0" w:lastColumn="0" w:oddVBand="0" w:evenVBand="0" w:oddHBand="0" w:evenHBand="0" w:firstRowFirstColumn="0" w:firstRowLastColumn="0" w:lastRowFirstColumn="0" w:lastRowLastColumn="0"/>
          <w:trHeight w:val="503"/>
          <w:tblHeader/>
        </w:trPr>
        <w:tc>
          <w:tcPr>
            <w:cnfStyle w:val="001000000000" w:firstRow="0" w:lastRow="0" w:firstColumn="1" w:lastColumn="0" w:oddVBand="0" w:evenVBand="0" w:oddHBand="0" w:evenHBand="0" w:firstRowFirstColumn="0" w:firstRowLastColumn="0" w:lastRowFirstColumn="0" w:lastRowLastColumn="0"/>
            <w:tcW w:w="650" w:type="pct"/>
            <w:tcBorders>
              <w:top w:val="none" w:sz="0" w:space="0" w:color="auto"/>
              <w:left w:val="none" w:sz="0" w:space="0" w:color="auto"/>
              <w:bottom w:val="none" w:sz="0" w:space="0" w:color="auto"/>
              <w:right w:val="none" w:sz="0" w:space="0" w:color="auto"/>
            </w:tcBorders>
          </w:tcPr>
          <w:p w14:paraId="1DEB20EF" w14:textId="6EF00237" w:rsidR="005448FC" w:rsidRPr="00A134A7" w:rsidRDefault="005448FC" w:rsidP="003138A1">
            <w:pPr>
              <w:pStyle w:val="TableHeadingWhite"/>
              <w:rPr>
                <w:rFonts w:cs="Arial"/>
                <w:b/>
                <w:bCs w:val="0"/>
                <w:lang w:val="en-AU"/>
              </w:rPr>
            </w:pPr>
            <w:r w:rsidRPr="005D74D1">
              <w:rPr>
                <w:rFonts w:cs="Arial"/>
              </w:rPr>
              <w:t>Outcome theme</w:t>
            </w:r>
          </w:p>
        </w:tc>
        <w:tc>
          <w:tcPr>
            <w:tcW w:w="888" w:type="pct"/>
            <w:tcBorders>
              <w:top w:val="none" w:sz="0" w:space="0" w:color="auto"/>
              <w:left w:val="none" w:sz="0" w:space="0" w:color="auto"/>
              <w:bottom w:val="none" w:sz="0" w:space="0" w:color="auto"/>
              <w:right w:val="none" w:sz="0" w:space="0" w:color="auto"/>
            </w:tcBorders>
          </w:tcPr>
          <w:p w14:paraId="605B20ED" w14:textId="00340339" w:rsidR="005448FC" w:rsidRPr="00A134A7" w:rsidRDefault="006358DC" w:rsidP="003138A1">
            <w:pPr>
              <w:pStyle w:val="TableHeadingWhite"/>
              <w:cnfStyle w:val="100000000000" w:firstRow="1" w:lastRow="0" w:firstColumn="0" w:lastColumn="0" w:oddVBand="0" w:evenVBand="0" w:oddHBand="0" w:evenHBand="0" w:firstRowFirstColumn="0" w:firstRowLastColumn="0" w:lastRowFirstColumn="0" w:lastRowLastColumn="0"/>
              <w:rPr>
                <w:rFonts w:cs="Arial"/>
                <w:b/>
                <w:bCs w:val="0"/>
                <w:lang w:val="en-AU"/>
              </w:rPr>
            </w:pPr>
            <w:r w:rsidRPr="005D74D1">
              <w:rPr>
                <w:rFonts w:cs="Arial"/>
              </w:rPr>
              <w:t>Rating type</w:t>
            </w:r>
          </w:p>
        </w:tc>
        <w:tc>
          <w:tcPr>
            <w:tcW w:w="613" w:type="pct"/>
            <w:tcBorders>
              <w:top w:val="none" w:sz="0" w:space="0" w:color="auto"/>
              <w:left w:val="none" w:sz="0" w:space="0" w:color="auto"/>
              <w:bottom w:val="none" w:sz="0" w:space="0" w:color="auto"/>
              <w:right w:val="none" w:sz="0" w:space="0" w:color="auto"/>
            </w:tcBorders>
          </w:tcPr>
          <w:p w14:paraId="230B1577" w14:textId="77777777" w:rsidR="005448FC" w:rsidRPr="00A134A7" w:rsidRDefault="005448FC" w:rsidP="003138A1">
            <w:pPr>
              <w:pStyle w:val="TableHeadingWhite"/>
              <w:cnfStyle w:val="100000000000" w:firstRow="1" w:lastRow="0" w:firstColumn="0" w:lastColumn="0" w:oddVBand="0" w:evenVBand="0" w:oddHBand="0" w:evenHBand="0" w:firstRowFirstColumn="0" w:firstRowLastColumn="0" w:lastRowFirstColumn="0" w:lastRowLastColumn="0"/>
              <w:rPr>
                <w:rFonts w:cs="Arial"/>
                <w:b/>
                <w:bCs w:val="0"/>
                <w:lang w:val="en-AU"/>
              </w:rPr>
            </w:pPr>
            <w:r w:rsidRPr="005D74D1">
              <w:rPr>
                <w:rFonts w:cs="Arial"/>
              </w:rPr>
              <w:t>Rating</w:t>
            </w:r>
          </w:p>
        </w:tc>
        <w:tc>
          <w:tcPr>
            <w:tcW w:w="2849" w:type="pct"/>
            <w:tcBorders>
              <w:top w:val="none" w:sz="0" w:space="0" w:color="auto"/>
              <w:left w:val="none" w:sz="0" w:space="0" w:color="auto"/>
              <w:bottom w:val="none" w:sz="0" w:space="0" w:color="auto"/>
              <w:right w:val="none" w:sz="0" w:space="0" w:color="auto"/>
            </w:tcBorders>
          </w:tcPr>
          <w:p w14:paraId="7B43493F" w14:textId="77777777" w:rsidR="005448FC" w:rsidRPr="00A134A7" w:rsidRDefault="005448FC" w:rsidP="003138A1">
            <w:pPr>
              <w:pStyle w:val="TableHeadingWhite"/>
              <w:cnfStyle w:val="100000000000" w:firstRow="1" w:lastRow="0" w:firstColumn="0" w:lastColumn="0" w:oddVBand="0" w:evenVBand="0" w:oddHBand="0" w:evenHBand="0" w:firstRowFirstColumn="0" w:firstRowLastColumn="0" w:lastRowFirstColumn="0" w:lastRowLastColumn="0"/>
              <w:rPr>
                <w:rFonts w:cs="Arial"/>
                <w:b/>
                <w:bCs w:val="0"/>
                <w:lang w:val="en-AU"/>
              </w:rPr>
            </w:pPr>
            <w:r w:rsidRPr="005D74D1">
              <w:rPr>
                <w:rFonts w:cs="Arial"/>
              </w:rPr>
              <w:t>Rationale</w:t>
            </w:r>
          </w:p>
        </w:tc>
      </w:tr>
      <w:tr w:rsidR="005D582E" w:rsidRPr="005D74D1" w14:paraId="2F4581AE" w14:textId="77777777" w:rsidTr="00C170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0" w:type="pct"/>
            <w:vMerge w:val="restart"/>
            <w:shd w:val="clear" w:color="auto" w:fill="auto"/>
            <w:vAlign w:val="center"/>
          </w:tcPr>
          <w:p w14:paraId="34321108" w14:textId="77777777" w:rsidR="005D582E" w:rsidRPr="005D74D1" w:rsidRDefault="005D582E" w:rsidP="00C17099">
            <w:pPr>
              <w:pStyle w:val="TableText"/>
              <w:rPr>
                <w:rFonts w:cs="Arial"/>
                <w:b w:val="0"/>
                <w:lang w:val="en-AU"/>
              </w:rPr>
            </w:pPr>
            <w:r w:rsidRPr="005D74D1">
              <w:rPr>
                <w:rFonts w:cs="Arial"/>
                <w:b w:val="0"/>
                <w:bCs w:val="0"/>
                <w:lang w:val="en-AU"/>
              </w:rPr>
              <w:t>Water Security</w:t>
            </w:r>
          </w:p>
        </w:tc>
        <w:tc>
          <w:tcPr>
            <w:tcW w:w="888" w:type="pct"/>
            <w:shd w:val="clear" w:color="auto" w:fill="auto"/>
            <w:vAlign w:val="center"/>
          </w:tcPr>
          <w:p w14:paraId="7FC4395E" w14:textId="7166FBF5" w:rsidR="005D582E" w:rsidRPr="005D74D1" w:rsidRDefault="006D41C3" w:rsidP="00C17099">
            <w:pPr>
              <w:pStyle w:val="TableText"/>
              <w:cnfStyle w:val="000000100000" w:firstRow="0" w:lastRow="0" w:firstColumn="0" w:lastColumn="0" w:oddVBand="0" w:evenVBand="0" w:oddHBand="1" w:evenHBand="0" w:firstRowFirstColumn="0" w:firstRowLastColumn="0" w:lastRowFirstColumn="0" w:lastRowLastColumn="0"/>
              <w:rPr>
                <w:rFonts w:cs="Arial"/>
                <w:lang w:val="en-AU"/>
              </w:rPr>
            </w:pPr>
            <w:r w:rsidRPr="005D74D1">
              <w:rPr>
                <w:rFonts w:cs="Arial"/>
              </w:rPr>
              <w:t>Extent to which end-of-EC5 outcomes were achieved</w:t>
            </w:r>
          </w:p>
        </w:tc>
        <w:tc>
          <w:tcPr>
            <w:tcW w:w="613" w:type="pct"/>
            <w:shd w:val="clear" w:color="auto" w:fill="auto"/>
          </w:tcPr>
          <w:p w14:paraId="7D374752" w14:textId="77777777" w:rsidR="005D582E" w:rsidRPr="005D74D1" w:rsidRDefault="005D582E" w:rsidP="00550192">
            <w:pPr>
              <w:pStyle w:val="TableText"/>
              <w:cnfStyle w:val="000000100000" w:firstRow="0" w:lastRow="0" w:firstColumn="0" w:lastColumn="0" w:oddVBand="0" w:evenVBand="0" w:oddHBand="1" w:evenHBand="0" w:firstRowFirstColumn="0" w:firstRowLastColumn="0" w:lastRowFirstColumn="0" w:lastRowLastColumn="0"/>
              <w:rPr>
                <w:rFonts w:cs="Arial"/>
                <w:lang w:val="en-AU"/>
              </w:rPr>
            </w:pPr>
            <w:r w:rsidRPr="005D74D1">
              <w:rPr>
                <w:rFonts w:cs="Arial"/>
                <w:lang w:val="en-AU"/>
              </w:rPr>
              <w:t>Medium</w:t>
            </w:r>
          </w:p>
          <w:p w14:paraId="2EA8D576" w14:textId="37146406" w:rsidR="005D582E" w:rsidRPr="005D74D1" w:rsidRDefault="005D582E" w:rsidP="00550192">
            <w:pPr>
              <w:pStyle w:val="TableText"/>
              <w:cnfStyle w:val="000000100000" w:firstRow="0" w:lastRow="0" w:firstColumn="0" w:lastColumn="0" w:oddVBand="0" w:evenVBand="0" w:oddHBand="1" w:evenHBand="0" w:firstRowFirstColumn="0" w:firstRowLastColumn="0" w:lastRowFirstColumn="0" w:lastRowLastColumn="0"/>
              <w:rPr>
                <w:rFonts w:cs="Arial"/>
                <w:lang w:val="en-AU"/>
              </w:rPr>
            </w:pPr>
            <w:r w:rsidRPr="00A134A7">
              <w:rPr>
                <w:rFonts w:cs="Arial"/>
                <w:noProof/>
              </w:rPr>
              <mc:AlternateContent>
                <mc:Choice Requires="wpg">
                  <w:drawing>
                    <wp:inline distT="0" distB="0" distL="0" distR="0" wp14:anchorId="4BA2D643" wp14:editId="410299B6">
                      <wp:extent cx="460800" cy="248400"/>
                      <wp:effectExtent l="0" t="0" r="15875" b="18415"/>
                      <wp:docPr id="900418189" name="Group 900418189"/>
                      <wp:cNvGraphicFramePr/>
                      <a:graphic xmlns:a="http://schemas.openxmlformats.org/drawingml/2006/main">
                        <a:graphicData uri="http://schemas.microsoft.com/office/word/2010/wordprocessingGroup">
                          <wpg:wgp>
                            <wpg:cNvGrpSpPr/>
                            <wpg:grpSpPr>
                              <a:xfrm>
                                <a:off x="0" y="0"/>
                                <a:ext cx="460800" cy="248400"/>
                                <a:chOff x="0" y="0"/>
                                <a:chExt cx="675755" cy="248400"/>
                              </a:xfrm>
                            </wpg:grpSpPr>
                            <wps:wsp>
                              <wps:cNvPr id="1714050273" name="Rectangle 1714050273"/>
                              <wps:cNvSpPr/>
                              <wps:spPr>
                                <a:xfrm>
                                  <a:off x="0" y="0"/>
                                  <a:ext cx="133200" cy="24840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84810153" name="Rectangle 1884810153"/>
                              <wps:cNvSpPr/>
                              <wps:spPr>
                                <a:xfrm>
                                  <a:off x="135639" y="0"/>
                                  <a:ext cx="133200" cy="24840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35821866" name="Rectangle 1535821866"/>
                              <wps:cNvSpPr/>
                              <wps:spPr>
                                <a:xfrm>
                                  <a:off x="271278" y="0"/>
                                  <a:ext cx="133200" cy="24840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83816950" name="Rectangle 1483816950"/>
                              <wps:cNvSpPr/>
                              <wps:spPr>
                                <a:xfrm>
                                  <a:off x="542555" y="0"/>
                                  <a:ext cx="133200" cy="2484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10615122" name="Rectangle 610615122"/>
                              <wps:cNvSpPr/>
                              <wps:spPr>
                                <a:xfrm>
                                  <a:off x="406917" y="0"/>
                                  <a:ext cx="133200" cy="2484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xmlns:w16du="http://schemas.microsoft.com/office/word/2023/wordml/word16du">
                  <w:pict>
                    <v:group w14:anchorId="10C12B0B" id="Group 900418189" o:spid="_x0000_s1026" style="width:36.3pt;height:19.55pt;mso-position-horizontal-relative:char;mso-position-vertical-relative:line" coordsize="6757,2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">
                      <v:rect id="Rectangle 1714050273" o:spid="_x0000_s1027" style="position:absolute;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" fillcolor="#231edc [3204]" strokecolor="black [3213]" strokeweight="1pt"/>
                      <v:rect id="Rectangle 1884810153" o:spid="_x0000_s1028" style="position:absolute;left:1356;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" fillcolor="#231edc [3204]" strokecolor="black [3213]" strokeweight="1pt"/>
                      <v:rect id="Rectangle 1535821866" o:spid="_x0000_s1029" style="position:absolute;left:2712;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" fillcolor="#231edc [3204]" strokecolor="black [3213]" strokeweight="1pt"/>
                      <v:rect id="Rectangle 1483816950" o:spid="_x0000_s1030" style="position:absolute;left:5425;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" fillcolor="white [3212]" strokecolor="black [3213]" strokeweight="1pt"/>
                      <v:rect id="Rectangle 610615122" o:spid="_x0000_s1031" style="position:absolute;left:4069;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" fillcolor="white [3212]" strokecolor="black [3213]" strokeweight="1pt"/>
                      <w10:anchorlock/>
                    </v:group>
                  </w:pict>
                </mc:Fallback>
              </mc:AlternateContent>
            </w:r>
          </w:p>
        </w:tc>
        <w:tc>
          <w:tcPr>
            <w:tcW w:w="2849" w:type="pct"/>
            <w:shd w:val="clear" w:color="auto" w:fill="auto"/>
          </w:tcPr>
          <w:p w14:paraId="1E11E331" w14:textId="08C0EF82" w:rsidR="005D582E" w:rsidRPr="005D74D1" w:rsidRDefault="005D582E" w:rsidP="00550192">
            <w:pPr>
              <w:pStyle w:val="TableText"/>
              <w:cnfStyle w:val="000000100000" w:firstRow="0" w:lastRow="0" w:firstColumn="0" w:lastColumn="0" w:oddVBand="0" w:evenVBand="0" w:oddHBand="1" w:evenHBand="0" w:firstRowFirstColumn="0" w:firstRowLastColumn="0" w:lastRowFirstColumn="0" w:lastRowLastColumn="0"/>
              <w:rPr>
                <w:rFonts w:cs="Arial"/>
                <w:lang w:val="en-AU"/>
              </w:rPr>
            </w:pPr>
            <w:r w:rsidRPr="005D74D1">
              <w:rPr>
                <w:rFonts w:cs="Arial"/>
                <w:lang w:val="en-AU"/>
              </w:rPr>
              <w:t>Publication of the CGRSWS and associated implementation works, and a suite of reform works represent key achievements</w:t>
            </w:r>
            <w:r w:rsidRPr="005D74D1">
              <w:rPr>
                <w:rFonts w:cs="Arial"/>
              </w:rPr>
              <w:t xml:space="preserve"> against</w:t>
            </w:r>
            <w:r w:rsidRPr="005D74D1">
              <w:rPr>
                <w:rFonts w:cs="Arial"/>
                <w:lang w:val="en-AU"/>
              </w:rPr>
              <w:t xml:space="preserve"> the end-of-EC5 outcomes. Some aspects experienced changes in approach which resulted in delays to </w:t>
            </w:r>
            <w:r w:rsidRPr="005D74D1">
              <w:rPr>
                <w:rFonts w:cs="Arial"/>
              </w:rPr>
              <w:t>achievement</w:t>
            </w:r>
            <w:r w:rsidRPr="005D74D1">
              <w:rPr>
                <w:rFonts w:cs="Arial"/>
                <w:lang w:val="en-AU"/>
              </w:rPr>
              <w:t xml:space="preserve"> of planned outcomes for EC5 and will flow through into EC6. For example, the development of a </w:t>
            </w:r>
            <w:r w:rsidR="00A82A3B" w:rsidRPr="005D74D1">
              <w:rPr>
                <w:rFonts w:cs="Arial"/>
                <w:lang w:val="en-AU"/>
              </w:rPr>
              <w:t>re</w:t>
            </w:r>
            <w:r w:rsidRPr="005D74D1">
              <w:rPr>
                <w:rFonts w:cs="Arial"/>
                <w:lang w:val="en-AU"/>
              </w:rPr>
              <w:t>new</w:t>
            </w:r>
            <w:r w:rsidR="00A82A3B" w:rsidRPr="005D74D1">
              <w:rPr>
                <w:rFonts w:cs="Arial"/>
                <w:lang w:val="en-AU"/>
              </w:rPr>
              <w:t>ed</w:t>
            </w:r>
            <w:r w:rsidRPr="005D74D1">
              <w:rPr>
                <w:rFonts w:cs="Arial"/>
                <w:lang w:val="en-AU"/>
              </w:rPr>
              <w:t xml:space="preserve"> Victorian Water Register platform will be part of EC6.</w:t>
            </w:r>
          </w:p>
        </w:tc>
      </w:tr>
      <w:tr w:rsidR="005D582E" w:rsidRPr="005D74D1" w14:paraId="225B7B2A" w14:textId="77777777" w:rsidTr="00C17099">
        <w:tc>
          <w:tcPr>
            <w:cnfStyle w:val="001000000000" w:firstRow="0" w:lastRow="0" w:firstColumn="1" w:lastColumn="0" w:oddVBand="0" w:evenVBand="0" w:oddHBand="0" w:evenHBand="0" w:firstRowFirstColumn="0" w:firstRowLastColumn="0" w:lastRowFirstColumn="0" w:lastRowLastColumn="0"/>
            <w:tcW w:w="650" w:type="pct"/>
            <w:vMerge/>
            <w:shd w:val="clear" w:color="auto" w:fill="auto"/>
            <w:vAlign w:val="center"/>
          </w:tcPr>
          <w:p w14:paraId="3DC9DE5A" w14:textId="77777777" w:rsidR="005D582E" w:rsidRPr="005D74D1" w:rsidRDefault="005D582E" w:rsidP="00C17099">
            <w:pPr>
              <w:pStyle w:val="TableText"/>
              <w:rPr>
                <w:rFonts w:cs="Arial"/>
                <w:b w:val="0"/>
                <w:lang w:val="en-AU"/>
              </w:rPr>
            </w:pPr>
          </w:p>
        </w:tc>
        <w:tc>
          <w:tcPr>
            <w:tcW w:w="888" w:type="pct"/>
            <w:shd w:val="clear" w:color="auto" w:fill="auto"/>
            <w:vAlign w:val="center"/>
          </w:tcPr>
          <w:p w14:paraId="0463F3FF" w14:textId="6CB109A4" w:rsidR="005D582E" w:rsidRPr="005D74D1" w:rsidRDefault="005D582E" w:rsidP="00C17099">
            <w:pPr>
              <w:pStyle w:val="TableText"/>
              <w:cnfStyle w:val="000000000000" w:firstRow="0" w:lastRow="0" w:firstColumn="0" w:lastColumn="0" w:oddVBand="0" w:evenVBand="0" w:oddHBand="0" w:evenHBand="0" w:firstRowFirstColumn="0" w:firstRowLastColumn="0" w:lastRowFirstColumn="0" w:lastRowLastColumn="0"/>
              <w:rPr>
                <w:rFonts w:cs="Arial"/>
                <w:lang w:val="en-AU"/>
              </w:rPr>
            </w:pPr>
            <w:r w:rsidRPr="005D74D1">
              <w:rPr>
                <w:rFonts w:cs="Arial"/>
                <w:lang w:val="en-AU"/>
              </w:rPr>
              <w:t>Overall progress toward long-term outcomes</w:t>
            </w:r>
          </w:p>
        </w:tc>
        <w:tc>
          <w:tcPr>
            <w:tcW w:w="613" w:type="pct"/>
            <w:shd w:val="clear" w:color="auto" w:fill="auto"/>
          </w:tcPr>
          <w:p w14:paraId="22F55A0E" w14:textId="77777777" w:rsidR="005D582E" w:rsidRPr="005D74D1" w:rsidRDefault="005D582E" w:rsidP="00550192">
            <w:pPr>
              <w:pStyle w:val="TableText"/>
              <w:cnfStyle w:val="000000000000" w:firstRow="0" w:lastRow="0" w:firstColumn="0" w:lastColumn="0" w:oddVBand="0" w:evenVBand="0" w:oddHBand="0" w:evenHBand="0" w:firstRowFirstColumn="0" w:firstRowLastColumn="0" w:lastRowFirstColumn="0" w:lastRowLastColumn="0"/>
              <w:rPr>
                <w:rFonts w:cs="Arial"/>
                <w:lang w:val="en-AU"/>
              </w:rPr>
            </w:pPr>
            <w:r w:rsidRPr="005D74D1">
              <w:rPr>
                <w:rFonts w:cs="Arial"/>
                <w:lang w:val="en-AU"/>
              </w:rPr>
              <w:t>Medium</w:t>
            </w:r>
          </w:p>
          <w:p w14:paraId="09943430" w14:textId="398C903F" w:rsidR="005D582E" w:rsidRPr="005D74D1" w:rsidRDefault="005D582E" w:rsidP="00550192">
            <w:pPr>
              <w:pStyle w:val="TableText"/>
              <w:cnfStyle w:val="000000000000" w:firstRow="0" w:lastRow="0" w:firstColumn="0" w:lastColumn="0" w:oddVBand="0" w:evenVBand="0" w:oddHBand="0" w:evenHBand="0" w:firstRowFirstColumn="0" w:firstRowLastColumn="0" w:lastRowFirstColumn="0" w:lastRowLastColumn="0"/>
              <w:rPr>
                <w:rFonts w:cs="Arial"/>
                <w:lang w:val="en-AU"/>
              </w:rPr>
            </w:pPr>
            <w:r w:rsidRPr="00A134A7">
              <w:rPr>
                <w:rFonts w:cs="Arial"/>
                <w:noProof/>
              </w:rPr>
              <mc:AlternateContent>
                <mc:Choice Requires="wpg">
                  <w:drawing>
                    <wp:inline distT="0" distB="0" distL="0" distR="0" wp14:anchorId="60868D76" wp14:editId="43B9CA83">
                      <wp:extent cx="460800" cy="246491"/>
                      <wp:effectExtent l="0" t="0" r="15875" b="20320"/>
                      <wp:docPr id="50" name="Group 50"/>
                      <wp:cNvGraphicFramePr/>
                      <a:graphic xmlns:a="http://schemas.openxmlformats.org/drawingml/2006/main">
                        <a:graphicData uri="http://schemas.microsoft.com/office/word/2010/wordprocessingGroup">
                          <wpg:wgp>
                            <wpg:cNvGrpSpPr/>
                            <wpg:grpSpPr>
                              <a:xfrm>
                                <a:off x="0" y="0"/>
                                <a:ext cx="460800" cy="246491"/>
                                <a:chOff x="0" y="0"/>
                                <a:chExt cx="675755" cy="246491"/>
                              </a:xfrm>
                            </wpg:grpSpPr>
                            <wps:wsp>
                              <wps:cNvPr id="51" name="Rectangle 51"/>
                              <wps:cNvSpPr/>
                              <wps:spPr>
                                <a:xfrm>
                                  <a:off x="0" y="0"/>
                                  <a:ext cx="133200" cy="246491"/>
                                </a:xfrm>
                                <a:prstGeom prst="rect">
                                  <a:avLst/>
                                </a:prstGeom>
                                <a:solidFill>
                                  <a:srgbClr val="FFC000"/>
                                </a:solidFill>
                                <a:ln w="12700" cap="flat" cmpd="sng" algn="ctr">
                                  <a:solidFill>
                                    <a:srgbClr val="000000"/>
                                  </a:solidFill>
                                  <a:prstDash val="solid"/>
                                  <a:miter lim="800000"/>
                                </a:ln>
                                <a:effectLst/>
                              </wps:spPr>
                              <wps:bodyPr rtlCol="0" anchor="ctr"/>
                            </wps:wsp>
                            <wps:wsp>
                              <wps:cNvPr id="52" name="Rectangle 52"/>
                              <wps:cNvSpPr/>
                              <wps:spPr>
                                <a:xfrm>
                                  <a:off x="135639" y="0"/>
                                  <a:ext cx="133200" cy="246491"/>
                                </a:xfrm>
                                <a:prstGeom prst="rect">
                                  <a:avLst/>
                                </a:prstGeom>
                                <a:solidFill>
                                  <a:srgbClr val="FFC000"/>
                                </a:solidFill>
                                <a:ln w="12700" cap="flat" cmpd="sng" algn="ctr">
                                  <a:solidFill>
                                    <a:srgbClr val="000000"/>
                                  </a:solidFill>
                                  <a:prstDash val="solid"/>
                                  <a:miter lim="800000"/>
                                </a:ln>
                                <a:effectLst/>
                              </wps:spPr>
                              <wps:bodyPr rtlCol="0" anchor="ctr"/>
                            </wps:wsp>
                            <wps:wsp>
                              <wps:cNvPr id="53" name="Rectangle 53"/>
                              <wps:cNvSpPr/>
                              <wps:spPr>
                                <a:xfrm>
                                  <a:off x="271278" y="0"/>
                                  <a:ext cx="133200" cy="246491"/>
                                </a:xfrm>
                                <a:prstGeom prst="rect">
                                  <a:avLst/>
                                </a:prstGeom>
                                <a:solidFill>
                                  <a:srgbClr val="FFC000"/>
                                </a:solidFill>
                                <a:ln w="12700" cap="flat" cmpd="sng" algn="ctr">
                                  <a:solidFill>
                                    <a:srgbClr val="000000"/>
                                  </a:solidFill>
                                  <a:prstDash val="solid"/>
                                  <a:miter lim="800000"/>
                                </a:ln>
                                <a:effectLst/>
                              </wps:spPr>
                              <wps:bodyPr rtlCol="0" anchor="ctr"/>
                            </wps:wsp>
                            <wps:wsp>
                              <wps:cNvPr id="54" name="Rectangle 54"/>
                              <wps:cNvSpPr/>
                              <wps:spPr>
                                <a:xfrm>
                                  <a:off x="542555" y="0"/>
                                  <a:ext cx="133200" cy="246491"/>
                                </a:xfrm>
                                <a:prstGeom prst="rect">
                                  <a:avLst/>
                                </a:prstGeom>
                                <a:solidFill>
                                  <a:srgbClr val="FFFFFF"/>
                                </a:solidFill>
                                <a:ln w="12700" cap="flat" cmpd="sng" algn="ctr">
                                  <a:solidFill>
                                    <a:srgbClr val="000000"/>
                                  </a:solidFill>
                                  <a:prstDash val="solid"/>
                                  <a:miter lim="800000"/>
                                </a:ln>
                                <a:effectLst/>
                              </wps:spPr>
                              <wps:bodyPr rtlCol="0" anchor="ctr"/>
                            </wps:wsp>
                            <wps:wsp>
                              <wps:cNvPr id="55" name="Rectangle 55"/>
                              <wps:cNvSpPr/>
                              <wps:spPr>
                                <a:xfrm>
                                  <a:off x="406917" y="0"/>
                                  <a:ext cx="133200" cy="246491"/>
                                </a:xfrm>
                                <a:prstGeom prst="rect">
                                  <a:avLst/>
                                </a:prstGeom>
                                <a:solidFill>
                                  <a:srgbClr val="FFFFFF"/>
                                </a:solidFill>
                                <a:ln w="12700" cap="flat" cmpd="sng" algn="ctr">
                                  <a:solidFill>
                                    <a:srgbClr val="000000"/>
                                  </a:solidFill>
                                  <a:prstDash val="solid"/>
                                  <a:miter lim="800000"/>
                                </a:ln>
                                <a:effectLst/>
                              </wps:spPr>
                              <wps:bodyPr rtlCol="0" anchor="ctr"/>
                            </wps:wsp>
                          </wpg:wgp>
                        </a:graphicData>
                      </a:graphic>
                    </wp:inline>
                  </w:drawing>
                </mc:Choice>
                <mc:Fallback xmlns:w16du="http://schemas.microsoft.com/office/word/2023/wordml/word16du">
                  <w:pict>
                    <v:group w14:anchorId="035A114D" id="Group 50" o:spid="_x0000_s1026" style="width:36.3pt;height:19.4pt;mso-position-horizontal-relative:char;mso-position-vertical-relative:line" coordsize="6757,2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">
                      <v:rect id="Rectangle 51" o:spid="_x0000_s1027" style="position:absolute;width:1332;height:2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" fillcolor="#ffc000" strokeweight="1pt"/>
                      <v:rect id="Rectangle 52" o:spid="_x0000_s1028" style="position:absolute;left:1356;width:1332;height:2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" fillcolor="#ffc000" strokeweight="1pt"/>
                      <v:rect id="Rectangle 53" o:spid="_x0000_s1029" style="position:absolute;left:2712;width:1332;height:2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" fillcolor="#ffc000" strokeweight="1pt"/>
                      <v:rect id="Rectangle 54" o:spid="_x0000_s1030" style="position:absolute;left:5425;width:1332;height:2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" strokeweight="1pt"/>
                      <v:rect id="Rectangle 55" o:spid="_x0000_s1031" style="position:absolute;left:4069;width:1332;height:2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" strokeweight="1pt"/>
                      <w10:anchorlock/>
                    </v:group>
                  </w:pict>
                </mc:Fallback>
              </mc:AlternateContent>
            </w:r>
          </w:p>
        </w:tc>
        <w:tc>
          <w:tcPr>
            <w:tcW w:w="2849" w:type="pct"/>
            <w:shd w:val="clear" w:color="auto" w:fill="auto"/>
          </w:tcPr>
          <w:p w14:paraId="15A2D1E8" w14:textId="512A6CCD" w:rsidR="005D582E" w:rsidRPr="005D74D1" w:rsidRDefault="005D582E" w:rsidP="00550192">
            <w:pPr>
              <w:pStyle w:val="TableText"/>
              <w:cnfStyle w:val="000000000000" w:firstRow="0" w:lastRow="0" w:firstColumn="0" w:lastColumn="0" w:oddVBand="0" w:evenVBand="0" w:oddHBand="0" w:evenHBand="0" w:firstRowFirstColumn="0" w:firstRowLastColumn="0" w:lastRowFirstColumn="0" w:lastRowLastColumn="0"/>
              <w:rPr>
                <w:rFonts w:cs="Arial"/>
                <w:lang w:val="en-AU"/>
              </w:rPr>
            </w:pPr>
            <w:r w:rsidRPr="005D74D1">
              <w:rPr>
                <w:rFonts w:cs="Arial"/>
                <w:lang w:val="en-AU"/>
              </w:rPr>
              <w:t>Investment through pr</w:t>
            </w:r>
            <w:r w:rsidRPr="005D74D1">
              <w:rPr>
                <w:rFonts w:cs="Arial"/>
              </w:rPr>
              <w:t>evious</w:t>
            </w:r>
            <w:r w:rsidRPr="005D74D1">
              <w:rPr>
                <w:rFonts w:cs="Arial"/>
                <w:lang w:val="en-AU"/>
              </w:rPr>
              <w:t xml:space="preserve"> EC tranches and other programs has maintained or increased water security in many systems throughout Victoria. Continued work is needed to maintain current water security and build resilience in the face of multiple stressors, such as population growth and a variable and changing climate. </w:t>
            </w:r>
          </w:p>
        </w:tc>
      </w:tr>
    </w:tbl>
    <w:p w14:paraId="48C1C1EF" w14:textId="77777777" w:rsidR="00A50E7D" w:rsidRPr="005D74D1" w:rsidRDefault="0000371B" w:rsidP="008E343B">
      <w:pPr>
        <w:pStyle w:val="BodyText"/>
        <w:rPr>
          <w:rFonts w:cs="Arial"/>
        </w:rPr>
      </w:pPr>
      <w:r w:rsidRPr="005D74D1">
        <w:rPr>
          <w:rFonts w:cs="Arial"/>
        </w:rPr>
        <w:t>This KEQ</w:t>
      </w:r>
      <w:r w:rsidR="009D0B26" w:rsidRPr="005D74D1">
        <w:rPr>
          <w:rFonts w:cs="Arial"/>
        </w:rPr>
        <w:t xml:space="preserve"> </w:t>
      </w:r>
      <w:r w:rsidR="00B93BA6" w:rsidRPr="005D74D1">
        <w:rPr>
          <w:rFonts w:cs="Arial"/>
        </w:rPr>
        <w:t>evaluates progress made toward the</w:t>
      </w:r>
      <w:r w:rsidR="009D0B26" w:rsidRPr="005D74D1">
        <w:rPr>
          <w:rFonts w:cs="Arial"/>
        </w:rPr>
        <w:t xml:space="preserve"> </w:t>
      </w:r>
      <w:r w:rsidR="00BB7666" w:rsidRPr="005D74D1">
        <w:rPr>
          <w:rFonts w:cs="Arial"/>
        </w:rPr>
        <w:t>Water Security objective of the EC5</w:t>
      </w:r>
      <w:r w:rsidR="004D2869" w:rsidRPr="005D74D1">
        <w:rPr>
          <w:rFonts w:cs="Arial"/>
        </w:rPr>
        <w:t>.</w:t>
      </w:r>
      <w:r w:rsidR="00C45D45" w:rsidRPr="005D74D1">
        <w:rPr>
          <w:rFonts w:cs="Arial"/>
        </w:rPr>
        <w:t xml:space="preserve"> </w:t>
      </w:r>
      <w:r w:rsidR="003A2120" w:rsidRPr="005D74D1">
        <w:rPr>
          <w:rFonts w:cs="Arial"/>
        </w:rPr>
        <w:t>The p</w:t>
      </w:r>
      <w:r w:rsidR="00B93BA6" w:rsidRPr="005D74D1">
        <w:rPr>
          <w:rFonts w:cs="Arial"/>
        </w:rPr>
        <w:t xml:space="preserve">rogram logic </w:t>
      </w:r>
      <w:r w:rsidR="00F67519" w:rsidRPr="005D74D1">
        <w:rPr>
          <w:rFonts w:cs="Arial"/>
        </w:rPr>
        <w:t xml:space="preserve">diagram </w:t>
      </w:r>
      <w:r w:rsidR="00946B20" w:rsidRPr="005D74D1">
        <w:rPr>
          <w:rFonts w:cs="Arial"/>
        </w:rPr>
        <w:t>(</w:t>
      </w:r>
      <w:r w:rsidR="00454D6E" w:rsidRPr="005D74D1">
        <w:rPr>
          <w:rFonts w:cs="Arial"/>
        </w:rPr>
        <w:t xml:space="preserve">see Section 3.3) </w:t>
      </w:r>
      <w:r w:rsidR="00F67519" w:rsidRPr="005D74D1">
        <w:rPr>
          <w:rFonts w:cs="Arial"/>
        </w:rPr>
        <w:t xml:space="preserve">includes </w:t>
      </w:r>
      <w:r w:rsidR="00CA7017" w:rsidRPr="005D74D1">
        <w:rPr>
          <w:rFonts w:cs="Arial"/>
        </w:rPr>
        <w:t xml:space="preserve">the long-term outcome </w:t>
      </w:r>
      <w:r w:rsidR="00A423C7" w:rsidRPr="005D74D1">
        <w:rPr>
          <w:rFonts w:cs="Arial"/>
        </w:rPr>
        <w:t>‘</w:t>
      </w:r>
      <w:r w:rsidR="00CA7017" w:rsidRPr="005D74D1">
        <w:rPr>
          <w:rFonts w:cs="Arial"/>
        </w:rPr>
        <w:t>Victoria</w:t>
      </w:r>
      <w:r w:rsidR="00120964" w:rsidRPr="005D74D1">
        <w:rPr>
          <w:rFonts w:cs="Arial"/>
        </w:rPr>
        <w:t xml:space="preserve">’s water systems </w:t>
      </w:r>
      <w:r w:rsidR="00041D97" w:rsidRPr="005D74D1">
        <w:rPr>
          <w:rFonts w:cs="Arial"/>
        </w:rPr>
        <w:t>are</w:t>
      </w:r>
      <w:r w:rsidR="00120964" w:rsidRPr="005D74D1">
        <w:rPr>
          <w:rFonts w:cs="Arial"/>
        </w:rPr>
        <w:t xml:space="preserve"> </w:t>
      </w:r>
      <w:r w:rsidR="00041D97" w:rsidRPr="005D74D1">
        <w:rPr>
          <w:rFonts w:cs="Arial"/>
        </w:rPr>
        <w:t>secure</w:t>
      </w:r>
      <w:r w:rsidR="00120964" w:rsidRPr="005D74D1">
        <w:rPr>
          <w:rFonts w:cs="Arial"/>
        </w:rPr>
        <w:t xml:space="preserve"> and resilient</w:t>
      </w:r>
      <w:r w:rsidR="00A423C7" w:rsidRPr="005D74D1">
        <w:rPr>
          <w:rFonts w:cs="Arial"/>
        </w:rPr>
        <w:t>’</w:t>
      </w:r>
      <w:r w:rsidR="00120964" w:rsidRPr="005D74D1">
        <w:rPr>
          <w:rFonts w:cs="Arial"/>
        </w:rPr>
        <w:t xml:space="preserve"> supported by the following </w:t>
      </w:r>
      <w:r w:rsidR="006D34AF" w:rsidRPr="005D74D1">
        <w:rPr>
          <w:rFonts w:cs="Arial"/>
        </w:rPr>
        <w:t>E</w:t>
      </w:r>
      <w:r w:rsidR="00041D97" w:rsidRPr="005D74D1">
        <w:rPr>
          <w:rFonts w:cs="Arial"/>
        </w:rPr>
        <w:t>nd</w:t>
      </w:r>
      <w:r w:rsidR="000970B1" w:rsidRPr="005D74D1">
        <w:rPr>
          <w:rFonts w:cs="Arial"/>
        </w:rPr>
        <w:t>-</w:t>
      </w:r>
      <w:r w:rsidR="00041D97" w:rsidRPr="005D74D1">
        <w:rPr>
          <w:rFonts w:cs="Arial"/>
        </w:rPr>
        <w:t>of</w:t>
      </w:r>
      <w:r w:rsidR="000970B1" w:rsidRPr="005D74D1">
        <w:rPr>
          <w:rFonts w:cs="Arial"/>
        </w:rPr>
        <w:t>-</w:t>
      </w:r>
      <w:r w:rsidR="006D34AF" w:rsidRPr="005D74D1">
        <w:rPr>
          <w:rFonts w:cs="Arial"/>
        </w:rPr>
        <w:t>T</w:t>
      </w:r>
      <w:r w:rsidR="00041D97" w:rsidRPr="005D74D1">
        <w:rPr>
          <w:rFonts w:cs="Arial"/>
        </w:rPr>
        <w:t>ranche outcomes:</w:t>
      </w:r>
    </w:p>
    <w:p w14:paraId="6C260DFA" w14:textId="0519C5B1" w:rsidR="00D97EDF" w:rsidRPr="005D74D1" w:rsidRDefault="00241151" w:rsidP="009E3D9F">
      <w:pPr>
        <w:pStyle w:val="BulletLevel1"/>
        <w:rPr>
          <w:rFonts w:cs="Arial"/>
          <w:lang w:val="en-AU"/>
        </w:rPr>
      </w:pPr>
      <w:r w:rsidRPr="005D74D1">
        <w:rPr>
          <w:rFonts w:cs="Arial"/>
          <w:lang w:val="en-AU"/>
        </w:rPr>
        <w:t xml:space="preserve">improved </w:t>
      </w:r>
      <w:r w:rsidR="00CB2ED5" w:rsidRPr="005D74D1">
        <w:rPr>
          <w:rFonts w:cs="Arial"/>
          <w:lang w:val="en-AU"/>
        </w:rPr>
        <w:t>urban and rural planning for long</w:t>
      </w:r>
      <w:r w:rsidR="00AF6577" w:rsidRPr="005D74D1">
        <w:rPr>
          <w:rFonts w:cs="Arial"/>
          <w:lang w:val="en-AU"/>
        </w:rPr>
        <w:t>-</w:t>
      </w:r>
      <w:r w:rsidR="00CB2ED5" w:rsidRPr="005D74D1">
        <w:rPr>
          <w:rFonts w:cs="Arial"/>
          <w:lang w:val="en-AU"/>
        </w:rPr>
        <w:t>term water security</w:t>
      </w:r>
    </w:p>
    <w:p w14:paraId="6D0CE4EA" w14:textId="33757135" w:rsidR="00A27CFE" w:rsidRPr="005D74D1" w:rsidRDefault="00DA564C" w:rsidP="009E3D9F">
      <w:pPr>
        <w:pStyle w:val="BulletLevel1"/>
        <w:rPr>
          <w:rFonts w:cs="Arial"/>
          <w:lang w:val="en-AU"/>
        </w:rPr>
      </w:pPr>
      <w:r w:rsidRPr="005D74D1">
        <w:rPr>
          <w:rFonts w:cs="Arial"/>
          <w:lang w:val="en-AU"/>
        </w:rPr>
        <w:t xml:space="preserve">increased </w:t>
      </w:r>
      <w:r w:rsidR="00A27CFE" w:rsidRPr="005D74D1">
        <w:rPr>
          <w:rFonts w:cs="Arial"/>
          <w:lang w:val="en-AU"/>
        </w:rPr>
        <w:t xml:space="preserve">uptake of </w:t>
      </w:r>
      <w:r w:rsidR="00355854" w:rsidRPr="005D74D1">
        <w:rPr>
          <w:rFonts w:cs="Arial"/>
          <w:lang w:val="en-AU"/>
        </w:rPr>
        <w:t xml:space="preserve">manufactured </w:t>
      </w:r>
      <w:r w:rsidR="00A27CFE" w:rsidRPr="005D74D1">
        <w:rPr>
          <w:rFonts w:cs="Arial"/>
          <w:lang w:val="en-AU"/>
        </w:rPr>
        <w:t>water supplies</w:t>
      </w:r>
    </w:p>
    <w:p w14:paraId="23E8C67C" w14:textId="744D185B" w:rsidR="007A59CA" w:rsidRPr="005D74D1" w:rsidRDefault="00DA564C" w:rsidP="009E3D9F">
      <w:pPr>
        <w:pStyle w:val="BulletLevel1"/>
        <w:rPr>
          <w:rFonts w:cs="Arial"/>
          <w:lang w:val="en-AU"/>
        </w:rPr>
      </w:pPr>
      <w:r w:rsidRPr="005D74D1">
        <w:rPr>
          <w:rFonts w:cs="Arial"/>
          <w:lang w:val="en-AU"/>
        </w:rPr>
        <w:t xml:space="preserve">reduced </w:t>
      </w:r>
      <w:r w:rsidR="007A59CA" w:rsidRPr="005D74D1">
        <w:rPr>
          <w:rFonts w:cs="Arial"/>
          <w:lang w:val="en-AU"/>
        </w:rPr>
        <w:t>pressure on the water grid</w:t>
      </w:r>
    </w:p>
    <w:p w14:paraId="65C4DFCD" w14:textId="45362069" w:rsidR="00C44215" w:rsidRPr="005D74D1" w:rsidRDefault="00DA564C" w:rsidP="009E3D9F">
      <w:pPr>
        <w:pStyle w:val="BulletLevel1"/>
        <w:rPr>
          <w:rFonts w:cs="Arial"/>
          <w:lang w:val="en-AU"/>
        </w:rPr>
      </w:pPr>
      <w:r w:rsidRPr="005D74D1">
        <w:rPr>
          <w:rFonts w:cs="Arial"/>
          <w:lang w:val="en-AU"/>
        </w:rPr>
        <w:lastRenderedPageBreak/>
        <w:t xml:space="preserve">improved </w:t>
      </w:r>
      <w:r w:rsidR="00C44215" w:rsidRPr="005D74D1">
        <w:rPr>
          <w:rFonts w:cs="Arial"/>
          <w:lang w:val="en-AU"/>
        </w:rPr>
        <w:t>efficiency, effectiveness, and transparency of water markets</w:t>
      </w:r>
    </w:p>
    <w:p w14:paraId="46377032" w14:textId="5094DF87" w:rsidR="00C93E6B" w:rsidRPr="005D74D1" w:rsidRDefault="00DA564C" w:rsidP="009E3D9F">
      <w:pPr>
        <w:pStyle w:val="BulletLevel1"/>
        <w:rPr>
          <w:rFonts w:cs="Arial"/>
          <w:lang w:val="en-AU"/>
        </w:rPr>
      </w:pPr>
      <w:r w:rsidRPr="005D74D1">
        <w:rPr>
          <w:rFonts w:cs="Arial"/>
          <w:lang w:val="en-AU"/>
        </w:rPr>
        <w:t xml:space="preserve">more </w:t>
      </w:r>
      <w:r w:rsidR="00C93E6B" w:rsidRPr="005D74D1">
        <w:rPr>
          <w:rFonts w:cs="Arial"/>
          <w:lang w:val="en-AU"/>
        </w:rPr>
        <w:t>robust water entitlement system</w:t>
      </w:r>
    </w:p>
    <w:p w14:paraId="555DA69F" w14:textId="77777777" w:rsidR="00A50E7D" w:rsidRPr="005D74D1" w:rsidRDefault="001C3154" w:rsidP="00E3104A">
      <w:pPr>
        <w:pStyle w:val="BodyText"/>
        <w:rPr>
          <w:rFonts w:cs="Arial"/>
        </w:rPr>
      </w:pPr>
      <w:r w:rsidRPr="005D74D1">
        <w:rPr>
          <w:rFonts w:cs="Arial"/>
        </w:rPr>
        <w:t>A summary of the achievements made by EC5 projects to these outcomes is provided</w:t>
      </w:r>
      <w:r w:rsidR="00642F29" w:rsidRPr="005D74D1">
        <w:rPr>
          <w:rFonts w:cs="Arial"/>
        </w:rPr>
        <w:t xml:space="preserve"> below</w:t>
      </w:r>
      <w:r w:rsidR="00133D71" w:rsidRPr="005D74D1">
        <w:rPr>
          <w:rFonts w:cs="Arial"/>
        </w:rPr>
        <w:t>.</w:t>
      </w:r>
      <w:r w:rsidR="00236A12" w:rsidRPr="005D74D1">
        <w:rPr>
          <w:rFonts w:cs="Arial"/>
        </w:rPr>
        <w:t xml:space="preserve"> </w:t>
      </w:r>
      <w:r w:rsidR="003A6D91" w:rsidRPr="005D74D1">
        <w:rPr>
          <w:rFonts w:cs="Arial"/>
        </w:rPr>
        <w:t xml:space="preserve">This is supported by </w:t>
      </w:r>
      <w:r w:rsidR="00D11903" w:rsidRPr="005D74D1">
        <w:rPr>
          <w:rFonts w:cs="Arial"/>
        </w:rPr>
        <w:t xml:space="preserve">examples of some of the main ways that individual </w:t>
      </w:r>
      <w:r w:rsidR="00856D03" w:rsidRPr="005D74D1">
        <w:rPr>
          <w:rFonts w:cs="Arial"/>
        </w:rPr>
        <w:t>project</w:t>
      </w:r>
      <w:r w:rsidR="00D11903" w:rsidRPr="005D74D1">
        <w:rPr>
          <w:rFonts w:cs="Arial"/>
        </w:rPr>
        <w:t>s have contributed to each outcome area, provided in Appendix B.</w:t>
      </w:r>
    </w:p>
    <w:p w14:paraId="120CC6F4" w14:textId="1939B190" w:rsidR="00B401C8" w:rsidRPr="00A134A7" w:rsidRDefault="00B401C8" w:rsidP="0020487D">
      <w:pPr>
        <w:pStyle w:val="Heading3"/>
        <w:rPr>
          <w:rFonts w:ascii="Arial" w:hAnsi="Arial" w:cs="Arial"/>
        </w:rPr>
      </w:pPr>
      <w:r w:rsidRPr="00A134A7">
        <w:rPr>
          <w:rFonts w:ascii="Arial" w:hAnsi="Arial" w:cs="Arial"/>
        </w:rPr>
        <w:t>Improved urban and rural planning for long-term water security</w:t>
      </w:r>
    </w:p>
    <w:p w14:paraId="10604796" w14:textId="77777777" w:rsidR="00A50E7D" w:rsidRPr="005D74D1" w:rsidRDefault="00B401C8" w:rsidP="00B401C8">
      <w:pPr>
        <w:pStyle w:val="BodyText"/>
        <w:spacing w:before="60"/>
        <w:rPr>
          <w:rFonts w:cs="Arial"/>
        </w:rPr>
      </w:pPr>
      <w:r w:rsidRPr="005D74D1">
        <w:rPr>
          <w:rFonts w:cs="Arial"/>
        </w:rPr>
        <w:t xml:space="preserve">EC5 delivered a suite of projects to improve Victoria’s ability to plan for long-term water security. The development of the CGRSWS, and associated implementation works, was a key achievement of the </w:t>
      </w:r>
      <w:r w:rsidR="008B6DDF" w:rsidRPr="005D74D1">
        <w:rPr>
          <w:rFonts w:cs="Arial"/>
        </w:rPr>
        <w:t>t</w:t>
      </w:r>
      <w:r w:rsidRPr="005D74D1">
        <w:rPr>
          <w:rFonts w:cs="Arial"/>
        </w:rPr>
        <w:t>ranche. Other planning</w:t>
      </w:r>
      <w:r w:rsidR="00AA5F89" w:rsidRPr="005D74D1">
        <w:rPr>
          <w:rFonts w:cs="Arial"/>
        </w:rPr>
        <w:t>-based</w:t>
      </w:r>
      <w:r w:rsidRPr="005D74D1">
        <w:rPr>
          <w:rFonts w:cs="Arial"/>
        </w:rPr>
        <w:t xml:space="preserve"> projects provided improved coordination of planning approaches, collaboration, and planning for adaptation to climate change. These include:</w:t>
      </w:r>
    </w:p>
    <w:p w14:paraId="77572384" w14:textId="48AF83CE" w:rsidR="00B401C8" w:rsidRPr="00A134A7" w:rsidRDefault="00B401C8" w:rsidP="00550192">
      <w:pPr>
        <w:pStyle w:val="BulletLevel1"/>
        <w:rPr>
          <w:rFonts w:cs="Arial"/>
          <w:lang w:val="en-AU"/>
        </w:rPr>
      </w:pPr>
      <w:r w:rsidRPr="00A134A7">
        <w:rPr>
          <w:rFonts w:cs="Arial"/>
          <w:lang w:val="en-AU"/>
        </w:rPr>
        <w:t xml:space="preserve">review and update of the </w:t>
      </w:r>
      <w:r w:rsidRPr="00A134A7">
        <w:rPr>
          <w:rFonts w:cs="Arial"/>
          <w:i/>
          <w:lang w:val="en-AU"/>
        </w:rPr>
        <w:t>Urban Water Strategy Guidelines</w:t>
      </w:r>
      <w:r w:rsidRPr="00A134A7">
        <w:rPr>
          <w:rFonts w:cs="Arial"/>
          <w:lang w:val="en-AU"/>
        </w:rPr>
        <w:t xml:space="preserve"> and assessment of the broader water planning framework</w:t>
      </w:r>
    </w:p>
    <w:p w14:paraId="64FA6D3F" w14:textId="76F71509" w:rsidR="00B401C8" w:rsidRPr="00A134A7" w:rsidRDefault="00B401C8" w:rsidP="00550192">
      <w:pPr>
        <w:pStyle w:val="BulletLevel1"/>
        <w:rPr>
          <w:rFonts w:cs="Arial"/>
          <w:lang w:val="en-AU"/>
        </w:rPr>
      </w:pPr>
      <w:r w:rsidRPr="00A134A7">
        <w:rPr>
          <w:rFonts w:cs="Arial"/>
          <w:lang w:val="en-AU"/>
        </w:rPr>
        <w:t xml:space="preserve">developing a response to the findings of the </w:t>
      </w:r>
      <w:r w:rsidRPr="00A134A7">
        <w:rPr>
          <w:rFonts w:cs="Arial"/>
          <w:i/>
          <w:lang w:val="en-AU"/>
        </w:rPr>
        <w:t xml:space="preserve">Long-Term Water Resource Assessment </w:t>
      </w:r>
      <w:r w:rsidR="003E6FC7" w:rsidRPr="00A134A7">
        <w:rPr>
          <w:rFonts w:cs="Arial"/>
          <w:i/>
          <w:lang w:val="en-AU"/>
        </w:rPr>
        <w:t xml:space="preserve">for </w:t>
      </w:r>
      <w:r w:rsidRPr="00A134A7">
        <w:rPr>
          <w:rFonts w:cs="Arial"/>
          <w:i/>
          <w:lang w:val="en-AU"/>
        </w:rPr>
        <w:t>Southern Victoria</w:t>
      </w:r>
      <w:r w:rsidR="007E0030" w:rsidRPr="00A134A7">
        <w:rPr>
          <w:rFonts w:cs="Arial"/>
          <w:i/>
          <w:lang w:val="en-AU"/>
        </w:rPr>
        <w:t xml:space="preserve">, </w:t>
      </w:r>
      <w:r w:rsidR="00B0542D" w:rsidRPr="00A134A7">
        <w:rPr>
          <w:rFonts w:cs="Arial"/>
          <w:lang w:val="en-AU"/>
        </w:rPr>
        <w:t>by</w:t>
      </w:r>
      <w:r w:rsidR="007E0030" w:rsidRPr="00A134A7">
        <w:rPr>
          <w:rFonts w:cs="Arial"/>
          <w:lang w:val="en-AU"/>
        </w:rPr>
        <w:t xml:space="preserve"> </w:t>
      </w:r>
      <w:r w:rsidR="007D05FF" w:rsidRPr="00A134A7">
        <w:rPr>
          <w:rFonts w:cs="Arial"/>
          <w:lang w:val="en-AU"/>
        </w:rPr>
        <w:t xml:space="preserve">developing a set of actions </w:t>
      </w:r>
      <w:r w:rsidR="00A4240B" w:rsidRPr="00A134A7">
        <w:rPr>
          <w:rFonts w:cs="Arial"/>
          <w:lang w:val="en-AU"/>
        </w:rPr>
        <w:t xml:space="preserve">in the CGRSWS </w:t>
      </w:r>
      <w:r w:rsidR="006D2C65" w:rsidRPr="00A134A7">
        <w:rPr>
          <w:rFonts w:cs="Arial"/>
          <w:lang w:val="en-AU"/>
        </w:rPr>
        <w:t>targeted</w:t>
      </w:r>
      <w:r w:rsidR="007D05FF" w:rsidRPr="00A134A7">
        <w:rPr>
          <w:rFonts w:cs="Arial"/>
          <w:lang w:val="en-AU"/>
        </w:rPr>
        <w:t xml:space="preserve"> toward </w:t>
      </w:r>
      <w:r w:rsidR="006D2C65" w:rsidRPr="00A134A7">
        <w:rPr>
          <w:rFonts w:cs="Arial"/>
          <w:lang w:val="en-AU"/>
        </w:rPr>
        <w:t xml:space="preserve">sustainable solutions to </w:t>
      </w:r>
      <w:r w:rsidR="007D05FF" w:rsidRPr="00A134A7">
        <w:rPr>
          <w:rFonts w:cs="Arial"/>
          <w:lang w:val="en-AU"/>
        </w:rPr>
        <w:t>addressing decline in water availability</w:t>
      </w:r>
    </w:p>
    <w:p w14:paraId="763DF21C" w14:textId="3FD641E5" w:rsidR="00B401C8" w:rsidRPr="00A134A7" w:rsidRDefault="00B401C8" w:rsidP="00550192">
      <w:pPr>
        <w:pStyle w:val="BulletLevel1"/>
        <w:rPr>
          <w:rFonts w:cs="Arial"/>
          <w:lang w:val="en-AU"/>
        </w:rPr>
      </w:pPr>
      <w:r w:rsidRPr="00A134A7">
        <w:rPr>
          <w:rFonts w:cs="Arial"/>
          <w:lang w:val="en-AU"/>
        </w:rPr>
        <w:t xml:space="preserve">publication of the first full </w:t>
      </w:r>
      <w:r w:rsidRPr="00A134A7">
        <w:rPr>
          <w:rFonts w:cs="Arial"/>
          <w:i/>
          <w:lang w:val="en-AU"/>
        </w:rPr>
        <w:t>Water Cycle Adaptation Action Plan</w:t>
      </w:r>
      <w:r w:rsidR="00E43816" w:rsidRPr="00A134A7">
        <w:rPr>
          <w:rFonts w:cs="Arial"/>
          <w:i/>
          <w:lang w:val="en-AU"/>
        </w:rPr>
        <w:t xml:space="preserve">, </w:t>
      </w:r>
      <w:r w:rsidR="00E43816" w:rsidRPr="00A134A7">
        <w:rPr>
          <w:rFonts w:cs="Arial"/>
          <w:lang w:val="en-AU"/>
        </w:rPr>
        <w:t>focused on ensuring the water sector can continue to provide safe, secure, and reliable water services under a changing</w:t>
      </w:r>
      <w:r w:rsidR="00550192" w:rsidRPr="00A134A7">
        <w:rPr>
          <w:rFonts w:cs="Arial"/>
          <w:lang w:val="en-AU"/>
        </w:rPr>
        <w:t> </w:t>
      </w:r>
      <w:r w:rsidR="00E43816" w:rsidRPr="00A134A7">
        <w:rPr>
          <w:rFonts w:cs="Arial"/>
          <w:lang w:val="en-AU"/>
        </w:rPr>
        <w:t>climate</w:t>
      </w:r>
    </w:p>
    <w:p w14:paraId="417E0F69" w14:textId="7FEEE4D0" w:rsidR="00B401C8" w:rsidRPr="00A134A7" w:rsidRDefault="00B401C8" w:rsidP="00550192">
      <w:pPr>
        <w:pStyle w:val="BulletLevel1"/>
        <w:rPr>
          <w:rFonts w:cs="Arial"/>
          <w:lang w:val="en-AU"/>
        </w:rPr>
      </w:pPr>
      <w:r w:rsidRPr="00A134A7">
        <w:rPr>
          <w:rFonts w:cs="Arial"/>
          <w:lang w:val="en-AU"/>
        </w:rPr>
        <w:t>facilitation of the 15 IWM Forums</w:t>
      </w:r>
      <w:r w:rsidRPr="00A134A7" w:rsidDel="0093279B">
        <w:rPr>
          <w:rFonts w:cs="Arial"/>
          <w:lang w:val="en-AU"/>
        </w:rPr>
        <w:t xml:space="preserve"> and </w:t>
      </w:r>
      <w:r w:rsidRPr="00A134A7">
        <w:rPr>
          <w:rFonts w:cs="Arial"/>
          <w:lang w:val="en-AU"/>
        </w:rPr>
        <w:t>development of action plans for each Forum</w:t>
      </w:r>
      <w:r w:rsidR="00A97E40" w:rsidRPr="00A134A7">
        <w:rPr>
          <w:rFonts w:cs="Arial"/>
          <w:lang w:val="en-AU"/>
        </w:rPr>
        <w:t xml:space="preserve"> supporting the shift towards</w:t>
      </w:r>
      <w:r w:rsidR="00FA57A6" w:rsidRPr="00A134A7">
        <w:rPr>
          <w:rFonts w:cs="Arial"/>
          <w:lang w:val="en-AU"/>
        </w:rPr>
        <w:t xml:space="preserve"> IWM as business-as-usual water management in Victoria</w:t>
      </w:r>
    </w:p>
    <w:p w14:paraId="4B65CEC6" w14:textId="0ACD0B28" w:rsidR="00745D38" w:rsidRPr="00A134A7" w:rsidRDefault="00191EF6" w:rsidP="00550192">
      <w:pPr>
        <w:pStyle w:val="BulletLevel1"/>
        <w:rPr>
          <w:rFonts w:cs="Arial"/>
          <w:lang w:val="en-AU"/>
        </w:rPr>
      </w:pPr>
      <w:r w:rsidRPr="00A134A7">
        <w:rPr>
          <w:rFonts w:cs="Arial"/>
          <w:lang w:val="en-AU"/>
        </w:rPr>
        <w:t>t</w:t>
      </w:r>
      <w:r w:rsidR="00E411BF" w:rsidRPr="00A134A7">
        <w:rPr>
          <w:rFonts w:cs="Arial"/>
          <w:lang w:val="en-AU"/>
        </w:rPr>
        <w:t xml:space="preserve">ransitioning all </w:t>
      </w:r>
      <w:r w:rsidR="002417CC" w:rsidRPr="00A134A7">
        <w:rPr>
          <w:rFonts w:cs="Arial"/>
          <w:lang w:val="en-AU"/>
        </w:rPr>
        <w:t>major Victorian surface water resource systems models from REALM (Resource Allocation Model) to the Source platform, for improved consistency and ability to support policy, planning and management decisions</w:t>
      </w:r>
    </w:p>
    <w:p w14:paraId="776E05B7" w14:textId="47A55F32" w:rsidR="002417CC" w:rsidRPr="00A134A7" w:rsidRDefault="00955E0E" w:rsidP="00550192">
      <w:pPr>
        <w:pStyle w:val="BulletLevel1"/>
        <w:rPr>
          <w:rFonts w:cs="Arial"/>
          <w:lang w:val="en-AU"/>
        </w:rPr>
      </w:pPr>
      <w:r w:rsidRPr="00A134A7">
        <w:rPr>
          <w:rFonts w:cs="Arial"/>
          <w:lang w:val="en-AU"/>
        </w:rPr>
        <w:t>a state-wide review of caps for all groundwater systems and statewide assessment of sustainable use of these systems</w:t>
      </w:r>
      <w:r w:rsidR="0071375D" w:rsidRPr="00A134A7">
        <w:rPr>
          <w:rFonts w:cs="Arial"/>
          <w:lang w:val="en-AU"/>
        </w:rPr>
        <w:t xml:space="preserve">, along with analysis of risks </w:t>
      </w:r>
      <w:r w:rsidR="00191EF6" w:rsidRPr="00A134A7">
        <w:rPr>
          <w:rFonts w:cs="Arial"/>
          <w:lang w:val="en-AU"/>
        </w:rPr>
        <w:t>associated with the entitlement</w:t>
      </w:r>
      <w:r w:rsidR="00550192" w:rsidRPr="00A134A7">
        <w:rPr>
          <w:rFonts w:cs="Arial"/>
          <w:lang w:val="en-AU"/>
        </w:rPr>
        <w:t> </w:t>
      </w:r>
      <w:r w:rsidR="00191EF6" w:rsidRPr="00A134A7">
        <w:rPr>
          <w:rFonts w:cs="Arial"/>
          <w:lang w:val="en-AU"/>
        </w:rPr>
        <w:t>framework.</w:t>
      </w:r>
    </w:p>
    <w:p w14:paraId="4E85501D" w14:textId="1621634B" w:rsidR="00B401C8" w:rsidRPr="005D74D1" w:rsidRDefault="00B401C8" w:rsidP="00B401C8">
      <w:pPr>
        <w:pStyle w:val="BodyText"/>
        <w:rPr>
          <w:rFonts w:cs="Arial"/>
        </w:rPr>
      </w:pPr>
      <w:r w:rsidRPr="005D74D1">
        <w:rPr>
          <w:rFonts w:cs="Arial"/>
        </w:rPr>
        <w:t xml:space="preserve">Case Study 1 outlines ways in which the CGRSWS is promoting long-term water security </w:t>
      </w:r>
      <w:r w:rsidR="00A00967" w:rsidRPr="005D74D1">
        <w:rPr>
          <w:rFonts w:cs="Arial"/>
        </w:rPr>
        <w:t xml:space="preserve">by </w:t>
      </w:r>
      <w:r w:rsidR="00C75DB2" w:rsidRPr="005D74D1">
        <w:rPr>
          <w:rFonts w:cs="Arial"/>
        </w:rPr>
        <w:t xml:space="preserve">enabling </w:t>
      </w:r>
      <w:r w:rsidR="006000D4" w:rsidRPr="005D74D1">
        <w:rPr>
          <w:rFonts w:cs="Arial"/>
        </w:rPr>
        <w:t>a shift</w:t>
      </w:r>
      <w:r w:rsidRPr="005D74D1">
        <w:rPr>
          <w:rFonts w:cs="Arial"/>
        </w:rPr>
        <w:t xml:space="preserve"> away from reliance on river water towards climate-resilient manufactured water to augment our water supplies.</w:t>
      </w:r>
    </w:p>
    <w:p w14:paraId="640CA451" w14:textId="3B84C357" w:rsidR="00B401C8" w:rsidRPr="00A134A7" w:rsidRDefault="00B401C8" w:rsidP="0020487D">
      <w:pPr>
        <w:pStyle w:val="Heading3"/>
        <w:rPr>
          <w:rFonts w:ascii="Arial" w:hAnsi="Arial" w:cs="Arial"/>
        </w:rPr>
      </w:pPr>
      <w:r w:rsidRPr="00A134A7">
        <w:rPr>
          <w:rFonts w:ascii="Arial" w:hAnsi="Arial" w:cs="Arial"/>
        </w:rPr>
        <w:t xml:space="preserve">Increased uptake of </w:t>
      </w:r>
      <w:r w:rsidR="00A006BD" w:rsidRPr="00A134A7">
        <w:rPr>
          <w:rFonts w:ascii="Arial" w:hAnsi="Arial" w:cs="Arial"/>
        </w:rPr>
        <w:t xml:space="preserve">manufactured </w:t>
      </w:r>
      <w:r w:rsidRPr="00A134A7">
        <w:rPr>
          <w:rFonts w:ascii="Arial" w:hAnsi="Arial" w:cs="Arial"/>
        </w:rPr>
        <w:t>water supplies</w:t>
      </w:r>
    </w:p>
    <w:p w14:paraId="77491A15" w14:textId="583E923B" w:rsidR="00A50E7D" w:rsidRPr="005D74D1" w:rsidRDefault="00B401C8" w:rsidP="00B401C8">
      <w:pPr>
        <w:pStyle w:val="BodyText"/>
        <w:spacing w:before="60"/>
        <w:rPr>
          <w:rFonts w:cs="Arial"/>
        </w:rPr>
      </w:pPr>
      <w:r w:rsidRPr="005D74D1">
        <w:rPr>
          <w:rFonts w:cs="Arial"/>
        </w:rPr>
        <w:t xml:space="preserve">EC5 projects funded the delivery of a range of </w:t>
      </w:r>
      <w:r w:rsidR="005022D8" w:rsidRPr="005D74D1">
        <w:rPr>
          <w:rFonts w:cs="Arial"/>
        </w:rPr>
        <w:t>on-ground</w:t>
      </w:r>
      <w:r w:rsidRPr="005D74D1">
        <w:rPr>
          <w:rFonts w:cs="Arial"/>
        </w:rPr>
        <w:t xml:space="preserve"> works, designs, and planning for uptake of recycled water, stormwater and rainwater supplies. Throughout EC5 there </w:t>
      </w:r>
      <w:r w:rsidR="00904BCD" w:rsidRPr="005D74D1">
        <w:rPr>
          <w:rFonts w:cs="Arial"/>
        </w:rPr>
        <w:t>was</w:t>
      </w:r>
      <w:r w:rsidRPr="005D74D1">
        <w:rPr>
          <w:rFonts w:cs="Arial"/>
        </w:rPr>
        <w:t xml:space="preserve"> a shift from primarily policy and planning (in EC4) toward increasing implementation of </w:t>
      </w:r>
      <w:r w:rsidR="00A006BD" w:rsidRPr="005D74D1">
        <w:rPr>
          <w:rFonts w:cs="Arial"/>
        </w:rPr>
        <w:t xml:space="preserve">manufactured </w:t>
      </w:r>
      <w:r w:rsidRPr="005D74D1">
        <w:rPr>
          <w:rFonts w:cs="Arial"/>
        </w:rPr>
        <w:t xml:space="preserve">water projects. Projects delivered </w:t>
      </w:r>
      <w:r w:rsidR="0062331A" w:rsidRPr="005D74D1">
        <w:rPr>
          <w:rFonts w:cs="Arial"/>
        </w:rPr>
        <w:t>in EC5</w:t>
      </w:r>
      <w:r w:rsidRPr="005D74D1">
        <w:rPr>
          <w:rFonts w:cs="Arial"/>
        </w:rPr>
        <w:t xml:space="preserve"> will generate </w:t>
      </w:r>
      <w:r w:rsidR="00610F27" w:rsidRPr="005D74D1">
        <w:rPr>
          <w:rFonts w:cs="Arial"/>
        </w:rPr>
        <w:t>around 3</w:t>
      </w:r>
      <w:r w:rsidR="3D563EFA" w:rsidRPr="005D74D1">
        <w:rPr>
          <w:rFonts w:cs="Arial"/>
        </w:rPr>
        <w:t>.0 GL</w:t>
      </w:r>
      <w:r w:rsidRPr="005D74D1">
        <w:rPr>
          <w:rFonts w:cs="Arial"/>
        </w:rPr>
        <w:t xml:space="preserve">/yr of </w:t>
      </w:r>
      <w:r w:rsidR="00A006BD" w:rsidRPr="005D74D1">
        <w:rPr>
          <w:rFonts w:cs="Arial"/>
        </w:rPr>
        <w:t xml:space="preserve">manufactured </w:t>
      </w:r>
      <w:r w:rsidRPr="005D74D1">
        <w:rPr>
          <w:rFonts w:cs="Arial"/>
        </w:rPr>
        <w:t>water, and planning and design has commenced for future implementation.</w:t>
      </w:r>
      <w:r w:rsidR="00DC3DFE" w:rsidRPr="005D74D1">
        <w:rPr>
          <w:rFonts w:cs="Arial"/>
        </w:rPr>
        <w:t xml:space="preserve"> </w:t>
      </w:r>
      <w:r w:rsidR="007E10B3" w:rsidRPr="005D74D1">
        <w:rPr>
          <w:rFonts w:cs="Arial"/>
        </w:rPr>
        <w:t xml:space="preserve">This includes 52 </w:t>
      </w:r>
      <w:r w:rsidR="008A04E7" w:rsidRPr="005D74D1">
        <w:rPr>
          <w:rFonts w:cs="Arial"/>
        </w:rPr>
        <w:t>projects associated with the IWM Forums, supported by a grants program</w:t>
      </w:r>
      <w:r w:rsidR="002B03E7" w:rsidRPr="005D74D1">
        <w:rPr>
          <w:rFonts w:cs="Arial"/>
        </w:rPr>
        <w:t xml:space="preserve">, and 17 IWM projects in the </w:t>
      </w:r>
      <w:r w:rsidR="001F1222" w:rsidRPr="005D74D1">
        <w:rPr>
          <w:rFonts w:cs="Arial"/>
        </w:rPr>
        <w:t xml:space="preserve">Central and Gippsland region </w:t>
      </w:r>
      <w:r w:rsidR="00AF3D23" w:rsidRPr="005D74D1">
        <w:rPr>
          <w:rFonts w:cs="Arial"/>
        </w:rPr>
        <w:t>as part of the CGRSWS implementation.</w:t>
      </w:r>
    </w:p>
    <w:p w14:paraId="680D0B9F" w14:textId="330617C8" w:rsidR="00B401C8" w:rsidRPr="005D74D1" w:rsidRDefault="00D9466A" w:rsidP="00B401C8">
      <w:pPr>
        <w:pStyle w:val="BodyText"/>
        <w:rPr>
          <w:rFonts w:cs="Arial"/>
        </w:rPr>
      </w:pPr>
      <w:r w:rsidRPr="005D74D1">
        <w:rPr>
          <w:rFonts w:cs="Arial"/>
        </w:rPr>
        <w:t>A</w:t>
      </w:r>
      <w:r w:rsidR="00B401C8" w:rsidRPr="005D74D1">
        <w:rPr>
          <w:rFonts w:cs="Arial"/>
        </w:rPr>
        <w:t xml:space="preserve">n enabling environment </w:t>
      </w:r>
      <w:r w:rsidRPr="005D74D1">
        <w:rPr>
          <w:rFonts w:cs="Arial"/>
        </w:rPr>
        <w:t xml:space="preserve">was also created </w:t>
      </w:r>
      <w:r w:rsidR="00B401C8" w:rsidRPr="005D74D1">
        <w:rPr>
          <w:rFonts w:cs="Arial"/>
        </w:rPr>
        <w:t>to increase the uptake of recycled water, rainwater</w:t>
      </w:r>
      <w:r w:rsidR="009A0182" w:rsidRPr="005D74D1">
        <w:rPr>
          <w:rFonts w:cs="Arial"/>
        </w:rPr>
        <w:t>,</w:t>
      </w:r>
      <w:r w:rsidR="00B401C8" w:rsidRPr="005D74D1">
        <w:rPr>
          <w:rFonts w:cs="Arial"/>
        </w:rPr>
        <w:t xml:space="preserve"> and stormwater through updating regulatory guidelines, developing risk frameworks, cost</w:t>
      </w:r>
      <w:r w:rsidR="00886224" w:rsidRPr="005D74D1">
        <w:rPr>
          <w:rFonts w:cs="Arial"/>
        </w:rPr>
        <w:t>-</w:t>
      </w:r>
      <w:r w:rsidR="00B401C8" w:rsidRPr="005D74D1">
        <w:rPr>
          <w:rFonts w:cs="Arial"/>
        </w:rPr>
        <w:t xml:space="preserve">benefit analysis and regulatory impact statements, guidance and capacity building activities for water corporations, local government, </w:t>
      </w:r>
      <w:r w:rsidR="00C70A44" w:rsidRPr="005D74D1">
        <w:rPr>
          <w:rFonts w:cs="Arial"/>
        </w:rPr>
        <w:t>CMAs</w:t>
      </w:r>
      <w:r w:rsidR="00B401C8" w:rsidRPr="005D74D1">
        <w:rPr>
          <w:rFonts w:cs="Arial"/>
        </w:rPr>
        <w:t xml:space="preserve"> and Traditional Owners, planning system users, government and practitioners.</w:t>
      </w:r>
    </w:p>
    <w:p w14:paraId="6D2AE790" w14:textId="7DCC6DB3" w:rsidR="00B401C8" w:rsidRPr="00A134A7" w:rsidRDefault="00B401C8" w:rsidP="0020487D">
      <w:pPr>
        <w:pStyle w:val="Heading3"/>
        <w:rPr>
          <w:rFonts w:ascii="Arial" w:hAnsi="Arial" w:cs="Arial"/>
        </w:rPr>
      </w:pPr>
      <w:r w:rsidRPr="00A134A7">
        <w:rPr>
          <w:rFonts w:ascii="Arial" w:hAnsi="Arial" w:cs="Arial"/>
        </w:rPr>
        <w:lastRenderedPageBreak/>
        <w:t>Reduced pressure on the water grid</w:t>
      </w:r>
    </w:p>
    <w:p w14:paraId="67E81906" w14:textId="134E9C6C" w:rsidR="00B401C8" w:rsidRPr="005D74D1" w:rsidRDefault="00DB6F09" w:rsidP="00B401C8">
      <w:pPr>
        <w:pStyle w:val="BodyText"/>
        <w:rPr>
          <w:rFonts w:cs="Arial"/>
        </w:rPr>
      </w:pPr>
      <w:r w:rsidRPr="005D74D1">
        <w:rPr>
          <w:rFonts w:cs="Arial"/>
        </w:rPr>
        <w:t>Foundational activities were implemented that will help reduce pressure on the water grid in the future, such as establishment of an Executive Advisory Committee to provide oversight and guidance on urban water security.</w:t>
      </w:r>
    </w:p>
    <w:p w14:paraId="19A4DB24" w14:textId="77777777" w:rsidR="00B401C8" w:rsidRPr="00A134A7" w:rsidRDefault="00B401C8" w:rsidP="0020487D">
      <w:pPr>
        <w:pStyle w:val="Heading3"/>
        <w:rPr>
          <w:rFonts w:ascii="Arial" w:hAnsi="Arial" w:cs="Arial"/>
        </w:rPr>
      </w:pPr>
      <w:r w:rsidRPr="00A134A7">
        <w:rPr>
          <w:rFonts w:ascii="Arial" w:hAnsi="Arial" w:cs="Arial"/>
        </w:rPr>
        <w:t>Improved efficiency, effectiveness, and transparency of water markets</w:t>
      </w:r>
    </w:p>
    <w:p w14:paraId="3957B9D7" w14:textId="0A1E1C7D" w:rsidR="00A50E7D" w:rsidRPr="005D74D1" w:rsidRDefault="00B401C8" w:rsidP="00B401C8">
      <w:pPr>
        <w:pStyle w:val="BodyText"/>
        <w:spacing w:before="60"/>
        <w:rPr>
          <w:rFonts w:cs="Arial"/>
        </w:rPr>
      </w:pPr>
      <w:r w:rsidRPr="005D74D1">
        <w:rPr>
          <w:rFonts w:cs="Arial"/>
        </w:rPr>
        <w:t xml:space="preserve">EC5 funded a suite of reform, review, communications, technology improvement and solution implementation works to improve the functioning of water markets. Together, these projects have improved the way Victorian water markets operate, report, and share information. </w:t>
      </w:r>
      <w:r w:rsidR="00550192" w:rsidRPr="005D74D1">
        <w:rPr>
          <w:rFonts w:cs="Arial"/>
        </w:rPr>
        <w:br/>
      </w:r>
      <w:r w:rsidRPr="005D74D1">
        <w:rPr>
          <w:rFonts w:cs="Arial"/>
        </w:rPr>
        <w:t>Some examples include:</w:t>
      </w:r>
    </w:p>
    <w:p w14:paraId="254EF88B" w14:textId="4B55E5A5" w:rsidR="00B401C8" w:rsidRPr="00A134A7" w:rsidRDefault="00B401C8" w:rsidP="00550192">
      <w:pPr>
        <w:pStyle w:val="BulletLevel1"/>
        <w:rPr>
          <w:rFonts w:cs="Arial"/>
          <w:lang w:val="en-AU"/>
        </w:rPr>
      </w:pPr>
      <w:r w:rsidRPr="00A134A7">
        <w:rPr>
          <w:rFonts w:cs="Arial"/>
          <w:lang w:val="en-AU"/>
        </w:rPr>
        <w:t>addressing water and cost sharing problems in South-Central Victoria through design of a water sharing framework</w:t>
      </w:r>
    </w:p>
    <w:p w14:paraId="61A1BDCB" w14:textId="77777777" w:rsidR="00B401C8" w:rsidRPr="00A134A7" w:rsidRDefault="00B401C8" w:rsidP="00550192">
      <w:pPr>
        <w:pStyle w:val="BulletLevel1"/>
        <w:rPr>
          <w:rFonts w:cs="Arial"/>
          <w:lang w:val="en-AU"/>
        </w:rPr>
      </w:pPr>
      <w:r w:rsidRPr="00A134A7">
        <w:rPr>
          <w:rFonts w:cs="Arial"/>
          <w:lang w:val="en-AU"/>
        </w:rPr>
        <w:t>improving water market transparency by publishing information on entities owning &gt; 2% of water entitlements within a system.</w:t>
      </w:r>
    </w:p>
    <w:p w14:paraId="14FAF1A9" w14:textId="7A8ACC75" w:rsidR="00B401C8" w:rsidRPr="00A134A7" w:rsidRDefault="00B401C8" w:rsidP="00550192">
      <w:pPr>
        <w:pStyle w:val="BulletLevel1"/>
        <w:rPr>
          <w:rFonts w:cs="Arial"/>
          <w:lang w:val="en-AU"/>
        </w:rPr>
      </w:pPr>
      <w:r w:rsidRPr="00A134A7">
        <w:rPr>
          <w:rFonts w:cs="Arial"/>
          <w:lang w:val="en-AU"/>
        </w:rPr>
        <w:t>completing the Goulburn to Murray trade rule review</w:t>
      </w:r>
      <w:r w:rsidR="00DB0DFD" w:rsidRPr="00A134A7">
        <w:rPr>
          <w:rFonts w:cs="Arial"/>
          <w:lang w:val="en-AU"/>
        </w:rPr>
        <w:t xml:space="preserve"> and</w:t>
      </w:r>
      <w:r w:rsidR="00E2514A" w:rsidRPr="00A134A7">
        <w:rPr>
          <w:rFonts w:cs="Arial"/>
          <w:lang w:val="en-AU"/>
        </w:rPr>
        <w:t xml:space="preserve"> introduc</w:t>
      </w:r>
      <w:r w:rsidR="00996B90" w:rsidRPr="00A134A7">
        <w:rPr>
          <w:rFonts w:cs="Arial"/>
          <w:lang w:val="en-AU"/>
        </w:rPr>
        <w:t>ing</w:t>
      </w:r>
      <w:r w:rsidR="00E2514A" w:rsidRPr="00A134A7">
        <w:rPr>
          <w:rFonts w:cs="Arial"/>
          <w:lang w:val="en-AU"/>
        </w:rPr>
        <w:t xml:space="preserve"> a new place of take approvals framework through legislative changes to the Victorian </w:t>
      </w:r>
      <w:r w:rsidR="00E2514A" w:rsidRPr="00A134A7">
        <w:rPr>
          <w:rFonts w:cs="Arial"/>
          <w:i/>
          <w:lang w:val="en-AU"/>
        </w:rPr>
        <w:t xml:space="preserve">Water Act </w:t>
      </w:r>
      <w:r w:rsidR="00996B90" w:rsidRPr="00A134A7">
        <w:rPr>
          <w:rFonts w:cs="Arial"/>
          <w:i/>
          <w:lang w:val="en-AU"/>
        </w:rPr>
        <w:t>1989</w:t>
      </w:r>
      <w:r w:rsidR="00E2514A" w:rsidRPr="00A134A7">
        <w:rPr>
          <w:rFonts w:cs="Arial"/>
          <w:lang w:val="en-AU"/>
        </w:rPr>
        <w:t xml:space="preserve"> to</w:t>
      </w:r>
      <w:r w:rsidR="00DB0DFD" w:rsidRPr="00A134A7">
        <w:rPr>
          <w:rFonts w:cs="Arial"/>
          <w:lang w:val="en-AU"/>
        </w:rPr>
        <w:t xml:space="preserve"> support the integrity of the retail entitlement and market framework</w:t>
      </w:r>
    </w:p>
    <w:p w14:paraId="18D1F536" w14:textId="5616E3AF" w:rsidR="00B401C8" w:rsidRPr="00A134A7" w:rsidRDefault="00B401C8" w:rsidP="00550192">
      <w:pPr>
        <w:pStyle w:val="BulletLevel1"/>
        <w:rPr>
          <w:rFonts w:cs="Arial"/>
          <w:lang w:val="en-AU"/>
        </w:rPr>
      </w:pPr>
      <w:r w:rsidRPr="00A134A7">
        <w:rPr>
          <w:rFonts w:cs="Arial"/>
          <w:lang w:val="en-AU"/>
        </w:rPr>
        <w:t>upgrading the Victorian Water Accounts platform</w:t>
      </w:r>
    </w:p>
    <w:p w14:paraId="49FC488F" w14:textId="4DC660BD" w:rsidR="00FF0F2B" w:rsidRPr="00A134A7" w:rsidRDefault="007F7223" w:rsidP="00550192">
      <w:pPr>
        <w:pStyle w:val="BulletLevel1"/>
        <w:rPr>
          <w:rFonts w:cs="Arial"/>
          <w:lang w:val="en-AU"/>
        </w:rPr>
      </w:pPr>
      <w:r w:rsidRPr="00A134A7">
        <w:rPr>
          <w:rFonts w:cs="Arial"/>
          <w:lang w:val="en-AU"/>
        </w:rPr>
        <w:t>p</w:t>
      </w:r>
      <w:r w:rsidR="00FF0F2B" w:rsidRPr="00A134A7">
        <w:rPr>
          <w:rFonts w:cs="Arial"/>
          <w:lang w:val="en-AU"/>
        </w:rPr>
        <w:t xml:space="preserve">articipating in the </w:t>
      </w:r>
      <w:r w:rsidR="003E64C9" w:rsidRPr="00A134A7">
        <w:rPr>
          <w:rFonts w:cs="Arial"/>
          <w:lang w:val="en-AU"/>
        </w:rPr>
        <w:t>Australian Competition and Consumer Commission (</w:t>
      </w:r>
      <w:r w:rsidR="00FF0F2B" w:rsidRPr="00A134A7">
        <w:rPr>
          <w:rFonts w:cs="Arial"/>
          <w:lang w:val="en-AU"/>
        </w:rPr>
        <w:t>ACCC</w:t>
      </w:r>
      <w:r w:rsidR="003E64C9" w:rsidRPr="00A134A7">
        <w:rPr>
          <w:rFonts w:cs="Arial"/>
          <w:lang w:val="en-AU"/>
        </w:rPr>
        <w:t>)</w:t>
      </w:r>
      <w:r w:rsidR="00FF0F2B" w:rsidRPr="00A134A7">
        <w:rPr>
          <w:rFonts w:cs="Arial"/>
          <w:lang w:val="en-AU"/>
        </w:rPr>
        <w:t xml:space="preserve"> Inquiry</w:t>
      </w:r>
      <w:r w:rsidR="00550192" w:rsidRPr="00A134A7">
        <w:rPr>
          <w:rFonts w:cs="Arial"/>
          <w:lang w:val="en-AU"/>
        </w:rPr>
        <w:t> </w:t>
      </w:r>
      <w:r w:rsidR="00FF0F2B" w:rsidRPr="00A134A7">
        <w:rPr>
          <w:rFonts w:cs="Arial"/>
          <w:lang w:val="en-AU"/>
        </w:rPr>
        <w:t>Roadmap</w:t>
      </w:r>
    </w:p>
    <w:p w14:paraId="3C9FF161" w14:textId="6BD348BC" w:rsidR="00EE0CE1" w:rsidRPr="00A134A7" w:rsidRDefault="007F7223" w:rsidP="00550192">
      <w:pPr>
        <w:pStyle w:val="BulletLevel1"/>
        <w:rPr>
          <w:rFonts w:cs="Arial"/>
          <w:lang w:val="en-AU"/>
        </w:rPr>
      </w:pPr>
      <w:r w:rsidRPr="00A134A7">
        <w:rPr>
          <w:rFonts w:cs="Arial"/>
          <w:lang w:val="en-AU"/>
        </w:rPr>
        <w:t>r</w:t>
      </w:r>
      <w:r w:rsidR="00EE0CE1" w:rsidRPr="00A134A7">
        <w:rPr>
          <w:rFonts w:cs="Arial"/>
          <w:lang w:val="en-AU"/>
        </w:rPr>
        <w:t>eview</w:t>
      </w:r>
      <w:r w:rsidR="00996B90" w:rsidRPr="00A134A7">
        <w:rPr>
          <w:rFonts w:cs="Arial"/>
          <w:lang w:val="en-AU"/>
        </w:rPr>
        <w:t>ing</w:t>
      </w:r>
      <w:r w:rsidR="00EE0CE1" w:rsidRPr="00A134A7">
        <w:rPr>
          <w:rFonts w:cs="Arial"/>
          <w:lang w:val="en-AU"/>
        </w:rPr>
        <w:t xml:space="preserve"> and reporting on the effectiveness of water markets across Victoria, with work programs that commit to improvements over time</w:t>
      </w:r>
      <w:r w:rsidRPr="00A134A7">
        <w:rPr>
          <w:rFonts w:cs="Arial"/>
          <w:lang w:val="en-AU"/>
        </w:rPr>
        <w:t>.</w:t>
      </w:r>
    </w:p>
    <w:p w14:paraId="3A22A672" w14:textId="1506B7A3" w:rsidR="005C7E46" w:rsidRPr="005D74D1" w:rsidRDefault="005C7E46" w:rsidP="00550192">
      <w:pPr>
        <w:pStyle w:val="BodyText"/>
        <w:rPr>
          <w:rFonts w:cs="Arial"/>
        </w:rPr>
      </w:pPr>
      <w:r w:rsidRPr="005D74D1">
        <w:rPr>
          <w:rFonts w:cs="Arial"/>
        </w:rPr>
        <w:t xml:space="preserve">Progress was also made toward </w:t>
      </w:r>
      <w:r w:rsidR="00F071AE" w:rsidRPr="005D74D1">
        <w:rPr>
          <w:rFonts w:cs="Arial"/>
        </w:rPr>
        <w:t>developing a new technology platform</w:t>
      </w:r>
      <w:r w:rsidR="000546DA" w:rsidRPr="005D74D1">
        <w:rPr>
          <w:rFonts w:cs="Arial"/>
        </w:rPr>
        <w:t xml:space="preserve"> to support the Victorian Water Register. W</w:t>
      </w:r>
      <w:r w:rsidR="00F071AE" w:rsidRPr="005D74D1">
        <w:rPr>
          <w:rFonts w:cs="Arial"/>
        </w:rPr>
        <w:t xml:space="preserve">hile the original project planned to complete this within </w:t>
      </w:r>
      <w:r w:rsidR="00EB4972" w:rsidRPr="005D74D1">
        <w:rPr>
          <w:rFonts w:cs="Arial"/>
        </w:rPr>
        <w:t xml:space="preserve">the EC5, </w:t>
      </w:r>
      <w:r w:rsidR="007F7223" w:rsidRPr="005D74D1">
        <w:rPr>
          <w:rFonts w:cs="Arial"/>
        </w:rPr>
        <w:t xml:space="preserve">it was found to be </w:t>
      </w:r>
      <w:r w:rsidR="002E6BDB" w:rsidRPr="005D74D1">
        <w:rPr>
          <w:rFonts w:cs="Arial"/>
        </w:rPr>
        <w:t>u</w:t>
      </w:r>
      <w:r w:rsidR="007F7223" w:rsidRPr="005D74D1">
        <w:rPr>
          <w:rFonts w:cs="Arial"/>
        </w:rPr>
        <w:t xml:space="preserve">nfeasible based on forecast costs to complete the project and for ongoing operations of the new platform. Following termination of the original project, a new project was established to develop an alternative approach to delivering a </w:t>
      </w:r>
      <w:r w:rsidR="00135DA9" w:rsidRPr="005D74D1">
        <w:rPr>
          <w:rFonts w:cs="Arial"/>
        </w:rPr>
        <w:t xml:space="preserve">Victorian Water Register </w:t>
      </w:r>
      <w:r w:rsidR="007F7223" w:rsidRPr="005D74D1">
        <w:rPr>
          <w:rFonts w:cs="Arial"/>
        </w:rPr>
        <w:t>platform that maximises reuse of the investment made to date, while delivering a value for money outcome.</w:t>
      </w:r>
    </w:p>
    <w:p w14:paraId="2541492D" w14:textId="6B707F31" w:rsidR="00B401C8" w:rsidRPr="00A134A7" w:rsidRDefault="00B401C8" w:rsidP="0020487D">
      <w:pPr>
        <w:pStyle w:val="Heading3"/>
        <w:rPr>
          <w:rFonts w:ascii="Arial" w:hAnsi="Arial" w:cs="Arial"/>
        </w:rPr>
      </w:pPr>
      <w:r w:rsidRPr="00A134A7">
        <w:rPr>
          <w:rFonts w:ascii="Arial" w:hAnsi="Arial" w:cs="Arial"/>
        </w:rPr>
        <w:t>More robust water entitlement system</w:t>
      </w:r>
    </w:p>
    <w:p w14:paraId="36707A0D" w14:textId="77777777" w:rsidR="00A50E7D" w:rsidRPr="005D74D1" w:rsidRDefault="00F853A6" w:rsidP="00B401C8">
      <w:pPr>
        <w:pStyle w:val="BodyText"/>
        <w:spacing w:before="60"/>
        <w:rPr>
          <w:rFonts w:cs="Arial"/>
        </w:rPr>
      </w:pPr>
      <w:r w:rsidRPr="005D74D1">
        <w:rPr>
          <w:rFonts w:cs="Arial"/>
        </w:rPr>
        <w:t>The</w:t>
      </w:r>
      <w:r w:rsidR="00B401C8" w:rsidRPr="005D74D1">
        <w:rPr>
          <w:rFonts w:cs="Arial"/>
        </w:rPr>
        <w:t xml:space="preserve"> robustness of the </w:t>
      </w:r>
      <w:r w:rsidR="00996B90" w:rsidRPr="005D74D1">
        <w:rPr>
          <w:rFonts w:cs="Arial"/>
        </w:rPr>
        <w:t xml:space="preserve">Victorian </w:t>
      </w:r>
      <w:r w:rsidR="00B401C8" w:rsidRPr="005D74D1">
        <w:rPr>
          <w:rFonts w:cs="Arial"/>
        </w:rPr>
        <w:t xml:space="preserve">water entitlement system </w:t>
      </w:r>
      <w:r w:rsidRPr="005D74D1">
        <w:rPr>
          <w:rFonts w:cs="Arial"/>
        </w:rPr>
        <w:t xml:space="preserve">was improved </w:t>
      </w:r>
      <w:r w:rsidR="00B401C8" w:rsidRPr="005D74D1">
        <w:rPr>
          <w:rFonts w:cs="Arial"/>
        </w:rPr>
        <w:t>through enhancing entitlement frameworks (bulk, environmental, groundwater, unregulated systems), reducing risks and barriers to users, and improving compliance. This involved:</w:t>
      </w:r>
    </w:p>
    <w:p w14:paraId="53B3881E" w14:textId="35F295FA" w:rsidR="00B401C8" w:rsidRPr="00A134A7" w:rsidRDefault="008C3BE0" w:rsidP="00550192">
      <w:pPr>
        <w:pStyle w:val="BulletLevel1"/>
        <w:rPr>
          <w:rFonts w:cs="Arial"/>
          <w:lang w:val="en-AU"/>
        </w:rPr>
      </w:pPr>
      <w:r w:rsidRPr="00A134A7">
        <w:rPr>
          <w:rFonts w:cs="Arial"/>
          <w:lang w:val="en-AU"/>
        </w:rPr>
        <w:t xml:space="preserve">96 </w:t>
      </w:r>
      <w:r w:rsidR="00B401C8" w:rsidRPr="00A134A7">
        <w:rPr>
          <w:rFonts w:cs="Arial"/>
          <w:lang w:val="en-AU"/>
        </w:rPr>
        <w:t xml:space="preserve">changes to bulk and environmental entitlements </w:t>
      </w:r>
      <w:r w:rsidR="009047CF" w:rsidRPr="00A134A7">
        <w:rPr>
          <w:rFonts w:cs="Arial"/>
          <w:lang w:val="en-AU"/>
        </w:rPr>
        <w:t>with 36 of the changes made to realise water recovery from irrigation modernisation projects in northern Victoria</w:t>
      </w:r>
      <w:r w:rsidR="00135DA9" w:rsidRPr="00A134A7">
        <w:rPr>
          <w:rFonts w:cs="Arial"/>
          <w:lang w:val="en-AU"/>
        </w:rPr>
        <w:t>.</w:t>
      </w:r>
    </w:p>
    <w:p w14:paraId="2232A696" w14:textId="738E6FB5" w:rsidR="00BF46D0" w:rsidRPr="00A134A7" w:rsidRDefault="000D59B6" w:rsidP="00550192">
      <w:pPr>
        <w:pStyle w:val="BulletLevel1"/>
        <w:rPr>
          <w:rFonts w:cs="Arial"/>
          <w:lang w:val="en-AU"/>
        </w:rPr>
      </w:pPr>
      <w:r w:rsidRPr="00A134A7">
        <w:rPr>
          <w:rFonts w:cs="Arial"/>
          <w:lang w:val="en-AU"/>
        </w:rPr>
        <w:t>s</w:t>
      </w:r>
      <w:r w:rsidR="00135DA9" w:rsidRPr="00A134A7">
        <w:rPr>
          <w:rFonts w:cs="Arial"/>
          <w:lang w:val="en-AU"/>
        </w:rPr>
        <w:t>etting</w:t>
      </w:r>
      <w:r w:rsidR="00B401C8" w:rsidRPr="00A134A7">
        <w:rPr>
          <w:rFonts w:cs="Arial"/>
          <w:lang w:val="en-AU"/>
        </w:rPr>
        <w:t xml:space="preserve"> clear direction for improved groundwater management through development of </w:t>
      </w:r>
      <w:r w:rsidR="00FF6542" w:rsidRPr="00A134A7">
        <w:rPr>
          <w:rFonts w:cs="Arial"/>
          <w:lang w:val="en-AU"/>
        </w:rPr>
        <w:t>GM</w:t>
      </w:r>
      <w:r w:rsidR="00B401C8" w:rsidRPr="00A134A7">
        <w:rPr>
          <w:rFonts w:cs="Arial"/>
          <w:lang w:val="en-AU"/>
        </w:rPr>
        <w:t>2030</w:t>
      </w:r>
      <w:r w:rsidR="008C7ACD" w:rsidRPr="00A134A7">
        <w:rPr>
          <w:rFonts w:cs="Arial"/>
          <w:lang w:val="en-AU"/>
        </w:rPr>
        <w:t>; it</w:t>
      </w:r>
      <w:r w:rsidR="001E798B" w:rsidRPr="00A134A7">
        <w:rPr>
          <w:rFonts w:cs="Arial"/>
          <w:lang w:val="en-AU"/>
        </w:rPr>
        <w:t xml:space="preserve"> provides </w:t>
      </w:r>
      <w:r w:rsidR="00BE7C79" w:rsidRPr="00A134A7">
        <w:rPr>
          <w:rFonts w:cs="Arial"/>
          <w:lang w:val="en-AU"/>
        </w:rPr>
        <w:t>a clear statement of 13 priorities for the next</w:t>
      </w:r>
      <w:r w:rsidR="00E2763B" w:rsidRPr="00A134A7">
        <w:rPr>
          <w:rFonts w:cs="Arial"/>
          <w:lang w:val="en-AU"/>
        </w:rPr>
        <w:t xml:space="preserve"> </w:t>
      </w:r>
      <w:r w:rsidR="00BE7C79" w:rsidRPr="00A134A7">
        <w:rPr>
          <w:rFonts w:cs="Arial"/>
          <w:lang w:val="en-AU"/>
        </w:rPr>
        <w:t>6 years</w:t>
      </w:r>
      <w:r w:rsidR="006636D8" w:rsidRPr="00A134A7">
        <w:rPr>
          <w:rFonts w:cs="Arial"/>
          <w:lang w:val="en-AU"/>
        </w:rPr>
        <w:t>,</w:t>
      </w:r>
      <w:r w:rsidR="008D2A47" w:rsidRPr="00A134A7">
        <w:rPr>
          <w:rFonts w:cs="Arial"/>
          <w:lang w:val="en-AU"/>
        </w:rPr>
        <w:t xml:space="preserve"> </w:t>
      </w:r>
      <w:r w:rsidR="00B401C8" w:rsidRPr="00A134A7">
        <w:rPr>
          <w:rFonts w:cs="Arial"/>
          <w:lang w:val="en-AU"/>
        </w:rPr>
        <w:t>protecting</w:t>
      </w:r>
      <w:r w:rsidR="008D2A47" w:rsidRPr="00A134A7">
        <w:rPr>
          <w:rFonts w:cs="Arial"/>
          <w:lang w:val="en-AU"/>
        </w:rPr>
        <w:t xml:space="preserve"> the</w:t>
      </w:r>
      <w:r w:rsidR="00B401C8" w:rsidRPr="00A134A7">
        <w:rPr>
          <w:rFonts w:cs="Arial"/>
          <w:lang w:val="en-AU"/>
        </w:rPr>
        <w:t xml:space="preserve"> integrity of retail entitlement and market framework through the Goulburn to Murray trade review and Regulatory Impact Assessment, </w:t>
      </w:r>
      <w:r w:rsidR="008D2A47" w:rsidRPr="00A134A7">
        <w:rPr>
          <w:rFonts w:cs="Arial"/>
          <w:lang w:val="en-AU"/>
        </w:rPr>
        <w:t>as well as</w:t>
      </w:r>
      <w:r w:rsidR="00B401C8" w:rsidRPr="00A134A7">
        <w:rPr>
          <w:rFonts w:cs="Arial"/>
          <w:lang w:val="en-AU"/>
        </w:rPr>
        <w:t xml:space="preserve"> development and implementation of a </w:t>
      </w:r>
      <w:r w:rsidR="00B401C8" w:rsidRPr="00A134A7">
        <w:rPr>
          <w:rFonts w:cs="Arial"/>
          <w:i/>
          <w:lang w:val="en-AU"/>
        </w:rPr>
        <w:t xml:space="preserve">Victorian Shortfall Response Plan </w:t>
      </w:r>
      <w:r w:rsidR="00B401C8" w:rsidRPr="00A134A7">
        <w:rPr>
          <w:rFonts w:cs="Arial"/>
          <w:lang w:val="en-AU"/>
        </w:rPr>
        <w:t xml:space="preserve">and </w:t>
      </w:r>
      <w:r w:rsidR="003872AA" w:rsidRPr="00A134A7">
        <w:rPr>
          <w:rFonts w:cs="Arial"/>
          <w:lang w:val="en-AU"/>
        </w:rPr>
        <w:t>p</w:t>
      </w:r>
      <w:r w:rsidR="00B401C8" w:rsidRPr="00A134A7">
        <w:rPr>
          <w:rFonts w:cs="Arial"/>
          <w:lang w:val="en-AU"/>
        </w:rPr>
        <w:t xml:space="preserve">lace of </w:t>
      </w:r>
      <w:r w:rsidR="003872AA" w:rsidRPr="00A134A7">
        <w:rPr>
          <w:rFonts w:cs="Arial"/>
          <w:lang w:val="en-AU"/>
        </w:rPr>
        <w:t>t</w:t>
      </w:r>
      <w:r w:rsidR="00B401C8" w:rsidRPr="00A134A7">
        <w:rPr>
          <w:rFonts w:cs="Arial"/>
          <w:lang w:val="en-AU"/>
        </w:rPr>
        <w:t>ake framework</w:t>
      </w:r>
      <w:r w:rsidR="00301AEA" w:rsidRPr="00A134A7">
        <w:rPr>
          <w:rFonts w:cs="Arial"/>
          <w:lang w:val="en-AU"/>
        </w:rPr>
        <w:t>.</w:t>
      </w:r>
    </w:p>
    <w:p w14:paraId="1BBAFF30" w14:textId="56EC6AEA" w:rsidR="00B401C8" w:rsidRPr="00A134A7" w:rsidRDefault="000D59B6" w:rsidP="00550192">
      <w:pPr>
        <w:pStyle w:val="BulletLevel1"/>
        <w:rPr>
          <w:rFonts w:cs="Arial"/>
          <w:lang w:val="en-AU"/>
        </w:rPr>
      </w:pPr>
      <w:r w:rsidRPr="00A134A7">
        <w:rPr>
          <w:rFonts w:cs="Arial"/>
          <w:lang w:val="en-AU"/>
        </w:rPr>
        <w:t>e</w:t>
      </w:r>
      <w:r w:rsidR="00135DA9" w:rsidRPr="00A134A7">
        <w:rPr>
          <w:rFonts w:cs="Arial"/>
          <w:lang w:val="en-AU"/>
        </w:rPr>
        <w:t>nabling</w:t>
      </w:r>
      <w:r w:rsidR="00B401C8" w:rsidRPr="00A134A7">
        <w:rPr>
          <w:rFonts w:cs="Arial"/>
          <w:lang w:val="en-AU"/>
        </w:rPr>
        <w:t xml:space="preserve"> audited long-term water recovery from water savings projects to be converted into water entitlement volumes and reliabilities.</w:t>
      </w:r>
    </w:p>
    <w:p w14:paraId="2857CEC5" w14:textId="61B0E8CB" w:rsidR="009C56F4" w:rsidRPr="005D74D1" w:rsidRDefault="00AE2D75" w:rsidP="00550192">
      <w:pPr>
        <w:pStyle w:val="BodyText"/>
        <w:rPr>
          <w:rFonts w:cs="Arial"/>
        </w:rPr>
      </w:pPr>
      <w:r w:rsidRPr="005D74D1">
        <w:rPr>
          <w:rFonts w:cs="Arial"/>
        </w:rPr>
        <w:t xml:space="preserve">Work that was planned on a licensing review for groundwater and unregulated systems experienced delays due to unanticipated lead times, resourcing and the significant level of consultation required to create legislative instruments. </w:t>
      </w:r>
    </w:p>
    <w:tbl>
      <w:tblPr>
        <w:tblStyle w:val="TableGridLight"/>
        <w:tblW w:w="5000" w:type="pct"/>
        <w:tblBorders>
          <w:top w:val="single" w:sz="4" w:space="0" w:color="231EDC" w:themeColor="accent1"/>
          <w:left w:val="single" w:sz="4" w:space="0" w:color="231EDC" w:themeColor="accent1"/>
          <w:bottom w:val="single" w:sz="4" w:space="0" w:color="231EDC" w:themeColor="accent1"/>
          <w:right w:val="single" w:sz="4" w:space="0" w:color="231EDC" w:themeColor="accent1"/>
          <w:insideH w:val="none" w:sz="0" w:space="0" w:color="auto"/>
          <w:insideV w:val="none" w:sz="0" w:space="0" w:color="auto"/>
        </w:tblBorders>
        <w:tblLook w:val="04A0" w:firstRow="1" w:lastRow="0" w:firstColumn="1" w:lastColumn="0" w:noHBand="0" w:noVBand="1"/>
      </w:tblPr>
      <w:tblGrid>
        <w:gridCol w:w="4956"/>
        <w:gridCol w:w="4672"/>
      </w:tblGrid>
      <w:tr w:rsidR="0069721B" w:rsidRPr="005D74D1" w14:paraId="1E0BBE23" w14:textId="77777777" w:rsidTr="00140664">
        <w:trPr>
          <w:tblHeader/>
        </w:trPr>
        <w:tc>
          <w:tcPr>
            <w:tcW w:w="5000" w:type="pct"/>
            <w:gridSpan w:val="2"/>
            <w:shd w:val="clear" w:color="auto" w:fill="231EDC" w:themeFill="accent1"/>
          </w:tcPr>
          <w:p w14:paraId="07428598" w14:textId="1D505A2C" w:rsidR="0069721B" w:rsidRPr="00A134A7" w:rsidRDefault="0069721B" w:rsidP="002D1E41">
            <w:pPr>
              <w:pStyle w:val="TableHeadingWhite"/>
              <w:rPr>
                <w:rFonts w:cs="Arial"/>
                <w:lang w:val="en-AU"/>
              </w:rPr>
            </w:pPr>
            <w:r w:rsidRPr="005D74D1">
              <w:rPr>
                <w:rFonts w:cs="Arial"/>
              </w:rPr>
              <w:lastRenderedPageBreak/>
              <w:t xml:space="preserve">Case Study 1: Central and Gippsland Region Sustainable Water Strategy </w:t>
            </w:r>
            <w:r w:rsidR="0067711E" w:rsidRPr="005D74D1">
              <w:rPr>
                <w:rFonts w:cs="Arial"/>
              </w:rPr>
              <w:t>(CG</w:t>
            </w:r>
            <w:r w:rsidR="00461BCE" w:rsidRPr="005D74D1">
              <w:rPr>
                <w:rFonts w:cs="Arial"/>
              </w:rPr>
              <w:t>R</w:t>
            </w:r>
            <w:r w:rsidR="0067711E" w:rsidRPr="005D74D1">
              <w:rPr>
                <w:rFonts w:cs="Arial"/>
              </w:rPr>
              <w:t>SWS</w:t>
            </w:r>
            <w:r w:rsidR="00461BCE" w:rsidRPr="005D74D1">
              <w:rPr>
                <w:rFonts w:cs="Arial"/>
              </w:rPr>
              <w:t xml:space="preserve">) </w:t>
            </w:r>
            <w:r w:rsidRPr="005D74D1">
              <w:rPr>
                <w:rFonts w:cs="Arial"/>
              </w:rPr>
              <w:t>2022- A move toward manufactured water</w:t>
            </w:r>
          </w:p>
        </w:tc>
      </w:tr>
      <w:tr w:rsidR="0069721B" w:rsidRPr="005D74D1" w14:paraId="4C8CF2BA" w14:textId="77777777" w:rsidTr="00140664">
        <w:tc>
          <w:tcPr>
            <w:tcW w:w="2571" w:type="pct"/>
          </w:tcPr>
          <w:p w14:paraId="4389F4BE" w14:textId="7388E6BF" w:rsidR="0069721B" w:rsidRPr="00A134A7" w:rsidRDefault="0069721B" w:rsidP="000B33DC">
            <w:pPr>
              <w:pStyle w:val="TableText"/>
              <w:rPr>
                <w:rFonts w:cs="Arial"/>
                <w:lang w:val="en-AU"/>
              </w:rPr>
            </w:pPr>
            <w:r w:rsidRPr="00A134A7">
              <w:rPr>
                <w:rFonts w:cs="Arial"/>
                <w:noProof/>
              </w:rPr>
              <w:drawing>
                <wp:inline distT="0" distB="0" distL="0" distR="0" wp14:anchorId="660921AC" wp14:editId="6C55EB48">
                  <wp:extent cx="3009600" cy="2006296"/>
                  <wp:effectExtent l="0" t="0" r="635" b="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8" cstate="print">
                            <a:extLst>
                              <a:ext uri="{28A0092B-C50C-407E-A947-70E740481C1C}">
                                <a14:useLocalDpi xmlns:a14="http://schemas.microsoft.com/office/drawing/2010/main" val="0"/>
                              </a:ext>
                            </a:extLst>
                          </a:blip>
                          <a:stretch>
                            <a:fillRect/>
                          </a:stretch>
                        </pic:blipFill>
                        <pic:spPr>
                          <a:xfrm>
                            <a:off x="0" y="0"/>
                            <a:ext cx="3009600" cy="2006296"/>
                          </a:xfrm>
                          <a:prstGeom prst="rect">
                            <a:avLst/>
                          </a:prstGeom>
                        </pic:spPr>
                      </pic:pic>
                    </a:graphicData>
                  </a:graphic>
                </wp:inline>
              </w:drawing>
            </w:r>
          </w:p>
          <w:p w14:paraId="1E7F076D" w14:textId="02CD59F8" w:rsidR="0069721B" w:rsidRPr="00A134A7" w:rsidRDefault="0069721B" w:rsidP="000B33DC">
            <w:pPr>
              <w:pStyle w:val="TableText"/>
              <w:rPr>
                <w:rFonts w:cs="Arial"/>
                <w:lang w:val="en-AU"/>
              </w:rPr>
            </w:pPr>
            <w:r w:rsidRPr="005D74D1">
              <w:rPr>
                <w:rFonts w:cs="Arial"/>
              </w:rPr>
              <w:t xml:space="preserve">Banks of the Birrarung </w:t>
            </w:r>
            <w:r w:rsidR="00A02E56" w:rsidRPr="005D74D1">
              <w:rPr>
                <w:rFonts w:cs="Arial"/>
              </w:rPr>
              <w:t xml:space="preserve">(Yarra River) </w:t>
            </w:r>
            <w:r w:rsidRPr="005D74D1">
              <w:rPr>
                <w:rFonts w:cs="Arial"/>
              </w:rPr>
              <w:t>looking on towards Melbourne city</w:t>
            </w:r>
          </w:p>
        </w:tc>
        <w:tc>
          <w:tcPr>
            <w:tcW w:w="2429" w:type="pct"/>
          </w:tcPr>
          <w:p w14:paraId="3671F33B" w14:textId="17122752" w:rsidR="0069721B" w:rsidRPr="00A134A7" w:rsidRDefault="0069721B" w:rsidP="000B33DC">
            <w:pPr>
              <w:pStyle w:val="TableText"/>
              <w:rPr>
                <w:rFonts w:cs="Arial"/>
                <w:lang w:val="en-AU"/>
              </w:rPr>
            </w:pPr>
            <w:r w:rsidRPr="005D74D1">
              <w:rPr>
                <w:rFonts w:cs="Arial"/>
              </w:rPr>
              <w:t xml:space="preserve">The role of the </w:t>
            </w:r>
            <w:r w:rsidR="00461BCE" w:rsidRPr="005D74D1">
              <w:rPr>
                <w:rFonts w:cs="Arial"/>
              </w:rPr>
              <w:t>CGRSWS</w:t>
            </w:r>
            <w:r w:rsidRPr="005D74D1">
              <w:rPr>
                <w:rFonts w:cs="Arial"/>
              </w:rPr>
              <w:t xml:space="preserve"> is to set policy directions and outline actions for securing the region’s long-term water supplies to protect the jobs, farms, ecosystems, communities and Traditional Owners that rely on them. </w:t>
            </w:r>
            <w:r w:rsidR="00BF46D0" w:rsidRPr="005D74D1">
              <w:rPr>
                <w:rFonts w:cs="Arial"/>
              </w:rPr>
              <w:t>It</w:t>
            </w:r>
            <w:r w:rsidRPr="005D74D1" w:rsidDel="005C234C">
              <w:rPr>
                <w:rFonts w:cs="Arial"/>
              </w:rPr>
              <w:t xml:space="preserve"> </w:t>
            </w:r>
            <w:r w:rsidRPr="005D74D1">
              <w:rPr>
                <w:rFonts w:cs="Arial"/>
              </w:rPr>
              <w:t xml:space="preserve">focuses on the current and emerging water challenges over the next 50 years, during which time the region’s population is expected to grow to over 10 million and variability in water availability are projected due to climate change. It </w:t>
            </w:r>
            <w:r w:rsidR="008D2A47" w:rsidRPr="005D74D1">
              <w:rPr>
                <w:rFonts w:cs="Arial"/>
              </w:rPr>
              <w:t>contributes to</w:t>
            </w:r>
            <w:r w:rsidRPr="005D74D1">
              <w:rPr>
                <w:rFonts w:cs="Arial"/>
              </w:rPr>
              <w:t xml:space="preserve"> multiple outcomes of the EC including water security, water efficiency, waterway and catchment health, Traditional Owner priorities and inclusive management.</w:t>
            </w:r>
          </w:p>
        </w:tc>
      </w:tr>
      <w:tr w:rsidR="0069721B" w:rsidRPr="005D74D1" w14:paraId="6C8795F6" w14:textId="77777777" w:rsidTr="00140664">
        <w:tc>
          <w:tcPr>
            <w:tcW w:w="5000" w:type="pct"/>
            <w:gridSpan w:val="2"/>
          </w:tcPr>
          <w:p w14:paraId="17DA5200" w14:textId="77777777" w:rsidR="00A50E7D" w:rsidRPr="00A134A7" w:rsidRDefault="0069721B" w:rsidP="000B33DC">
            <w:pPr>
              <w:pStyle w:val="TableText"/>
              <w:rPr>
                <w:rFonts w:cs="Arial"/>
                <w:lang w:val="en-AU"/>
              </w:rPr>
            </w:pPr>
            <w:r w:rsidRPr="005D74D1">
              <w:rPr>
                <w:rFonts w:cs="Arial"/>
              </w:rPr>
              <w:t xml:space="preserve">The </w:t>
            </w:r>
            <w:r w:rsidR="00461BCE" w:rsidRPr="005D74D1">
              <w:rPr>
                <w:rFonts w:cs="Arial"/>
              </w:rPr>
              <w:t xml:space="preserve">CGRSWS </w:t>
            </w:r>
            <w:r w:rsidRPr="005D74D1">
              <w:rPr>
                <w:rFonts w:cs="Arial"/>
              </w:rPr>
              <w:t xml:space="preserve">2022 covers an area </w:t>
            </w:r>
            <w:r w:rsidR="00D25B6C" w:rsidRPr="005D74D1">
              <w:rPr>
                <w:rFonts w:cs="Arial"/>
              </w:rPr>
              <w:t>that</w:t>
            </w:r>
            <w:r w:rsidRPr="005D74D1">
              <w:rPr>
                <w:rFonts w:cs="Arial"/>
              </w:rPr>
              <w:t xml:space="preserve"> 6 million Victorians </w:t>
            </w:r>
            <w:r w:rsidR="00D25B6C" w:rsidRPr="005D74D1">
              <w:rPr>
                <w:rFonts w:cs="Arial"/>
              </w:rPr>
              <w:t xml:space="preserve">rely on </w:t>
            </w:r>
            <w:r w:rsidRPr="005D74D1">
              <w:rPr>
                <w:rFonts w:cs="Arial"/>
              </w:rPr>
              <w:t>for work and recreation</w:t>
            </w:r>
            <w:r w:rsidR="001C7AAF" w:rsidRPr="005D74D1">
              <w:rPr>
                <w:rFonts w:cs="Arial"/>
              </w:rPr>
              <w:t>. It also</w:t>
            </w:r>
            <w:r w:rsidRPr="005D74D1">
              <w:rPr>
                <w:rFonts w:cs="Arial"/>
              </w:rPr>
              <w:t xml:space="preserve"> provides drinking water for 90% of Victorians. Hence, adapting to the impacts of climate change and managing associated water security risks is critical to build resilience in communities and </w:t>
            </w:r>
            <w:r w:rsidR="001C7AAF" w:rsidRPr="005D74D1">
              <w:rPr>
                <w:rFonts w:cs="Arial"/>
              </w:rPr>
              <w:t xml:space="preserve">to </w:t>
            </w:r>
            <w:r w:rsidRPr="005D74D1">
              <w:rPr>
                <w:rFonts w:cs="Arial"/>
              </w:rPr>
              <w:t>secure a healthy future for all Victorians. Modelling shows that the Central and Gippsland Region is likely to need additional water supplies within the next 10 years and that water supply may need to double over the next 50 years to meet demand. A loss of access to water may lead to lost economic opportunity, loss of recreation, environmental and cultural values, and cost burdens on water customers.</w:t>
            </w:r>
          </w:p>
          <w:p w14:paraId="2E0E6111" w14:textId="77777777" w:rsidR="00A50E7D" w:rsidRPr="00A134A7" w:rsidRDefault="0069721B" w:rsidP="000B33DC">
            <w:pPr>
              <w:pStyle w:val="TableText"/>
              <w:rPr>
                <w:rFonts w:cs="Arial"/>
                <w:lang w:val="en-AU"/>
              </w:rPr>
            </w:pPr>
            <w:r w:rsidRPr="005D74D1">
              <w:rPr>
                <w:rFonts w:cs="Arial"/>
              </w:rPr>
              <w:t xml:space="preserve">The </w:t>
            </w:r>
            <w:r w:rsidR="005869ED" w:rsidRPr="005D74D1">
              <w:rPr>
                <w:rFonts w:cs="Arial"/>
              </w:rPr>
              <w:t xml:space="preserve">CGRSWS </w:t>
            </w:r>
            <w:r w:rsidRPr="005D74D1">
              <w:rPr>
                <w:rFonts w:cs="Arial"/>
              </w:rPr>
              <w:t>identifies the opportunity for the region to shift away from reliance on river water and move towards climate-resilient, manufactured water to augment our water supplies. This includes fit</w:t>
            </w:r>
            <w:r w:rsidR="00C31EA9" w:rsidRPr="005D74D1">
              <w:rPr>
                <w:rFonts w:cs="Arial"/>
              </w:rPr>
              <w:t>-</w:t>
            </w:r>
            <w:r w:rsidRPr="005D74D1">
              <w:rPr>
                <w:rFonts w:cs="Arial"/>
              </w:rPr>
              <w:t>for</w:t>
            </w:r>
            <w:r w:rsidR="00C31EA9" w:rsidRPr="005D74D1">
              <w:rPr>
                <w:rFonts w:cs="Arial"/>
              </w:rPr>
              <w:t>-</w:t>
            </w:r>
            <w:r w:rsidRPr="005D74D1">
              <w:rPr>
                <w:rFonts w:cs="Arial"/>
              </w:rPr>
              <w:t>purpose recycled water, treated stormwater and desalinated water.</w:t>
            </w:r>
          </w:p>
          <w:p w14:paraId="3DAE8DED" w14:textId="40984EA8" w:rsidR="0069721B" w:rsidRPr="00A134A7" w:rsidRDefault="0069721B" w:rsidP="000B33DC">
            <w:pPr>
              <w:pStyle w:val="TableText"/>
              <w:rPr>
                <w:rFonts w:cs="Arial"/>
                <w:lang w:val="en-AU"/>
              </w:rPr>
            </w:pPr>
            <w:r w:rsidRPr="005D74D1">
              <w:rPr>
                <w:rFonts w:cs="Arial"/>
              </w:rPr>
              <w:t>DEECA, the water sector and Traditional Owners will progress regionally significant urban water projects. Investments in new water supplies will aim to balance the region’s growing water demands with affordability of supply. Additionally, the use of manufactured water will lead to river water becoming available for other uses</w:t>
            </w:r>
            <w:r w:rsidR="000B01D7" w:rsidRPr="005D74D1">
              <w:rPr>
                <w:rFonts w:cs="Arial"/>
              </w:rPr>
              <w:t>,</w:t>
            </w:r>
            <w:r w:rsidRPr="005D74D1">
              <w:rPr>
                <w:rFonts w:cs="Arial"/>
              </w:rPr>
              <w:t xml:space="preserve"> including returning water to Traditional Owners and the environment.</w:t>
            </w:r>
          </w:p>
        </w:tc>
      </w:tr>
    </w:tbl>
    <w:p w14:paraId="4EC4D8B8" w14:textId="47A3B1E4" w:rsidR="00875A29" w:rsidRPr="005D74D1" w:rsidRDefault="00875A29" w:rsidP="00BF79A8">
      <w:pPr>
        <w:pStyle w:val="Heading2"/>
        <w:keepLines w:val="0"/>
        <w:rPr>
          <w:rFonts w:cs="Arial"/>
        </w:rPr>
      </w:pPr>
      <w:bookmarkStart w:id="380" w:name="_Toc147329336"/>
      <w:bookmarkStart w:id="381" w:name="_Toc183777368"/>
      <w:r w:rsidRPr="005D74D1">
        <w:rPr>
          <w:rFonts w:cs="Arial"/>
        </w:rPr>
        <w:t>What progress has been made toward efficient water use?</w:t>
      </w:r>
      <w:bookmarkEnd w:id="380"/>
      <w:bookmarkEnd w:id="381"/>
    </w:p>
    <w:p w14:paraId="52B5163C" w14:textId="0F1C0F65" w:rsidR="007D3E3D" w:rsidRPr="005D74D1" w:rsidRDefault="00CC3D1C" w:rsidP="000B33DC">
      <w:pPr>
        <w:pStyle w:val="BodyText"/>
        <w:rPr>
          <w:rFonts w:cs="Arial"/>
        </w:rPr>
      </w:pPr>
      <w:r w:rsidRPr="005D74D1">
        <w:rPr>
          <w:rFonts w:cs="Arial"/>
        </w:rPr>
        <w:t xml:space="preserve">The overall performance assessment for this KEQ is: </w:t>
      </w:r>
    </w:p>
    <w:tbl>
      <w:tblPr>
        <w:tblStyle w:val="GridTable4-Accent1"/>
        <w:tblW w:w="5000" w:type="pct"/>
        <w:tblBorders>
          <w:top w:val="single" w:sz="4" w:space="0" w:color="231EDC" w:themeColor="accent1"/>
          <w:left w:val="single" w:sz="4" w:space="0" w:color="231EDC" w:themeColor="accent1"/>
          <w:bottom w:val="single" w:sz="4" w:space="0" w:color="231EDC" w:themeColor="accent1"/>
          <w:right w:val="single" w:sz="4" w:space="0" w:color="231EDC" w:themeColor="accent1"/>
          <w:insideH w:val="single" w:sz="4" w:space="0" w:color="231EDC" w:themeColor="accent1"/>
          <w:insideV w:val="single" w:sz="4" w:space="0" w:color="231EDC" w:themeColor="accent1"/>
        </w:tblBorders>
        <w:tblLook w:val="04A0" w:firstRow="1" w:lastRow="0" w:firstColumn="1" w:lastColumn="0" w:noHBand="0" w:noVBand="1"/>
      </w:tblPr>
      <w:tblGrid>
        <w:gridCol w:w="1161"/>
        <w:gridCol w:w="1084"/>
        <w:gridCol w:w="813"/>
        <w:gridCol w:w="532"/>
        <w:gridCol w:w="6038"/>
      </w:tblGrid>
      <w:tr w:rsidR="007537E5" w:rsidRPr="005D74D1" w14:paraId="1EC55148" w14:textId="77777777" w:rsidTr="00140664">
        <w:trPr>
          <w:cnfStyle w:val="100000000000" w:firstRow="1" w:lastRow="0" w:firstColumn="0" w:lastColumn="0" w:oddVBand="0" w:evenVBand="0" w:oddHBand="0" w:evenHBand="0" w:firstRowFirstColumn="0" w:firstRowLastColumn="0" w:lastRowFirstColumn="0" w:lastRowLastColumn="0"/>
          <w:trHeight w:val="503"/>
          <w:tblHeader/>
        </w:trPr>
        <w:tc>
          <w:tcPr>
            <w:cnfStyle w:val="001000000000" w:firstRow="0" w:lastRow="0" w:firstColumn="1" w:lastColumn="0" w:oddVBand="0" w:evenVBand="0" w:oddHBand="0" w:evenHBand="0" w:firstRowFirstColumn="0" w:firstRowLastColumn="0" w:lastRowFirstColumn="0" w:lastRowLastColumn="0"/>
            <w:tcW w:w="562" w:type="pct"/>
            <w:tcBorders>
              <w:top w:val="none" w:sz="0" w:space="0" w:color="auto"/>
              <w:left w:val="none" w:sz="0" w:space="0" w:color="auto"/>
              <w:bottom w:val="none" w:sz="0" w:space="0" w:color="auto"/>
              <w:right w:val="none" w:sz="0" w:space="0" w:color="auto"/>
            </w:tcBorders>
          </w:tcPr>
          <w:p w14:paraId="3D06F494" w14:textId="680BCD98" w:rsidR="0030233D" w:rsidRPr="00A134A7" w:rsidRDefault="0030233D" w:rsidP="002D1E41">
            <w:pPr>
              <w:pStyle w:val="TableHeadingWhite"/>
              <w:rPr>
                <w:rFonts w:cs="Arial"/>
                <w:b/>
                <w:bCs w:val="0"/>
                <w:lang w:val="en-AU"/>
              </w:rPr>
            </w:pPr>
            <w:r w:rsidRPr="005D74D1">
              <w:rPr>
                <w:rFonts w:cs="Arial"/>
              </w:rPr>
              <w:t>Outcome theme</w:t>
            </w:r>
          </w:p>
        </w:tc>
        <w:tc>
          <w:tcPr>
            <w:tcW w:w="563" w:type="pct"/>
            <w:tcBorders>
              <w:top w:val="none" w:sz="0" w:space="0" w:color="auto"/>
              <w:left w:val="none" w:sz="0" w:space="0" w:color="auto"/>
              <w:bottom w:val="none" w:sz="0" w:space="0" w:color="auto"/>
              <w:right w:val="none" w:sz="0" w:space="0" w:color="auto"/>
            </w:tcBorders>
          </w:tcPr>
          <w:p w14:paraId="4EE1ACF4" w14:textId="77777777" w:rsidR="0030233D" w:rsidRPr="00A134A7" w:rsidRDefault="0030233D" w:rsidP="002D1E41">
            <w:pPr>
              <w:pStyle w:val="TableHeadingWhite"/>
              <w:cnfStyle w:val="100000000000" w:firstRow="1" w:lastRow="0" w:firstColumn="0" w:lastColumn="0" w:oddVBand="0" w:evenVBand="0" w:oddHBand="0" w:evenHBand="0" w:firstRowFirstColumn="0" w:firstRowLastColumn="0" w:lastRowFirstColumn="0" w:lastRowLastColumn="0"/>
              <w:rPr>
                <w:rFonts w:cs="Arial"/>
                <w:b/>
                <w:bCs w:val="0"/>
                <w:lang w:val="en-AU"/>
              </w:rPr>
            </w:pPr>
            <w:r w:rsidRPr="005D74D1">
              <w:rPr>
                <w:rFonts w:cs="Arial"/>
              </w:rPr>
              <w:t>Rating type</w:t>
            </w:r>
          </w:p>
        </w:tc>
        <w:tc>
          <w:tcPr>
            <w:tcW w:w="436" w:type="pct"/>
            <w:tcBorders>
              <w:top w:val="none" w:sz="0" w:space="0" w:color="auto"/>
              <w:left w:val="none" w:sz="0" w:space="0" w:color="auto"/>
              <w:bottom w:val="none" w:sz="0" w:space="0" w:color="auto"/>
              <w:right w:val="none" w:sz="0" w:space="0" w:color="auto"/>
            </w:tcBorders>
          </w:tcPr>
          <w:p w14:paraId="42B4E8A7" w14:textId="77777777" w:rsidR="0030233D" w:rsidRPr="00A134A7" w:rsidRDefault="0030233D" w:rsidP="002D1E41">
            <w:pPr>
              <w:pStyle w:val="TableHeadingWhite"/>
              <w:cnfStyle w:val="100000000000" w:firstRow="1" w:lastRow="0" w:firstColumn="0" w:lastColumn="0" w:oddVBand="0" w:evenVBand="0" w:oddHBand="0" w:evenHBand="0" w:firstRowFirstColumn="0" w:firstRowLastColumn="0" w:lastRowFirstColumn="0" w:lastRowLastColumn="0"/>
              <w:rPr>
                <w:rFonts w:cs="Arial"/>
                <w:b/>
                <w:bCs w:val="0"/>
                <w:lang w:val="en-AU"/>
              </w:rPr>
            </w:pPr>
            <w:r w:rsidRPr="005D74D1">
              <w:rPr>
                <w:rFonts w:cs="Arial"/>
              </w:rPr>
              <w:t>Rating</w:t>
            </w:r>
          </w:p>
        </w:tc>
        <w:tc>
          <w:tcPr>
            <w:tcW w:w="3439" w:type="pct"/>
            <w:gridSpan w:val="2"/>
            <w:tcBorders>
              <w:top w:val="none" w:sz="0" w:space="0" w:color="auto"/>
              <w:left w:val="none" w:sz="0" w:space="0" w:color="auto"/>
              <w:bottom w:val="none" w:sz="0" w:space="0" w:color="auto"/>
              <w:right w:val="none" w:sz="0" w:space="0" w:color="auto"/>
            </w:tcBorders>
          </w:tcPr>
          <w:p w14:paraId="314E2A9B" w14:textId="77777777" w:rsidR="0030233D" w:rsidRPr="00A134A7" w:rsidRDefault="0030233D" w:rsidP="002D1E41">
            <w:pPr>
              <w:pStyle w:val="TableHeadingWhite"/>
              <w:cnfStyle w:val="100000000000" w:firstRow="1" w:lastRow="0" w:firstColumn="0" w:lastColumn="0" w:oddVBand="0" w:evenVBand="0" w:oddHBand="0" w:evenHBand="0" w:firstRowFirstColumn="0" w:firstRowLastColumn="0" w:lastRowFirstColumn="0" w:lastRowLastColumn="0"/>
              <w:rPr>
                <w:rFonts w:cs="Arial"/>
                <w:b/>
                <w:bCs w:val="0"/>
                <w:lang w:val="en-AU"/>
              </w:rPr>
            </w:pPr>
            <w:r w:rsidRPr="005D74D1">
              <w:rPr>
                <w:rFonts w:cs="Arial"/>
              </w:rPr>
              <w:t>Rationale</w:t>
            </w:r>
          </w:p>
        </w:tc>
      </w:tr>
      <w:tr w:rsidR="007537E5" w:rsidRPr="005D74D1" w14:paraId="4C9087EB" w14:textId="77777777" w:rsidTr="001406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pct"/>
            <w:vMerge w:val="restart"/>
            <w:shd w:val="clear" w:color="auto" w:fill="auto"/>
            <w:vAlign w:val="center"/>
          </w:tcPr>
          <w:p w14:paraId="12CBE9E3" w14:textId="473472A0" w:rsidR="005C55CD" w:rsidRPr="005D74D1" w:rsidRDefault="005C55CD" w:rsidP="00BB55D2">
            <w:pPr>
              <w:pStyle w:val="TableText"/>
              <w:rPr>
                <w:rFonts w:cs="Arial"/>
                <w:b w:val="0"/>
                <w:lang w:val="en-AU"/>
              </w:rPr>
            </w:pPr>
            <w:r w:rsidRPr="005D74D1">
              <w:rPr>
                <w:rFonts w:cs="Arial"/>
              </w:rPr>
              <w:t>Water Efficiency</w:t>
            </w:r>
          </w:p>
        </w:tc>
        <w:tc>
          <w:tcPr>
            <w:tcW w:w="563" w:type="pct"/>
            <w:shd w:val="clear" w:color="auto" w:fill="auto"/>
            <w:vAlign w:val="center"/>
          </w:tcPr>
          <w:p w14:paraId="33D85BD1" w14:textId="11BF8772" w:rsidR="005C55CD" w:rsidRPr="005D74D1" w:rsidRDefault="006D41C3" w:rsidP="00BB55D2">
            <w:pPr>
              <w:pStyle w:val="TableText"/>
              <w:cnfStyle w:val="000000100000" w:firstRow="0" w:lastRow="0" w:firstColumn="0" w:lastColumn="0" w:oddVBand="0" w:evenVBand="0" w:oddHBand="1" w:evenHBand="0" w:firstRowFirstColumn="0" w:firstRowLastColumn="0" w:lastRowFirstColumn="0" w:lastRowLastColumn="0"/>
              <w:rPr>
                <w:rFonts w:cs="Arial"/>
                <w:lang w:val="en-AU"/>
              </w:rPr>
            </w:pPr>
            <w:r w:rsidRPr="005D74D1">
              <w:rPr>
                <w:rFonts w:cs="Arial"/>
              </w:rPr>
              <w:t>Extent to which end-of-EC5 outcomes were achieved</w:t>
            </w:r>
          </w:p>
        </w:tc>
        <w:tc>
          <w:tcPr>
            <w:tcW w:w="726" w:type="pct"/>
            <w:gridSpan w:val="2"/>
            <w:shd w:val="clear" w:color="auto" w:fill="auto"/>
            <w:vAlign w:val="center"/>
          </w:tcPr>
          <w:p w14:paraId="5F8BA01E" w14:textId="77777777" w:rsidR="005C55CD" w:rsidRPr="005D74D1" w:rsidRDefault="005C55CD" w:rsidP="00140664">
            <w:pPr>
              <w:pStyle w:val="TableText"/>
              <w:jc w:val="center"/>
              <w:cnfStyle w:val="000000100000" w:firstRow="0" w:lastRow="0" w:firstColumn="0" w:lastColumn="0" w:oddVBand="0" w:evenVBand="0" w:oddHBand="1" w:evenHBand="0" w:firstRowFirstColumn="0" w:firstRowLastColumn="0" w:lastRowFirstColumn="0" w:lastRowLastColumn="0"/>
              <w:rPr>
                <w:rFonts w:cs="Arial"/>
                <w:lang w:val="en-AU"/>
              </w:rPr>
            </w:pPr>
            <w:r w:rsidRPr="005D74D1">
              <w:rPr>
                <w:rFonts w:cs="Arial"/>
              </w:rPr>
              <w:t>High</w:t>
            </w:r>
          </w:p>
          <w:p w14:paraId="5E023EBC" w14:textId="28E31035" w:rsidR="005C55CD" w:rsidRPr="005D74D1" w:rsidRDefault="005C55CD" w:rsidP="00140664">
            <w:pPr>
              <w:pStyle w:val="TableText"/>
              <w:jc w:val="center"/>
              <w:cnfStyle w:val="000000100000" w:firstRow="0" w:lastRow="0" w:firstColumn="0" w:lastColumn="0" w:oddVBand="0" w:evenVBand="0" w:oddHBand="1" w:evenHBand="0" w:firstRowFirstColumn="0" w:firstRowLastColumn="0" w:lastRowFirstColumn="0" w:lastRowLastColumn="0"/>
              <w:rPr>
                <w:rFonts w:cs="Arial"/>
                <w:lang w:val="en-AU"/>
              </w:rPr>
            </w:pPr>
            <w:r w:rsidRPr="00A134A7">
              <w:rPr>
                <w:rFonts w:cs="Arial"/>
                <w:noProof/>
              </w:rPr>
              <mc:AlternateContent>
                <mc:Choice Requires="wpg">
                  <w:drawing>
                    <wp:inline distT="0" distB="0" distL="0" distR="0" wp14:anchorId="7FAB17C9" wp14:editId="61BC7546">
                      <wp:extent cx="460375" cy="248285"/>
                      <wp:effectExtent l="0" t="0" r="15875" b="18415"/>
                      <wp:docPr id="1735180128" name="Group 1735180128"/>
                      <wp:cNvGraphicFramePr/>
                      <a:graphic xmlns:a="http://schemas.openxmlformats.org/drawingml/2006/main">
                        <a:graphicData uri="http://schemas.microsoft.com/office/word/2010/wordprocessingGroup">
                          <wpg:wgp>
                            <wpg:cNvGrpSpPr/>
                            <wpg:grpSpPr>
                              <a:xfrm>
                                <a:off x="0" y="0"/>
                                <a:ext cx="460375" cy="248285"/>
                                <a:chOff x="0" y="0"/>
                                <a:chExt cx="675125" cy="248400"/>
                              </a:xfrm>
                            </wpg:grpSpPr>
                            <wps:wsp>
                              <wps:cNvPr id="1754364870" name="Rectangle 1754364870"/>
                              <wps:cNvSpPr/>
                              <wps:spPr>
                                <a:xfrm>
                                  <a:off x="0" y="0"/>
                                  <a:ext cx="133200" cy="24840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79293597" name="Rectangle 1579293597"/>
                              <wps:cNvSpPr/>
                              <wps:spPr>
                                <a:xfrm>
                                  <a:off x="135481" y="0"/>
                                  <a:ext cx="133200" cy="24840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54003340" name="Rectangle 1454003340"/>
                              <wps:cNvSpPr/>
                              <wps:spPr>
                                <a:xfrm>
                                  <a:off x="270962" y="0"/>
                                  <a:ext cx="133200" cy="24840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45369667" name="Rectangle 1545369667"/>
                              <wps:cNvSpPr/>
                              <wps:spPr>
                                <a:xfrm>
                                  <a:off x="406443" y="0"/>
                                  <a:ext cx="133200" cy="24840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4416939" name="Rectangle 204416939"/>
                              <wps:cNvSpPr/>
                              <wps:spPr>
                                <a:xfrm>
                                  <a:off x="541925" y="0"/>
                                  <a:ext cx="133200" cy="2484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xmlns:w16du="http://schemas.microsoft.com/office/word/2023/wordml/word16du">
                  <w:pict>
                    <v:group w14:anchorId="378CBAE1" id="Group 1735180128" o:spid="_x0000_s1026" style="width:36.25pt;height:19.55pt;mso-position-horizontal-relative:char;mso-position-vertical-relative:line" coordsize="6751,2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">
                      <v:rect id="Rectangle 1754364870" o:spid="_x0000_s1027" style="position:absolute;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" fillcolor="#231edc [3204]" strokecolor="black [3213]" strokeweight="1pt"/>
                      <v:rect id="Rectangle 1579293597" o:spid="_x0000_s1028" style="position:absolute;left:1354;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" fillcolor="#231edc [3204]" strokecolor="black [3213]" strokeweight="1pt"/>
                      <v:rect id="Rectangle 1454003340" o:spid="_x0000_s1029" style="position:absolute;left:2709;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" fillcolor="#231edc [3204]" strokecolor="black [3213]" strokeweight="1pt"/>
                      <v:rect id="Rectangle 1545369667" o:spid="_x0000_s1030" style="position:absolute;left:4064;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" fillcolor="#231edc [3204]" strokecolor="black [3213]" strokeweight="1pt"/>
                      <v:rect id="Rectangle 204416939" o:spid="_x0000_s1031" style="position:absolute;left:5419;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" fillcolor="white [3212]" strokecolor="black [3213]" strokeweight="1pt"/>
                      <w10:anchorlock/>
                    </v:group>
                  </w:pict>
                </mc:Fallback>
              </mc:AlternateContent>
            </w:r>
          </w:p>
        </w:tc>
        <w:tc>
          <w:tcPr>
            <w:tcW w:w="3149" w:type="pct"/>
            <w:shd w:val="clear" w:color="auto" w:fill="auto"/>
          </w:tcPr>
          <w:p w14:paraId="172DA145" w14:textId="32B33CE1" w:rsidR="005C55CD" w:rsidRPr="005D74D1" w:rsidRDefault="005C55CD" w:rsidP="000B33DC">
            <w:pPr>
              <w:pStyle w:val="TableText"/>
              <w:cnfStyle w:val="000000100000" w:firstRow="0" w:lastRow="0" w:firstColumn="0" w:lastColumn="0" w:oddVBand="0" w:evenVBand="0" w:oddHBand="1" w:evenHBand="0" w:firstRowFirstColumn="0" w:firstRowLastColumn="0" w:lastRowFirstColumn="0" w:lastRowLastColumn="0"/>
              <w:rPr>
                <w:rFonts w:cs="Arial"/>
                <w:lang w:val="en-AU"/>
              </w:rPr>
            </w:pPr>
            <w:r w:rsidRPr="005D74D1">
              <w:rPr>
                <w:rFonts w:cs="Arial"/>
              </w:rPr>
              <w:t>EC5 continued a range of initiatives focused on improving water efficiency in schools, homes, rural communities and irrigation districts, for which water savings were monitored and quantified. Work to improve regulation of water use compliance was a key achievement of EC5.</w:t>
            </w:r>
          </w:p>
        </w:tc>
      </w:tr>
      <w:tr w:rsidR="007537E5" w:rsidRPr="005D74D1" w14:paraId="2AAFF598" w14:textId="77777777" w:rsidTr="00140664">
        <w:tc>
          <w:tcPr>
            <w:cnfStyle w:val="001000000000" w:firstRow="0" w:lastRow="0" w:firstColumn="1" w:lastColumn="0" w:oddVBand="0" w:evenVBand="0" w:oddHBand="0" w:evenHBand="0" w:firstRowFirstColumn="0" w:firstRowLastColumn="0" w:lastRowFirstColumn="0" w:lastRowLastColumn="0"/>
            <w:tcW w:w="562" w:type="pct"/>
            <w:vMerge/>
            <w:vAlign w:val="center"/>
          </w:tcPr>
          <w:p w14:paraId="5FBB1085" w14:textId="77777777" w:rsidR="005C55CD" w:rsidRPr="005D74D1" w:rsidRDefault="005C55CD" w:rsidP="00BB55D2">
            <w:pPr>
              <w:pStyle w:val="TableText"/>
              <w:rPr>
                <w:rFonts w:cs="Arial"/>
                <w:b w:val="0"/>
                <w:lang w:val="en-AU"/>
              </w:rPr>
            </w:pPr>
          </w:p>
        </w:tc>
        <w:tc>
          <w:tcPr>
            <w:tcW w:w="563" w:type="pct"/>
            <w:shd w:val="clear" w:color="auto" w:fill="auto"/>
            <w:vAlign w:val="center"/>
          </w:tcPr>
          <w:p w14:paraId="2675A977" w14:textId="21335BC8" w:rsidR="005C55CD" w:rsidRPr="005D74D1" w:rsidRDefault="005C55CD" w:rsidP="00BB55D2">
            <w:pPr>
              <w:pStyle w:val="TableText"/>
              <w:cnfStyle w:val="000000000000" w:firstRow="0" w:lastRow="0" w:firstColumn="0" w:lastColumn="0" w:oddVBand="0" w:evenVBand="0" w:oddHBand="0" w:evenHBand="0" w:firstRowFirstColumn="0" w:firstRowLastColumn="0" w:lastRowFirstColumn="0" w:lastRowLastColumn="0"/>
              <w:rPr>
                <w:rFonts w:cs="Arial"/>
                <w:lang w:val="en-AU"/>
              </w:rPr>
            </w:pPr>
            <w:r w:rsidRPr="005D74D1">
              <w:rPr>
                <w:rFonts w:cs="Arial"/>
              </w:rPr>
              <w:t>Overall progress toward long-term outcomes</w:t>
            </w:r>
          </w:p>
        </w:tc>
        <w:tc>
          <w:tcPr>
            <w:tcW w:w="726" w:type="pct"/>
            <w:gridSpan w:val="2"/>
            <w:shd w:val="clear" w:color="auto" w:fill="auto"/>
            <w:vAlign w:val="center"/>
          </w:tcPr>
          <w:p w14:paraId="2B27DE1B" w14:textId="77777777" w:rsidR="005C55CD" w:rsidRPr="005D74D1" w:rsidRDefault="005C55CD" w:rsidP="00140664">
            <w:pPr>
              <w:pStyle w:val="TableText"/>
              <w:jc w:val="center"/>
              <w:cnfStyle w:val="000000000000" w:firstRow="0" w:lastRow="0" w:firstColumn="0" w:lastColumn="0" w:oddVBand="0" w:evenVBand="0" w:oddHBand="0" w:evenHBand="0" w:firstRowFirstColumn="0" w:firstRowLastColumn="0" w:lastRowFirstColumn="0" w:lastRowLastColumn="0"/>
              <w:rPr>
                <w:rFonts w:cs="Arial"/>
                <w:lang w:val="en-AU"/>
              </w:rPr>
            </w:pPr>
            <w:r w:rsidRPr="005D74D1">
              <w:rPr>
                <w:rFonts w:cs="Arial"/>
              </w:rPr>
              <w:t>Medium</w:t>
            </w:r>
          </w:p>
          <w:p w14:paraId="28E01906" w14:textId="33806A3B" w:rsidR="005C55CD" w:rsidRPr="005D74D1" w:rsidRDefault="005C55CD" w:rsidP="00140664">
            <w:pPr>
              <w:pStyle w:val="TableText"/>
              <w:jc w:val="center"/>
              <w:cnfStyle w:val="000000000000" w:firstRow="0" w:lastRow="0" w:firstColumn="0" w:lastColumn="0" w:oddVBand="0" w:evenVBand="0" w:oddHBand="0" w:evenHBand="0" w:firstRowFirstColumn="0" w:firstRowLastColumn="0" w:lastRowFirstColumn="0" w:lastRowLastColumn="0"/>
              <w:rPr>
                <w:rFonts w:cs="Arial"/>
                <w:lang w:val="en-AU"/>
              </w:rPr>
            </w:pPr>
            <w:r w:rsidRPr="00A134A7">
              <w:rPr>
                <w:rFonts w:cs="Arial"/>
                <w:noProof/>
              </w:rPr>
              <mc:AlternateContent>
                <mc:Choice Requires="wpg">
                  <w:drawing>
                    <wp:inline distT="0" distB="0" distL="0" distR="0" wp14:anchorId="60782AA7" wp14:editId="7D0944F8">
                      <wp:extent cx="460800" cy="246491"/>
                      <wp:effectExtent l="0" t="0" r="15875" b="20320"/>
                      <wp:docPr id="229" name="Group 229"/>
                      <wp:cNvGraphicFramePr/>
                      <a:graphic xmlns:a="http://schemas.openxmlformats.org/drawingml/2006/main">
                        <a:graphicData uri="http://schemas.microsoft.com/office/word/2010/wordprocessingGroup">
                          <wpg:wgp>
                            <wpg:cNvGrpSpPr/>
                            <wpg:grpSpPr>
                              <a:xfrm>
                                <a:off x="0" y="0"/>
                                <a:ext cx="460800" cy="246491"/>
                                <a:chOff x="0" y="0"/>
                                <a:chExt cx="675755" cy="246491"/>
                              </a:xfrm>
                            </wpg:grpSpPr>
                            <wps:wsp>
                              <wps:cNvPr id="243" name="Rectangle 243"/>
                              <wps:cNvSpPr/>
                              <wps:spPr>
                                <a:xfrm>
                                  <a:off x="0" y="0"/>
                                  <a:ext cx="133200" cy="246491"/>
                                </a:xfrm>
                                <a:prstGeom prst="rect">
                                  <a:avLst/>
                                </a:pr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4" name="Rectangle 244"/>
                              <wps:cNvSpPr/>
                              <wps:spPr>
                                <a:xfrm>
                                  <a:off x="135639" y="0"/>
                                  <a:ext cx="133200" cy="246491"/>
                                </a:xfrm>
                                <a:prstGeom prst="rect">
                                  <a:avLst/>
                                </a:pr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5" name="Rectangle 245"/>
                              <wps:cNvSpPr/>
                              <wps:spPr>
                                <a:xfrm>
                                  <a:off x="271278" y="0"/>
                                  <a:ext cx="133200" cy="246491"/>
                                </a:xfrm>
                                <a:prstGeom prst="rect">
                                  <a:avLst/>
                                </a:pr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6" name="Rectangle 246"/>
                              <wps:cNvSpPr/>
                              <wps:spPr>
                                <a:xfrm>
                                  <a:off x="542555" y="0"/>
                                  <a:ext cx="133200" cy="246491"/>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7" name="Rectangle 247"/>
                              <wps:cNvSpPr/>
                              <wps:spPr>
                                <a:xfrm>
                                  <a:off x="406917" y="0"/>
                                  <a:ext cx="133200" cy="246491"/>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xmlns:w16du="http://schemas.microsoft.com/office/word/2023/wordml/word16du">
                  <w:pict>
                    <v:group w14:anchorId="71EAAD3B" id="Group 229" o:spid="_x0000_s1026" style="width:36.3pt;height:19.4pt;mso-position-horizontal-relative:char;mso-position-vertical-relative:line" coordsize="6757,2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">
                      <v:rect id="Rectangle 243" o:spid="_x0000_s1027" style="position:absolute;width:1332;height:2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" fillcolor="#ffc000" strokecolor="black [3213]" strokeweight="1pt"/>
                      <v:rect id="Rectangle 244" o:spid="_x0000_s1028" style="position:absolute;left:1356;width:1332;height:2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" fillcolor="#ffc000" strokecolor="black [3213]" strokeweight="1pt"/>
                      <v:rect id="Rectangle 245" o:spid="_x0000_s1029" style="position:absolute;left:2712;width:1332;height:2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" fillcolor="#ffc000" strokecolor="black [3213]" strokeweight="1pt"/>
                      <v:rect id="Rectangle 246" o:spid="_x0000_s1030" style="position:absolute;left:5425;width:1332;height:2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" fillcolor="white [3212]" strokecolor="black [3213]" strokeweight="1pt"/>
                      <v:rect id="Rectangle 247" o:spid="_x0000_s1031" style="position:absolute;left:4069;width:1332;height:2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" fillcolor="white [3212]" strokecolor="black [3213]" strokeweight="1pt"/>
                      <w10:anchorlock/>
                    </v:group>
                  </w:pict>
                </mc:Fallback>
              </mc:AlternateContent>
            </w:r>
          </w:p>
        </w:tc>
        <w:tc>
          <w:tcPr>
            <w:tcW w:w="3149" w:type="pct"/>
            <w:shd w:val="clear" w:color="auto" w:fill="auto"/>
          </w:tcPr>
          <w:p w14:paraId="382CD339" w14:textId="5F1E2A9F" w:rsidR="005C55CD" w:rsidRPr="005D74D1" w:rsidRDefault="005C55CD" w:rsidP="000B33DC">
            <w:pPr>
              <w:pStyle w:val="TableText"/>
              <w:cnfStyle w:val="000000000000" w:firstRow="0" w:lastRow="0" w:firstColumn="0" w:lastColumn="0" w:oddVBand="0" w:evenVBand="0" w:oddHBand="0" w:evenHBand="0" w:firstRowFirstColumn="0" w:firstRowLastColumn="0" w:lastRowFirstColumn="0" w:lastRowLastColumn="0"/>
              <w:rPr>
                <w:rFonts w:cs="Arial"/>
                <w:lang w:val="en-AU"/>
              </w:rPr>
            </w:pPr>
            <w:r w:rsidRPr="005D74D1">
              <w:rPr>
                <w:rFonts w:cs="Arial"/>
              </w:rPr>
              <w:t xml:space="preserve">Prior investment in rural water infrastructure have created the gains in improved irrigation efficiency. However, continued investment and ongoing work is needed to realise the remaining opportunities. Urban water efficiency varies due to multiple factors and there is more work needed to achieve Melbourne’s per capita water use targets. </w:t>
            </w:r>
          </w:p>
        </w:tc>
      </w:tr>
    </w:tbl>
    <w:p w14:paraId="67FDD64A" w14:textId="77777777" w:rsidR="00A50E7D" w:rsidRPr="005D74D1" w:rsidRDefault="00CC3D1C" w:rsidP="007F1C94">
      <w:pPr>
        <w:pStyle w:val="BodyText"/>
        <w:rPr>
          <w:rFonts w:cs="Arial"/>
        </w:rPr>
      </w:pPr>
      <w:r w:rsidRPr="005D74D1">
        <w:rPr>
          <w:rFonts w:cs="Arial"/>
        </w:rPr>
        <w:t xml:space="preserve">This KEQ evaluates </w:t>
      </w:r>
      <w:r w:rsidR="004254D4" w:rsidRPr="005D74D1">
        <w:rPr>
          <w:rFonts w:cs="Arial"/>
        </w:rPr>
        <w:t>the extent to which the</w:t>
      </w:r>
      <w:r w:rsidRPr="005D74D1">
        <w:rPr>
          <w:rFonts w:cs="Arial"/>
        </w:rPr>
        <w:t xml:space="preserve"> </w:t>
      </w:r>
      <w:r w:rsidR="002F3415" w:rsidRPr="005D74D1">
        <w:rPr>
          <w:rFonts w:cs="Arial"/>
        </w:rPr>
        <w:t>Water Efficiency</w:t>
      </w:r>
      <w:r w:rsidRPr="005D74D1">
        <w:rPr>
          <w:rFonts w:cs="Arial"/>
        </w:rPr>
        <w:t xml:space="preserve"> objective</w:t>
      </w:r>
      <w:r w:rsidR="004254D4" w:rsidRPr="005D74D1">
        <w:rPr>
          <w:rFonts w:cs="Arial"/>
        </w:rPr>
        <w:t>s</w:t>
      </w:r>
      <w:r w:rsidRPr="005D74D1">
        <w:rPr>
          <w:rFonts w:cs="Arial"/>
        </w:rPr>
        <w:t xml:space="preserve"> of the EC5 </w:t>
      </w:r>
      <w:r w:rsidR="004254D4" w:rsidRPr="005D74D1">
        <w:rPr>
          <w:rFonts w:cs="Arial"/>
        </w:rPr>
        <w:t xml:space="preserve">were </w:t>
      </w:r>
      <w:r w:rsidR="002F0E43" w:rsidRPr="005D74D1">
        <w:rPr>
          <w:rFonts w:cs="Arial"/>
        </w:rPr>
        <w:t>achieved</w:t>
      </w:r>
      <w:r w:rsidRPr="005D74D1">
        <w:rPr>
          <w:rFonts w:cs="Arial"/>
        </w:rPr>
        <w:t>. The program logic (</w:t>
      </w:r>
      <w:r w:rsidR="00E16F27" w:rsidRPr="005D74D1">
        <w:rPr>
          <w:rFonts w:cs="Arial"/>
        </w:rPr>
        <w:t>see Section 3.3)</w:t>
      </w:r>
      <w:r w:rsidR="00850211" w:rsidRPr="005D74D1">
        <w:rPr>
          <w:rFonts w:cs="Arial"/>
        </w:rPr>
        <w:t xml:space="preserve"> </w:t>
      </w:r>
      <w:r w:rsidRPr="005D74D1">
        <w:rPr>
          <w:rFonts w:cs="Arial"/>
        </w:rPr>
        <w:t xml:space="preserve">includes the long-term outcome </w:t>
      </w:r>
      <w:r w:rsidR="00827AFE" w:rsidRPr="005D74D1">
        <w:rPr>
          <w:rFonts w:cs="Arial"/>
        </w:rPr>
        <w:t>‘</w:t>
      </w:r>
      <w:r w:rsidR="00D53329" w:rsidRPr="005D74D1">
        <w:rPr>
          <w:rFonts w:cs="Arial"/>
        </w:rPr>
        <w:t>Water is used efficiently</w:t>
      </w:r>
      <w:r w:rsidR="00827AFE" w:rsidRPr="005D74D1">
        <w:rPr>
          <w:rFonts w:cs="Arial"/>
        </w:rPr>
        <w:t>’</w:t>
      </w:r>
      <w:r w:rsidRPr="005D74D1">
        <w:rPr>
          <w:rFonts w:cs="Arial"/>
        </w:rPr>
        <w:t xml:space="preserve"> supported by the following </w:t>
      </w:r>
      <w:r w:rsidR="00881BE0" w:rsidRPr="005D74D1">
        <w:rPr>
          <w:rFonts w:cs="Arial"/>
        </w:rPr>
        <w:t>E</w:t>
      </w:r>
      <w:r w:rsidRPr="005D74D1">
        <w:rPr>
          <w:rFonts w:cs="Arial"/>
        </w:rPr>
        <w:t>nd</w:t>
      </w:r>
      <w:r w:rsidR="000B2F72" w:rsidRPr="005D74D1">
        <w:rPr>
          <w:rFonts w:cs="Arial"/>
        </w:rPr>
        <w:t>-</w:t>
      </w:r>
      <w:r w:rsidRPr="005D74D1">
        <w:rPr>
          <w:rFonts w:cs="Arial"/>
        </w:rPr>
        <w:t>of</w:t>
      </w:r>
      <w:r w:rsidR="000B2F72" w:rsidRPr="005D74D1">
        <w:rPr>
          <w:rFonts w:cs="Arial"/>
        </w:rPr>
        <w:t>-</w:t>
      </w:r>
      <w:r w:rsidR="00881BE0" w:rsidRPr="005D74D1">
        <w:rPr>
          <w:rFonts w:cs="Arial"/>
        </w:rPr>
        <w:t>T</w:t>
      </w:r>
      <w:r w:rsidRPr="005D74D1">
        <w:rPr>
          <w:rFonts w:cs="Arial"/>
        </w:rPr>
        <w:t>ranche outcomes:</w:t>
      </w:r>
    </w:p>
    <w:p w14:paraId="51EBEAB7" w14:textId="2D81CF63" w:rsidR="00374797" w:rsidRPr="00A134A7" w:rsidRDefault="00E40112" w:rsidP="009E3D9F">
      <w:pPr>
        <w:pStyle w:val="BulletLevel1"/>
        <w:rPr>
          <w:rFonts w:cs="Arial"/>
          <w:lang w:val="en-AU"/>
        </w:rPr>
      </w:pPr>
      <w:r w:rsidRPr="00A134A7">
        <w:rPr>
          <w:rFonts w:cs="Arial"/>
          <w:lang w:val="en-AU"/>
        </w:rPr>
        <w:lastRenderedPageBreak/>
        <w:t>i</w:t>
      </w:r>
      <w:r w:rsidR="007D219F" w:rsidRPr="00A134A7">
        <w:rPr>
          <w:rFonts w:cs="Arial"/>
          <w:lang w:val="en-AU"/>
        </w:rPr>
        <w:t xml:space="preserve">mproved </w:t>
      </w:r>
      <w:r w:rsidR="00374797" w:rsidRPr="00A134A7">
        <w:rPr>
          <w:rFonts w:cs="Arial"/>
          <w:lang w:val="en-AU"/>
        </w:rPr>
        <w:t>water awareness and water efficiency in schools and homes</w:t>
      </w:r>
    </w:p>
    <w:p w14:paraId="524A80AD" w14:textId="571A95BF" w:rsidR="00204C77" w:rsidRPr="00A134A7" w:rsidRDefault="00E40112" w:rsidP="000B33DC">
      <w:pPr>
        <w:pStyle w:val="BulletLevel1"/>
        <w:rPr>
          <w:rFonts w:cs="Arial"/>
          <w:lang w:val="en-AU"/>
        </w:rPr>
      </w:pPr>
      <w:r w:rsidRPr="00A134A7">
        <w:rPr>
          <w:rFonts w:cs="Arial"/>
          <w:lang w:val="en-AU"/>
        </w:rPr>
        <w:t>i</w:t>
      </w:r>
      <w:r w:rsidR="007D219F" w:rsidRPr="00A134A7">
        <w:rPr>
          <w:rFonts w:cs="Arial"/>
          <w:lang w:val="en-AU"/>
        </w:rPr>
        <w:t xml:space="preserve">mproved </w:t>
      </w:r>
      <w:r w:rsidR="00204C77" w:rsidRPr="00A134A7">
        <w:rPr>
          <w:rFonts w:cs="Arial"/>
          <w:lang w:val="en-AU"/>
        </w:rPr>
        <w:t>water awareness and water efficiency in irrigation communities</w:t>
      </w:r>
    </w:p>
    <w:p w14:paraId="39E22955" w14:textId="31EF9E59" w:rsidR="008659C2" w:rsidRPr="00A134A7" w:rsidRDefault="00E40112" w:rsidP="009E3D9F">
      <w:pPr>
        <w:pStyle w:val="BulletLevel1"/>
        <w:rPr>
          <w:rFonts w:cs="Arial"/>
          <w:lang w:val="en-AU"/>
        </w:rPr>
      </w:pPr>
      <w:r w:rsidRPr="00A134A7">
        <w:rPr>
          <w:rFonts w:cs="Arial"/>
          <w:lang w:val="en-AU"/>
        </w:rPr>
        <w:t>i</w:t>
      </w:r>
      <w:r w:rsidR="007D219F" w:rsidRPr="00A134A7">
        <w:rPr>
          <w:rFonts w:cs="Arial"/>
          <w:lang w:val="en-AU"/>
        </w:rPr>
        <w:t xml:space="preserve">mproved </w:t>
      </w:r>
      <w:r w:rsidR="008659C2" w:rsidRPr="00A134A7">
        <w:rPr>
          <w:rFonts w:cs="Arial"/>
          <w:lang w:val="en-AU"/>
        </w:rPr>
        <w:t>responsiveness of rural water policy to water wise use and climate change</w:t>
      </w:r>
    </w:p>
    <w:p w14:paraId="584F5B99" w14:textId="509A8DA1" w:rsidR="001E1871" w:rsidRPr="00A134A7" w:rsidRDefault="00E40112" w:rsidP="009E3D9F">
      <w:pPr>
        <w:pStyle w:val="BulletLevel1"/>
        <w:rPr>
          <w:rFonts w:cs="Arial"/>
          <w:lang w:val="en-AU"/>
        </w:rPr>
      </w:pPr>
      <w:r w:rsidRPr="00A134A7">
        <w:rPr>
          <w:rFonts w:cs="Arial"/>
          <w:lang w:val="en-AU"/>
        </w:rPr>
        <w:t>r</w:t>
      </w:r>
      <w:r w:rsidR="007D219F" w:rsidRPr="00A134A7">
        <w:rPr>
          <w:rFonts w:cs="Arial"/>
          <w:lang w:val="en-AU"/>
        </w:rPr>
        <w:t xml:space="preserve">eduction </w:t>
      </w:r>
      <w:r w:rsidR="001E1871" w:rsidRPr="00A134A7">
        <w:rPr>
          <w:rFonts w:cs="Arial"/>
          <w:lang w:val="en-AU"/>
        </w:rPr>
        <w:t>in irrigation losses</w:t>
      </w:r>
    </w:p>
    <w:p w14:paraId="1E5A9EAD" w14:textId="54383666" w:rsidR="007F1C94" w:rsidRPr="00A134A7" w:rsidRDefault="00E40112" w:rsidP="009E3D9F">
      <w:pPr>
        <w:pStyle w:val="BulletLevel1"/>
        <w:rPr>
          <w:rFonts w:cs="Arial"/>
          <w:lang w:val="en-AU"/>
        </w:rPr>
      </w:pPr>
      <w:r w:rsidRPr="00A134A7">
        <w:rPr>
          <w:rFonts w:cs="Arial"/>
          <w:lang w:val="en-AU"/>
        </w:rPr>
        <w:t>i</w:t>
      </w:r>
      <w:r w:rsidR="007D219F" w:rsidRPr="00A134A7">
        <w:rPr>
          <w:rFonts w:cs="Arial"/>
          <w:lang w:val="en-AU"/>
        </w:rPr>
        <w:t xml:space="preserve">mproved </w:t>
      </w:r>
      <w:r w:rsidR="007F1C94" w:rsidRPr="00A134A7">
        <w:rPr>
          <w:rFonts w:cs="Arial"/>
          <w:lang w:val="en-AU"/>
        </w:rPr>
        <w:t>regulation of water user compliance</w:t>
      </w:r>
      <w:r w:rsidR="007D219F" w:rsidRPr="00A134A7">
        <w:rPr>
          <w:rFonts w:cs="Arial"/>
          <w:lang w:val="en-AU"/>
        </w:rPr>
        <w:t>.</w:t>
      </w:r>
    </w:p>
    <w:p w14:paraId="3527115B" w14:textId="77777777" w:rsidR="00A50E7D" w:rsidRPr="005D74D1" w:rsidRDefault="001C3154" w:rsidP="000B33DC">
      <w:pPr>
        <w:pStyle w:val="BodyText"/>
        <w:rPr>
          <w:rFonts w:cs="Arial"/>
        </w:rPr>
      </w:pPr>
      <w:bookmarkStart w:id="382" w:name="_Ref147344483"/>
      <w:r w:rsidRPr="005D74D1">
        <w:rPr>
          <w:rFonts w:cs="Arial"/>
        </w:rPr>
        <w:t xml:space="preserve">A summary of the achievements made by EC5 projects to these outcomes is provided </w:t>
      </w:r>
      <w:r w:rsidR="00EB5843" w:rsidRPr="005D74D1">
        <w:rPr>
          <w:rFonts w:cs="Arial"/>
        </w:rPr>
        <w:t>below</w:t>
      </w:r>
      <w:r w:rsidR="00642F29" w:rsidRPr="005D74D1">
        <w:rPr>
          <w:rFonts w:cs="Arial"/>
        </w:rPr>
        <w:t>. This is supported by examples of some of the main ways that individual projects have contributed to each outcome area, provided in Appendix B.</w:t>
      </w:r>
    </w:p>
    <w:p w14:paraId="6A2CA56B" w14:textId="434E7D3B" w:rsidR="00642F29" w:rsidRPr="00A134A7" w:rsidRDefault="0020487D" w:rsidP="0020487D">
      <w:pPr>
        <w:pStyle w:val="Heading3"/>
        <w:rPr>
          <w:rFonts w:ascii="Arial" w:hAnsi="Arial" w:cs="Arial"/>
        </w:rPr>
      </w:pPr>
      <w:r w:rsidRPr="00A134A7">
        <w:rPr>
          <w:rFonts w:ascii="Arial" w:hAnsi="Arial" w:cs="Arial"/>
        </w:rPr>
        <w:t>Improved water awareness and water efficiency in schools and homes</w:t>
      </w:r>
    </w:p>
    <w:p w14:paraId="55C09BE5" w14:textId="78BE07D2" w:rsidR="00272140" w:rsidRPr="005D74D1" w:rsidRDefault="0020487D" w:rsidP="000B33DC">
      <w:pPr>
        <w:pStyle w:val="BodyText"/>
        <w:keepNext/>
        <w:keepLines/>
        <w:rPr>
          <w:rFonts w:cs="Arial"/>
        </w:rPr>
      </w:pPr>
      <w:r w:rsidRPr="005D74D1">
        <w:rPr>
          <w:rFonts w:cs="Arial"/>
        </w:rPr>
        <w:t>Water efficiency programs have provided significant water savings, water awareness, and cost</w:t>
      </w:r>
      <w:r w:rsidR="00F9135E" w:rsidRPr="005D74D1">
        <w:rPr>
          <w:rFonts w:cs="Arial"/>
        </w:rPr>
        <w:t>-</w:t>
      </w:r>
      <w:r w:rsidRPr="005D74D1">
        <w:rPr>
          <w:rFonts w:cs="Arial"/>
        </w:rPr>
        <w:t>saving benefits, with</w:t>
      </w:r>
      <w:r w:rsidR="00272140" w:rsidRPr="005D74D1">
        <w:rPr>
          <w:rFonts w:cs="Arial"/>
        </w:rPr>
        <w:t>:</w:t>
      </w:r>
    </w:p>
    <w:p w14:paraId="3C175A28" w14:textId="61C92C19" w:rsidR="000465D3" w:rsidRPr="00A134A7" w:rsidRDefault="0005799E" w:rsidP="000B33DC">
      <w:pPr>
        <w:pStyle w:val="BulletLevel1"/>
        <w:keepNext/>
        <w:keepLines/>
        <w:rPr>
          <w:rFonts w:cs="Arial"/>
          <w:lang w:val="en-AU"/>
        </w:rPr>
      </w:pPr>
      <w:r w:rsidRPr="00A134A7">
        <w:rPr>
          <w:rFonts w:cs="Arial"/>
          <w:lang w:val="en-AU"/>
        </w:rPr>
        <w:t>0.</w:t>
      </w:r>
      <w:r w:rsidR="00950BDC" w:rsidRPr="00A134A7">
        <w:rPr>
          <w:rFonts w:cs="Arial"/>
          <w:lang w:val="en-AU"/>
        </w:rPr>
        <w:t xml:space="preserve">298 </w:t>
      </w:r>
      <w:r w:rsidRPr="00A134A7">
        <w:rPr>
          <w:rFonts w:cs="Arial"/>
          <w:lang w:val="en-AU"/>
        </w:rPr>
        <w:t>G</w:t>
      </w:r>
      <w:r w:rsidR="0020487D" w:rsidRPr="00A134A7">
        <w:rPr>
          <w:rFonts w:cs="Arial"/>
          <w:lang w:val="en-AU"/>
        </w:rPr>
        <w:t>L/yr saved in households and community housing properties through CRP and CHRP</w:t>
      </w:r>
      <w:r w:rsidR="001D0E6B" w:rsidRPr="00A134A7">
        <w:rPr>
          <w:rFonts w:cs="Arial"/>
          <w:lang w:val="en-AU"/>
        </w:rPr>
        <w:t xml:space="preserve"> through </w:t>
      </w:r>
      <w:r w:rsidR="00E33FD8" w:rsidRPr="00A134A7">
        <w:rPr>
          <w:rFonts w:cs="Arial"/>
          <w:lang w:val="en-AU"/>
        </w:rPr>
        <w:t xml:space="preserve">water audits and water efficiency works in 6,035 properties </w:t>
      </w:r>
      <w:r w:rsidR="00110CB2" w:rsidRPr="00A134A7">
        <w:rPr>
          <w:rFonts w:cs="Arial"/>
          <w:lang w:val="en-AU"/>
        </w:rPr>
        <w:t xml:space="preserve">(exceeding the target of 5,275 by 15%), and resulting in </w:t>
      </w:r>
      <w:r w:rsidR="00784CF4" w:rsidRPr="00A134A7">
        <w:rPr>
          <w:rFonts w:cs="Arial"/>
          <w:lang w:val="en-AU"/>
        </w:rPr>
        <w:t>average water and wastewater charges of $124/year per customer assisted</w:t>
      </w:r>
    </w:p>
    <w:p w14:paraId="570A8C3F" w14:textId="7BE91D17" w:rsidR="000465D3" w:rsidRPr="00A134A7" w:rsidRDefault="0020487D" w:rsidP="000B33DC">
      <w:pPr>
        <w:pStyle w:val="BulletLevel1"/>
        <w:keepNext/>
        <w:keepLines/>
        <w:rPr>
          <w:rFonts w:cs="Arial"/>
          <w:lang w:val="en-AU"/>
        </w:rPr>
      </w:pPr>
      <w:r w:rsidRPr="00A134A7">
        <w:rPr>
          <w:rFonts w:cs="Arial"/>
          <w:lang w:val="en-AU"/>
        </w:rPr>
        <w:t>1.</w:t>
      </w:r>
      <w:r w:rsidR="001D6B90" w:rsidRPr="00A134A7">
        <w:rPr>
          <w:rFonts w:cs="Arial"/>
          <w:lang w:val="en-AU"/>
        </w:rPr>
        <w:t>9 </w:t>
      </w:r>
      <w:r w:rsidRPr="00A134A7">
        <w:rPr>
          <w:rFonts w:cs="Arial"/>
          <w:lang w:val="en-AU"/>
        </w:rPr>
        <w:t xml:space="preserve">GL </w:t>
      </w:r>
      <w:r w:rsidR="00886935" w:rsidRPr="00A134A7">
        <w:rPr>
          <w:rFonts w:cs="Arial"/>
          <w:lang w:val="en-AU"/>
        </w:rPr>
        <w:t xml:space="preserve">was </w:t>
      </w:r>
      <w:r w:rsidRPr="00A134A7">
        <w:rPr>
          <w:rFonts w:cs="Arial"/>
          <w:lang w:val="en-AU"/>
        </w:rPr>
        <w:t xml:space="preserve">saved through </w:t>
      </w:r>
      <w:r w:rsidR="00C72674" w:rsidRPr="00A134A7">
        <w:rPr>
          <w:rFonts w:cs="Arial"/>
          <w:lang w:val="en-AU"/>
        </w:rPr>
        <w:t xml:space="preserve">leak detection in 905 schools as part of </w:t>
      </w:r>
      <w:r w:rsidRPr="00A134A7">
        <w:rPr>
          <w:rFonts w:cs="Arial"/>
          <w:lang w:val="en-AU"/>
        </w:rPr>
        <w:t>SWEP over EC</w:t>
      </w:r>
    </w:p>
    <w:p w14:paraId="28E85D0F" w14:textId="390DF4F7" w:rsidR="000465D3" w:rsidRPr="00A134A7" w:rsidRDefault="0020487D" w:rsidP="00615878">
      <w:pPr>
        <w:pStyle w:val="BulletLevel1"/>
        <w:rPr>
          <w:rFonts w:cs="Arial"/>
          <w:lang w:val="en-AU"/>
        </w:rPr>
      </w:pPr>
      <w:r w:rsidRPr="00A134A7">
        <w:rPr>
          <w:rFonts w:cs="Arial"/>
          <w:lang w:val="en-AU"/>
        </w:rPr>
        <w:t>4 GL has also been saved through Victoria’s contribution to the Australian Government’s WELS scheme</w:t>
      </w:r>
    </w:p>
    <w:p w14:paraId="27CECEF0" w14:textId="77777777" w:rsidR="00A50E7D" w:rsidRPr="00A134A7" w:rsidRDefault="0020487D" w:rsidP="00615878">
      <w:pPr>
        <w:pStyle w:val="BulletLevel1"/>
        <w:rPr>
          <w:rFonts w:cs="Arial"/>
          <w:lang w:val="en-AU"/>
        </w:rPr>
      </w:pPr>
      <w:r w:rsidRPr="00A134A7">
        <w:rPr>
          <w:rFonts w:cs="Arial"/>
          <w:lang w:val="en-AU"/>
        </w:rPr>
        <w:t>Investments in residential behaviour change initiatives contributed to the Smart Water Advice portal, providing water saving tips to households and businesses and reinvigoration of</w:t>
      </w:r>
      <w:r w:rsidR="000C40BE" w:rsidRPr="00A134A7">
        <w:rPr>
          <w:rFonts w:cs="Arial"/>
          <w:lang w:val="en-AU"/>
        </w:rPr>
        <w:t xml:space="preserve"> the</w:t>
      </w:r>
      <w:r w:rsidRPr="00A134A7">
        <w:rPr>
          <w:rFonts w:cs="Arial"/>
          <w:lang w:val="en-AU"/>
        </w:rPr>
        <w:t xml:space="preserve"> Target 155 to Target 150 </w:t>
      </w:r>
      <w:r w:rsidR="00D31728" w:rsidRPr="00A134A7">
        <w:rPr>
          <w:rFonts w:cs="Arial"/>
          <w:lang w:val="en-AU"/>
        </w:rPr>
        <w:t xml:space="preserve">(T150) </w:t>
      </w:r>
      <w:r w:rsidRPr="00A134A7">
        <w:rPr>
          <w:rFonts w:cs="Arial"/>
          <w:lang w:val="en-AU"/>
        </w:rPr>
        <w:t>water conservation behavioural program.</w:t>
      </w:r>
    </w:p>
    <w:p w14:paraId="2FBF945F" w14:textId="53B026D6" w:rsidR="00642F29" w:rsidRPr="005D74D1" w:rsidRDefault="0020487D" w:rsidP="000B33DC">
      <w:pPr>
        <w:pStyle w:val="BodyText"/>
        <w:rPr>
          <w:rFonts w:cs="Arial"/>
        </w:rPr>
      </w:pPr>
      <w:r w:rsidRPr="005D74D1">
        <w:rPr>
          <w:rFonts w:cs="Arial"/>
        </w:rPr>
        <w:t xml:space="preserve">While more work is still needed to reduce Melbourne’s average per capita </w:t>
      </w:r>
      <w:r w:rsidR="00021568" w:rsidRPr="005D74D1">
        <w:rPr>
          <w:rFonts w:cs="Arial"/>
        </w:rPr>
        <w:t xml:space="preserve">daily water consumption </w:t>
      </w:r>
      <w:r w:rsidRPr="005D74D1">
        <w:rPr>
          <w:rFonts w:cs="Arial"/>
        </w:rPr>
        <w:t>to achieve 150 litres per person per day, T150 is an aspirational target, not a mandatory target / performance outcome.</w:t>
      </w:r>
    </w:p>
    <w:p w14:paraId="2002C649" w14:textId="553C8A16" w:rsidR="0020487D" w:rsidRPr="00A134A7" w:rsidRDefault="0020487D" w:rsidP="0020487D">
      <w:pPr>
        <w:pStyle w:val="Heading3"/>
        <w:rPr>
          <w:rFonts w:ascii="Arial" w:hAnsi="Arial" w:cs="Arial"/>
        </w:rPr>
      </w:pPr>
      <w:r w:rsidRPr="00A134A7">
        <w:rPr>
          <w:rFonts w:ascii="Arial" w:hAnsi="Arial" w:cs="Arial"/>
        </w:rPr>
        <w:t>Improved water awareness and water efficiency in irrigation communities</w:t>
      </w:r>
    </w:p>
    <w:p w14:paraId="5FD7B878" w14:textId="4CEE5012" w:rsidR="0020487D" w:rsidRPr="005D74D1" w:rsidRDefault="0020487D" w:rsidP="000B33DC">
      <w:pPr>
        <w:pStyle w:val="BodyText"/>
        <w:rPr>
          <w:rFonts w:cs="Arial"/>
        </w:rPr>
      </w:pPr>
      <w:r w:rsidRPr="005D74D1">
        <w:rPr>
          <w:rFonts w:cs="Arial"/>
        </w:rPr>
        <w:t xml:space="preserve">This outcome was driven through the </w:t>
      </w:r>
      <w:r w:rsidR="00AF4422" w:rsidRPr="005D74D1">
        <w:rPr>
          <w:rFonts w:cs="Arial"/>
        </w:rPr>
        <w:t>continued</w:t>
      </w:r>
      <w:r w:rsidRPr="005D74D1">
        <w:rPr>
          <w:rFonts w:cs="Arial"/>
        </w:rPr>
        <w:t xml:space="preserve"> implementation of the Sustainable Irrigation Program, which provides extension support and capacity building to irrigators to assist them with decision-making and future irrigation planning. The </w:t>
      </w:r>
      <w:r w:rsidR="007B3B61" w:rsidRPr="005D74D1">
        <w:rPr>
          <w:rFonts w:cs="Arial"/>
        </w:rPr>
        <w:t>i</w:t>
      </w:r>
      <w:r w:rsidRPr="005D74D1">
        <w:rPr>
          <w:rFonts w:cs="Arial"/>
        </w:rPr>
        <w:t xml:space="preserve">rrigation </w:t>
      </w:r>
      <w:r w:rsidR="007B3B61" w:rsidRPr="005D74D1">
        <w:rPr>
          <w:rFonts w:cs="Arial"/>
        </w:rPr>
        <w:t>e</w:t>
      </w:r>
      <w:r w:rsidRPr="005D74D1">
        <w:rPr>
          <w:rFonts w:cs="Arial"/>
        </w:rPr>
        <w:t xml:space="preserve">xtension program resulted in the development of 86 </w:t>
      </w:r>
      <w:r w:rsidR="000E3087" w:rsidRPr="005D74D1">
        <w:rPr>
          <w:rFonts w:cs="Arial"/>
        </w:rPr>
        <w:t>w</w:t>
      </w:r>
      <w:r w:rsidRPr="005D74D1">
        <w:rPr>
          <w:rFonts w:cs="Arial"/>
        </w:rPr>
        <w:t xml:space="preserve">hole </w:t>
      </w:r>
      <w:r w:rsidR="000E3087" w:rsidRPr="005D74D1">
        <w:rPr>
          <w:rFonts w:cs="Arial"/>
        </w:rPr>
        <w:t>f</w:t>
      </w:r>
      <w:r w:rsidRPr="005D74D1">
        <w:rPr>
          <w:rFonts w:cs="Arial"/>
        </w:rPr>
        <w:t xml:space="preserve">arm </w:t>
      </w:r>
      <w:r w:rsidR="000E3087" w:rsidRPr="005D74D1">
        <w:rPr>
          <w:rFonts w:cs="Arial"/>
        </w:rPr>
        <w:t>p</w:t>
      </w:r>
      <w:r w:rsidRPr="005D74D1">
        <w:rPr>
          <w:rFonts w:cs="Arial"/>
        </w:rPr>
        <w:t>lans, for on-farm operational capacity, efficiency, and preparedness for a future with reduced water availability. EC5 also support</w:t>
      </w:r>
      <w:r w:rsidR="00964DCC" w:rsidRPr="005D74D1">
        <w:rPr>
          <w:rFonts w:cs="Arial"/>
        </w:rPr>
        <w:t>ed</w:t>
      </w:r>
      <w:r w:rsidRPr="005D74D1">
        <w:rPr>
          <w:rFonts w:cs="Arial"/>
        </w:rPr>
        <w:t xml:space="preserve"> </w:t>
      </w:r>
      <w:r w:rsidR="0039600A" w:rsidRPr="005D74D1">
        <w:rPr>
          <w:rFonts w:cs="Arial"/>
        </w:rPr>
        <w:t>DEECA in providing</w:t>
      </w:r>
      <w:r w:rsidRPr="005D74D1">
        <w:rPr>
          <w:rFonts w:cs="Arial"/>
        </w:rPr>
        <w:t xml:space="preserve"> governance and oversight of major water efficiency infrastructure projects in irrigation communities, and to secure funding for </w:t>
      </w:r>
      <w:r w:rsidR="008C6227" w:rsidRPr="005D74D1">
        <w:rPr>
          <w:rFonts w:cs="Arial"/>
        </w:rPr>
        <w:t xml:space="preserve">33 </w:t>
      </w:r>
      <w:r w:rsidRPr="005D74D1">
        <w:rPr>
          <w:rFonts w:cs="Arial"/>
        </w:rPr>
        <w:t>new strategic projects ($</w:t>
      </w:r>
      <w:r w:rsidR="00C960A2" w:rsidRPr="005D74D1">
        <w:rPr>
          <w:rFonts w:cs="Arial"/>
        </w:rPr>
        <w:t xml:space="preserve">996 </w:t>
      </w:r>
      <w:r w:rsidRPr="005D74D1">
        <w:rPr>
          <w:rFonts w:cs="Arial"/>
        </w:rPr>
        <w:t>million). Modernisation works in the Macalister Irrigation District were complemented by whole farm planning and on-farm efficiency incentives to landholders to maximise the benefits of both modernisation and on-farm programs.</w:t>
      </w:r>
    </w:p>
    <w:p w14:paraId="760283FE" w14:textId="421E7016" w:rsidR="0020487D" w:rsidRPr="00A134A7" w:rsidRDefault="0020487D" w:rsidP="0020487D">
      <w:pPr>
        <w:pStyle w:val="Heading3"/>
        <w:rPr>
          <w:rFonts w:ascii="Arial" w:hAnsi="Arial" w:cs="Arial"/>
        </w:rPr>
      </w:pPr>
      <w:r w:rsidRPr="00A134A7">
        <w:rPr>
          <w:rFonts w:ascii="Arial" w:hAnsi="Arial" w:cs="Arial"/>
        </w:rPr>
        <w:t>Improved responsiveness of rural water policy to water wise use and climate change</w:t>
      </w:r>
    </w:p>
    <w:p w14:paraId="47CAC1CD" w14:textId="6D82AD76" w:rsidR="0020487D" w:rsidRPr="005D74D1" w:rsidRDefault="0020487D" w:rsidP="000B33DC">
      <w:pPr>
        <w:pStyle w:val="BodyText"/>
        <w:rPr>
          <w:rFonts w:cs="Arial"/>
        </w:rPr>
      </w:pPr>
      <w:r w:rsidRPr="005D74D1">
        <w:rPr>
          <w:rFonts w:cs="Arial"/>
        </w:rPr>
        <w:t xml:space="preserve">Chapter 7 of the CGRSWS commits to actions that work with farmers to encourage more efficient use of water and best-practice irrigation, as well as Policy 7-1 that commits to maximising water efficiency in agriculture. During EC5, the </w:t>
      </w:r>
      <w:r w:rsidRPr="005D74D1">
        <w:rPr>
          <w:rFonts w:cs="Arial"/>
          <w:i/>
          <w:iCs/>
        </w:rPr>
        <w:t>Social and economic impacts of Basin Plan water recovery in Victoria</w:t>
      </w:r>
      <w:r w:rsidRPr="005D74D1">
        <w:rPr>
          <w:rFonts w:cs="Arial"/>
        </w:rPr>
        <w:t xml:space="preserve">, and </w:t>
      </w:r>
      <w:r w:rsidRPr="005D74D1">
        <w:rPr>
          <w:rFonts w:cs="Arial"/>
          <w:i/>
          <w:iCs/>
        </w:rPr>
        <w:t>Water supply and horticultural demand in the southern Murray-Darling Basin</w:t>
      </w:r>
      <w:r w:rsidRPr="005D74D1">
        <w:rPr>
          <w:rFonts w:cs="Arial"/>
        </w:rPr>
        <w:t xml:space="preserve"> were published, which report on future changes and implications for </w:t>
      </w:r>
      <w:r w:rsidR="009172B2" w:rsidRPr="005D74D1">
        <w:rPr>
          <w:rFonts w:cs="Arial"/>
        </w:rPr>
        <w:t xml:space="preserve">irrigated agriculture and </w:t>
      </w:r>
      <w:r w:rsidR="009172B2" w:rsidRPr="005D74D1">
        <w:rPr>
          <w:rFonts w:cs="Arial"/>
        </w:rPr>
        <w:lastRenderedPageBreak/>
        <w:t>communities</w:t>
      </w:r>
      <w:r w:rsidRPr="005D74D1">
        <w:rPr>
          <w:rFonts w:cs="Arial"/>
        </w:rPr>
        <w:t xml:space="preserve"> under a changing climate. The findings from these reports are being integrated into rural water policy.</w:t>
      </w:r>
    </w:p>
    <w:p w14:paraId="6885BAA1" w14:textId="475E0B79" w:rsidR="0020487D" w:rsidRPr="00A134A7" w:rsidRDefault="0020487D" w:rsidP="0020487D">
      <w:pPr>
        <w:pStyle w:val="Heading3"/>
        <w:rPr>
          <w:rFonts w:ascii="Arial" w:hAnsi="Arial" w:cs="Arial"/>
        </w:rPr>
      </w:pPr>
      <w:r w:rsidRPr="00A134A7">
        <w:rPr>
          <w:rFonts w:ascii="Arial" w:hAnsi="Arial" w:cs="Arial"/>
        </w:rPr>
        <w:t>Reduction in irrigation losses</w:t>
      </w:r>
    </w:p>
    <w:p w14:paraId="08BE241E" w14:textId="06EA4142" w:rsidR="0020487D" w:rsidRPr="005D74D1" w:rsidRDefault="0020487D" w:rsidP="000B33DC">
      <w:pPr>
        <w:pStyle w:val="BodyText"/>
        <w:rPr>
          <w:rFonts w:cs="Arial"/>
        </w:rPr>
      </w:pPr>
      <w:r w:rsidRPr="005D74D1">
        <w:rPr>
          <w:rFonts w:cs="Arial"/>
        </w:rPr>
        <w:t xml:space="preserve">The Macalister Irrigation District Modernisation Project – Phase 2 is on track to deliver up to 10.3 GL of </w:t>
      </w:r>
      <w:r w:rsidR="0082533B" w:rsidRPr="005D74D1">
        <w:rPr>
          <w:rFonts w:cs="Arial"/>
        </w:rPr>
        <w:t>w</w:t>
      </w:r>
      <w:r w:rsidRPr="005D74D1">
        <w:rPr>
          <w:rFonts w:cs="Arial"/>
        </w:rPr>
        <w:t xml:space="preserve">ater </w:t>
      </w:r>
      <w:r w:rsidR="0082533B" w:rsidRPr="005D74D1">
        <w:rPr>
          <w:rFonts w:cs="Arial"/>
        </w:rPr>
        <w:t>r</w:t>
      </w:r>
      <w:r w:rsidRPr="005D74D1">
        <w:rPr>
          <w:rFonts w:cs="Arial"/>
        </w:rPr>
        <w:t xml:space="preserve">ecovery </w:t>
      </w:r>
      <w:r w:rsidR="001C0356" w:rsidRPr="005D74D1">
        <w:rPr>
          <w:rFonts w:cs="Arial"/>
        </w:rPr>
        <w:t xml:space="preserve">and has </w:t>
      </w:r>
      <w:r w:rsidRPr="005D74D1">
        <w:rPr>
          <w:rFonts w:cs="Arial"/>
        </w:rPr>
        <w:t>modernis</w:t>
      </w:r>
      <w:r w:rsidR="001C0356" w:rsidRPr="005D74D1">
        <w:rPr>
          <w:rFonts w:cs="Arial"/>
        </w:rPr>
        <w:t>ed</w:t>
      </w:r>
      <w:r w:rsidRPr="005D74D1">
        <w:rPr>
          <w:rFonts w:cs="Arial"/>
        </w:rPr>
        <w:t xml:space="preserve"> just over 80 km of irrigation network.</w:t>
      </w:r>
      <w:r w:rsidR="002E6E82" w:rsidRPr="005D74D1">
        <w:rPr>
          <w:rFonts w:cs="Arial"/>
        </w:rPr>
        <w:t xml:space="preserve"> The final project achievements and audited water savings will be reported following practical completion in late 2024, and will be reported in the next reporting period.</w:t>
      </w:r>
    </w:p>
    <w:p w14:paraId="66831A84" w14:textId="1AC5D087" w:rsidR="0020487D" w:rsidRPr="00A134A7" w:rsidRDefault="0020487D" w:rsidP="0020487D">
      <w:pPr>
        <w:pStyle w:val="Heading3"/>
        <w:rPr>
          <w:rFonts w:ascii="Arial" w:hAnsi="Arial" w:cs="Arial"/>
        </w:rPr>
      </w:pPr>
      <w:r w:rsidRPr="00A134A7">
        <w:rPr>
          <w:rFonts w:ascii="Arial" w:hAnsi="Arial" w:cs="Arial"/>
        </w:rPr>
        <w:t>Improved regulation of water user compliance</w:t>
      </w:r>
    </w:p>
    <w:p w14:paraId="7F0C7660" w14:textId="16B82DE2" w:rsidR="0020487D" w:rsidRPr="005D74D1" w:rsidRDefault="0020487D" w:rsidP="000B33DC">
      <w:pPr>
        <w:pStyle w:val="BodyText"/>
        <w:rPr>
          <w:rFonts w:cs="Arial"/>
        </w:rPr>
      </w:pPr>
      <w:r w:rsidRPr="005D74D1">
        <w:rPr>
          <w:rFonts w:cs="Arial"/>
        </w:rPr>
        <w:t xml:space="preserve">An independent review of Victoria’s progress </w:t>
      </w:r>
      <w:r w:rsidR="0082362E" w:rsidRPr="005D74D1">
        <w:rPr>
          <w:rFonts w:cs="Arial"/>
        </w:rPr>
        <w:t xml:space="preserve">during </w:t>
      </w:r>
      <w:r w:rsidRPr="005D74D1">
        <w:rPr>
          <w:rFonts w:cs="Arial"/>
        </w:rPr>
        <w:t xml:space="preserve">EC5 </w:t>
      </w:r>
      <w:r w:rsidR="0082362E" w:rsidRPr="005D74D1">
        <w:rPr>
          <w:rFonts w:cs="Arial"/>
        </w:rPr>
        <w:t>with</w:t>
      </w:r>
      <w:r w:rsidRPr="005D74D1">
        <w:rPr>
          <w:rFonts w:cs="Arial"/>
        </w:rPr>
        <w:t xml:space="preserve"> implementing a modern risk-based compliance and enforcement framework to manag</w:t>
      </w:r>
      <w:r w:rsidR="0082362E" w:rsidRPr="005D74D1">
        <w:rPr>
          <w:rFonts w:cs="Arial"/>
        </w:rPr>
        <w:t>e</w:t>
      </w:r>
      <w:r w:rsidRPr="005D74D1">
        <w:rPr>
          <w:rFonts w:cs="Arial"/>
        </w:rPr>
        <w:t xml:space="preserve"> unauthorised take </w:t>
      </w:r>
      <w:r w:rsidR="0082362E" w:rsidRPr="005D74D1">
        <w:rPr>
          <w:rFonts w:cs="Arial"/>
        </w:rPr>
        <w:t>of water</w:t>
      </w:r>
      <w:r w:rsidRPr="005D74D1">
        <w:rPr>
          <w:rFonts w:cs="Arial"/>
        </w:rPr>
        <w:t xml:space="preserve"> reported very good progress and significant reductions in unauthorised take.</w:t>
      </w:r>
    </w:p>
    <w:p w14:paraId="0E5CCA87" w14:textId="490366C4" w:rsidR="00875A29" w:rsidRPr="005D74D1" w:rsidRDefault="00875A29" w:rsidP="00875A29">
      <w:pPr>
        <w:pStyle w:val="Heading2"/>
        <w:rPr>
          <w:rFonts w:cs="Arial"/>
        </w:rPr>
      </w:pPr>
      <w:bookmarkStart w:id="383" w:name="_Toc147329337"/>
      <w:bookmarkStart w:id="384" w:name="_Toc183777369"/>
      <w:bookmarkEnd w:id="382"/>
      <w:r w:rsidRPr="005D74D1">
        <w:rPr>
          <w:rFonts w:cs="Arial"/>
        </w:rPr>
        <w:t>How have risks to priority waterways and catchment health been reduced?</w:t>
      </w:r>
      <w:bookmarkEnd w:id="383"/>
      <w:bookmarkEnd w:id="384"/>
    </w:p>
    <w:p w14:paraId="1DAA97DB" w14:textId="07885ED7" w:rsidR="00FD5D7D" w:rsidRPr="005D74D1" w:rsidRDefault="002A703D" w:rsidP="00C23656">
      <w:pPr>
        <w:pStyle w:val="BodyText"/>
        <w:rPr>
          <w:rFonts w:cs="Arial"/>
        </w:rPr>
      </w:pPr>
      <w:r w:rsidRPr="005D74D1">
        <w:rPr>
          <w:rFonts w:cs="Arial"/>
        </w:rPr>
        <w:t xml:space="preserve">The overall performance assessment for this KEQ is: </w:t>
      </w:r>
    </w:p>
    <w:tbl>
      <w:tblPr>
        <w:tblW w:w="5000" w:type="pct"/>
        <w:tblBorders>
          <w:top w:val="single" w:sz="4" w:space="0" w:color="231EDC" w:themeColor="accent1"/>
          <w:left w:val="single" w:sz="4" w:space="0" w:color="231EDC" w:themeColor="accent1"/>
          <w:bottom w:val="single" w:sz="4" w:space="0" w:color="231EDC" w:themeColor="accent1"/>
          <w:right w:val="single" w:sz="4" w:space="0" w:color="231EDC" w:themeColor="accent1"/>
          <w:insideH w:val="single" w:sz="4" w:space="0" w:color="231EDC" w:themeColor="accent1"/>
          <w:insideV w:val="single" w:sz="4" w:space="0" w:color="231EDC" w:themeColor="accent1"/>
        </w:tblBorders>
        <w:tblLook w:val="04A0" w:firstRow="1" w:lastRow="0" w:firstColumn="1" w:lastColumn="0" w:noHBand="0" w:noVBand="1"/>
      </w:tblPr>
      <w:tblGrid>
        <w:gridCol w:w="1192"/>
        <w:gridCol w:w="1791"/>
        <w:gridCol w:w="1188"/>
        <w:gridCol w:w="5457"/>
      </w:tblGrid>
      <w:tr w:rsidR="00FD5D7D" w:rsidRPr="005D74D1" w14:paraId="644DC0D5" w14:textId="77777777" w:rsidTr="00140664">
        <w:trPr>
          <w:trHeight w:val="503"/>
          <w:tblHeader/>
        </w:trPr>
        <w:tc>
          <w:tcPr>
            <w:tcW w:w="619" w:type="pct"/>
            <w:shd w:val="clear" w:color="auto" w:fill="231EDC" w:themeFill="accent1"/>
          </w:tcPr>
          <w:p w14:paraId="53725D59" w14:textId="77777777" w:rsidR="00475AA3" w:rsidRPr="005D74D1" w:rsidRDefault="00475AA3" w:rsidP="00FD5D7D">
            <w:pPr>
              <w:pStyle w:val="TableHeading"/>
              <w:rPr>
                <w:rFonts w:cs="Arial"/>
              </w:rPr>
            </w:pPr>
            <w:r w:rsidRPr="005D74D1">
              <w:rPr>
                <w:rFonts w:cs="Arial"/>
              </w:rPr>
              <w:t>Outcome theme</w:t>
            </w:r>
          </w:p>
        </w:tc>
        <w:tc>
          <w:tcPr>
            <w:tcW w:w="930" w:type="pct"/>
            <w:shd w:val="clear" w:color="auto" w:fill="231EDC" w:themeFill="accent1"/>
          </w:tcPr>
          <w:p w14:paraId="6574138B" w14:textId="77777777" w:rsidR="00475AA3" w:rsidRPr="005D74D1" w:rsidRDefault="00475AA3" w:rsidP="00FD5D7D">
            <w:pPr>
              <w:pStyle w:val="TableHeading"/>
              <w:rPr>
                <w:rFonts w:cs="Arial"/>
              </w:rPr>
            </w:pPr>
            <w:r w:rsidRPr="005D74D1">
              <w:rPr>
                <w:rFonts w:cs="Arial"/>
              </w:rPr>
              <w:t>Rating type</w:t>
            </w:r>
          </w:p>
        </w:tc>
        <w:tc>
          <w:tcPr>
            <w:tcW w:w="617" w:type="pct"/>
            <w:shd w:val="clear" w:color="auto" w:fill="231EDC" w:themeFill="accent1"/>
          </w:tcPr>
          <w:p w14:paraId="311EB122" w14:textId="77777777" w:rsidR="00475AA3" w:rsidRPr="005D74D1" w:rsidRDefault="00475AA3" w:rsidP="00FD5D7D">
            <w:pPr>
              <w:pStyle w:val="TableHeading"/>
              <w:rPr>
                <w:rFonts w:cs="Arial"/>
              </w:rPr>
            </w:pPr>
            <w:r w:rsidRPr="005D74D1">
              <w:rPr>
                <w:rFonts w:cs="Arial"/>
              </w:rPr>
              <w:t>Rating</w:t>
            </w:r>
          </w:p>
        </w:tc>
        <w:tc>
          <w:tcPr>
            <w:tcW w:w="2834" w:type="pct"/>
            <w:shd w:val="clear" w:color="auto" w:fill="231EDC" w:themeFill="accent1"/>
          </w:tcPr>
          <w:p w14:paraId="017E45F0" w14:textId="77777777" w:rsidR="00475AA3" w:rsidRPr="005D74D1" w:rsidRDefault="00475AA3" w:rsidP="00FD5D7D">
            <w:pPr>
              <w:pStyle w:val="TableHeading"/>
              <w:rPr>
                <w:rFonts w:cs="Arial"/>
              </w:rPr>
            </w:pPr>
            <w:r w:rsidRPr="005D74D1">
              <w:rPr>
                <w:rFonts w:cs="Arial"/>
              </w:rPr>
              <w:t>Rationale</w:t>
            </w:r>
          </w:p>
        </w:tc>
      </w:tr>
      <w:tr w:rsidR="00FD5D7D" w:rsidRPr="005D74D1" w14:paraId="39EEFDF6" w14:textId="77777777" w:rsidTr="00140664">
        <w:tc>
          <w:tcPr>
            <w:tcW w:w="619" w:type="pct"/>
            <w:vMerge w:val="restart"/>
            <w:vAlign w:val="center"/>
          </w:tcPr>
          <w:p w14:paraId="15EB9183" w14:textId="1F42C715" w:rsidR="00475AA3" w:rsidRPr="005D74D1" w:rsidRDefault="00475AA3" w:rsidP="00BB55D2">
            <w:pPr>
              <w:pStyle w:val="TableText"/>
              <w:rPr>
                <w:rFonts w:cs="Arial"/>
              </w:rPr>
            </w:pPr>
            <w:r w:rsidRPr="005D74D1">
              <w:rPr>
                <w:rFonts w:cs="Arial"/>
              </w:rPr>
              <w:t>Waterway and Catchment Health</w:t>
            </w:r>
          </w:p>
        </w:tc>
        <w:tc>
          <w:tcPr>
            <w:tcW w:w="930" w:type="pct"/>
            <w:vAlign w:val="center"/>
          </w:tcPr>
          <w:p w14:paraId="0939FD46" w14:textId="1C973217" w:rsidR="00475AA3" w:rsidRPr="005D74D1" w:rsidRDefault="006D41C3" w:rsidP="00BB55D2">
            <w:pPr>
              <w:pStyle w:val="TableText"/>
              <w:rPr>
                <w:rFonts w:cs="Arial"/>
              </w:rPr>
            </w:pPr>
            <w:r w:rsidRPr="005D74D1">
              <w:rPr>
                <w:rFonts w:cs="Arial"/>
              </w:rPr>
              <w:t>Extent to which end-of-EC5 outcomes were achieved</w:t>
            </w:r>
          </w:p>
        </w:tc>
        <w:tc>
          <w:tcPr>
            <w:tcW w:w="617" w:type="pct"/>
            <w:vAlign w:val="center"/>
          </w:tcPr>
          <w:p w14:paraId="68C70766" w14:textId="77777777" w:rsidR="00475AA3" w:rsidRPr="005D74D1" w:rsidRDefault="00475AA3" w:rsidP="00140664">
            <w:pPr>
              <w:pStyle w:val="TableText"/>
              <w:jc w:val="center"/>
              <w:rPr>
                <w:rFonts w:cs="Arial"/>
              </w:rPr>
            </w:pPr>
            <w:r w:rsidRPr="005D74D1">
              <w:rPr>
                <w:rFonts w:cs="Arial"/>
              </w:rPr>
              <w:t>Very High</w:t>
            </w:r>
          </w:p>
          <w:p w14:paraId="35FB4038" w14:textId="3673CA11" w:rsidR="00475AA3" w:rsidRPr="005D74D1" w:rsidRDefault="00475AA3" w:rsidP="00140664">
            <w:pPr>
              <w:pStyle w:val="TableText"/>
              <w:jc w:val="center"/>
              <w:rPr>
                <w:rFonts w:cs="Arial"/>
              </w:rPr>
            </w:pPr>
            <w:r w:rsidRPr="00A134A7">
              <w:rPr>
                <w:rFonts w:cs="Arial"/>
                <w:noProof/>
              </w:rPr>
              <mc:AlternateContent>
                <mc:Choice Requires="wpg">
                  <w:drawing>
                    <wp:inline distT="0" distB="0" distL="0" distR="0" wp14:anchorId="131BCB3D" wp14:editId="2C50AD91">
                      <wp:extent cx="460800" cy="248401"/>
                      <wp:effectExtent l="0" t="0" r="15875" b="18415"/>
                      <wp:docPr id="163" name="Group 163"/>
                      <wp:cNvGraphicFramePr/>
                      <a:graphic xmlns:a="http://schemas.openxmlformats.org/drawingml/2006/main">
                        <a:graphicData uri="http://schemas.microsoft.com/office/word/2010/wordprocessingGroup">
                          <wpg:wgp>
                            <wpg:cNvGrpSpPr/>
                            <wpg:grpSpPr>
                              <a:xfrm>
                                <a:off x="0" y="0"/>
                                <a:ext cx="460800" cy="248401"/>
                                <a:chOff x="0" y="0"/>
                                <a:chExt cx="657283" cy="248401"/>
                              </a:xfrm>
                            </wpg:grpSpPr>
                            <wps:wsp>
                              <wps:cNvPr id="164" name="Rectangle 164"/>
                              <wps:cNvSpPr/>
                              <wps:spPr>
                                <a:xfrm>
                                  <a:off x="0" y="0"/>
                                  <a:ext cx="133200" cy="24840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7" name="Rectangle 207"/>
                              <wps:cNvSpPr/>
                              <wps:spPr>
                                <a:xfrm>
                                  <a:off x="131021" y="0"/>
                                  <a:ext cx="133200" cy="24840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8" name="Rectangle 208"/>
                              <wps:cNvSpPr/>
                              <wps:spPr>
                                <a:xfrm>
                                  <a:off x="262042" y="0"/>
                                  <a:ext cx="133200" cy="24840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9" name="Rectangle 209"/>
                              <wps:cNvSpPr/>
                              <wps:spPr>
                                <a:xfrm>
                                  <a:off x="393063" y="1"/>
                                  <a:ext cx="133200" cy="24840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0" name="Rectangle 210"/>
                              <wps:cNvSpPr/>
                              <wps:spPr>
                                <a:xfrm>
                                  <a:off x="524083" y="0"/>
                                  <a:ext cx="133200" cy="24840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xmlns:w16du="http://schemas.microsoft.com/office/word/2023/wordml/word16du">
                  <w:pict>
                    <v:group w14:anchorId="1DE498AF" id="Group 163" o:spid="_x0000_s1026" style="width:36.3pt;height:19.55pt;mso-position-horizontal-relative:char;mso-position-vertical-relative:line" coordsize="6572,2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">
                      <v:rect id="Rectangle 164" o:spid="_x0000_s1027" style="position:absolute;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" fillcolor="#231edc [3204]" strokecolor="black [3213]" strokeweight="1pt"/>
                      <v:rect id="Rectangle 207" o:spid="_x0000_s1028" style="position:absolute;left:1310;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" fillcolor="#231edc [3204]" strokecolor="black [3213]" strokeweight="1pt"/>
                      <v:rect id="Rectangle 208" o:spid="_x0000_s1029" style="position:absolute;left:2620;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" fillcolor="#231edc [3204]" strokecolor="black [3213]" strokeweight="1pt"/>
                      <v:rect id="Rectangle 209" o:spid="_x0000_s1030" style="position:absolute;left:3930;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" fillcolor="#231edc [3204]" strokecolor="black [3213]" strokeweight="1pt"/>
                      <v:rect id="Rectangle 210" o:spid="_x0000_s1031" style="position:absolute;left:5240;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" fillcolor="#231edc [3204]" strokecolor="black [3213]" strokeweight="1pt"/>
                      <w10:anchorlock/>
                    </v:group>
                  </w:pict>
                </mc:Fallback>
              </mc:AlternateContent>
            </w:r>
          </w:p>
        </w:tc>
        <w:tc>
          <w:tcPr>
            <w:tcW w:w="2834" w:type="pct"/>
          </w:tcPr>
          <w:p w14:paraId="02DB80F6" w14:textId="73F035C0" w:rsidR="00475AA3" w:rsidRPr="005D74D1" w:rsidRDefault="00B01112" w:rsidP="00FD5D7D">
            <w:pPr>
              <w:pStyle w:val="TableText"/>
              <w:rPr>
                <w:rFonts w:cs="Arial"/>
              </w:rPr>
            </w:pPr>
            <w:r w:rsidRPr="005D74D1">
              <w:rPr>
                <w:rFonts w:cs="Arial"/>
              </w:rPr>
              <w:t>The</w:t>
            </w:r>
            <w:r w:rsidR="00475AA3" w:rsidRPr="005D74D1">
              <w:rPr>
                <w:rFonts w:cs="Arial"/>
              </w:rPr>
              <w:t xml:space="preserve"> health of waterways and catchments throughout Victoria</w:t>
            </w:r>
            <w:r w:rsidRPr="005D74D1">
              <w:rPr>
                <w:rFonts w:cs="Arial"/>
              </w:rPr>
              <w:t xml:space="preserve"> were improved</w:t>
            </w:r>
            <w:r w:rsidR="00475AA3" w:rsidRPr="005D74D1">
              <w:rPr>
                <w:rFonts w:cs="Arial"/>
              </w:rPr>
              <w:t xml:space="preserve">, with the continuation and extension of several long-term projects. Increased implementation of IWM initiatives, delivery of a large volume of vegetation and habitat improvement works, </w:t>
            </w:r>
            <w:r w:rsidR="0082533B" w:rsidRPr="005D74D1">
              <w:rPr>
                <w:rFonts w:cs="Arial"/>
              </w:rPr>
              <w:t>environmental w</w:t>
            </w:r>
            <w:r w:rsidR="004D1CB3" w:rsidRPr="005D74D1">
              <w:rPr>
                <w:rFonts w:cs="Arial"/>
              </w:rPr>
              <w:t xml:space="preserve">ater delivery, </w:t>
            </w:r>
            <w:r w:rsidR="00475AA3" w:rsidRPr="005D74D1">
              <w:rPr>
                <w:rFonts w:cs="Arial"/>
              </w:rPr>
              <w:t xml:space="preserve">and delivery of actions from the YSP </w:t>
            </w:r>
            <w:r w:rsidR="00C54F3D" w:rsidRPr="005D74D1">
              <w:rPr>
                <w:rFonts w:cs="Arial"/>
              </w:rPr>
              <w:t xml:space="preserve">were </w:t>
            </w:r>
            <w:r w:rsidR="00475AA3" w:rsidRPr="005D74D1">
              <w:rPr>
                <w:rFonts w:cs="Arial"/>
              </w:rPr>
              <w:t>features of EC5.</w:t>
            </w:r>
            <w:r w:rsidR="00F3245D" w:rsidRPr="005D74D1">
              <w:rPr>
                <w:rFonts w:cs="Arial"/>
              </w:rPr>
              <w:t xml:space="preserve"> An increased evidence base was also developed for </w:t>
            </w:r>
            <w:r w:rsidR="000A6153" w:rsidRPr="005D74D1">
              <w:rPr>
                <w:rFonts w:cs="Arial"/>
              </w:rPr>
              <w:t>ecological improvements resulting from w</w:t>
            </w:r>
            <w:r w:rsidR="0056338A" w:rsidRPr="005D74D1">
              <w:rPr>
                <w:rFonts w:cs="Arial"/>
              </w:rPr>
              <w:t xml:space="preserve">aterway management works. </w:t>
            </w:r>
          </w:p>
        </w:tc>
      </w:tr>
      <w:tr w:rsidR="00FD5D7D" w:rsidRPr="005D74D1" w14:paraId="3C884CB3" w14:textId="77777777" w:rsidTr="00140664">
        <w:tc>
          <w:tcPr>
            <w:tcW w:w="619" w:type="pct"/>
            <w:vMerge/>
            <w:vAlign w:val="center"/>
          </w:tcPr>
          <w:p w14:paraId="2091A0BC" w14:textId="77777777" w:rsidR="00475AA3" w:rsidRPr="005D74D1" w:rsidRDefault="00475AA3" w:rsidP="00BB55D2">
            <w:pPr>
              <w:pStyle w:val="TableText"/>
              <w:rPr>
                <w:rFonts w:cs="Arial"/>
              </w:rPr>
            </w:pPr>
          </w:p>
        </w:tc>
        <w:tc>
          <w:tcPr>
            <w:tcW w:w="930" w:type="pct"/>
            <w:vAlign w:val="center"/>
          </w:tcPr>
          <w:p w14:paraId="0DD01907" w14:textId="614B0F45" w:rsidR="00475AA3" w:rsidRPr="005D74D1" w:rsidRDefault="00475AA3" w:rsidP="00BB55D2">
            <w:pPr>
              <w:pStyle w:val="TableText"/>
              <w:rPr>
                <w:rFonts w:cs="Arial"/>
              </w:rPr>
            </w:pPr>
            <w:r w:rsidRPr="005D74D1">
              <w:rPr>
                <w:rFonts w:cs="Arial"/>
              </w:rPr>
              <w:t>Overall progress toward long</w:t>
            </w:r>
            <w:r w:rsidR="004054D5" w:rsidRPr="005D74D1">
              <w:rPr>
                <w:rFonts w:cs="Arial"/>
              </w:rPr>
              <w:t>-</w:t>
            </w:r>
            <w:r w:rsidRPr="005D74D1">
              <w:rPr>
                <w:rFonts w:cs="Arial"/>
              </w:rPr>
              <w:t>term outcomes</w:t>
            </w:r>
          </w:p>
        </w:tc>
        <w:tc>
          <w:tcPr>
            <w:tcW w:w="617" w:type="pct"/>
            <w:vAlign w:val="center"/>
          </w:tcPr>
          <w:p w14:paraId="7E367088" w14:textId="77777777" w:rsidR="00475AA3" w:rsidRPr="005D74D1" w:rsidRDefault="00475AA3" w:rsidP="00140664">
            <w:pPr>
              <w:pStyle w:val="TableText"/>
              <w:jc w:val="center"/>
              <w:rPr>
                <w:rFonts w:cs="Arial"/>
              </w:rPr>
            </w:pPr>
            <w:r w:rsidRPr="005D74D1">
              <w:rPr>
                <w:rFonts w:cs="Arial"/>
              </w:rPr>
              <w:t>Medium</w:t>
            </w:r>
          </w:p>
          <w:p w14:paraId="1B64F27E" w14:textId="09880D7E" w:rsidR="00475AA3" w:rsidRPr="005D74D1" w:rsidRDefault="00475AA3" w:rsidP="00140664">
            <w:pPr>
              <w:pStyle w:val="TableText"/>
              <w:jc w:val="center"/>
              <w:rPr>
                <w:rFonts w:cs="Arial"/>
              </w:rPr>
            </w:pPr>
            <w:r w:rsidRPr="00A134A7">
              <w:rPr>
                <w:rFonts w:cs="Arial"/>
                <w:noProof/>
              </w:rPr>
              <mc:AlternateContent>
                <mc:Choice Requires="wpg">
                  <w:drawing>
                    <wp:inline distT="0" distB="0" distL="0" distR="0" wp14:anchorId="437A4675" wp14:editId="3A30E334">
                      <wp:extent cx="460800" cy="246491"/>
                      <wp:effectExtent l="0" t="0" r="15875" b="20320"/>
                      <wp:docPr id="145" name="Group 145"/>
                      <wp:cNvGraphicFramePr/>
                      <a:graphic xmlns:a="http://schemas.openxmlformats.org/drawingml/2006/main">
                        <a:graphicData uri="http://schemas.microsoft.com/office/word/2010/wordprocessingGroup">
                          <wpg:wgp>
                            <wpg:cNvGrpSpPr/>
                            <wpg:grpSpPr>
                              <a:xfrm>
                                <a:off x="0" y="0"/>
                                <a:ext cx="460800" cy="246491"/>
                                <a:chOff x="0" y="0"/>
                                <a:chExt cx="675755" cy="246491"/>
                              </a:xfrm>
                            </wpg:grpSpPr>
                            <wps:wsp>
                              <wps:cNvPr id="146" name="Rectangle 146"/>
                              <wps:cNvSpPr/>
                              <wps:spPr>
                                <a:xfrm>
                                  <a:off x="0" y="0"/>
                                  <a:ext cx="133200" cy="246491"/>
                                </a:xfrm>
                                <a:prstGeom prst="rect">
                                  <a:avLst/>
                                </a:pr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3" name="Rectangle 153"/>
                              <wps:cNvSpPr/>
                              <wps:spPr>
                                <a:xfrm>
                                  <a:off x="135639" y="0"/>
                                  <a:ext cx="133200" cy="246491"/>
                                </a:xfrm>
                                <a:prstGeom prst="rect">
                                  <a:avLst/>
                                </a:pr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4" name="Rectangle 154"/>
                              <wps:cNvSpPr/>
                              <wps:spPr>
                                <a:xfrm>
                                  <a:off x="271278" y="0"/>
                                  <a:ext cx="133200" cy="246491"/>
                                </a:xfrm>
                                <a:prstGeom prst="rect">
                                  <a:avLst/>
                                </a:pr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5" name="Rectangle 155"/>
                              <wps:cNvSpPr/>
                              <wps:spPr>
                                <a:xfrm>
                                  <a:off x="542555" y="0"/>
                                  <a:ext cx="133200" cy="246491"/>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6" name="Rectangle 156"/>
                              <wps:cNvSpPr/>
                              <wps:spPr>
                                <a:xfrm>
                                  <a:off x="406917" y="0"/>
                                  <a:ext cx="133200" cy="246491"/>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xmlns:w16du="http://schemas.microsoft.com/office/word/2023/wordml/word16du">
                  <w:pict>
                    <v:group w14:anchorId="4CD5853E" id="Group 145" o:spid="_x0000_s1026" style="width:36.3pt;height:19.4pt;mso-position-horizontal-relative:char;mso-position-vertical-relative:line" coordsize="6757,2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">
                      <v:rect id="Rectangle 146" o:spid="_x0000_s1027" style="position:absolute;width:1332;height:2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" fillcolor="#ffc000" strokecolor="black [3213]" strokeweight="1pt"/>
                      <v:rect id="Rectangle 153" o:spid="_x0000_s1028" style="position:absolute;left:1356;width:1332;height:2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" fillcolor="#ffc000" strokecolor="black [3213]" strokeweight="1pt"/>
                      <v:rect id="Rectangle 154" o:spid="_x0000_s1029" style="position:absolute;left:2712;width:1332;height:2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" fillcolor="#ffc000" strokecolor="black [3213]" strokeweight="1pt"/>
                      <v:rect id="Rectangle 155" o:spid="_x0000_s1030" style="position:absolute;left:5425;width:1332;height:2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" fillcolor="white [3212]" strokecolor="black [3213]" strokeweight="1pt"/>
                      <v:rect id="Rectangle 156" o:spid="_x0000_s1031" style="position:absolute;left:4069;width:1332;height:2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" fillcolor="white [3212]" strokecolor="black [3213]" strokeweight="1pt"/>
                      <w10:anchorlock/>
                    </v:group>
                  </w:pict>
                </mc:Fallback>
              </mc:AlternateContent>
            </w:r>
          </w:p>
        </w:tc>
        <w:tc>
          <w:tcPr>
            <w:tcW w:w="2834" w:type="pct"/>
          </w:tcPr>
          <w:p w14:paraId="0AB77ECE" w14:textId="382BC359" w:rsidR="00475AA3" w:rsidRPr="005D74D1" w:rsidRDefault="00475AA3" w:rsidP="00FD5D7D">
            <w:pPr>
              <w:pStyle w:val="TableText"/>
              <w:rPr>
                <w:rFonts w:cs="Arial"/>
              </w:rPr>
            </w:pPr>
            <w:r w:rsidRPr="005D74D1">
              <w:rPr>
                <w:rFonts w:cs="Arial"/>
              </w:rPr>
              <w:t xml:space="preserve">Prior EC tranches have invested significantly in waterway and catchment health, and while environmental outcomes generally take time to accrue following investment, there is emerging and strengthening evidence of environmental benefits from </w:t>
            </w:r>
            <w:r w:rsidR="001C375A" w:rsidRPr="005D74D1">
              <w:rPr>
                <w:rFonts w:cs="Arial"/>
              </w:rPr>
              <w:t xml:space="preserve">multi-year </w:t>
            </w:r>
            <w:r w:rsidRPr="005D74D1">
              <w:rPr>
                <w:rFonts w:cs="Arial"/>
              </w:rPr>
              <w:t>EC investments. Ongoing investment is required to continue to address significant remaining environmental degradation amid continued stressors.</w:t>
            </w:r>
          </w:p>
        </w:tc>
      </w:tr>
    </w:tbl>
    <w:p w14:paraId="0CFDF387" w14:textId="77777777" w:rsidR="00A50E7D" w:rsidRPr="005D74D1" w:rsidRDefault="002A703D" w:rsidP="000B33DC">
      <w:pPr>
        <w:pStyle w:val="BodyText"/>
        <w:rPr>
          <w:rFonts w:cs="Arial"/>
        </w:rPr>
      </w:pPr>
      <w:r w:rsidRPr="005D74D1">
        <w:rPr>
          <w:rFonts w:cs="Arial"/>
        </w:rPr>
        <w:t xml:space="preserve">This KEQ evaluates progress made toward the </w:t>
      </w:r>
      <w:r w:rsidR="002F318C" w:rsidRPr="005D74D1">
        <w:rPr>
          <w:rFonts w:cs="Arial"/>
        </w:rPr>
        <w:t>Waterway and Catchment Health</w:t>
      </w:r>
      <w:r w:rsidRPr="005D74D1">
        <w:rPr>
          <w:rFonts w:cs="Arial"/>
        </w:rPr>
        <w:t xml:space="preserve"> objective of the EC5. The program logic </w:t>
      </w:r>
      <w:r w:rsidR="000820FF" w:rsidRPr="005D74D1">
        <w:rPr>
          <w:rFonts w:cs="Arial"/>
        </w:rPr>
        <w:t>(</w:t>
      </w:r>
      <w:r w:rsidR="00BB7D9D" w:rsidRPr="005D74D1">
        <w:rPr>
          <w:rFonts w:cs="Arial"/>
        </w:rPr>
        <w:t>see Section 3.3)</w:t>
      </w:r>
      <w:r w:rsidR="000820FF" w:rsidRPr="005D74D1">
        <w:rPr>
          <w:rFonts w:cs="Arial"/>
        </w:rPr>
        <w:t xml:space="preserve"> </w:t>
      </w:r>
      <w:r w:rsidRPr="005D74D1">
        <w:rPr>
          <w:rFonts w:cs="Arial"/>
        </w:rPr>
        <w:t xml:space="preserve">includes the long-term outcome </w:t>
      </w:r>
      <w:r w:rsidR="00827AFE" w:rsidRPr="005D74D1">
        <w:rPr>
          <w:rFonts w:cs="Arial"/>
        </w:rPr>
        <w:t>‘</w:t>
      </w:r>
      <w:r w:rsidR="00726651" w:rsidRPr="005D74D1">
        <w:rPr>
          <w:rFonts w:cs="Arial"/>
        </w:rPr>
        <w:t>Environmental condition of Victoria’s priority waterways and catchments is improved</w:t>
      </w:r>
      <w:r w:rsidR="00827AFE" w:rsidRPr="005D74D1">
        <w:rPr>
          <w:rFonts w:cs="Arial"/>
        </w:rPr>
        <w:t>’</w:t>
      </w:r>
      <w:r w:rsidRPr="005D74D1">
        <w:rPr>
          <w:rFonts w:cs="Arial"/>
        </w:rPr>
        <w:t xml:space="preserve"> supported by the following </w:t>
      </w:r>
      <w:r w:rsidR="00015B66" w:rsidRPr="005D74D1">
        <w:rPr>
          <w:rFonts w:cs="Arial"/>
        </w:rPr>
        <w:t>E</w:t>
      </w:r>
      <w:r w:rsidRPr="005D74D1">
        <w:rPr>
          <w:rFonts w:cs="Arial"/>
        </w:rPr>
        <w:t>nd</w:t>
      </w:r>
      <w:r w:rsidR="2A271CF7" w:rsidRPr="005D74D1">
        <w:rPr>
          <w:rFonts w:cs="Arial"/>
        </w:rPr>
        <w:t>-</w:t>
      </w:r>
      <w:r w:rsidRPr="005D74D1">
        <w:rPr>
          <w:rFonts w:cs="Arial"/>
        </w:rPr>
        <w:t>of</w:t>
      </w:r>
      <w:r w:rsidR="4E46D31D" w:rsidRPr="005D74D1">
        <w:rPr>
          <w:rFonts w:cs="Arial"/>
        </w:rPr>
        <w:t>-</w:t>
      </w:r>
      <w:r w:rsidR="00015B66" w:rsidRPr="005D74D1">
        <w:rPr>
          <w:rFonts w:cs="Arial"/>
        </w:rPr>
        <w:t>T</w:t>
      </w:r>
      <w:r w:rsidRPr="005D74D1">
        <w:rPr>
          <w:rFonts w:cs="Arial"/>
        </w:rPr>
        <w:t>ranche outcomes:</w:t>
      </w:r>
    </w:p>
    <w:p w14:paraId="231B73D3" w14:textId="1C01D2BA" w:rsidR="00C12FC1" w:rsidRPr="00A134A7" w:rsidRDefault="00E40112" w:rsidP="009E3D9F">
      <w:pPr>
        <w:pStyle w:val="BulletLevel1"/>
        <w:rPr>
          <w:rFonts w:cs="Arial"/>
          <w:lang w:val="en-AU"/>
        </w:rPr>
      </w:pPr>
      <w:r w:rsidRPr="00A134A7">
        <w:rPr>
          <w:rFonts w:cs="Arial"/>
          <w:lang w:val="en-AU"/>
        </w:rPr>
        <w:t>r</w:t>
      </w:r>
      <w:r w:rsidR="007D219F" w:rsidRPr="00A134A7">
        <w:rPr>
          <w:rFonts w:cs="Arial"/>
          <w:lang w:val="en-AU"/>
        </w:rPr>
        <w:t xml:space="preserve">educed </w:t>
      </w:r>
      <w:r w:rsidR="00C12FC1" w:rsidRPr="00A134A7">
        <w:rPr>
          <w:rFonts w:cs="Arial"/>
          <w:lang w:val="en-AU"/>
        </w:rPr>
        <w:t>risks from stormwater runoff into priority urban waterways</w:t>
      </w:r>
    </w:p>
    <w:p w14:paraId="46AAAE54" w14:textId="1D5CCD09" w:rsidR="006E662B" w:rsidRPr="00A134A7" w:rsidRDefault="00B95191" w:rsidP="009E3D9F">
      <w:pPr>
        <w:pStyle w:val="BulletLevel1"/>
        <w:rPr>
          <w:rFonts w:cs="Arial"/>
          <w:lang w:val="en-AU"/>
        </w:rPr>
      </w:pPr>
      <w:r w:rsidRPr="00A134A7">
        <w:rPr>
          <w:rFonts w:cs="Arial"/>
          <w:lang w:val="en-AU"/>
        </w:rPr>
        <w:t>I</w:t>
      </w:r>
      <w:r w:rsidR="007D219F" w:rsidRPr="00A134A7">
        <w:rPr>
          <w:rFonts w:cs="Arial"/>
          <w:lang w:val="en-AU"/>
        </w:rPr>
        <w:t xml:space="preserve">mproved </w:t>
      </w:r>
      <w:r w:rsidR="006E662B" w:rsidRPr="00A134A7">
        <w:rPr>
          <w:rFonts w:cs="Arial"/>
          <w:lang w:val="en-AU"/>
        </w:rPr>
        <w:t xml:space="preserve">landowner stewardship in catchments </w:t>
      </w:r>
      <w:r w:rsidR="00EE2D6B" w:rsidRPr="00A134A7">
        <w:rPr>
          <w:rFonts w:cs="Arial"/>
          <w:lang w:val="en-AU"/>
        </w:rPr>
        <w:t xml:space="preserve">and </w:t>
      </w:r>
      <w:r w:rsidR="006E662B" w:rsidRPr="00A134A7">
        <w:rPr>
          <w:rFonts w:cs="Arial"/>
          <w:lang w:val="en-AU"/>
        </w:rPr>
        <w:t>waterways</w:t>
      </w:r>
      <w:r w:rsidRPr="00A134A7">
        <w:rPr>
          <w:rFonts w:cs="Arial"/>
          <w:lang w:val="en-AU"/>
        </w:rPr>
        <w:t>.</w:t>
      </w:r>
    </w:p>
    <w:p w14:paraId="040572C3" w14:textId="0C328633" w:rsidR="00F46A7A" w:rsidRPr="00A134A7" w:rsidRDefault="00B95191" w:rsidP="009E3D9F">
      <w:pPr>
        <w:pStyle w:val="BulletLevel1"/>
        <w:rPr>
          <w:rFonts w:cs="Arial"/>
          <w:lang w:val="en-AU"/>
        </w:rPr>
      </w:pPr>
      <w:r w:rsidRPr="00A134A7">
        <w:rPr>
          <w:rFonts w:cs="Arial"/>
          <w:lang w:val="en-AU"/>
        </w:rPr>
        <w:t>I</w:t>
      </w:r>
      <w:r w:rsidR="007D219F" w:rsidRPr="00A134A7">
        <w:rPr>
          <w:rFonts w:cs="Arial"/>
          <w:lang w:val="en-AU"/>
        </w:rPr>
        <w:t xml:space="preserve">mproved </w:t>
      </w:r>
      <w:r w:rsidR="00F46A7A" w:rsidRPr="00A134A7">
        <w:rPr>
          <w:rFonts w:cs="Arial"/>
          <w:lang w:val="en-AU"/>
        </w:rPr>
        <w:t>condition of riparian land</w:t>
      </w:r>
      <w:r w:rsidRPr="00A134A7">
        <w:rPr>
          <w:rFonts w:cs="Arial"/>
          <w:lang w:val="en-AU"/>
        </w:rPr>
        <w:t>.</w:t>
      </w:r>
    </w:p>
    <w:p w14:paraId="6B1F0864" w14:textId="09530149" w:rsidR="00C134B7" w:rsidRPr="00A134A7" w:rsidRDefault="00B95191" w:rsidP="009E3D9F">
      <w:pPr>
        <w:pStyle w:val="BulletLevel1"/>
        <w:rPr>
          <w:rFonts w:cs="Arial"/>
          <w:lang w:val="en-AU"/>
        </w:rPr>
      </w:pPr>
      <w:r w:rsidRPr="00A134A7">
        <w:rPr>
          <w:rFonts w:cs="Arial"/>
          <w:lang w:val="en-AU"/>
        </w:rPr>
        <w:t>I</w:t>
      </w:r>
      <w:r w:rsidR="007D219F" w:rsidRPr="00A134A7">
        <w:rPr>
          <w:rFonts w:cs="Arial"/>
          <w:lang w:val="en-AU"/>
        </w:rPr>
        <w:t xml:space="preserve">mproved </w:t>
      </w:r>
      <w:r w:rsidR="00C134B7" w:rsidRPr="00A134A7">
        <w:rPr>
          <w:rFonts w:cs="Arial"/>
          <w:lang w:val="en-AU"/>
        </w:rPr>
        <w:t>habitat for key species</w:t>
      </w:r>
      <w:r w:rsidRPr="00A134A7">
        <w:rPr>
          <w:rFonts w:cs="Arial"/>
          <w:lang w:val="en-AU"/>
        </w:rPr>
        <w:t>.</w:t>
      </w:r>
    </w:p>
    <w:p w14:paraId="201801C2" w14:textId="50650E2F" w:rsidR="00C610C6" w:rsidRPr="00A134A7" w:rsidRDefault="00B95191" w:rsidP="0654F7E3">
      <w:pPr>
        <w:pStyle w:val="BulletLevel1"/>
        <w:rPr>
          <w:rFonts w:cs="Arial"/>
          <w:lang w:val="en-AU"/>
        </w:rPr>
      </w:pPr>
      <w:r w:rsidRPr="00A134A7">
        <w:rPr>
          <w:rFonts w:cs="Arial"/>
          <w:lang w:val="en-AU"/>
        </w:rPr>
        <w:t>I</w:t>
      </w:r>
      <w:r w:rsidR="007D219F" w:rsidRPr="00A134A7">
        <w:rPr>
          <w:rFonts w:cs="Arial"/>
          <w:lang w:val="en-AU"/>
        </w:rPr>
        <w:t xml:space="preserve">ncreased </w:t>
      </w:r>
      <w:r w:rsidR="00C610C6" w:rsidRPr="00A134A7">
        <w:rPr>
          <w:rFonts w:cs="Arial"/>
          <w:lang w:val="en-AU"/>
        </w:rPr>
        <w:t>evidence base on effectiveness of waterway management</w:t>
      </w:r>
      <w:r w:rsidRPr="00A134A7">
        <w:rPr>
          <w:rFonts w:cs="Arial"/>
          <w:lang w:val="en-AU"/>
        </w:rPr>
        <w:t>.</w:t>
      </w:r>
    </w:p>
    <w:p w14:paraId="612A911F" w14:textId="6F694FAE" w:rsidR="0020487D" w:rsidRPr="005D74D1" w:rsidRDefault="001C3154" w:rsidP="000B33DC">
      <w:pPr>
        <w:pStyle w:val="BodyText"/>
        <w:rPr>
          <w:rFonts w:cs="Arial"/>
        </w:rPr>
      </w:pPr>
      <w:bookmarkStart w:id="385" w:name="_Toc149571747"/>
      <w:r w:rsidRPr="005D74D1">
        <w:rPr>
          <w:rFonts w:cs="Arial"/>
        </w:rPr>
        <w:lastRenderedPageBreak/>
        <w:t xml:space="preserve">A summary of the achievements made by EC5 projects to these outcomes is provided </w:t>
      </w:r>
      <w:r w:rsidR="001D0DC3" w:rsidRPr="005D74D1">
        <w:rPr>
          <w:rFonts w:cs="Arial"/>
        </w:rPr>
        <w:t>below</w:t>
      </w:r>
      <w:r w:rsidR="00642F29" w:rsidRPr="005D74D1">
        <w:rPr>
          <w:rFonts w:cs="Arial"/>
        </w:rPr>
        <w:t>. This is supported by examples of some of the main ways that individual projects have contributed to each outcome, provided in Appendix B.</w:t>
      </w:r>
    </w:p>
    <w:p w14:paraId="09CEB60C" w14:textId="565C9EE2" w:rsidR="0020487D" w:rsidRPr="00A134A7" w:rsidRDefault="00E66758" w:rsidP="00E66758">
      <w:pPr>
        <w:pStyle w:val="Heading3"/>
        <w:rPr>
          <w:rFonts w:ascii="Arial" w:hAnsi="Arial" w:cs="Arial"/>
        </w:rPr>
      </w:pPr>
      <w:r w:rsidRPr="00A134A7">
        <w:rPr>
          <w:rFonts w:ascii="Arial" w:hAnsi="Arial" w:cs="Arial"/>
        </w:rPr>
        <w:t>Reduced risks from stormwater runoff into priority urban waterways</w:t>
      </w:r>
    </w:p>
    <w:p w14:paraId="6B81FC31" w14:textId="77777777" w:rsidR="00A50E7D" w:rsidRPr="005D74D1" w:rsidRDefault="00E66758" w:rsidP="000B33DC">
      <w:pPr>
        <w:pStyle w:val="BodyText"/>
        <w:keepNext/>
        <w:keepLines/>
        <w:spacing w:before="60"/>
        <w:rPr>
          <w:rFonts w:cs="Arial"/>
        </w:rPr>
      </w:pPr>
      <w:r w:rsidRPr="005D74D1">
        <w:rPr>
          <w:rFonts w:cs="Arial"/>
        </w:rPr>
        <w:t>The IWM</w:t>
      </w:r>
      <w:r w:rsidRPr="005D74D1" w:rsidDel="00905BCA">
        <w:rPr>
          <w:rFonts w:cs="Arial"/>
        </w:rPr>
        <w:t xml:space="preserve"> </w:t>
      </w:r>
      <w:r w:rsidR="00467F3F" w:rsidRPr="005D74D1">
        <w:rPr>
          <w:rFonts w:cs="Arial"/>
        </w:rPr>
        <w:t>project</w:t>
      </w:r>
      <w:r w:rsidRPr="005D74D1">
        <w:rPr>
          <w:rFonts w:cs="Arial"/>
        </w:rPr>
        <w:t xml:space="preserve"> supported a suite of </w:t>
      </w:r>
      <w:r w:rsidR="00AC7553" w:rsidRPr="005D74D1">
        <w:rPr>
          <w:rFonts w:cs="Arial"/>
        </w:rPr>
        <w:t xml:space="preserve">52 </w:t>
      </w:r>
      <w:r w:rsidRPr="005D74D1">
        <w:rPr>
          <w:rFonts w:cs="Arial"/>
        </w:rPr>
        <w:t>IWM projects including stormwater harvesting, recycled water and rainwater harvesting projects which are expected to result in significant stormwater pollution reduction (</w:t>
      </w:r>
      <w:r w:rsidR="00AC7553" w:rsidRPr="005D74D1">
        <w:rPr>
          <w:rFonts w:cs="Arial"/>
        </w:rPr>
        <w:t xml:space="preserve">prevention </w:t>
      </w:r>
      <w:r w:rsidRPr="005D74D1">
        <w:rPr>
          <w:rFonts w:cs="Arial"/>
        </w:rPr>
        <w:t xml:space="preserve">of </w:t>
      </w:r>
      <w:r w:rsidR="00CB1154" w:rsidRPr="005D74D1">
        <w:rPr>
          <w:rFonts w:cs="Arial"/>
        </w:rPr>
        <w:t>8,407</w:t>
      </w:r>
      <w:r w:rsidRPr="005D74D1">
        <w:rPr>
          <w:rFonts w:cs="Arial"/>
        </w:rPr>
        <w:t xml:space="preserve"> kg of nitrogen, </w:t>
      </w:r>
      <w:r w:rsidR="00CB1154" w:rsidRPr="005D74D1">
        <w:rPr>
          <w:rFonts w:cs="Arial"/>
        </w:rPr>
        <w:t xml:space="preserve">2,299 </w:t>
      </w:r>
      <w:r w:rsidRPr="005D74D1">
        <w:rPr>
          <w:rFonts w:cs="Arial"/>
        </w:rPr>
        <w:t xml:space="preserve">kg of phosphorus and </w:t>
      </w:r>
      <w:r w:rsidR="00CB1154" w:rsidRPr="005D74D1">
        <w:rPr>
          <w:rFonts w:cs="Arial"/>
        </w:rPr>
        <w:t xml:space="preserve">258 </w:t>
      </w:r>
      <w:r w:rsidRPr="005D74D1">
        <w:rPr>
          <w:rFonts w:cs="Arial"/>
        </w:rPr>
        <w:t xml:space="preserve">tonnes of total suspended solids from </w:t>
      </w:r>
      <w:r w:rsidR="00CB1154" w:rsidRPr="005D74D1">
        <w:rPr>
          <w:rFonts w:cs="Arial"/>
        </w:rPr>
        <w:t xml:space="preserve">entering </w:t>
      </w:r>
      <w:r w:rsidRPr="005D74D1">
        <w:rPr>
          <w:rFonts w:cs="Arial"/>
        </w:rPr>
        <w:t>our waterways every year).</w:t>
      </w:r>
    </w:p>
    <w:p w14:paraId="0AC0A70A" w14:textId="0A25E9AB" w:rsidR="003C009D" w:rsidRPr="005D74D1" w:rsidRDefault="00E66758" w:rsidP="000B33DC">
      <w:pPr>
        <w:pStyle w:val="BulletLevel1"/>
        <w:keepNext/>
        <w:keepLines/>
        <w:numPr>
          <w:ilvl w:val="0"/>
          <w:numId w:val="0"/>
        </w:numPr>
        <w:rPr>
          <w:rFonts w:cs="Arial"/>
          <w:lang w:val="en-AU"/>
        </w:rPr>
      </w:pPr>
      <w:r w:rsidRPr="00A134A7">
        <w:rPr>
          <w:rFonts w:cs="Arial"/>
          <w:lang w:val="en-AU"/>
        </w:rPr>
        <w:t xml:space="preserve">A </w:t>
      </w:r>
      <w:r w:rsidRPr="005D74D1">
        <w:rPr>
          <w:rFonts w:cs="Arial"/>
          <w:lang w:val="en-AU"/>
        </w:rPr>
        <w:t>stormwater</w:t>
      </w:r>
      <w:r w:rsidRPr="00A134A7">
        <w:rPr>
          <w:rFonts w:cs="Arial"/>
          <w:lang w:val="en-AU"/>
        </w:rPr>
        <w:t xml:space="preserve"> offset framework </w:t>
      </w:r>
      <w:r w:rsidR="000B3A2E" w:rsidRPr="005D74D1">
        <w:rPr>
          <w:rFonts w:cs="Arial"/>
          <w:lang w:val="en-AU"/>
        </w:rPr>
        <w:t xml:space="preserve">and compliance tool </w:t>
      </w:r>
      <w:r w:rsidRPr="00A134A7">
        <w:rPr>
          <w:rFonts w:cs="Arial"/>
          <w:lang w:val="en-AU"/>
        </w:rPr>
        <w:t xml:space="preserve">was developed with </w:t>
      </w:r>
      <w:r w:rsidRPr="005D74D1">
        <w:rPr>
          <w:rFonts w:cs="Arial"/>
          <w:lang w:val="en-AU"/>
        </w:rPr>
        <w:t>input</w:t>
      </w:r>
      <w:r w:rsidRPr="00A134A7">
        <w:rPr>
          <w:rFonts w:cs="Arial"/>
          <w:lang w:val="en-AU"/>
        </w:rPr>
        <w:t xml:space="preserve"> </w:t>
      </w:r>
      <w:r w:rsidR="0083568C" w:rsidRPr="005D74D1">
        <w:rPr>
          <w:rFonts w:cs="Arial"/>
          <w:lang w:val="en-AU"/>
        </w:rPr>
        <w:t>from</w:t>
      </w:r>
      <w:r w:rsidR="0083568C" w:rsidRPr="00A134A7">
        <w:rPr>
          <w:rFonts w:cs="Arial"/>
          <w:lang w:val="en-AU"/>
        </w:rPr>
        <w:t xml:space="preserve"> </w:t>
      </w:r>
      <w:r w:rsidRPr="00A134A7">
        <w:rPr>
          <w:rFonts w:cs="Arial"/>
          <w:lang w:val="en-AU"/>
        </w:rPr>
        <w:t xml:space="preserve">industry and </w:t>
      </w:r>
      <w:r w:rsidRPr="005D74D1">
        <w:rPr>
          <w:rFonts w:cs="Arial"/>
          <w:lang w:val="en-AU"/>
        </w:rPr>
        <w:t xml:space="preserve">councils; </w:t>
      </w:r>
      <w:r w:rsidR="00F93B83" w:rsidRPr="005D74D1">
        <w:rPr>
          <w:rFonts w:cs="Arial"/>
          <w:lang w:val="en-AU"/>
        </w:rPr>
        <w:t>four</w:t>
      </w:r>
      <w:r w:rsidRPr="00A134A7">
        <w:rPr>
          <w:rFonts w:cs="Arial"/>
          <w:lang w:val="en-AU"/>
        </w:rPr>
        <w:t xml:space="preserve"> councils</w:t>
      </w:r>
      <w:r w:rsidRPr="005D74D1">
        <w:rPr>
          <w:rFonts w:cs="Arial"/>
          <w:lang w:val="en-AU"/>
        </w:rPr>
        <w:t xml:space="preserve"> have implemented scheme</w:t>
      </w:r>
      <w:r w:rsidRPr="00A134A7">
        <w:rPr>
          <w:rFonts w:cs="Arial"/>
          <w:lang w:val="en-AU"/>
        </w:rPr>
        <w:t>s</w:t>
      </w:r>
      <w:r w:rsidRPr="005D74D1">
        <w:rPr>
          <w:rFonts w:cs="Arial"/>
          <w:lang w:val="en-AU"/>
        </w:rPr>
        <w:t xml:space="preserve"> and another </w:t>
      </w:r>
      <w:r w:rsidRPr="005D74D1" w:rsidDel="001E3E7E">
        <w:rPr>
          <w:rFonts w:cs="Arial"/>
          <w:lang w:val="en-AU"/>
        </w:rPr>
        <w:t>four</w:t>
      </w:r>
      <w:r w:rsidRPr="005D74D1">
        <w:rPr>
          <w:rFonts w:cs="Arial"/>
          <w:lang w:val="en-AU"/>
        </w:rPr>
        <w:t xml:space="preserve"> are</w:t>
      </w:r>
      <w:r w:rsidRPr="00A134A7">
        <w:rPr>
          <w:rFonts w:cs="Arial"/>
          <w:lang w:val="en-AU"/>
        </w:rPr>
        <w:t xml:space="preserve"> considering offset schemes within their municipalities</w:t>
      </w:r>
      <w:r w:rsidRPr="005D74D1">
        <w:rPr>
          <w:rFonts w:cs="Arial"/>
          <w:lang w:val="en-AU"/>
        </w:rPr>
        <w:t xml:space="preserve">. </w:t>
      </w:r>
      <w:r w:rsidR="003C009D" w:rsidRPr="005D74D1">
        <w:rPr>
          <w:rFonts w:cs="Arial"/>
          <w:lang w:val="en-AU"/>
        </w:rPr>
        <w:t xml:space="preserve">58 of 65 eligible councils </w:t>
      </w:r>
      <w:r w:rsidR="000B3A2E" w:rsidRPr="005D74D1">
        <w:rPr>
          <w:rFonts w:cs="Arial"/>
          <w:lang w:val="en-AU"/>
        </w:rPr>
        <w:t>were provided with</w:t>
      </w:r>
      <w:r w:rsidR="003C009D" w:rsidRPr="005D74D1">
        <w:rPr>
          <w:rFonts w:cs="Arial"/>
          <w:lang w:val="en-AU"/>
        </w:rPr>
        <w:t xml:space="preserve"> grants to </w:t>
      </w:r>
      <w:r w:rsidR="00F26E67" w:rsidRPr="005D74D1">
        <w:rPr>
          <w:rFonts w:cs="Arial"/>
          <w:lang w:val="en-AU"/>
        </w:rPr>
        <w:t>make</w:t>
      </w:r>
      <w:r w:rsidR="003C009D" w:rsidRPr="005D74D1">
        <w:rPr>
          <w:rFonts w:cs="Arial"/>
          <w:lang w:val="en-AU"/>
        </w:rPr>
        <w:t xml:space="preserve"> data improvements, updat</w:t>
      </w:r>
      <w:r w:rsidR="00F26E67" w:rsidRPr="005D74D1">
        <w:rPr>
          <w:rFonts w:cs="Arial"/>
          <w:lang w:val="en-AU"/>
        </w:rPr>
        <w:t>e</w:t>
      </w:r>
      <w:r w:rsidR="003C009D" w:rsidRPr="005D74D1">
        <w:rPr>
          <w:rFonts w:cs="Arial"/>
          <w:lang w:val="en-AU"/>
        </w:rPr>
        <w:t xml:space="preserve"> </w:t>
      </w:r>
      <w:r w:rsidR="00C424FE" w:rsidRPr="005D74D1">
        <w:rPr>
          <w:rFonts w:cs="Arial"/>
          <w:lang w:val="en-AU"/>
        </w:rPr>
        <w:t>o</w:t>
      </w:r>
      <w:r w:rsidR="003C009D" w:rsidRPr="005D74D1">
        <w:rPr>
          <w:rFonts w:cs="Arial"/>
          <w:lang w:val="en-AU"/>
        </w:rPr>
        <w:t xml:space="preserve">nsite </w:t>
      </w:r>
      <w:r w:rsidR="00C424FE" w:rsidRPr="005D74D1">
        <w:rPr>
          <w:rFonts w:cs="Arial"/>
          <w:lang w:val="en-AU"/>
        </w:rPr>
        <w:t>w</w:t>
      </w:r>
      <w:r w:rsidR="003C009D" w:rsidRPr="005D74D1">
        <w:rPr>
          <w:rFonts w:cs="Arial"/>
          <w:lang w:val="en-AU"/>
        </w:rPr>
        <w:t xml:space="preserve">astewater </w:t>
      </w:r>
      <w:r w:rsidR="00C424FE" w:rsidRPr="005D74D1">
        <w:rPr>
          <w:rFonts w:cs="Arial"/>
          <w:lang w:val="en-AU"/>
        </w:rPr>
        <w:t>m</w:t>
      </w:r>
      <w:r w:rsidR="003C009D" w:rsidRPr="005D74D1">
        <w:rPr>
          <w:rFonts w:cs="Arial"/>
          <w:lang w:val="en-AU"/>
        </w:rPr>
        <w:t xml:space="preserve">anagement </w:t>
      </w:r>
      <w:r w:rsidR="00C424FE" w:rsidRPr="005D74D1">
        <w:rPr>
          <w:rFonts w:cs="Arial"/>
          <w:lang w:val="en-AU"/>
        </w:rPr>
        <w:t>p</w:t>
      </w:r>
      <w:r w:rsidR="003C009D" w:rsidRPr="005D74D1">
        <w:rPr>
          <w:rFonts w:cs="Arial"/>
          <w:lang w:val="en-AU"/>
        </w:rPr>
        <w:t>rojects or to undertake risk reducing</w:t>
      </w:r>
      <w:r w:rsidR="000B33DC" w:rsidRPr="005D74D1">
        <w:rPr>
          <w:rFonts w:cs="Arial"/>
          <w:lang w:val="en-AU"/>
        </w:rPr>
        <w:t> </w:t>
      </w:r>
      <w:r w:rsidR="003C009D" w:rsidRPr="005D74D1">
        <w:rPr>
          <w:rFonts w:cs="Arial"/>
          <w:lang w:val="en-AU"/>
        </w:rPr>
        <w:t>activities</w:t>
      </w:r>
      <w:r w:rsidR="00F26E67" w:rsidRPr="005D74D1">
        <w:rPr>
          <w:rFonts w:cs="Arial"/>
          <w:lang w:val="en-AU"/>
        </w:rPr>
        <w:t>.</w:t>
      </w:r>
    </w:p>
    <w:p w14:paraId="333786E9" w14:textId="5E49048E" w:rsidR="0020487D" w:rsidRPr="00A134A7" w:rsidRDefault="00E66758" w:rsidP="000B33DC">
      <w:pPr>
        <w:pStyle w:val="BulletLevel1"/>
        <w:keepNext/>
        <w:keepLines/>
        <w:numPr>
          <w:ilvl w:val="0"/>
          <w:numId w:val="0"/>
        </w:numPr>
        <w:rPr>
          <w:rFonts w:cs="Arial"/>
          <w:lang w:val="en-AU"/>
        </w:rPr>
      </w:pPr>
      <w:r w:rsidRPr="005D74D1">
        <w:rPr>
          <w:rFonts w:cs="Arial"/>
          <w:lang w:val="en-AU"/>
        </w:rPr>
        <w:t>Additionally, CGRSWS has funded capital and design works for several stormwater harvesting projects</w:t>
      </w:r>
      <w:r w:rsidR="00FA731B" w:rsidRPr="005D74D1">
        <w:rPr>
          <w:rFonts w:cs="Arial"/>
          <w:lang w:val="en-AU"/>
        </w:rPr>
        <w:t>,</w:t>
      </w:r>
      <w:r w:rsidR="00C33D85" w:rsidRPr="005D74D1">
        <w:rPr>
          <w:rFonts w:cs="Arial"/>
          <w:lang w:val="en-AU"/>
        </w:rPr>
        <w:t xml:space="preserve"> including the </w:t>
      </w:r>
      <w:r w:rsidR="00C33D85" w:rsidRPr="00A134A7">
        <w:rPr>
          <w:rFonts w:cs="Arial"/>
          <w:lang w:val="en-AU"/>
        </w:rPr>
        <w:t>Jan Juc daylighting project, the stormwater harvesting concept design for the Northern and Western Geelong Growth Areas, and the Werribee Reconfiguration project</w:t>
      </w:r>
      <w:r w:rsidR="00C33D85" w:rsidRPr="005D74D1">
        <w:rPr>
          <w:rFonts w:cs="Arial"/>
          <w:lang w:val="en-AU"/>
        </w:rPr>
        <w:t>.</w:t>
      </w:r>
    </w:p>
    <w:p w14:paraId="40265B95" w14:textId="15FAAFB8" w:rsidR="0020487D" w:rsidRPr="00A134A7" w:rsidRDefault="00E66758" w:rsidP="00E66758">
      <w:pPr>
        <w:pStyle w:val="Heading3"/>
        <w:rPr>
          <w:rFonts w:ascii="Arial" w:hAnsi="Arial" w:cs="Arial"/>
        </w:rPr>
      </w:pPr>
      <w:r w:rsidRPr="00A134A7">
        <w:rPr>
          <w:rFonts w:ascii="Arial" w:hAnsi="Arial" w:cs="Arial"/>
        </w:rPr>
        <w:t>Improved stewardship in catchments and waterways</w:t>
      </w:r>
    </w:p>
    <w:p w14:paraId="04671DDB" w14:textId="0B90925C" w:rsidR="00E66758" w:rsidRPr="005D74D1" w:rsidRDefault="00E66758" w:rsidP="00FC4E10">
      <w:pPr>
        <w:pStyle w:val="BodyText"/>
        <w:rPr>
          <w:rFonts w:cs="Arial"/>
        </w:rPr>
      </w:pPr>
      <w:r w:rsidRPr="005D74D1">
        <w:rPr>
          <w:rFonts w:cs="Arial"/>
        </w:rPr>
        <w:t xml:space="preserve">Our Catchments, Our Communities </w:t>
      </w:r>
      <w:r w:rsidR="00FC4D50" w:rsidRPr="005D74D1">
        <w:rPr>
          <w:rFonts w:cs="Arial"/>
        </w:rPr>
        <w:t>(OCOC)</w:t>
      </w:r>
      <w:r w:rsidR="0022409A" w:rsidRPr="005D74D1">
        <w:rPr>
          <w:rFonts w:cs="Arial"/>
        </w:rPr>
        <w:t xml:space="preserve"> </w:t>
      </w:r>
      <w:r w:rsidRPr="005D74D1">
        <w:rPr>
          <w:rFonts w:cs="Arial"/>
        </w:rPr>
        <w:t>deliver</w:t>
      </w:r>
      <w:r w:rsidR="004E47F4" w:rsidRPr="005D74D1">
        <w:rPr>
          <w:rFonts w:cs="Arial"/>
        </w:rPr>
        <w:t>ed</w:t>
      </w:r>
      <w:r w:rsidRPr="005D74D1">
        <w:rPr>
          <w:rFonts w:cs="Arial"/>
        </w:rPr>
        <w:t xml:space="preserve"> I</w:t>
      </w:r>
      <w:r w:rsidR="00C607FB" w:rsidRPr="005D74D1">
        <w:rPr>
          <w:rFonts w:cs="Arial"/>
        </w:rPr>
        <w:t xml:space="preserve">ntegrated </w:t>
      </w:r>
      <w:r w:rsidRPr="005D74D1">
        <w:rPr>
          <w:rFonts w:cs="Arial"/>
        </w:rPr>
        <w:t>C</w:t>
      </w:r>
      <w:r w:rsidR="00C607FB" w:rsidRPr="005D74D1">
        <w:rPr>
          <w:rFonts w:cs="Arial"/>
        </w:rPr>
        <w:t xml:space="preserve">atchment </w:t>
      </w:r>
      <w:r w:rsidRPr="005D74D1">
        <w:rPr>
          <w:rFonts w:cs="Arial"/>
        </w:rPr>
        <w:t>M</w:t>
      </w:r>
      <w:r w:rsidR="00C607FB" w:rsidRPr="005D74D1">
        <w:rPr>
          <w:rFonts w:cs="Arial"/>
        </w:rPr>
        <w:t>anagement</w:t>
      </w:r>
      <w:r w:rsidRPr="005D74D1">
        <w:rPr>
          <w:rFonts w:cs="Arial"/>
        </w:rPr>
        <w:t xml:space="preserve"> </w:t>
      </w:r>
      <w:r w:rsidR="0022409A" w:rsidRPr="005D74D1">
        <w:rPr>
          <w:rFonts w:cs="Arial"/>
        </w:rPr>
        <w:t>(ICM)</w:t>
      </w:r>
      <w:r w:rsidRPr="005D74D1">
        <w:rPr>
          <w:rFonts w:cs="Arial"/>
        </w:rPr>
        <w:t xml:space="preserve"> that is strongly community based, regionally focused and collaborative. This resulted in </w:t>
      </w:r>
      <w:r w:rsidR="000F0518" w:rsidRPr="005D74D1">
        <w:rPr>
          <w:rFonts w:cs="Arial"/>
        </w:rPr>
        <w:t>46,764</w:t>
      </w:r>
      <w:r w:rsidRPr="005D74D1">
        <w:rPr>
          <w:rFonts w:cs="Arial"/>
        </w:rPr>
        <w:t> ha of place-based</w:t>
      </w:r>
      <w:r w:rsidR="00E759E1" w:rsidRPr="005D74D1">
        <w:rPr>
          <w:rFonts w:cs="Arial"/>
        </w:rPr>
        <w:t>,</w:t>
      </w:r>
      <w:r w:rsidRPr="005D74D1">
        <w:rPr>
          <w:rFonts w:cs="Arial"/>
        </w:rPr>
        <w:t xml:space="preserve"> on-ground catchment stewardship projects in EC5. The Waterway Health program also supported CMAs to process approximately 30,000 waterway licenses and permits, floodplain and planning referrals and advice for local councils and the general community providing a critical </w:t>
      </w:r>
      <w:r w:rsidR="00A726F2" w:rsidRPr="005D74D1">
        <w:rPr>
          <w:rFonts w:cs="Arial"/>
        </w:rPr>
        <w:t>business-as-usual</w:t>
      </w:r>
      <w:r w:rsidRPr="005D74D1">
        <w:rPr>
          <w:rFonts w:cs="Arial"/>
        </w:rPr>
        <w:t xml:space="preserve"> function focused on catchment stewardship. The</w:t>
      </w:r>
      <w:r w:rsidR="005F0081" w:rsidRPr="005D74D1">
        <w:rPr>
          <w:rFonts w:cs="Arial"/>
        </w:rPr>
        <w:t xml:space="preserve"> </w:t>
      </w:r>
      <w:r w:rsidR="00E77F81" w:rsidRPr="005D74D1">
        <w:rPr>
          <w:rFonts w:cs="Arial"/>
        </w:rPr>
        <w:t>Waterway Health</w:t>
      </w:r>
      <w:r w:rsidR="006E67F0" w:rsidRPr="005D74D1">
        <w:rPr>
          <w:rFonts w:cs="Arial"/>
        </w:rPr>
        <w:t xml:space="preserve"> </w:t>
      </w:r>
      <w:r w:rsidR="005F0081" w:rsidRPr="005D74D1">
        <w:rPr>
          <w:rFonts w:cs="Arial"/>
        </w:rPr>
        <w:t>program</w:t>
      </w:r>
      <w:r w:rsidRPr="005D74D1">
        <w:rPr>
          <w:rFonts w:cs="Arial"/>
        </w:rPr>
        <w:t xml:space="preserve"> also funded a range of projects focused on increased community and landholder involvement in stewardship activities. One example of this is the Caring for the Campaspe project, which supported landholders to fence and revegetate the river to protect its important environmental and community values, </w:t>
      </w:r>
      <w:r w:rsidR="00E63EF2" w:rsidRPr="005D74D1">
        <w:rPr>
          <w:rFonts w:cs="Arial"/>
        </w:rPr>
        <w:t xml:space="preserve">delivering </w:t>
      </w:r>
      <w:r w:rsidRPr="005D74D1">
        <w:rPr>
          <w:rFonts w:cs="Arial"/>
        </w:rPr>
        <w:t xml:space="preserve">90 km of fencing, over 270 </w:t>
      </w:r>
      <w:r w:rsidR="00E63EF2" w:rsidRPr="005D74D1">
        <w:rPr>
          <w:rFonts w:cs="Arial"/>
        </w:rPr>
        <w:t xml:space="preserve">ha </w:t>
      </w:r>
      <w:r w:rsidRPr="005D74D1">
        <w:rPr>
          <w:rFonts w:cs="Arial"/>
        </w:rPr>
        <w:t>revegetated with native plants and over 400 ha where weed control was undertaken, involving 150 landholders.</w:t>
      </w:r>
    </w:p>
    <w:p w14:paraId="4F1950AD" w14:textId="25D08726" w:rsidR="00E66758" w:rsidRPr="00A134A7" w:rsidRDefault="00E66758" w:rsidP="00E66758">
      <w:pPr>
        <w:pStyle w:val="Heading3"/>
        <w:rPr>
          <w:rFonts w:ascii="Arial" w:hAnsi="Arial" w:cs="Arial"/>
        </w:rPr>
      </w:pPr>
      <w:r w:rsidRPr="00A134A7">
        <w:rPr>
          <w:rFonts w:ascii="Arial" w:hAnsi="Arial" w:cs="Arial"/>
        </w:rPr>
        <w:t>Improved condition of riparian land and habitat for key species</w:t>
      </w:r>
    </w:p>
    <w:p w14:paraId="02CDE7FA" w14:textId="77777777" w:rsidR="00A50E7D" w:rsidRPr="005D74D1" w:rsidRDefault="00E66758" w:rsidP="00FC4E10">
      <w:pPr>
        <w:pStyle w:val="BodyText"/>
        <w:rPr>
          <w:rFonts w:cs="Arial"/>
        </w:rPr>
      </w:pPr>
      <w:r w:rsidRPr="005D74D1">
        <w:rPr>
          <w:rFonts w:cs="Arial"/>
        </w:rPr>
        <w:t>Several EC5 projects delivered vegetation and habitat improvement works, including:</w:t>
      </w:r>
    </w:p>
    <w:p w14:paraId="75EF6688" w14:textId="2A5E6824" w:rsidR="00E66758" w:rsidRPr="00A134A7" w:rsidRDefault="00E66758" w:rsidP="00FC4E10">
      <w:pPr>
        <w:pStyle w:val="BulletLevel1"/>
        <w:rPr>
          <w:rFonts w:cs="Arial"/>
          <w:lang w:val="en-AU"/>
        </w:rPr>
      </w:pPr>
      <w:r w:rsidRPr="00A134A7">
        <w:rPr>
          <w:rFonts w:cs="Arial"/>
          <w:lang w:val="en-AU"/>
        </w:rPr>
        <w:t xml:space="preserve">Waterway Health: Delivery of </w:t>
      </w:r>
      <w:r w:rsidR="00262B2B" w:rsidRPr="00A134A7">
        <w:rPr>
          <w:rFonts w:cs="Arial"/>
          <w:lang w:val="en-AU"/>
        </w:rPr>
        <w:t xml:space="preserve">459 </w:t>
      </w:r>
      <w:r w:rsidRPr="00A134A7">
        <w:rPr>
          <w:rFonts w:cs="Arial"/>
          <w:lang w:val="en-AU"/>
        </w:rPr>
        <w:t xml:space="preserve">waterway structures (rock chutes, fish “hotels”, large wood, erosion control structures, flow regulators, removal of fish barriers), </w:t>
      </w:r>
      <w:r w:rsidR="00262B2B" w:rsidRPr="00A134A7">
        <w:rPr>
          <w:rFonts w:cs="Arial"/>
          <w:lang w:val="en-AU"/>
        </w:rPr>
        <w:t xml:space="preserve">331.5 </w:t>
      </w:r>
      <w:r w:rsidRPr="00A134A7">
        <w:rPr>
          <w:rFonts w:cs="Arial"/>
          <w:lang w:val="en-AU"/>
        </w:rPr>
        <w:t xml:space="preserve">km of fencing used to protect areas alongside waterways, </w:t>
      </w:r>
      <w:r w:rsidR="00262B2B" w:rsidRPr="00A134A7">
        <w:rPr>
          <w:rFonts w:cs="Arial"/>
          <w:lang w:val="en-AU"/>
        </w:rPr>
        <w:t>35,465</w:t>
      </w:r>
      <w:r w:rsidRPr="00A134A7">
        <w:rPr>
          <w:rFonts w:cs="Arial"/>
          <w:lang w:val="en-AU"/>
        </w:rPr>
        <w:t xml:space="preserve"> </w:t>
      </w:r>
      <w:r w:rsidR="00E63EF2" w:rsidRPr="00A134A7">
        <w:rPr>
          <w:rFonts w:cs="Arial"/>
          <w:lang w:val="en-AU"/>
        </w:rPr>
        <w:t>h</w:t>
      </w:r>
      <w:r w:rsidRPr="00A134A7">
        <w:rPr>
          <w:rFonts w:cs="Arial"/>
          <w:lang w:val="en-AU"/>
        </w:rPr>
        <w:t xml:space="preserve">a of vegetation and weed control, and </w:t>
      </w:r>
      <w:r w:rsidR="00262B2B" w:rsidRPr="00A134A7">
        <w:rPr>
          <w:rFonts w:cs="Arial"/>
          <w:lang w:val="en-AU"/>
        </w:rPr>
        <w:t xml:space="preserve">482 </w:t>
      </w:r>
      <w:r w:rsidRPr="00A134A7">
        <w:rPr>
          <w:rFonts w:cs="Arial"/>
          <w:lang w:val="en-AU"/>
        </w:rPr>
        <w:t xml:space="preserve">management agreements between CMAs and landholders, to ensure works areas are maintained in good quality for at least </w:t>
      </w:r>
      <w:r w:rsidR="00E63EF2" w:rsidRPr="00A134A7">
        <w:rPr>
          <w:rFonts w:cs="Arial"/>
          <w:lang w:val="en-AU"/>
        </w:rPr>
        <w:t>10</w:t>
      </w:r>
      <w:r w:rsidRPr="00A134A7">
        <w:rPr>
          <w:rFonts w:cs="Arial"/>
          <w:lang w:val="en-AU"/>
        </w:rPr>
        <w:t xml:space="preserve"> years. As a result of these works, </w:t>
      </w:r>
      <w:r w:rsidR="00262B2B" w:rsidRPr="00A134A7">
        <w:rPr>
          <w:rFonts w:cs="Arial"/>
          <w:lang w:val="en-AU"/>
        </w:rPr>
        <w:t xml:space="preserve">386 </w:t>
      </w:r>
      <w:r w:rsidRPr="00A134A7">
        <w:rPr>
          <w:rFonts w:cs="Arial"/>
          <w:lang w:val="en-AU"/>
        </w:rPr>
        <w:t>river reaches and wetlands in Victoria are maintained or improved every year</w:t>
      </w:r>
      <w:r w:rsidR="006F3995" w:rsidRPr="00A134A7">
        <w:rPr>
          <w:rFonts w:cs="Arial"/>
          <w:lang w:val="en-AU"/>
        </w:rPr>
        <w:t>, with over</w:t>
      </w:r>
      <w:r w:rsidR="00E864CB" w:rsidRPr="00A134A7">
        <w:rPr>
          <w:rFonts w:cs="Arial"/>
          <w:lang w:val="en-AU"/>
        </w:rPr>
        <w:t xml:space="preserve"> 366 ha of waterway vegetation improvement works across priority sites</w:t>
      </w:r>
      <w:r w:rsidRPr="00A134A7">
        <w:rPr>
          <w:rFonts w:cs="Arial"/>
          <w:lang w:val="en-AU"/>
        </w:rPr>
        <w:t xml:space="preserve">. The Flagship Waterway projects also continued and expanded during EC5. </w:t>
      </w:r>
      <w:r w:rsidR="00740C28" w:rsidRPr="00A134A7">
        <w:rPr>
          <w:rFonts w:cs="Arial"/>
          <w:lang w:val="en-AU"/>
        </w:rPr>
        <w:t xml:space="preserve">Several activities </w:t>
      </w:r>
      <w:r w:rsidR="00AC2F27" w:rsidRPr="00A134A7">
        <w:rPr>
          <w:rFonts w:cs="Arial"/>
          <w:lang w:val="en-AU"/>
        </w:rPr>
        <w:t xml:space="preserve">were completed </w:t>
      </w:r>
      <w:r w:rsidR="00740C28" w:rsidRPr="00A134A7">
        <w:rPr>
          <w:rFonts w:cs="Arial"/>
          <w:lang w:val="en-AU"/>
        </w:rPr>
        <w:t xml:space="preserve">related to </w:t>
      </w:r>
      <w:r w:rsidR="00390285" w:rsidRPr="00A134A7">
        <w:rPr>
          <w:rFonts w:cs="Arial"/>
          <w:lang w:val="en-AU"/>
        </w:rPr>
        <w:t>improving state policy and regional planning for wetland</w:t>
      </w:r>
      <w:r w:rsidR="00AC2F27" w:rsidRPr="00A134A7">
        <w:rPr>
          <w:rFonts w:cs="Arial"/>
          <w:lang w:val="en-AU"/>
        </w:rPr>
        <w:t xml:space="preserve"> and catchment health improvements, including </w:t>
      </w:r>
      <w:r w:rsidR="00C43EAE" w:rsidRPr="00A134A7">
        <w:rPr>
          <w:rFonts w:cs="Arial"/>
          <w:lang w:val="en-AU"/>
        </w:rPr>
        <w:t xml:space="preserve">characterising wetland hydrologic stress across Victoria, </w:t>
      </w:r>
      <w:r w:rsidR="005C1EA5" w:rsidRPr="00A134A7">
        <w:rPr>
          <w:rFonts w:cs="Arial"/>
          <w:lang w:val="en-AU"/>
        </w:rPr>
        <w:t>develop</w:t>
      </w:r>
      <w:r w:rsidR="00FB2DAE" w:rsidRPr="00A134A7">
        <w:rPr>
          <w:rFonts w:cs="Arial"/>
          <w:lang w:val="en-AU"/>
        </w:rPr>
        <w:t>ing</w:t>
      </w:r>
      <w:r w:rsidR="005C1EA5" w:rsidRPr="00A134A7">
        <w:rPr>
          <w:rFonts w:cs="Arial"/>
          <w:lang w:val="en-AU"/>
        </w:rPr>
        <w:t xml:space="preserve"> habitat distribution models for wetland-dependent species and </w:t>
      </w:r>
      <w:r w:rsidR="00FB2DAE" w:rsidRPr="00A134A7">
        <w:rPr>
          <w:rFonts w:cs="Arial"/>
          <w:lang w:val="en-AU"/>
        </w:rPr>
        <w:t xml:space="preserve">undertaking </w:t>
      </w:r>
      <w:r w:rsidR="00F927DE" w:rsidRPr="00A134A7">
        <w:rPr>
          <w:rFonts w:cs="Arial"/>
          <w:lang w:val="en-AU"/>
        </w:rPr>
        <w:t xml:space="preserve">analysis to understand </w:t>
      </w:r>
      <w:r w:rsidR="00444DE7" w:rsidRPr="00A134A7">
        <w:rPr>
          <w:rFonts w:cs="Arial"/>
          <w:lang w:val="en-AU"/>
        </w:rPr>
        <w:t>current and likely flow alteration under a range of climate change scenarios for unregulated rivers.</w:t>
      </w:r>
    </w:p>
    <w:p w14:paraId="7C3D754D" w14:textId="7404A7F6" w:rsidR="00E66758" w:rsidRPr="00A134A7" w:rsidRDefault="00E66758" w:rsidP="00FC4E10">
      <w:pPr>
        <w:pStyle w:val="BulletLevel1"/>
        <w:rPr>
          <w:rFonts w:cs="Arial"/>
          <w:lang w:val="en-AU"/>
        </w:rPr>
      </w:pPr>
      <w:r w:rsidRPr="00A134A7">
        <w:rPr>
          <w:rFonts w:cs="Arial"/>
          <w:lang w:val="en-AU"/>
        </w:rPr>
        <w:t xml:space="preserve">Environmental Water: Delivery of environmental water to </w:t>
      </w:r>
      <w:r w:rsidR="002E065D" w:rsidRPr="00A134A7">
        <w:rPr>
          <w:rFonts w:cs="Arial"/>
          <w:lang w:val="en-AU"/>
        </w:rPr>
        <w:t xml:space="preserve">161 </w:t>
      </w:r>
      <w:r w:rsidRPr="00A134A7">
        <w:rPr>
          <w:rFonts w:cs="Arial"/>
          <w:lang w:val="en-AU"/>
        </w:rPr>
        <w:t xml:space="preserve">rivers and wetlands sites throughout the state in </w:t>
      </w:r>
      <w:r w:rsidR="002E065D" w:rsidRPr="00A134A7">
        <w:rPr>
          <w:rFonts w:cs="Arial"/>
          <w:lang w:val="en-AU"/>
        </w:rPr>
        <w:t>2023</w:t>
      </w:r>
      <w:r w:rsidR="0022409A" w:rsidRPr="00A134A7">
        <w:rPr>
          <w:rFonts w:cs="Arial"/>
          <w:lang w:val="en-AU"/>
        </w:rPr>
        <w:t>-</w:t>
      </w:r>
      <w:r w:rsidR="002E065D" w:rsidRPr="00A134A7">
        <w:rPr>
          <w:rFonts w:cs="Arial"/>
          <w:lang w:val="en-AU"/>
        </w:rPr>
        <w:t>24, 154 sites in</w:t>
      </w:r>
      <w:r w:rsidR="00CD2ED4" w:rsidRPr="00A134A7">
        <w:rPr>
          <w:rFonts w:cs="Arial"/>
          <w:lang w:val="en-AU"/>
        </w:rPr>
        <w:t xml:space="preserve"> </w:t>
      </w:r>
      <w:r w:rsidRPr="00A134A7">
        <w:rPr>
          <w:rFonts w:cs="Arial"/>
          <w:lang w:val="en-AU"/>
        </w:rPr>
        <w:t>2022</w:t>
      </w:r>
      <w:r w:rsidR="0022409A" w:rsidRPr="00A134A7">
        <w:rPr>
          <w:rFonts w:cs="Arial"/>
          <w:lang w:val="en-AU"/>
        </w:rPr>
        <w:t>-</w:t>
      </w:r>
      <w:r w:rsidRPr="00A134A7">
        <w:rPr>
          <w:rFonts w:cs="Arial"/>
          <w:lang w:val="en-AU"/>
        </w:rPr>
        <w:t>23, 170 sites in 2021</w:t>
      </w:r>
      <w:r w:rsidR="0022409A" w:rsidRPr="00A134A7">
        <w:rPr>
          <w:rFonts w:cs="Arial"/>
          <w:lang w:val="en-AU"/>
        </w:rPr>
        <w:t>-</w:t>
      </w:r>
      <w:r w:rsidRPr="00A134A7">
        <w:rPr>
          <w:rFonts w:cs="Arial"/>
          <w:lang w:val="en-AU"/>
        </w:rPr>
        <w:t>22, and 225 sites in 2020</w:t>
      </w:r>
      <w:r w:rsidR="0022409A" w:rsidRPr="00A134A7">
        <w:rPr>
          <w:rFonts w:cs="Arial"/>
          <w:lang w:val="en-AU"/>
        </w:rPr>
        <w:t>-</w:t>
      </w:r>
      <w:r w:rsidRPr="00A134A7">
        <w:rPr>
          <w:rFonts w:cs="Arial"/>
          <w:lang w:val="en-AU"/>
        </w:rPr>
        <w:t xml:space="preserve">21, fully or partially achieving a total of </w:t>
      </w:r>
      <w:r w:rsidR="002E065D" w:rsidRPr="00A134A7">
        <w:rPr>
          <w:rFonts w:cs="Arial"/>
          <w:lang w:val="en-AU"/>
        </w:rPr>
        <w:t xml:space="preserve">934 </w:t>
      </w:r>
      <w:r w:rsidRPr="00A134A7">
        <w:rPr>
          <w:rFonts w:cs="Arial"/>
          <w:lang w:val="en-AU"/>
        </w:rPr>
        <w:t xml:space="preserve">watering actions. Water delivery equated to over </w:t>
      </w:r>
      <w:r w:rsidR="002E065D" w:rsidRPr="00A134A7">
        <w:rPr>
          <w:rFonts w:cs="Arial"/>
          <w:lang w:val="en-AU"/>
        </w:rPr>
        <w:t>3,212</w:t>
      </w:r>
      <w:r w:rsidRPr="00A134A7">
        <w:rPr>
          <w:rFonts w:cs="Arial"/>
          <w:lang w:val="en-AU"/>
        </w:rPr>
        <w:t xml:space="preserve"> GL of water for the environment to rivers and wetlands.</w:t>
      </w:r>
    </w:p>
    <w:p w14:paraId="5CC9FB97" w14:textId="71AC70F7" w:rsidR="00E66758" w:rsidRPr="00A134A7" w:rsidRDefault="00E66758" w:rsidP="00FC4E10">
      <w:pPr>
        <w:pStyle w:val="BulletLevel1"/>
        <w:keepNext/>
        <w:keepLines/>
        <w:ind w:left="360" w:hanging="360"/>
        <w:rPr>
          <w:rFonts w:cs="Arial"/>
          <w:lang w:val="en-AU"/>
        </w:rPr>
      </w:pPr>
      <w:r w:rsidRPr="00A134A7">
        <w:rPr>
          <w:rFonts w:cs="Arial"/>
          <w:lang w:val="en-AU"/>
        </w:rPr>
        <w:lastRenderedPageBreak/>
        <w:t xml:space="preserve">CGRSWS </w:t>
      </w:r>
      <w:r w:rsidR="000276D3" w:rsidRPr="00A134A7">
        <w:rPr>
          <w:rFonts w:cs="Arial"/>
          <w:lang w:val="en-AU"/>
        </w:rPr>
        <w:t>Funding Stream 2 Diversify Water Sources and Increase Water Efficiency</w:t>
      </w:r>
      <w:r w:rsidRPr="00A134A7">
        <w:rPr>
          <w:rFonts w:cs="Arial"/>
          <w:lang w:val="en-AU"/>
        </w:rPr>
        <w:t>: The Jan Juc daylighting project</w:t>
      </w:r>
      <w:r w:rsidR="00662555" w:rsidRPr="00A134A7">
        <w:rPr>
          <w:rFonts w:cs="Arial"/>
          <w:lang w:val="en-AU"/>
        </w:rPr>
        <w:t xml:space="preserve">, which is </w:t>
      </w:r>
      <w:r w:rsidR="00617A86" w:rsidRPr="00A134A7">
        <w:rPr>
          <w:rFonts w:cs="Arial"/>
          <w:lang w:val="en-AU"/>
        </w:rPr>
        <w:t>returning the highly disturbed urban waterway to a more natural state through recreating habitat, biodiversity and amenity values as well as delivering significant stormwater quality objectives.</w:t>
      </w:r>
    </w:p>
    <w:p w14:paraId="4BC5A9FE" w14:textId="7F76A372" w:rsidR="00E66758" w:rsidRPr="00A134A7" w:rsidRDefault="00E66758" w:rsidP="00FC4E10">
      <w:pPr>
        <w:pStyle w:val="BulletLevel1"/>
        <w:keepNext/>
        <w:keepLines/>
        <w:ind w:left="360" w:hanging="360"/>
        <w:rPr>
          <w:rFonts w:cs="Arial"/>
          <w:lang w:val="en-AU"/>
        </w:rPr>
      </w:pPr>
      <w:r w:rsidRPr="00A134A7">
        <w:rPr>
          <w:rFonts w:cs="Arial"/>
          <w:lang w:val="en-AU"/>
        </w:rPr>
        <w:t xml:space="preserve">CGRSWS </w:t>
      </w:r>
      <w:r w:rsidR="005707E5" w:rsidRPr="00A134A7">
        <w:rPr>
          <w:rFonts w:cs="Arial"/>
          <w:lang w:val="en-AU"/>
        </w:rPr>
        <w:t>Funding Stream 3 Waterway Health Complementary Measures and Catchment Management Improvement</w:t>
      </w:r>
      <w:r w:rsidRPr="00A134A7">
        <w:rPr>
          <w:rFonts w:cs="Arial"/>
          <w:lang w:val="en-AU"/>
        </w:rPr>
        <w:t>: Design works for Lower Latrobe Wetlands, Maffra Weir Fishway, Moorabool channel lining and Werribee diversion weir activities</w:t>
      </w:r>
    </w:p>
    <w:p w14:paraId="791762D1" w14:textId="0F36380C" w:rsidR="00E66758" w:rsidRPr="00A134A7" w:rsidRDefault="00E66758" w:rsidP="00FC4E10">
      <w:pPr>
        <w:pStyle w:val="BulletLevel1"/>
        <w:rPr>
          <w:rFonts w:cs="Arial"/>
          <w:lang w:val="en-AU"/>
        </w:rPr>
      </w:pPr>
      <w:r w:rsidRPr="00A134A7">
        <w:rPr>
          <w:rFonts w:cs="Arial"/>
          <w:lang w:val="en-AU"/>
        </w:rPr>
        <w:t>Progressing 88 projects from the YSP, focused on protecting and enhancing the river and its</w:t>
      </w:r>
      <w:r w:rsidR="00FC4E10" w:rsidRPr="00A134A7">
        <w:rPr>
          <w:rFonts w:cs="Arial"/>
          <w:lang w:val="en-AU"/>
        </w:rPr>
        <w:t> </w:t>
      </w:r>
      <w:r w:rsidRPr="00A134A7">
        <w:rPr>
          <w:rFonts w:cs="Arial"/>
          <w:lang w:val="en-AU"/>
        </w:rPr>
        <w:t>parklands.</w:t>
      </w:r>
    </w:p>
    <w:p w14:paraId="2EDACCD9" w14:textId="05694607" w:rsidR="00736CC3" w:rsidRPr="00A134A7" w:rsidRDefault="001678C0" w:rsidP="00FC4E10">
      <w:pPr>
        <w:pStyle w:val="BulletLevel1"/>
        <w:rPr>
          <w:rFonts w:cs="Arial"/>
          <w:lang w:val="en-AU"/>
        </w:rPr>
      </w:pPr>
      <w:r w:rsidRPr="00A134A7">
        <w:rPr>
          <w:rFonts w:cs="Arial"/>
          <w:b/>
          <w:lang w:val="en-AU"/>
        </w:rPr>
        <w:t xml:space="preserve">Our Catchments Our Communities: </w:t>
      </w:r>
      <w:r w:rsidRPr="00A134A7">
        <w:rPr>
          <w:rFonts w:cs="Arial"/>
          <w:lang w:val="en-AU"/>
        </w:rPr>
        <w:t>CMAs delivered 46,764 ha of land under active catchment stewardship</w:t>
      </w:r>
      <w:r w:rsidR="0051379D" w:rsidRPr="00A134A7">
        <w:rPr>
          <w:rFonts w:cs="Arial"/>
          <w:lang w:val="en-AU"/>
        </w:rPr>
        <w:t>,</w:t>
      </w:r>
      <w:r w:rsidRPr="00A134A7">
        <w:rPr>
          <w:rFonts w:cs="Arial"/>
          <w:lang w:val="en-AU"/>
        </w:rPr>
        <w:t xml:space="preserve"> including environment works, management services, management agreements, assessments and plans.</w:t>
      </w:r>
    </w:p>
    <w:p w14:paraId="359F2374" w14:textId="1D1A96EA" w:rsidR="00E66758" w:rsidRPr="00A134A7" w:rsidRDefault="00E66758" w:rsidP="00E66758">
      <w:pPr>
        <w:pStyle w:val="Heading3"/>
        <w:rPr>
          <w:rFonts w:ascii="Arial" w:hAnsi="Arial" w:cs="Arial"/>
        </w:rPr>
      </w:pPr>
      <w:r w:rsidRPr="00A134A7">
        <w:rPr>
          <w:rFonts w:ascii="Arial" w:hAnsi="Arial" w:cs="Arial"/>
        </w:rPr>
        <w:t>Increased evidence based on effectiveness of waterway management</w:t>
      </w:r>
    </w:p>
    <w:p w14:paraId="7C27869A" w14:textId="4898B57C" w:rsidR="00A50E7D" w:rsidRPr="00A134A7" w:rsidRDefault="00165DF1" w:rsidP="00FC4E10">
      <w:pPr>
        <w:pStyle w:val="BulletLevel1"/>
        <w:rPr>
          <w:rFonts w:cs="Arial"/>
          <w:lang w:val="en-AU"/>
        </w:rPr>
      </w:pPr>
      <w:r w:rsidRPr="00A134A7">
        <w:rPr>
          <w:rFonts w:cs="Arial"/>
          <w:lang w:val="en-AU"/>
        </w:rPr>
        <w:t xml:space="preserve">Waterway Health: </w:t>
      </w:r>
      <w:r w:rsidR="00390426" w:rsidRPr="00A134A7">
        <w:rPr>
          <w:rFonts w:cs="Arial"/>
          <w:lang w:val="en-AU"/>
        </w:rPr>
        <w:t>T</w:t>
      </w:r>
      <w:r w:rsidRPr="00A134A7">
        <w:rPr>
          <w:rFonts w:cs="Arial"/>
          <w:lang w:val="en-AU"/>
        </w:rPr>
        <w:t xml:space="preserve">he evidence base </w:t>
      </w:r>
      <w:r w:rsidR="00390426" w:rsidRPr="00A134A7">
        <w:rPr>
          <w:rFonts w:cs="Arial"/>
          <w:lang w:val="en-AU"/>
        </w:rPr>
        <w:t xml:space="preserve">was increased </w:t>
      </w:r>
      <w:r w:rsidRPr="00A134A7">
        <w:rPr>
          <w:rFonts w:cs="Arial"/>
          <w:lang w:val="en-AU"/>
        </w:rPr>
        <w:t xml:space="preserve">through the Stream Change assessment: Riparian Woody Vegetation, </w:t>
      </w:r>
      <w:hyperlink r:id="rId69" w:history="1">
        <w:r w:rsidRPr="00A134A7">
          <w:rPr>
            <w:rFonts w:cs="Arial"/>
            <w:lang w:val="en-AU"/>
          </w:rPr>
          <w:t>2021 Great Australian Platypus Search</w:t>
        </w:r>
      </w:hyperlink>
      <w:r w:rsidRPr="00A134A7">
        <w:rPr>
          <w:rFonts w:cs="Arial"/>
          <w:lang w:val="en-AU"/>
        </w:rPr>
        <w:t xml:space="preserve"> using eDNA, VEFMAP</w:t>
      </w:r>
      <w:r w:rsidRPr="00A134A7">
        <w:rPr>
          <w:rFonts w:cs="Arial"/>
          <w:vertAlign w:val="superscript"/>
          <w:lang w:val="en-AU"/>
        </w:rPr>
        <w:footnoteReference w:id="4"/>
      </w:r>
      <w:r w:rsidRPr="00A134A7">
        <w:rPr>
          <w:rFonts w:cs="Arial"/>
          <w:lang w:val="en-AU"/>
        </w:rPr>
        <w:t xml:space="preserve"> and WetMAP</w:t>
      </w:r>
      <w:r w:rsidRPr="00A134A7">
        <w:rPr>
          <w:rFonts w:cs="Arial"/>
          <w:vertAlign w:val="superscript"/>
          <w:lang w:val="en-AU"/>
        </w:rPr>
        <w:footnoteReference w:id="5"/>
      </w:r>
      <w:r w:rsidRPr="00A134A7">
        <w:rPr>
          <w:rFonts w:cs="Arial"/>
          <w:vertAlign w:val="superscript"/>
          <w:lang w:val="en-AU"/>
        </w:rPr>
        <w:t xml:space="preserve"> </w:t>
      </w:r>
      <w:r w:rsidRPr="00A134A7">
        <w:rPr>
          <w:rFonts w:cs="Arial"/>
          <w:lang w:val="en-AU"/>
        </w:rPr>
        <w:t xml:space="preserve">to evaluate ecological responses to environmental water management, Riparian Intervention Monitoring Program, and Victoria’s first </w:t>
      </w:r>
      <w:r w:rsidR="00584EDC" w:rsidRPr="00A134A7">
        <w:rPr>
          <w:rFonts w:cs="Arial"/>
          <w:lang w:val="en-AU"/>
        </w:rPr>
        <w:t>i</w:t>
      </w:r>
      <w:r w:rsidRPr="00A134A7">
        <w:rPr>
          <w:rFonts w:cs="Arial"/>
          <w:lang w:val="en-AU"/>
        </w:rPr>
        <w:t xml:space="preserve">ndex of </w:t>
      </w:r>
      <w:r w:rsidR="00584EDC" w:rsidRPr="00A134A7">
        <w:rPr>
          <w:rFonts w:cs="Arial"/>
          <w:lang w:val="en-AU"/>
        </w:rPr>
        <w:t>e</w:t>
      </w:r>
      <w:r w:rsidRPr="00A134A7">
        <w:rPr>
          <w:rFonts w:cs="Arial"/>
          <w:lang w:val="en-AU"/>
        </w:rPr>
        <w:t xml:space="preserve">stuary </w:t>
      </w:r>
      <w:r w:rsidR="00584EDC" w:rsidRPr="00A134A7">
        <w:rPr>
          <w:rFonts w:cs="Arial"/>
          <w:lang w:val="en-AU"/>
        </w:rPr>
        <w:t>c</w:t>
      </w:r>
      <w:r w:rsidRPr="00A134A7">
        <w:rPr>
          <w:rFonts w:cs="Arial"/>
          <w:lang w:val="en-AU"/>
        </w:rPr>
        <w:t xml:space="preserve">ondition. Some outcomes of these </w:t>
      </w:r>
      <w:r w:rsidR="00F15048" w:rsidRPr="00A134A7">
        <w:rPr>
          <w:rFonts w:cs="Arial"/>
          <w:lang w:val="en-AU"/>
        </w:rPr>
        <w:t xml:space="preserve">activities </w:t>
      </w:r>
      <w:r w:rsidRPr="00A134A7">
        <w:rPr>
          <w:rFonts w:cs="Arial"/>
          <w:lang w:val="en-AU"/>
        </w:rPr>
        <w:t>include:</w:t>
      </w:r>
    </w:p>
    <w:p w14:paraId="52B86AA9" w14:textId="77777777" w:rsidR="00A50E7D" w:rsidRPr="00A134A7" w:rsidRDefault="00165DF1" w:rsidP="00FC4E10">
      <w:pPr>
        <w:pStyle w:val="BulletLevel2"/>
        <w:rPr>
          <w:rFonts w:cs="Arial"/>
          <w:szCs w:val="22"/>
        </w:rPr>
      </w:pPr>
      <w:r w:rsidRPr="00422D3B">
        <w:rPr>
          <w:rFonts w:cs="Arial"/>
          <w:szCs w:val="22"/>
        </w:rPr>
        <w:t>The Stream Change Assessment Project compared the condition of woody riparian vegetation in 3,400</w:t>
      </w:r>
      <w:r w:rsidR="003D1DDB" w:rsidRPr="00A134A7">
        <w:rPr>
          <w:rFonts w:cs="Arial"/>
          <w:szCs w:val="22"/>
        </w:rPr>
        <w:t xml:space="preserve"> </w:t>
      </w:r>
      <w:r w:rsidRPr="00A134A7">
        <w:rPr>
          <w:rFonts w:cs="Arial"/>
          <w:szCs w:val="22"/>
        </w:rPr>
        <w:t>km of stream length between 2018-2020 and 2010. It found that statewide changes were small, however largest changes occurred where substantial or sustained riparian management had been undertaken.</w:t>
      </w:r>
    </w:p>
    <w:p w14:paraId="34480727" w14:textId="22AFF0DF" w:rsidR="00165DF1" w:rsidRPr="00A134A7" w:rsidRDefault="008C1D42" w:rsidP="00FC4E10">
      <w:pPr>
        <w:pStyle w:val="BulletLevel2"/>
        <w:rPr>
          <w:rFonts w:cs="Arial"/>
          <w:szCs w:val="22"/>
        </w:rPr>
      </w:pPr>
      <w:r w:rsidRPr="00422D3B">
        <w:rPr>
          <w:rFonts w:cs="Arial"/>
          <w:szCs w:val="22"/>
        </w:rPr>
        <w:t xml:space="preserve">The VEFMAP fish theme completed the most comprehensive assessment to date of long-term trends in Victorian native fish populations, which showed that most examined species declined during the Millenium Drought (2000-2010), </w:t>
      </w:r>
      <w:r w:rsidR="005D0936" w:rsidRPr="00422D3B">
        <w:rPr>
          <w:rFonts w:cs="Arial"/>
          <w:szCs w:val="22"/>
        </w:rPr>
        <w:t>but</w:t>
      </w:r>
      <w:r w:rsidRPr="00422D3B">
        <w:rPr>
          <w:rFonts w:cs="Arial"/>
          <w:szCs w:val="22"/>
        </w:rPr>
        <w:t xml:space="preserve"> population trends have increased subsequently. VEFMAP fish monitoring also demonstrated strong influences of hydrology (including environmental water), on key processes such as movement, dispersal and</w:t>
      </w:r>
      <w:r w:rsidR="00FC4E10" w:rsidRPr="00422D3B">
        <w:rPr>
          <w:rFonts w:cs="Arial"/>
          <w:szCs w:val="22"/>
        </w:rPr>
        <w:t> </w:t>
      </w:r>
      <w:r w:rsidRPr="00422D3B">
        <w:rPr>
          <w:rFonts w:cs="Arial"/>
          <w:szCs w:val="22"/>
        </w:rPr>
        <w:t>recruitment.</w:t>
      </w:r>
    </w:p>
    <w:p w14:paraId="4A47245B" w14:textId="60CD3A56" w:rsidR="00165DF1" w:rsidRPr="00A134A7" w:rsidRDefault="00165DF1" w:rsidP="00FC4E10">
      <w:pPr>
        <w:pStyle w:val="BulletLevel2"/>
        <w:rPr>
          <w:rFonts w:cs="Arial"/>
          <w:szCs w:val="22"/>
        </w:rPr>
      </w:pPr>
      <w:r w:rsidRPr="00422D3B">
        <w:rPr>
          <w:rFonts w:cs="Arial"/>
          <w:szCs w:val="22"/>
        </w:rPr>
        <w:t xml:space="preserve">Riparian Intervention Monitoring Program: found that after </w:t>
      </w:r>
      <w:r w:rsidR="00511CDA" w:rsidRPr="00A134A7">
        <w:rPr>
          <w:rFonts w:cs="Arial"/>
          <w:szCs w:val="22"/>
        </w:rPr>
        <w:t>three</w:t>
      </w:r>
      <w:r w:rsidRPr="00A134A7">
        <w:rPr>
          <w:rFonts w:cs="Arial"/>
          <w:szCs w:val="22"/>
        </w:rPr>
        <w:t xml:space="preserve"> years of interventions such as weed control, revegetation and livestock exclusion, there is positive changes such as increased density of native woody recruits and native taxa. </w:t>
      </w:r>
      <w:r w:rsidR="006C20F4" w:rsidRPr="00A134A7">
        <w:rPr>
          <w:rFonts w:cs="Arial"/>
          <w:szCs w:val="22"/>
        </w:rPr>
        <w:t xml:space="preserve">Monitoring of </w:t>
      </w:r>
      <w:r w:rsidR="00BB6509" w:rsidRPr="00A134A7">
        <w:rPr>
          <w:rFonts w:cs="Arial"/>
          <w:szCs w:val="22"/>
        </w:rPr>
        <w:t>Riparian Intervention Monitoring Program</w:t>
      </w:r>
      <w:r w:rsidR="006C20F4" w:rsidRPr="00A134A7">
        <w:rPr>
          <w:rFonts w:cs="Arial"/>
          <w:szCs w:val="22"/>
        </w:rPr>
        <w:t xml:space="preserve"> sites for responses to widespread and significant flooding in late 2022 showed that most sites</w:t>
      </w:r>
      <w:r w:rsidR="006C20F4" w:rsidRPr="00422D3B">
        <w:rPr>
          <w:rFonts w:cs="Arial"/>
          <w:szCs w:val="22"/>
        </w:rPr>
        <w:t xml:space="preserve"> </w:t>
      </w:r>
      <w:r w:rsidR="006C20F4" w:rsidRPr="00A134A7">
        <w:rPr>
          <w:rFonts w:cs="Arial"/>
          <w:szCs w:val="22"/>
        </w:rPr>
        <w:t xml:space="preserve">(both </w:t>
      </w:r>
      <w:r w:rsidR="0017486D" w:rsidRPr="00A134A7">
        <w:rPr>
          <w:rFonts w:cs="Arial"/>
          <w:szCs w:val="22"/>
        </w:rPr>
        <w:t>i</w:t>
      </w:r>
      <w:r w:rsidR="006C20F4" w:rsidRPr="00A134A7">
        <w:rPr>
          <w:rFonts w:cs="Arial"/>
          <w:szCs w:val="22"/>
        </w:rPr>
        <w:t xml:space="preserve">ntervention and </w:t>
      </w:r>
      <w:r w:rsidR="00C74814" w:rsidRPr="00A134A7">
        <w:rPr>
          <w:rFonts w:cs="Arial"/>
          <w:szCs w:val="22"/>
        </w:rPr>
        <w:t>c</w:t>
      </w:r>
      <w:r w:rsidR="006C20F4" w:rsidRPr="00A134A7">
        <w:rPr>
          <w:rFonts w:cs="Arial"/>
          <w:szCs w:val="22"/>
        </w:rPr>
        <w:t>ontrol</w:t>
      </w:r>
      <w:r w:rsidR="00C74814" w:rsidRPr="00A134A7">
        <w:rPr>
          <w:rFonts w:cs="Arial"/>
          <w:szCs w:val="22"/>
        </w:rPr>
        <w:t xml:space="preserve"> sites</w:t>
      </w:r>
      <w:r w:rsidR="006C20F4" w:rsidRPr="00A134A7">
        <w:rPr>
          <w:rFonts w:cs="Arial"/>
          <w:szCs w:val="22"/>
        </w:rPr>
        <w:t>) had some degree of scour and/or mass failure in response to flooding. However, results indicated that the severity and/or frequency of scour and mass failure was less at intervention sites than control sites.</w:t>
      </w:r>
    </w:p>
    <w:p w14:paraId="76F517E8" w14:textId="49DFCBF2" w:rsidR="00983814" w:rsidRPr="00A134A7" w:rsidRDefault="00983814" w:rsidP="00FC4E10">
      <w:pPr>
        <w:pStyle w:val="BulletLevel2"/>
        <w:rPr>
          <w:rFonts w:cs="Arial"/>
          <w:szCs w:val="22"/>
        </w:rPr>
      </w:pPr>
      <w:r w:rsidRPr="00422D3B">
        <w:rPr>
          <w:rFonts w:cs="Arial"/>
          <w:szCs w:val="22"/>
        </w:rPr>
        <w:t>DEECA and other organisations partnered with the Odonata Foundation to undertake a state-wide investigation into platypus populations using environmental DNA as part of the Great Australian Platypus Search. Samples were collected from close to 2,000 sites across Victoria with the data improving our understanding of platypus populations across the state.</w:t>
      </w:r>
    </w:p>
    <w:p w14:paraId="52BD007D" w14:textId="77777777" w:rsidR="00A50E7D" w:rsidRPr="00A134A7" w:rsidRDefault="00165DF1" w:rsidP="00FC4E10">
      <w:pPr>
        <w:pStyle w:val="BulletLevel1"/>
        <w:rPr>
          <w:rFonts w:cs="Arial"/>
          <w:lang w:val="en-AU"/>
        </w:rPr>
      </w:pPr>
      <w:r w:rsidRPr="00A134A7">
        <w:rPr>
          <w:rFonts w:cs="Arial"/>
          <w:lang w:val="en-AU"/>
        </w:rPr>
        <w:t>Environmental Water: In 2022-23, significant colonial waterbird breeding was recorded at sites that received water for the environment, including:</w:t>
      </w:r>
    </w:p>
    <w:p w14:paraId="15CDD76B" w14:textId="56353848" w:rsidR="00165DF1" w:rsidRPr="005D74D1" w:rsidRDefault="00165DF1" w:rsidP="002D1E41">
      <w:pPr>
        <w:pStyle w:val="BulletLevel2"/>
        <w:rPr>
          <w:rFonts w:cs="Arial"/>
        </w:rPr>
      </w:pPr>
      <w:r w:rsidRPr="005D74D1">
        <w:rPr>
          <w:rFonts w:cs="Arial"/>
        </w:rPr>
        <w:lastRenderedPageBreak/>
        <w:t>2,000 nests of Australian White Ibis and Straw-necked Ibis in Barmah Forest</w:t>
      </w:r>
    </w:p>
    <w:p w14:paraId="6023865B" w14:textId="3C43EBDB" w:rsidR="00165DF1" w:rsidRPr="005D74D1" w:rsidRDefault="00E33139" w:rsidP="002D1E41">
      <w:pPr>
        <w:pStyle w:val="BulletLevel2"/>
        <w:rPr>
          <w:rFonts w:cs="Arial"/>
        </w:rPr>
      </w:pPr>
      <w:r w:rsidRPr="005D74D1">
        <w:rPr>
          <w:rFonts w:cs="Arial"/>
        </w:rPr>
        <w:t>10</w:t>
      </w:r>
      <w:r w:rsidR="00165DF1" w:rsidRPr="005D74D1">
        <w:rPr>
          <w:rFonts w:cs="Arial"/>
        </w:rPr>
        <w:t xml:space="preserve"> species of colonial nesting waterbirds across the Hattah Lakes using 7,000 nests for over 25,500 chicks, with a further 18 waterbird species detected breeding with an additional 1,700 chicks recorded</w:t>
      </w:r>
    </w:p>
    <w:p w14:paraId="08F7702B" w14:textId="77777777" w:rsidR="0058425F" w:rsidRPr="005D74D1" w:rsidRDefault="00165DF1" w:rsidP="002D1E41">
      <w:pPr>
        <w:pStyle w:val="BulletLevel2"/>
        <w:rPr>
          <w:rFonts w:cs="Arial"/>
        </w:rPr>
      </w:pPr>
      <w:r w:rsidRPr="005D74D1">
        <w:rPr>
          <w:rFonts w:cs="Arial"/>
        </w:rPr>
        <w:t>over 15,000 birds from 21 species recorded at Gunbower Forest and the Kerang Ramsar wetlands during 69 surveys over spring 2022 and autumn 2023.</w:t>
      </w:r>
    </w:p>
    <w:p w14:paraId="7B7A57FE" w14:textId="6115EE00" w:rsidR="0058425F" w:rsidRPr="00A134A7" w:rsidRDefault="0058425F" w:rsidP="00FC4E10">
      <w:pPr>
        <w:pStyle w:val="BulletLevel1"/>
        <w:rPr>
          <w:rFonts w:cs="Arial"/>
          <w:lang w:val="en-AU"/>
        </w:rPr>
      </w:pPr>
      <w:r w:rsidRPr="00A134A7">
        <w:rPr>
          <w:rFonts w:cs="Arial"/>
          <w:lang w:val="en-AU"/>
        </w:rPr>
        <w:t xml:space="preserve">Environmental Water: Increases in waterbird numbers, including several threatened species, were evident in a field survey at Moodie Swamp after environmental watering. Due to the significant number of threatened waterbirds recorded at the wetland Goulburn Broken </w:t>
      </w:r>
      <w:r w:rsidR="009D64E7" w:rsidRPr="00A134A7">
        <w:rPr>
          <w:rFonts w:cs="Arial"/>
          <w:lang w:val="en-AU"/>
        </w:rPr>
        <w:t>CMA</w:t>
      </w:r>
      <w:r w:rsidRPr="00A134A7">
        <w:rPr>
          <w:rFonts w:cs="Arial"/>
          <w:lang w:val="en-AU"/>
        </w:rPr>
        <w:t xml:space="preserve"> successfully advocated for the wetland’s closure to duck hunting in 2024. </w:t>
      </w:r>
      <w:r w:rsidR="00FC4E10" w:rsidRPr="00A134A7">
        <w:rPr>
          <w:rFonts w:cs="Arial"/>
          <w:lang w:val="en-AU"/>
        </w:rPr>
        <w:br/>
      </w:r>
      <w:r w:rsidRPr="00A134A7">
        <w:rPr>
          <w:rFonts w:cs="Arial"/>
          <w:lang w:val="en-AU"/>
        </w:rPr>
        <w:t>The field survey found:</w:t>
      </w:r>
    </w:p>
    <w:p w14:paraId="2B141D06" w14:textId="77777777" w:rsidR="00A50E7D" w:rsidRPr="005D74D1" w:rsidRDefault="0058425F" w:rsidP="002D1E41">
      <w:pPr>
        <w:pStyle w:val="BulletLevel2"/>
        <w:rPr>
          <w:rFonts w:cs="Arial"/>
        </w:rPr>
      </w:pPr>
      <w:r w:rsidRPr="005D74D1">
        <w:rPr>
          <w:rFonts w:cs="Arial"/>
        </w:rPr>
        <w:t xml:space="preserve">over 130 Eastern Great Egret (vulnerable per the Victorian </w:t>
      </w:r>
      <w:r w:rsidR="009D64E7" w:rsidRPr="005D74D1">
        <w:rPr>
          <w:rFonts w:cs="Arial"/>
        </w:rPr>
        <w:t>Flora and Fauna Guarantee</w:t>
      </w:r>
      <w:r w:rsidRPr="005D74D1">
        <w:rPr>
          <w:rFonts w:cs="Arial"/>
        </w:rPr>
        <w:t xml:space="preserve"> Act 1988) and 100 Plumed Egret (critically endangered per the Victorian </w:t>
      </w:r>
      <w:r w:rsidR="009D64E7" w:rsidRPr="005D74D1">
        <w:rPr>
          <w:rFonts w:cs="Arial"/>
        </w:rPr>
        <w:t>Flora and Fauna Guarantee</w:t>
      </w:r>
      <w:r w:rsidRPr="005D74D1">
        <w:rPr>
          <w:rFonts w:cs="Arial"/>
        </w:rPr>
        <w:t xml:space="preserve"> Act 1988), marking the largest Victorian Plumed Egret count in 23 years</w:t>
      </w:r>
    </w:p>
    <w:p w14:paraId="1DF143AB" w14:textId="77777777" w:rsidR="00A50E7D" w:rsidRPr="005D74D1" w:rsidRDefault="0058425F" w:rsidP="002D1E41">
      <w:pPr>
        <w:pStyle w:val="BulletLevel2"/>
        <w:rPr>
          <w:rFonts w:cs="Arial"/>
        </w:rPr>
      </w:pPr>
      <w:r w:rsidRPr="005D74D1">
        <w:rPr>
          <w:rFonts w:cs="Arial"/>
        </w:rPr>
        <w:t>14 endangered Brolga, the highest number ever recorded at the wetland</w:t>
      </w:r>
      <w:r w:rsidR="000A1427" w:rsidRPr="005D74D1">
        <w:rPr>
          <w:rFonts w:cs="Arial"/>
        </w:rPr>
        <w:t>.</w:t>
      </w:r>
    </w:p>
    <w:bookmarkEnd w:id="385"/>
    <w:p w14:paraId="34B94868" w14:textId="078B2C6D" w:rsidR="00F56943" w:rsidRDefault="004104D3" w:rsidP="005F0CB1">
      <w:pPr>
        <w:pStyle w:val="BodyText"/>
        <w:rPr>
          <w:rFonts w:cs="Arial"/>
        </w:rPr>
      </w:pPr>
      <w:r w:rsidRPr="005D74D1">
        <w:rPr>
          <w:rFonts w:cs="Arial"/>
        </w:rPr>
        <w:t xml:space="preserve">Case </w:t>
      </w:r>
      <w:r w:rsidR="00693C00" w:rsidRPr="005D74D1">
        <w:rPr>
          <w:rFonts w:cs="Arial"/>
        </w:rPr>
        <w:t>S</w:t>
      </w:r>
      <w:r w:rsidRPr="005D74D1">
        <w:rPr>
          <w:rFonts w:cs="Arial"/>
        </w:rPr>
        <w:t xml:space="preserve">tudy 2 provides an example of </w:t>
      </w:r>
      <w:r w:rsidR="00B223AB" w:rsidRPr="005D74D1">
        <w:rPr>
          <w:rFonts w:cs="Arial"/>
        </w:rPr>
        <w:t xml:space="preserve">improved catchment health in irrigation </w:t>
      </w:r>
      <w:r w:rsidR="007965C6" w:rsidRPr="005D74D1">
        <w:rPr>
          <w:rFonts w:cs="Arial"/>
        </w:rPr>
        <w:t>areas of the Goulburn Broken Region</w:t>
      </w:r>
      <w:r w:rsidR="00211692" w:rsidRPr="005D74D1">
        <w:rPr>
          <w:rFonts w:cs="Arial"/>
        </w:rPr>
        <w:t>, delivered throu</w:t>
      </w:r>
      <w:r w:rsidR="00B523A1" w:rsidRPr="005D74D1">
        <w:rPr>
          <w:rFonts w:cs="Arial"/>
        </w:rPr>
        <w:t xml:space="preserve">gh </w:t>
      </w:r>
      <w:r w:rsidR="005F6385" w:rsidRPr="005D74D1">
        <w:rPr>
          <w:rFonts w:cs="Arial"/>
        </w:rPr>
        <w:t>d</w:t>
      </w:r>
      <w:r w:rsidR="00B523A1" w:rsidRPr="005D74D1">
        <w:rPr>
          <w:rFonts w:cs="Arial"/>
        </w:rPr>
        <w:t xml:space="preserve">rainage </w:t>
      </w:r>
      <w:r w:rsidR="005F6385" w:rsidRPr="005D74D1">
        <w:rPr>
          <w:rFonts w:cs="Arial"/>
        </w:rPr>
        <w:t>c</w:t>
      </w:r>
      <w:r w:rsidR="00B523A1" w:rsidRPr="005D74D1">
        <w:rPr>
          <w:rFonts w:cs="Arial"/>
        </w:rPr>
        <w:t xml:space="preserve">ourse </w:t>
      </w:r>
      <w:r w:rsidR="005F6385" w:rsidRPr="005D74D1">
        <w:rPr>
          <w:rFonts w:cs="Arial"/>
        </w:rPr>
        <w:t>d</w:t>
      </w:r>
      <w:r w:rsidR="00B523A1" w:rsidRPr="005D74D1">
        <w:rPr>
          <w:rFonts w:cs="Arial"/>
        </w:rPr>
        <w:t>eclarations</w:t>
      </w:r>
      <w:r w:rsidR="007203F0" w:rsidRPr="005D74D1">
        <w:rPr>
          <w:rFonts w:cs="Arial"/>
        </w:rPr>
        <w:t xml:space="preserve"> which represent a new </w:t>
      </w:r>
      <w:r w:rsidR="00685287" w:rsidRPr="005D74D1">
        <w:rPr>
          <w:rFonts w:cs="Arial"/>
        </w:rPr>
        <w:t xml:space="preserve">approach to drainage management. </w:t>
      </w:r>
      <w:r w:rsidR="00345AA7" w:rsidRPr="005D74D1">
        <w:rPr>
          <w:rFonts w:cs="Arial"/>
        </w:rPr>
        <w:t xml:space="preserve">Case Study 3 provides an </w:t>
      </w:r>
      <w:r w:rsidR="00A96327" w:rsidRPr="005D74D1">
        <w:rPr>
          <w:rFonts w:cs="Arial"/>
        </w:rPr>
        <w:t xml:space="preserve">example of </w:t>
      </w:r>
      <w:r w:rsidR="00580029" w:rsidRPr="005D74D1">
        <w:rPr>
          <w:rFonts w:cs="Arial"/>
        </w:rPr>
        <w:t xml:space="preserve">how citizen science is being used to increase community involvement in waterway health and catchment </w:t>
      </w:r>
      <w:r w:rsidR="00A245BF" w:rsidRPr="005D74D1">
        <w:rPr>
          <w:rFonts w:cs="Arial"/>
        </w:rPr>
        <w:t>stewardship.</w:t>
      </w:r>
    </w:p>
    <w:p w14:paraId="41383828" w14:textId="77777777" w:rsidR="00D23DD6" w:rsidRPr="005D74D1" w:rsidRDefault="00D23DD6" w:rsidP="005F0CB1">
      <w:pPr>
        <w:pStyle w:val="BodyText"/>
        <w:rPr>
          <w:rFonts w:cs="Arial"/>
        </w:rPr>
      </w:pPr>
    </w:p>
    <w:tbl>
      <w:tblPr>
        <w:tblStyle w:val="TableGridLight"/>
        <w:tblW w:w="5000" w:type="pct"/>
        <w:tblBorders>
          <w:top w:val="single" w:sz="4" w:space="0" w:color="231EDC" w:themeColor="accent1"/>
          <w:left w:val="single" w:sz="4" w:space="0" w:color="231EDC" w:themeColor="accent1"/>
          <w:bottom w:val="single" w:sz="4" w:space="0" w:color="231EDC" w:themeColor="accent1"/>
          <w:right w:val="single" w:sz="4" w:space="0" w:color="231EDC" w:themeColor="accent1"/>
          <w:insideH w:val="single" w:sz="4" w:space="0" w:color="E6E6E6" w:themeColor="background2"/>
          <w:insideV w:val="single" w:sz="4" w:space="0" w:color="E6E6E6" w:themeColor="background2"/>
        </w:tblBorders>
        <w:tblLook w:val="04A0" w:firstRow="1" w:lastRow="0" w:firstColumn="1" w:lastColumn="0" w:noHBand="0" w:noVBand="1"/>
      </w:tblPr>
      <w:tblGrid>
        <w:gridCol w:w="4956"/>
        <w:gridCol w:w="4672"/>
      </w:tblGrid>
      <w:tr w:rsidR="007C4BD2" w:rsidRPr="000A1F9F" w14:paraId="1F9FD743" w14:textId="77777777" w:rsidTr="00A01C3A">
        <w:trPr>
          <w:tblHeader/>
        </w:trPr>
        <w:tc>
          <w:tcPr>
            <w:tcW w:w="5000" w:type="pct"/>
            <w:gridSpan w:val="2"/>
            <w:tcBorders>
              <w:bottom w:val="single" w:sz="4" w:space="0" w:color="231EDC" w:themeColor="accent1"/>
            </w:tcBorders>
            <w:shd w:val="clear" w:color="auto" w:fill="231EDC" w:themeFill="accent1"/>
          </w:tcPr>
          <w:p w14:paraId="10AB887D" w14:textId="4BE114BD" w:rsidR="007C4BD2" w:rsidRPr="00A134A7" w:rsidRDefault="007C4BD2" w:rsidP="002D1E41">
            <w:pPr>
              <w:pStyle w:val="TableHeadingWhite"/>
              <w:rPr>
                <w:rFonts w:cs="Arial"/>
                <w:lang w:val="en-AU"/>
              </w:rPr>
            </w:pPr>
            <w:r w:rsidRPr="000A1F9F">
              <w:rPr>
                <w:rFonts w:cs="Arial"/>
              </w:rPr>
              <w:t>Case Study 2: Victorian Irrigation Drainage program- Goulburn Broken Region</w:t>
            </w:r>
          </w:p>
        </w:tc>
      </w:tr>
      <w:tr w:rsidR="007C4BD2" w:rsidRPr="000A1F9F" w14:paraId="784C47DD" w14:textId="77777777" w:rsidTr="00A01C3A">
        <w:tc>
          <w:tcPr>
            <w:tcW w:w="2574" w:type="pct"/>
            <w:tcBorders>
              <w:top w:val="single" w:sz="4" w:space="0" w:color="231EDC" w:themeColor="accent1"/>
              <w:left w:val="single" w:sz="4" w:space="0" w:color="231EDC" w:themeColor="accent1"/>
              <w:bottom w:val="nil"/>
              <w:right w:val="nil"/>
            </w:tcBorders>
          </w:tcPr>
          <w:p w14:paraId="5211F37D" w14:textId="5F5995A1" w:rsidR="007C4BD2" w:rsidRPr="00A134A7" w:rsidRDefault="007C4BD2" w:rsidP="00FC4E10">
            <w:pPr>
              <w:pStyle w:val="TableText"/>
              <w:rPr>
                <w:rFonts w:cs="Arial"/>
                <w:lang w:val="en-AU"/>
              </w:rPr>
            </w:pPr>
            <w:r w:rsidRPr="00A134A7">
              <w:rPr>
                <w:rFonts w:cs="Arial"/>
                <w:noProof/>
              </w:rPr>
              <w:drawing>
                <wp:inline distT="0" distB="0" distL="0" distR="0" wp14:anchorId="0ACE2C90" wp14:editId="0142DFD3">
                  <wp:extent cx="3008630" cy="1974850"/>
                  <wp:effectExtent l="0" t="0" r="127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cstate="print">
                            <a:extLst>
                              <a:ext uri="{28A0092B-C50C-407E-A947-70E740481C1C}">
                                <a14:useLocalDpi xmlns:a14="http://schemas.microsoft.com/office/drawing/2010/main" val="0"/>
                              </a:ext>
                            </a:extLst>
                          </a:blip>
                          <a:stretch>
                            <a:fillRect/>
                          </a:stretch>
                        </pic:blipFill>
                        <pic:spPr>
                          <a:xfrm>
                            <a:off x="0" y="0"/>
                            <a:ext cx="3036379" cy="1992852"/>
                          </a:xfrm>
                          <a:prstGeom prst="rect">
                            <a:avLst/>
                          </a:prstGeom>
                        </pic:spPr>
                      </pic:pic>
                    </a:graphicData>
                  </a:graphic>
                </wp:inline>
              </w:drawing>
            </w:r>
          </w:p>
          <w:p w14:paraId="15B6ED8F" w14:textId="2EDBB7A5" w:rsidR="007C4BD2" w:rsidRPr="00A134A7" w:rsidRDefault="007C4BD2" w:rsidP="00FC4E10">
            <w:pPr>
              <w:pStyle w:val="TableText"/>
              <w:rPr>
                <w:rFonts w:cs="Arial"/>
                <w:lang w:val="en-AU"/>
              </w:rPr>
            </w:pPr>
            <w:r w:rsidRPr="000A1F9F">
              <w:rPr>
                <w:rFonts w:cs="Arial"/>
              </w:rPr>
              <w:t>An undersized and partially blocked box culvert has been replaced with two 1200 mm x 450 mm box</w:t>
            </w:r>
            <w:r w:rsidR="002F1219" w:rsidRPr="000A1F9F">
              <w:rPr>
                <w:rFonts w:cs="Arial"/>
              </w:rPr>
              <w:t> </w:t>
            </w:r>
            <w:r w:rsidRPr="000A1F9F">
              <w:rPr>
                <w:rFonts w:cs="Arial"/>
              </w:rPr>
              <w:t>culverts.</w:t>
            </w:r>
          </w:p>
        </w:tc>
        <w:tc>
          <w:tcPr>
            <w:tcW w:w="2426" w:type="pct"/>
            <w:tcBorders>
              <w:top w:val="single" w:sz="4" w:space="0" w:color="231EDC" w:themeColor="accent1"/>
              <w:left w:val="nil"/>
              <w:bottom w:val="nil"/>
              <w:right w:val="single" w:sz="4" w:space="0" w:color="231EDC" w:themeColor="accent1"/>
            </w:tcBorders>
          </w:tcPr>
          <w:p w14:paraId="5C81210D" w14:textId="77777777" w:rsidR="00A50E7D" w:rsidRPr="00A134A7" w:rsidRDefault="007C4BD2" w:rsidP="00FC4E10">
            <w:pPr>
              <w:pStyle w:val="TableText"/>
              <w:rPr>
                <w:rFonts w:cs="Arial"/>
                <w:lang w:val="en-AU"/>
              </w:rPr>
            </w:pPr>
            <w:r w:rsidRPr="000A1F9F">
              <w:rPr>
                <w:rFonts w:cs="Arial"/>
              </w:rPr>
              <w:t xml:space="preserve">Drainage </w:t>
            </w:r>
            <w:r w:rsidR="009D406B" w:rsidRPr="000A1F9F">
              <w:rPr>
                <w:rFonts w:cs="Arial"/>
              </w:rPr>
              <w:t>c</w:t>
            </w:r>
            <w:r w:rsidRPr="000A1F9F">
              <w:rPr>
                <w:rFonts w:cs="Arial"/>
              </w:rPr>
              <w:t xml:space="preserve">ourse </w:t>
            </w:r>
            <w:r w:rsidR="009D406B" w:rsidRPr="000A1F9F">
              <w:rPr>
                <w:rFonts w:cs="Arial"/>
              </w:rPr>
              <w:t>d</w:t>
            </w:r>
            <w:r w:rsidRPr="000A1F9F">
              <w:rPr>
                <w:rFonts w:cs="Arial"/>
              </w:rPr>
              <w:t>eclarations (DCDs) have been implemented across the Goulburn Broken Region as part of EC5’s funding of the Victorian Irrigation Drainage Program</w:t>
            </w:r>
            <w:r w:rsidR="003150DA" w:rsidRPr="000A1F9F">
              <w:rPr>
                <w:rFonts w:cs="Arial"/>
              </w:rPr>
              <w:t>. This project</w:t>
            </w:r>
            <w:r w:rsidR="000B43EA" w:rsidRPr="000A1F9F">
              <w:rPr>
                <w:rFonts w:cs="Arial"/>
              </w:rPr>
              <w:t xml:space="preserve"> </w:t>
            </w:r>
            <w:r w:rsidR="003150DA" w:rsidRPr="000A1F9F">
              <w:rPr>
                <w:rFonts w:cs="Arial"/>
              </w:rPr>
              <w:t>contributes to the</w:t>
            </w:r>
            <w:r w:rsidRPr="000A1F9F">
              <w:rPr>
                <w:rFonts w:cs="Arial"/>
              </w:rPr>
              <w:t xml:space="preserve"> EC waterway and catchment health outcomes.</w:t>
            </w:r>
          </w:p>
          <w:p w14:paraId="25C4570D" w14:textId="5079676A" w:rsidR="007C4BD2" w:rsidRPr="00A134A7" w:rsidRDefault="007C4BD2" w:rsidP="00FC4E10">
            <w:pPr>
              <w:pStyle w:val="TableText"/>
              <w:rPr>
                <w:rFonts w:cs="Arial"/>
                <w:lang w:val="en-AU"/>
              </w:rPr>
            </w:pPr>
            <w:r w:rsidRPr="000A1F9F">
              <w:rPr>
                <w:rFonts w:cs="Arial"/>
              </w:rPr>
              <w:t>The DCDs provide a mechanism to reconnect natural drainage lines, reflecting a change in attitude to how Victoria manages drainage in irrigated landscapes. This process reduces the risks of waterlogging and salinity to agricultural productivity infrastructure and terrestrial and wetland ecosystems, as well as provides opportunities to restore natural wetland wetting regimes. DCDs are around a quarter of the cost to</w:t>
            </w:r>
          </w:p>
        </w:tc>
      </w:tr>
      <w:tr w:rsidR="007C4BD2" w:rsidRPr="000A1F9F" w14:paraId="48E25811" w14:textId="77777777" w:rsidTr="00A01C3A">
        <w:tc>
          <w:tcPr>
            <w:tcW w:w="5000" w:type="pct"/>
            <w:gridSpan w:val="2"/>
            <w:tcBorders>
              <w:top w:val="nil"/>
              <w:left w:val="single" w:sz="4" w:space="0" w:color="231EDC" w:themeColor="accent1"/>
              <w:bottom w:val="single" w:sz="4" w:space="0" w:color="231EDC" w:themeColor="accent1"/>
              <w:right w:val="single" w:sz="4" w:space="0" w:color="231EDC" w:themeColor="accent1"/>
            </w:tcBorders>
          </w:tcPr>
          <w:p w14:paraId="5A26A78C" w14:textId="77777777" w:rsidR="007C4BD2" w:rsidRPr="00A134A7" w:rsidRDefault="007C4BD2" w:rsidP="00FC4E10">
            <w:pPr>
              <w:pStyle w:val="TableText"/>
              <w:rPr>
                <w:rFonts w:cs="Arial"/>
                <w:lang w:val="en-AU"/>
              </w:rPr>
            </w:pPr>
            <w:r w:rsidRPr="000A1F9F">
              <w:rPr>
                <w:rFonts w:cs="Arial"/>
              </w:rPr>
              <w:t>implement compared to traditional constructed primary drains and enable works to be undertaken to remove artificial obstructions in natural drainage lines.</w:t>
            </w:r>
          </w:p>
          <w:p w14:paraId="092E1B84" w14:textId="444B8001" w:rsidR="007C4BD2" w:rsidRPr="000A1F9F" w:rsidRDefault="007C4BD2" w:rsidP="00FC4E10">
            <w:pPr>
              <w:pStyle w:val="TableText"/>
              <w:rPr>
                <w:rStyle w:val="normaltextrun"/>
                <w:rFonts w:cs="Arial"/>
                <w:color w:val="000000" w:themeColor="text1"/>
                <w:lang w:val="en-AU"/>
              </w:rPr>
            </w:pPr>
            <w:r w:rsidRPr="000A1F9F">
              <w:rPr>
                <w:rFonts w:cs="Arial"/>
              </w:rPr>
              <w:t xml:space="preserve">One example of this is in the Cornella Creek sub-catchment, an actively irrigated catchment covering </w:t>
            </w:r>
            <w:r w:rsidRPr="000A1F9F">
              <w:rPr>
                <w:rStyle w:val="normaltextrun"/>
                <w:rFonts w:cs="Arial"/>
                <w:color w:val="000000"/>
                <w:bdr w:val="none" w:sz="0" w:space="0" w:color="auto" w:frame="1"/>
              </w:rPr>
              <w:t xml:space="preserve">270 km². This project included extensive community and stakeholder engagement, in conjunction with a range of drainage investigation activities that included detailed conceptual design, modelling, surveys, infield assessment and on-farm consultation. Works have been completed with regional input by the Goulburn Broken CMA, Goulburn-Murray Water and community including the drainage working group. The Cornella Creek Catchment was declared in August 2019, comprising a total of 17 km of the Cornella Creek Anabranch and Ryan’s Floodway. </w:t>
            </w:r>
            <w:r w:rsidRPr="000A1F9F">
              <w:rPr>
                <w:rStyle w:val="normaltextrun"/>
                <w:rFonts w:cs="Arial"/>
                <w:color w:val="000000"/>
                <w:shd w:val="clear" w:color="auto" w:fill="FFFFFF"/>
              </w:rPr>
              <w:t xml:space="preserve">The works ranged from lowering embankments, installing enlarged road culverts, and remediating existing farm drainage structures. At completion this project </w:t>
            </w:r>
            <w:r w:rsidRPr="000A1F9F">
              <w:rPr>
                <w:rStyle w:val="normaltextrun"/>
                <w:rFonts w:cs="Arial"/>
                <w:color w:val="000000"/>
                <w:bdr w:val="none" w:sz="0" w:space="0" w:color="auto" w:frame="1"/>
              </w:rPr>
              <w:t xml:space="preserve">underwent an independent assessment of costs and benefits that found the project to be highly </w:t>
            </w:r>
            <w:r w:rsidR="3897AC4D" w:rsidRPr="000A1F9F">
              <w:rPr>
                <w:rStyle w:val="normaltextrun"/>
                <w:rFonts w:cs="Arial"/>
                <w:color w:val="000000"/>
                <w:bdr w:val="none" w:sz="0" w:space="0" w:color="auto" w:frame="1"/>
              </w:rPr>
              <w:t xml:space="preserve">beneficial to the region’s </w:t>
            </w:r>
            <w:r w:rsidRPr="000A1F9F">
              <w:rPr>
                <w:rStyle w:val="normaltextrun"/>
                <w:rFonts w:cs="Arial"/>
                <w:color w:val="000000"/>
                <w:bdr w:val="none" w:sz="0" w:space="0" w:color="auto" w:frame="1"/>
              </w:rPr>
              <w:t>econom</w:t>
            </w:r>
            <w:r w:rsidR="383A1C84" w:rsidRPr="000A1F9F">
              <w:rPr>
                <w:rStyle w:val="normaltextrun"/>
                <w:rFonts w:cs="Arial"/>
                <w:color w:val="000000"/>
                <w:bdr w:val="none" w:sz="0" w:space="0" w:color="auto" w:frame="1"/>
              </w:rPr>
              <w:t>y</w:t>
            </w:r>
            <w:r w:rsidRPr="000A1F9F">
              <w:rPr>
                <w:rStyle w:val="normaltextrun"/>
                <w:rFonts w:cs="Arial"/>
                <w:color w:val="000000"/>
                <w:bdr w:val="none" w:sz="0" w:space="0" w:color="auto" w:frame="1"/>
              </w:rPr>
              <w:t>.</w:t>
            </w:r>
          </w:p>
        </w:tc>
      </w:tr>
    </w:tbl>
    <w:p w14:paraId="63052DEE" w14:textId="77777777" w:rsidR="00A01C3A" w:rsidRPr="000A1F9F" w:rsidRDefault="00A01C3A">
      <w:pPr>
        <w:rPr>
          <w:rFonts w:cs="Arial"/>
        </w:rPr>
      </w:pPr>
      <w:bookmarkStart w:id="386" w:name="_Toc147335009"/>
      <w:bookmarkStart w:id="387" w:name="_Toc147337873"/>
      <w:bookmarkStart w:id="388" w:name="_Toc147338478"/>
      <w:bookmarkStart w:id="389" w:name="_Toc147342839"/>
      <w:bookmarkStart w:id="390" w:name="_Toc147352729"/>
      <w:bookmarkStart w:id="391" w:name="_Toc147335010"/>
      <w:bookmarkStart w:id="392" w:name="_Toc147337874"/>
      <w:bookmarkStart w:id="393" w:name="_Toc147338479"/>
      <w:bookmarkStart w:id="394" w:name="_Toc147342840"/>
      <w:bookmarkStart w:id="395" w:name="_Toc147352730"/>
      <w:bookmarkStart w:id="396" w:name="_Toc147329924"/>
      <w:bookmarkStart w:id="397" w:name="_Toc147330496"/>
      <w:bookmarkStart w:id="398" w:name="_Toc147331068"/>
      <w:bookmarkStart w:id="399" w:name="_Toc147331641"/>
      <w:bookmarkStart w:id="400" w:name="_Toc147335011"/>
      <w:bookmarkStart w:id="401" w:name="_Toc147337875"/>
      <w:bookmarkStart w:id="402" w:name="_Toc147338480"/>
      <w:bookmarkStart w:id="403" w:name="_Toc147342841"/>
      <w:bookmarkStart w:id="404" w:name="_Toc147352731"/>
      <w:bookmarkStart w:id="405" w:name="_Toc147329925"/>
      <w:bookmarkStart w:id="406" w:name="_Toc147330497"/>
      <w:bookmarkStart w:id="407" w:name="_Toc147331069"/>
      <w:bookmarkStart w:id="408" w:name="_Toc147331642"/>
      <w:bookmarkStart w:id="409" w:name="_Toc147335012"/>
      <w:bookmarkStart w:id="410" w:name="_Toc147337876"/>
      <w:bookmarkStart w:id="411" w:name="_Toc147338481"/>
      <w:bookmarkStart w:id="412" w:name="_Toc147342842"/>
      <w:bookmarkStart w:id="413" w:name="_Toc147352732"/>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p>
    <w:p w14:paraId="571A7C4B" w14:textId="77777777" w:rsidR="00A01C3A" w:rsidRPr="000A1F9F" w:rsidRDefault="00A01C3A">
      <w:pPr>
        <w:rPr>
          <w:rFonts w:cs="Arial"/>
        </w:rPr>
      </w:pPr>
    </w:p>
    <w:tbl>
      <w:tblPr>
        <w:tblStyle w:val="TableGridLight"/>
        <w:tblW w:w="5000" w:type="pct"/>
        <w:tblBorders>
          <w:top w:val="single" w:sz="4" w:space="0" w:color="231EDC" w:themeColor="accent1"/>
          <w:left w:val="single" w:sz="4" w:space="0" w:color="231EDC" w:themeColor="accent1"/>
          <w:bottom w:val="single" w:sz="4" w:space="0" w:color="231EDC" w:themeColor="accent1"/>
          <w:right w:val="single" w:sz="4" w:space="0" w:color="231EDC" w:themeColor="accent1"/>
          <w:insideH w:val="single" w:sz="4" w:space="0" w:color="E6E6E6" w:themeColor="background2"/>
          <w:insideV w:val="single" w:sz="4" w:space="0" w:color="E6E6E6" w:themeColor="background2"/>
        </w:tblBorders>
        <w:tblLook w:val="04A0" w:firstRow="1" w:lastRow="0" w:firstColumn="1" w:lastColumn="0" w:noHBand="0" w:noVBand="1"/>
      </w:tblPr>
      <w:tblGrid>
        <w:gridCol w:w="4956"/>
        <w:gridCol w:w="4672"/>
      </w:tblGrid>
      <w:tr w:rsidR="00A01C3A" w:rsidRPr="000A1F9F" w14:paraId="2177EC2D" w14:textId="77777777" w:rsidTr="00155B54">
        <w:trPr>
          <w:tblHeader/>
        </w:trPr>
        <w:tc>
          <w:tcPr>
            <w:tcW w:w="5000" w:type="pct"/>
            <w:gridSpan w:val="2"/>
            <w:tcBorders>
              <w:top w:val="single" w:sz="4" w:space="0" w:color="231EDC" w:themeColor="accent1"/>
            </w:tcBorders>
            <w:shd w:val="clear" w:color="auto" w:fill="231EDC" w:themeFill="accent1"/>
          </w:tcPr>
          <w:p w14:paraId="632870B0" w14:textId="77777777" w:rsidR="00A01C3A" w:rsidRPr="00A134A7" w:rsidRDefault="00A01C3A" w:rsidP="00155B54">
            <w:pPr>
              <w:pStyle w:val="TableHeadingWhite"/>
              <w:rPr>
                <w:rFonts w:cs="Arial"/>
                <w:lang w:val="en-AU"/>
              </w:rPr>
            </w:pPr>
            <w:r w:rsidRPr="000A1F9F">
              <w:rPr>
                <w:rFonts w:cs="Arial"/>
              </w:rPr>
              <w:t>Case Study 3: Citizen Science- WaterWatch and EstuaryWatch</w:t>
            </w:r>
          </w:p>
        </w:tc>
      </w:tr>
      <w:tr w:rsidR="00A01C3A" w:rsidRPr="000A1F9F" w14:paraId="4AC426F8" w14:textId="77777777" w:rsidTr="00155B54">
        <w:tc>
          <w:tcPr>
            <w:tcW w:w="2574" w:type="pct"/>
            <w:tcBorders>
              <w:bottom w:val="nil"/>
              <w:right w:val="nil"/>
            </w:tcBorders>
          </w:tcPr>
          <w:p w14:paraId="10AC44D4" w14:textId="77777777" w:rsidR="00A01C3A" w:rsidRPr="00A134A7" w:rsidRDefault="00A01C3A" w:rsidP="00155B54">
            <w:pPr>
              <w:pStyle w:val="TableText"/>
              <w:rPr>
                <w:rFonts w:cs="Arial"/>
                <w:lang w:val="en-AU"/>
              </w:rPr>
            </w:pPr>
            <w:r w:rsidRPr="00A134A7">
              <w:rPr>
                <w:rFonts w:cs="Arial"/>
                <w:noProof/>
              </w:rPr>
              <w:drawing>
                <wp:inline distT="0" distB="0" distL="0" distR="0" wp14:anchorId="12806C1C" wp14:editId="63C0320E">
                  <wp:extent cx="3009600" cy="2007146"/>
                  <wp:effectExtent l="0" t="0" r="635" b="0"/>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009600" cy="2007146"/>
                          </a:xfrm>
                          <a:prstGeom prst="rect">
                            <a:avLst/>
                          </a:prstGeom>
                          <a:noFill/>
                          <a:ln>
                            <a:noFill/>
                          </a:ln>
                        </pic:spPr>
                      </pic:pic>
                    </a:graphicData>
                  </a:graphic>
                </wp:inline>
              </w:drawing>
            </w:r>
          </w:p>
          <w:p w14:paraId="3BD9419F" w14:textId="77777777" w:rsidR="00A01C3A" w:rsidRPr="00A134A7" w:rsidRDefault="00A01C3A" w:rsidP="00155B54">
            <w:pPr>
              <w:pStyle w:val="TableText"/>
              <w:rPr>
                <w:rFonts w:cs="Arial"/>
                <w:lang w:val="en-AU"/>
              </w:rPr>
            </w:pPr>
            <w:r w:rsidRPr="000A1F9F">
              <w:rPr>
                <w:rFonts w:cs="Arial"/>
              </w:rPr>
              <w:t>Volunteers undertaking water testing</w:t>
            </w:r>
          </w:p>
        </w:tc>
        <w:tc>
          <w:tcPr>
            <w:tcW w:w="2426" w:type="pct"/>
            <w:tcBorders>
              <w:top w:val="nil"/>
              <w:left w:val="nil"/>
              <w:bottom w:val="nil"/>
            </w:tcBorders>
          </w:tcPr>
          <w:p w14:paraId="18B74AFA" w14:textId="77777777" w:rsidR="00A01C3A" w:rsidRPr="00A134A7" w:rsidRDefault="00A01C3A" w:rsidP="00155B54">
            <w:pPr>
              <w:pStyle w:val="TableText"/>
              <w:rPr>
                <w:rFonts w:cs="Arial"/>
                <w:lang w:val="en-AU"/>
              </w:rPr>
            </w:pPr>
            <w:r w:rsidRPr="000A1F9F">
              <w:rPr>
                <w:rFonts w:cs="Arial"/>
              </w:rPr>
              <w:t xml:space="preserve">Citizen science programs are a valuable way for DEECA to support community members to become actively involved in local waterway monitoring and on-ground activities. WaterWatch Victoria and EstuaryWatch Victoria focus on waterway health with over 1,404 active WaterWatch sites and 137 active EstuaryWatch sites across the state. This project is fully funded through the EC5 ‘Improving Waterways and Catchments’ initiative, in partnership with related DEECA and Australian Government initiatives. It contributes to the EC waterway and catchment health and inclusive management outcomes. </w:t>
            </w:r>
          </w:p>
        </w:tc>
      </w:tr>
      <w:tr w:rsidR="00A01C3A" w:rsidRPr="000A1F9F" w14:paraId="3E606145" w14:textId="77777777" w:rsidTr="00155B54">
        <w:tc>
          <w:tcPr>
            <w:tcW w:w="5000" w:type="pct"/>
            <w:gridSpan w:val="2"/>
            <w:tcBorders>
              <w:top w:val="nil"/>
              <w:bottom w:val="single" w:sz="4" w:space="0" w:color="231EDC" w:themeColor="accent1"/>
            </w:tcBorders>
          </w:tcPr>
          <w:p w14:paraId="6217E33D" w14:textId="77777777" w:rsidR="00A01C3A" w:rsidRPr="00A134A7" w:rsidRDefault="00A01C3A" w:rsidP="00155B54">
            <w:pPr>
              <w:pStyle w:val="TableText"/>
              <w:rPr>
                <w:rFonts w:cs="Arial"/>
                <w:lang w:val="en-AU"/>
              </w:rPr>
            </w:pPr>
            <w:r w:rsidRPr="000A1F9F">
              <w:rPr>
                <w:rFonts w:cs="Arial"/>
              </w:rPr>
              <w:t>Established in 1993, WaterWatch Victoria is the longest running citizen science program in Australia. In March 2023, CMAs came together to celebrate 30 years of Waterway Citizen Science and to recognise volunteers for their commitment and contribution to our region’s waterways. In May 2023, audiences joined an online panel compiled of longstanding volunteers, coordinators, and researchers to reflect on the past 30 years of waterway citizen science and imagine what the future 30 years may bring.</w:t>
            </w:r>
            <w:r w:rsidRPr="000A1F9F">
              <w:rPr>
                <w:rFonts w:cs="Arial"/>
                <w:b/>
                <w:bCs/>
              </w:rPr>
              <w:t xml:space="preserve"> </w:t>
            </w:r>
            <w:r w:rsidRPr="000A1F9F">
              <w:rPr>
                <w:rFonts w:cs="Arial"/>
              </w:rPr>
              <w:t>One of the longest serving volunteers is Rob Loats, who has been part of WaterWatch since 1996. Rob now monitors three sites on the Little Murray River near where he lives in Swan Hill, after relocating from Donald and monitoring the Richardson River for many years.</w:t>
            </w:r>
          </w:p>
          <w:p w14:paraId="4975919F" w14:textId="77777777" w:rsidR="00A01C3A" w:rsidRPr="00A134A7" w:rsidRDefault="00A01C3A" w:rsidP="00155B54">
            <w:pPr>
              <w:pStyle w:val="TableText"/>
              <w:spacing w:after="60"/>
              <w:rPr>
                <w:rFonts w:cs="Arial"/>
                <w:lang w:val="en-AU"/>
              </w:rPr>
            </w:pPr>
            <w:r w:rsidRPr="000A1F9F">
              <w:rPr>
                <w:rFonts w:cs="Arial"/>
              </w:rPr>
              <w:t xml:space="preserve">WaterWatch and EstuaryWatch provide important pathways to connect communities to their local environment, build the capacity of communities and create change. Throughout these programs, citizen scientists contributed a total of 65,722 hours to care for Victoria’s waterways, equivalent to 8,763 volunteer days in 2021-22. The estimated economic value of volunteer contribution in 2021-22 was $2,743,236. More information on the program’s achievements in 2021-22 can be found in </w:t>
            </w:r>
            <w:hyperlink r:id="rId72" w:history="1">
              <w:r w:rsidRPr="000A1F9F">
                <w:rPr>
                  <w:rStyle w:val="Hyperlink"/>
                  <w:rFonts w:cs="Arial"/>
                </w:rPr>
                <w:t>the WaterWatch and EstuaryWatch Annual Report</w:t>
              </w:r>
            </w:hyperlink>
            <w:r w:rsidRPr="000A1F9F">
              <w:rPr>
                <w:rFonts w:cs="Arial"/>
              </w:rPr>
              <w:t xml:space="preserve">. </w:t>
            </w:r>
          </w:p>
        </w:tc>
      </w:tr>
    </w:tbl>
    <w:p w14:paraId="0288CC21" w14:textId="2E1F3538" w:rsidR="004D1729" w:rsidRPr="00A134A7" w:rsidRDefault="004D1729">
      <w:pPr>
        <w:rPr>
          <w:rFonts w:eastAsiaTheme="majorEastAsia" w:cs="Arial"/>
          <w:b/>
          <w:sz w:val="28"/>
          <w:szCs w:val="26"/>
        </w:rPr>
      </w:pPr>
      <w:r w:rsidRPr="005D74D1">
        <w:rPr>
          <w:rFonts w:cs="Arial"/>
        </w:rPr>
        <w:br w:type="page"/>
      </w:r>
    </w:p>
    <w:p w14:paraId="5F73925C" w14:textId="77777777" w:rsidR="00A50E7D" w:rsidRPr="005D74D1" w:rsidRDefault="00875A29" w:rsidP="00875A29">
      <w:pPr>
        <w:pStyle w:val="Heading2"/>
        <w:rPr>
          <w:rFonts w:cs="Arial"/>
        </w:rPr>
      </w:pPr>
      <w:bookmarkStart w:id="414" w:name="_Toc183777370"/>
      <w:r w:rsidRPr="005D74D1">
        <w:rPr>
          <w:rFonts w:cs="Arial"/>
        </w:rPr>
        <w:lastRenderedPageBreak/>
        <w:t>To what extent were Traditional Owner priorities furthered?</w:t>
      </w:r>
      <w:bookmarkEnd w:id="414"/>
    </w:p>
    <w:p w14:paraId="4E8D0047" w14:textId="1D5A63C1" w:rsidR="002F1219" w:rsidRPr="005D74D1" w:rsidRDefault="00BC4320" w:rsidP="00B401C8">
      <w:pPr>
        <w:pStyle w:val="BodyText"/>
        <w:rPr>
          <w:rFonts w:cs="Arial"/>
        </w:rPr>
      </w:pPr>
      <w:r w:rsidRPr="005D74D1">
        <w:rPr>
          <w:rFonts w:cs="Arial"/>
        </w:rPr>
        <w:t xml:space="preserve">The overall performance assessment for this KEQ is: </w:t>
      </w:r>
    </w:p>
    <w:tbl>
      <w:tblPr>
        <w:tblStyle w:val="GridTable4-Accent1"/>
        <w:tblW w:w="5000" w:type="pct"/>
        <w:tblBorders>
          <w:top w:val="single" w:sz="4" w:space="0" w:color="231EDC" w:themeColor="accent1"/>
          <w:left w:val="single" w:sz="4" w:space="0" w:color="231EDC" w:themeColor="accent1"/>
          <w:bottom w:val="single" w:sz="4" w:space="0" w:color="231EDC" w:themeColor="accent1"/>
          <w:right w:val="single" w:sz="4" w:space="0" w:color="231EDC" w:themeColor="accent1"/>
          <w:insideH w:val="single" w:sz="4" w:space="0" w:color="231EDC" w:themeColor="accent1"/>
          <w:insideV w:val="single" w:sz="4" w:space="0" w:color="231EDC" w:themeColor="accent1"/>
        </w:tblBorders>
        <w:tblLook w:val="04A0" w:firstRow="1" w:lastRow="0" w:firstColumn="1" w:lastColumn="0" w:noHBand="0" w:noVBand="1"/>
      </w:tblPr>
      <w:tblGrid>
        <w:gridCol w:w="1345"/>
        <w:gridCol w:w="1621"/>
        <w:gridCol w:w="1080"/>
        <w:gridCol w:w="5582"/>
      </w:tblGrid>
      <w:tr w:rsidR="00F4259E" w:rsidRPr="005D74D1" w14:paraId="111CD631" w14:textId="77777777" w:rsidTr="00140664">
        <w:trPr>
          <w:cnfStyle w:val="100000000000" w:firstRow="1" w:lastRow="0" w:firstColumn="0" w:lastColumn="0" w:oddVBand="0" w:evenVBand="0" w:oddHBand="0" w:evenHBand="0" w:firstRowFirstColumn="0" w:firstRowLastColumn="0" w:lastRowFirstColumn="0" w:lastRowLastColumn="0"/>
          <w:trHeight w:val="503"/>
          <w:tblHeader/>
        </w:trPr>
        <w:tc>
          <w:tcPr>
            <w:cnfStyle w:val="001000000000" w:firstRow="0" w:lastRow="0" w:firstColumn="1" w:lastColumn="0" w:oddVBand="0" w:evenVBand="0" w:oddHBand="0" w:evenHBand="0" w:firstRowFirstColumn="0" w:firstRowLastColumn="0" w:lastRowFirstColumn="0" w:lastRowLastColumn="0"/>
            <w:tcW w:w="698" w:type="pct"/>
            <w:tcBorders>
              <w:top w:val="none" w:sz="0" w:space="0" w:color="auto"/>
              <w:left w:val="none" w:sz="0" w:space="0" w:color="auto"/>
              <w:bottom w:val="none" w:sz="0" w:space="0" w:color="auto"/>
              <w:right w:val="none" w:sz="0" w:space="0" w:color="auto"/>
            </w:tcBorders>
            <w:vAlign w:val="center"/>
          </w:tcPr>
          <w:p w14:paraId="403CC5CA" w14:textId="2BF94453" w:rsidR="00F4259E" w:rsidRPr="00A134A7" w:rsidRDefault="00F4259E" w:rsidP="002D1E41">
            <w:pPr>
              <w:pStyle w:val="TableHeadingWhite"/>
              <w:rPr>
                <w:rFonts w:cs="Arial"/>
                <w:b/>
                <w:bCs w:val="0"/>
                <w:lang w:val="en-AU"/>
              </w:rPr>
            </w:pPr>
            <w:r w:rsidRPr="005D74D1">
              <w:rPr>
                <w:rFonts w:cs="Arial"/>
              </w:rPr>
              <w:t>Outcome theme</w:t>
            </w:r>
          </w:p>
        </w:tc>
        <w:tc>
          <w:tcPr>
            <w:tcW w:w="842" w:type="pct"/>
            <w:tcBorders>
              <w:top w:val="none" w:sz="0" w:space="0" w:color="auto"/>
              <w:left w:val="none" w:sz="0" w:space="0" w:color="auto"/>
              <w:bottom w:val="none" w:sz="0" w:space="0" w:color="auto"/>
              <w:right w:val="none" w:sz="0" w:space="0" w:color="auto"/>
            </w:tcBorders>
            <w:vAlign w:val="center"/>
          </w:tcPr>
          <w:p w14:paraId="767CAAE6" w14:textId="77777777" w:rsidR="00F4259E" w:rsidRPr="00A134A7" w:rsidRDefault="00F4259E" w:rsidP="002D1E41">
            <w:pPr>
              <w:pStyle w:val="TableHeadingWhite"/>
              <w:cnfStyle w:val="100000000000" w:firstRow="1" w:lastRow="0" w:firstColumn="0" w:lastColumn="0" w:oddVBand="0" w:evenVBand="0" w:oddHBand="0" w:evenHBand="0" w:firstRowFirstColumn="0" w:firstRowLastColumn="0" w:lastRowFirstColumn="0" w:lastRowLastColumn="0"/>
              <w:rPr>
                <w:rFonts w:cs="Arial"/>
                <w:b/>
                <w:bCs w:val="0"/>
                <w:lang w:val="en-AU"/>
              </w:rPr>
            </w:pPr>
            <w:r w:rsidRPr="005D74D1">
              <w:rPr>
                <w:rFonts w:cs="Arial"/>
              </w:rPr>
              <w:t>Rating type</w:t>
            </w:r>
          </w:p>
        </w:tc>
        <w:tc>
          <w:tcPr>
            <w:tcW w:w="561" w:type="pct"/>
            <w:tcBorders>
              <w:top w:val="none" w:sz="0" w:space="0" w:color="auto"/>
              <w:left w:val="none" w:sz="0" w:space="0" w:color="auto"/>
              <w:bottom w:val="none" w:sz="0" w:space="0" w:color="auto"/>
              <w:right w:val="none" w:sz="0" w:space="0" w:color="auto"/>
            </w:tcBorders>
            <w:vAlign w:val="center"/>
          </w:tcPr>
          <w:p w14:paraId="27B53590" w14:textId="77777777" w:rsidR="00F4259E" w:rsidRPr="00A134A7" w:rsidRDefault="00F4259E" w:rsidP="002D1E41">
            <w:pPr>
              <w:pStyle w:val="TableHeadingWhite"/>
              <w:cnfStyle w:val="100000000000" w:firstRow="1" w:lastRow="0" w:firstColumn="0" w:lastColumn="0" w:oddVBand="0" w:evenVBand="0" w:oddHBand="0" w:evenHBand="0" w:firstRowFirstColumn="0" w:firstRowLastColumn="0" w:lastRowFirstColumn="0" w:lastRowLastColumn="0"/>
              <w:rPr>
                <w:rFonts w:cs="Arial"/>
                <w:b/>
                <w:bCs w:val="0"/>
                <w:lang w:val="en-AU"/>
              </w:rPr>
            </w:pPr>
            <w:r w:rsidRPr="005D74D1">
              <w:rPr>
                <w:rFonts w:cs="Arial"/>
              </w:rPr>
              <w:t>Rating</w:t>
            </w:r>
          </w:p>
        </w:tc>
        <w:tc>
          <w:tcPr>
            <w:tcW w:w="2899" w:type="pct"/>
            <w:tcBorders>
              <w:top w:val="none" w:sz="0" w:space="0" w:color="auto"/>
              <w:left w:val="none" w:sz="0" w:space="0" w:color="auto"/>
              <w:bottom w:val="none" w:sz="0" w:space="0" w:color="auto"/>
              <w:right w:val="none" w:sz="0" w:space="0" w:color="auto"/>
            </w:tcBorders>
            <w:vAlign w:val="center"/>
          </w:tcPr>
          <w:p w14:paraId="6DD4A077" w14:textId="77777777" w:rsidR="00F4259E" w:rsidRPr="00A134A7" w:rsidRDefault="00F4259E" w:rsidP="002D1E41">
            <w:pPr>
              <w:pStyle w:val="TableHeadingWhite"/>
              <w:cnfStyle w:val="100000000000" w:firstRow="1" w:lastRow="0" w:firstColumn="0" w:lastColumn="0" w:oddVBand="0" w:evenVBand="0" w:oddHBand="0" w:evenHBand="0" w:firstRowFirstColumn="0" w:firstRowLastColumn="0" w:lastRowFirstColumn="0" w:lastRowLastColumn="0"/>
              <w:rPr>
                <w:rFonts w:cs="Arial"/>
                <w:b/>
                <w:bCs w:val="0"/>
                <w:lang w:val="en-AU"/>
              </w:rPr>
            </w:pPr>
            <w:r w:rsidRPr="005D74D1">
              <w:rPr>
                <w:rFonts w:cs="Arial"/>
              </w:rPr>
              <w:t>Rationale</w:t>
            </w:r>
          </w:p>
        </w:tc>
      </w:tr>
      <w:tr w:rsidR="000C125E" w:rsidRPr="005D74D1" w14:paraId="69BBB57D" w14:textId="77777777" w:rsidTr="001406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pct"/>
            <w:vMerge w:val="restart"/>
            <w:shd w:val="clear" w:color="auto" w:fill="auto"/>
            <w:vAlign w:val="center"/>
          </w:tcPr>
          <w:p w14:paraId="1A51CB14" w14:textId="2D92EDFC" w:rsidR="000C125E" w:rsidRPr="00A134A7" w:rsidRDefault="000C125E" w:rsidP="00BD68E1">
            <w:pPr>
              <w:pStyle w:val="TableText"/>
              <w:rPr>
                <w:rFonts w:cs="Arial"/>
                <w:b w:val="0"/>
                <w:bCs w:val="0"/>
                <w:lang w:val="en-AU"/>
              </w:rPr>
            </w:pPr>
            <w:r w:rsidRPr="005D74D1">
              <w:rPr>
                <w:rFonts w:cs="Arial"/>
              </w:rPr>
              <w:t>Traditional Owner Priorities</w:t>
            </w:r>
          </w:p>
        </w:tc>
        <w:tc>
          <w:tcPr>
            <w:tcW w:w="842" w:type="pct"/>
            <w:shd w:val="clear" w:color="auto" w:fill="auto"/>
            <w:vAlign w:val="center"/>
          </w:tcPr>
          <w:p w14:paraId="4EE8775C" w14:textId="1FECB49E" w:rsidR="000C125E" w:rsidRPr="00A134A7" w:rsidRDefault="006D41C3" w:rsidP="00BD68E1">
            <w:pPr>
              <w:pStyle w:val="TableText"/>
              <w:cnfStyle w:val="000000100000" w:firstRow="0" w:lastRow="0" w:firstColumn="0" w:lastColumn="0" w:oddVBand="0" w:evenVBand="0" w:oddHBand="1" w:evenHBand="0" w:firstRowFirstColumn="0" w:firstRowLastColumn="0" w:lastRowFirstColumn="0" w:lastRowLastColumn="0"/>
              <w:rPr>
                <w:rFonts w:cs="Arial"/>
                <w:lang w:val="en-AU"/>
              </w:rPr>
            </w:pPr>
            <w:r w:rsidRPr="005D74D1">
              <w:rPr>
                <w:rFonts w:cs="Arial"/>
              </w:rPr>
              <w:t>Extent to which end-of-EC5 outcomes were achieved</w:t>
            </w:r>
          </w:p>
        </w:tc>
        <w:tc>
          <w:tcPr>
            <w:tcW w:w="561" w:type="pct"/>
            <w:shd w:val="clear" w:color="auto" w:fill="auto"/>
            <w:vAlign w:val="center"/>
          </w:tcPr>
          <w:p w14:paraId="0D1DC077" w14:textId="77777777" w:rsidR="000C125E" w:rsidRPr="005D74D1" w:rsidRDefault="000C125E" w:rsidP="00140664">
            <w:pPr>
              <w:pStyle w:val="TableText"/>
              <w:jc w:val="center"/>
              <w:cnfStyle w:val="000000100000" w:firstRow="0" w:lastRow="0" w:firstColumn="0" w:lastColumn="0" w:oddVBand="0" w:evenVBand="0" w:oddHBand="1" w:evenHBand="0" w:firstRowFirstColumn="0" w:firstRowLastColumn="0" w:lastRowFirstColumn="0" w:lastRowLastColumn="0"/>
              <w:rPr>
                <w:rFonts w:cs="Arial"/>
                <w:lang w:val="en-AU"/>
              </w:rPr>
            </w:pPr>
            <w:r w:rsidRPr="005D74D1">
              <w:rPr>
                <w:rFonts w:cs="Arial"/>
              </w:rPr>
              <w:t>Very High</w:t>
            </w:r>
          </w:p>
          <w:p w14:paraId="47B226DA" w14:textId="7109A276" w:rsidR="000C125E" w:rsidRPr="00A134A7" w:rsidRDefault="000C125E" w:rsidP="00140664">
            <w:pPr>
              <w:pStyle w:val="TableText"/>
              <w:jc w:val="center"/>
              <w:cnfStyle w:val="000000100000" w:firstRow="0" w:lastRow="0" w:firstColumn="0" w:lastColumn="0" w:oddVBand="0" w:evenVBand="0" w:oddHBand="1" w:evenHBand="0" w:firstRowFirstColumn="0" w:firstRowLastColumn="0" w:lastRowFirstColumn="0" w:lastRowLastColumn="0"/>
              <w:rPr>
                <w:rFonts w:cs="Arial"/>
                <w:lang w:val="en-AU"/>
              </w:rPr>
            </w:pPr>
            <w:r w:rsidRPr="00A134A7">
              <w:rPr>
                <w:rFonts w:cs="Arial"/>
                <w:noProof/>
              </w:rPr>
              <mc:AlternateContent>
                <mc:Choice Requires="wpg">
                  <w:drawing>
                    <wp:inline distT="0" distB="0" distL="0" distR="0" wp14:anchorId="7ED62D14" wp14:editId="798C649A">
                      <wp:extent cx="460800" cy="248401"/>
                      <wp:effectExtent l="0" t="0" r="15875" b="18415"/>
                      <wp:docPr id="41529652" name="Group 41529652"/>
                      <wp:cNvGraphicFramePr/>
                      <a:graphic xmlns:a="http://schemas.openxmlformats.org/drawingml/2006/main">
                        <a:graphicData uri="http://schemas.microsoft.com/office/word/2010/wordprocessingGroup">
                          <wpg:wgp>
                            <wpg:cNvGrpSpPr/>
                            <wpg:grpSpPr>
                              <a:xfrm>
                                <a:off x="0" y="0"/>
                                <a:ext cx="460800" cy="248401"/>
                                <a:chOff x="0" y="0"/>
                                <a:chExt cx="657283" cy="248401"/>
                              </a:xfrm>
                            </wpg:grpSpPr>
                            <wps:wsp>
                              <wps:cNvPr id="2115229323" name="Rectangle 2115229323"/>
                              <wps:cNvSpPr/>
                              <wps:spPr>
                                <a:xfrm>
                                  <a:off x="0" y="0"/>
                                  <a:ext cx="133200" cy="24840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44443906" name="Rectangle 2144443906"/>
                              <wps:cNvSpPr/>
                              <wps:spPr>
                                <a:xfrm>
                                  <a:off x="131021" y="0"/>
                                  <a:ext cx="133200" cy="24840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86912865" name="Rectangle 986912865"/>
                              <wps:cNvSpPr/>
                              <wps:spPr>
                                <a:xfrm>
                                  <a:off x="262042" y="0"/>
                                  <a:ext cx="133200" cy="24840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7990554" name="Rectangle 1357990554"/>
                              <wps:cNvSpPr/>
                              <wps:spPr>
                                <a:xfrm>
                                  <a:off x="393063" y="1"/>
                                  <a:ext cx="133200" cy="24840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79198036" name="Rectangle 779198036"/>
                              <wps:cNvSpPr/>
                              <wps:spPr>
                                <a:xfrm>
                                  <a:off x="524083" y="0"/>
                                  <a:ext cx="133200" cy="24840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xmlns:w16du="http://schemas.microsoft.com/office/word/2023/wordml/word16du">
                  <w:pict>
                    <v:group w14:anchorId="3A6D7668" id="Group 41529652" o:spid="_x0000_s1026" style="width:36.3pt;height:19.55pt;mso-position-horizontal-relative:char;mso-position-vertical-relative:line" coordsize="6572,2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">
                      <v:rect id="Rectangle 2115229323" o:spid="_x0000_s1027" style="position:absolute;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" fillcolor="#231edc [3204]" strokecolor="black [3213]" strokeweight="1pt"/>
                      <v:rect id="Rectangle 2144443906" o:spid="_x0000_s1028" style="position:absolute;left:1310;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" fillcolor="#231edc [3204]" strokecolor="black [3213]" strokeweight="1pt"/>
                      <v:rect id="Rectangle 986912865" o:spid="_x0000_s1029" style="position:absolute;left:2620;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" fillcolor="#231edc [3204]" strokecolor="black [3213]" strokeweight="1pt"/>
                      <v:rect id="Rectangle 1357990554" o:spid="_x0000_s1030" style="position:absolute;left:3930;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" fillcolor="#231edc [3204]" strokecolor="black [3213]" strokeweight="1pt"/>
                      <v:rect id="Rectangle 779198036" o:spid="_x0000_s1031" style="position:absolute;left:5240;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" fillcolor="#231edc [3204]" strokecolor="black [3213]" strokeweight="1pt"/>
                      <w10:anchorlock/>
                    </v:group>
                  </w:pict>
                </mc:Fallback>
              </mc:AlternateContent>
            </w:r>
          </w:p>
        </w:tc>
        <w:tc>
          <w:tcPr>
            <w:tcW w:w="2899" w:type="pct"/>
            <w:shd w:val="clear" w:color="auto" w:fill="auto"/>
          </w:tcPr>
          <w:p w14:paraId="18896385" w14:textId="76EEB59B" w:rsidR="000C125E" w:rsidRPr="00A134A7" w:rsidRDefault="000C125E" w:rsidP="00FC4E10">
            <w:pPr>
              <w:pStyle w:val="TableText"/>
              <w:cnfStyle w:val="000000100000" w:firstRow="0" w:lastRow="0" w:firstColumn="0" w:lastColumn="0" w:oddVBand="0" w:evenVBand="0" w:oddHBand="1" w:evenHBand="0" w:firstRowFirstColumn="0" w:firstRowLastColumn="0" w:lastRowFirstColumn="0" w:lastRowLastColumn="0"/>
              <w:rPr>
                <w:rFonts w:cs="Arial"/>
                <w:lang w:val="en-AU"/>
              </w:rPr>
            </w:pPr>
            <w:r w:rsidRPr="005D74D1">
              <w:rPr>
                <w:rFonts w:cs="Arial"/>
              </w:rPr>
              <w:t xml:space="preserve">The publication of </w:t>
            </w:r>
            <w:r w:rsidRPr="005D74D1">
              <w:rPr>
                <w:rFonts w:cs="Arial"/>
                <w:i/>
                <w:iCs/>
              </w:rPr>
              <w:t>Water is Life</w:t>
            </w:r>
            <w:r w:rsidRPr="005D74D1">
              <w:rPr>
                <w:rFonts w:cs="Arial"/>
              </w:rPr>
              <w:t xml:space="preserve"> in 2022 was a key achievement of the EC5 tranche, representing a policy shift that provides new guidance and policy direction for the inclusion of Traditional Owners which has the potential to deliver tangible outcomes and staged systemic change. Within EC5, the inclusion of Traditional Owners was increasingly integrated into project frameworks and strategies. With increased responsibilities and obligations to include Traditional Owners in water management, new challenges are emerging relating to resourcing and the availability for Traditional Owner organisations to balance and engage with competing priorities, and to exercise self-determination in water management.</w:t>
            </w:r>
          </w:p>
        </w:tc>
      </w:tr>
      <w:tr w:rsidR="000C125E" w:rsidRPr="005D74D1" w14:paraId="34CC5F3A" w14:textId="77777777" w:rsidTr="00140664">
        <w:tc>
          <w:tcPr>
            <w:cnfStyle w:val="001000000000" w:firstRow="0" w:lastRow="0" w:firstColumn="1" w:lastColumn="0" w:oddVBand="0" w:evenVBand="0" w:oddHBand="0" w:evenHBand="0" w:firstRowFirstColumn="0" w:firstRowLastColumn="0" w:lastRowFirstColumn="0" w:lastRowLastColumn="0"/>
            <w:tcW w:w="698" w:type="pct"/>
            <w:vMerge/>
            <w:shd w:val="clear" w:color="auto" w:fill="auto"/>
            <w:vAlign w:val="center"/>
          </w:tcPr>
          <w:p w14:paraId="612E63E2" w14:textId="77777777" w:rsidR="000C125E" w:rsidRPr="00A134A7" w:rsidRDefault="000C125E" w:rsidP="00BD68E1">
            <w:pPr>
              <w:pStyle w:val="TableText"/>
              <w:rPr>
                <w:rFonts w:cs="Arial"/>
                <w:b w:val="0"/>
                <w:lang w:val="en-AU"/>
              </w:rPr>
            </w:pPr>
          </w:p>
        </w:tc>
        <w:tc>
          <w:tcPr>
            <w:tcW w:w="842" w:type="pct"/>
            <w:shd w:val="clear" w:color="auto" w:fill="auto"/>
            <w:vAlign w:val="center"/>
          </w:tcPr>
          <w:p w14:paraId="4BBACF62" w14:textId="3EB9F571" w:rsidR="000C125E" w:rsidRPr="00A134A7" w:rsidRDefault="000C125E" w:rsidP="00BD68E1">
            <w:pPr>
              <w:pStyle w:val="TableText"/>
              <w:cnfStyle w:val="000000000000" w:firstRow="0" w:lastRow="0" w:firstColumn="0" w:lastColumn="0" w:oddVBand="0" w:evenVBand="0" w:oddHBand="0" w:evenHBand="0" w:firstRowFirstColumn="0" w:firstRowLastColumn="0" w:lastRowFirstColumn="0" w:lastRowLastColumn="0"/>
              <w:rPr>
                <w:rFonts w:cs="Arial"/>
                <w:lang w:val="en-AU"/>
              </w:rPr>
            </w:pPr>
            <w:r w:rsidRPr="005D74D1">
              <w:rPr>
                <w:rFonts w:cs="Arial"/>
              </w:rPr>
              <w:t>Overall progress toward long-term outcomes</w:t>
            </w:r>
          </w:p>
        </w:tc>
        <w:tc>
          <w:tcPr>
            <w:tcW w:w="561" w:type="pct"/>
            <w:shd w:val="clear" w:color="auto" w:fill="auto"/>
            <w:vAlign w:val="center"/>
          </w:tcPr>
          <w:p w14:paraId="29B648CB" w14:textId="77777777" w:rsidR="000C125E" w:rsidRPr="00A134A7" w:rsidRDefault="000C125E" w:rsidP="00140664">
            <w:pPr>
              <w:pStyle w:val="TableText"/>
              <w:jc w:val="center"/>
              <w:cnfStyle w:val="000000000000" w:firstRow="0" w:lastRow="0" w:firstColumn="0" w:lastColumn="0" w:oddVBand="0" w:evenVBand="0" w:oddHBand="0" w:evenHBand="0" w:firstRowFirstColumn="0" w:firstRowLastColumn="0" w:lastRowFirstColumn="0" w:lastRowLastColumn="0"/>
              <w:rPr>
                <w:rFonts w:cs="Arial"/>
                <w:lang w:val="en-AU"/>
              </w:rPr>
            </w:pPr>
            <w:r w:rsidRPr="005D74D1">
              <w:rPr>
                <w:rFonts w:cs="Arial"/>
              </w:rPr>
              <w:t>Low</w:t>
            </w:r>
          </w:p>
          <w:p w14:paraId="51136BA3" w14:textId="77777777" w:rsidR="000C125E" w:rsidRPr="00A134A7" w:rsidRDefault="000C125E" w:rsidP="00140664">
            <w:pPr>
              <w:pStyle w:val="TableText"/>
              <w:jc w:val="center"/>
              <w:cnfStyle w:val="000000000000" w:firstRow="0" w:lastRow="0" w:firstColumn="0" w:lastColumn="0" w:oddVBand="0" w:evenVBand="0" w:oddHBand="0" w:evenHBand="0" w:firstRowFirstColumn="0" w:firstRowLastColumn="0" w:lastRowFirstColumn="0" w:lastRowLastColumn="0"/>
              <w:rPr>
                <w:rFonts w:cs="Arial"/>
                <w:lang w:val="en-AU"/>
              </w:rPr>
            </w:pPr>
            <w:r w:rsidRPr="00A134A7">
              <w:rPr>
                <w:rFonts w:cs="Arial"/>
                <w:noProof/>
              </w:rPr>
              <mc:AlternateContent>
                <mc:Choice Requires="wpg">
                  <w:drawing>
                    <wp:inline distT="0" distB="0" distL="0" distR="0" wp14:anchorId="71152886" wp14:editId="2658F1AD">
                      <wp:extent cx="460800" cy="248400"/>
                      <wp:effectExtent l="0" t="0" r="15875" b="18415"/>
                      <wp:docPr id="248" name="Group 248"/>
                      <wp:cNvGraphicFramePr/>
                      <a:graphic xmlns:a="http://schemas.openxmlformats.org/drawingml/2006/main">
                        <a:graphicData uri="http://schemas.microsoft.com/office/word/2010/wordprocessingGroup">
                          <wpg:wgp>
                            <wpg:cNvGrpSpPr/>
                            <wpg:grpSpPr>
                              <a:xfrm>
                                <a:off x="0" y="0"/>
                                <a:ext cx="460800" cy="248400"/>
                                <a:chOff x="0" y="0"/>
                                <a:chExt cx="675755" cy="248400"/>
                              </a:xfrm>
                            </wpg:grpSpPr>
                            <wps:wsp>
                              <wps:cNvPr id="249" name="Rectangle 249"/>
                              <wps:cNvSpPr/>
                              <wps:spPr>
                                <a:xfrm>
                                  <a:off x="0" y="0"/>
                                  <a:ext cx="133200" cy="248400"/>
                                </a:xfrm>
                                <a:prstGeom prst="rect">
                                  <a:avLst/>
                                </a:pr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50" name="Rectangle 250"/>
                              <wps:cNvSpPr/>
                              <wps:spPr>
                                <a:xfrm>
                                  <a:off x="135639" y="0"/>
                                  <a:ext cx="133200" cy="248400"/>
                                </a:xfrm>
                                <a:prstGeom prst="rect">
                                  <a:avLst/>
                                </a:pr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51" name="Rectangle 251"/>
                              <wps:cNvSpPr/>
                              <wps:spPr>
                                <a:xfrm>
                                  <a:off x="271278" y="0"/>
                                  <a:ext cx="133200" cy="2484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52" name="Rectangle 252"/>
                              <wps:cNvSpPr/>
                              <wps:spPr>
                                <a:xfrm>
                                  <a:off x="406917" y="0"/>
                                  <a:ext cx="133200" cy="2484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53" name="Rectangle 253"/>
                              <wps:cNvSpPr/>
                              <wps:spPr>
                                <a:xfrm>
                                  <a:off x="542555" y="0"/>
                                  <a:ext cx="133200" cy="2484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xmlns:w16du="http://schemas.microsoft.com/office/word/2023/wordml/word16du">
                  <w:pict>
                    <v:group w14:anchorId="27F1EC6E" id="Group 248" o:spid="_x0000_s1026" style="width:36.3pt;height:19.55pt;mso-position-horizontal-relative:char;mso-position-vertical-relative:line" coordsize="6757,2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">
                      <v:rect id="Rectangle 249" o:spid="_x0000_s1027" style="position:absolute;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" fillcolor="#ffc000" strokecolor="black [3213]" strokeweight="1pt"/>
                      <v:rect id="Rectangle 250" o:spid="_x0000_s1028" style="position:absolute;left:1356;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" fillcolor="#ffc000" strokecolor="black [3213]" strokeweight="1pt"/>
                      <v:rect id="Rectangle 251" o:spid="_x0000_s1029" style="position:absolute;left:2712;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" fillcolor="white [3212]" strokecolor="black [3213]" strokeweight="1pt"/>
                      <v:rect id="Rectangle 252" o:spid="_x0000_s1030" style="position:absolute;left:4069;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" fillcolor="white [3212]" strokecolor="black [3213]" strokeweight="1pt"/>
                      <v:rect id="Rectangle 253" o:spid="_x0000_s1031" style="position:absolute;left:5425;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" fillcolor="white [3212]" strokecolor="black [3213]" strokeweight="1pt"/>
                      <w10:anchorlock/>
                    </v:group>
                  </w:pict>
                </mc:Fallback>
              </mc:AlternateContent>
            </w:r>
          </w:p>
          <w:p w14:paraId="5E77EFC1" w14:textId="719814EE" w:rsidR="000C125E" w:rsidRPr="00A134A7" w:rsidRDefault="000C125E" w:rsidP="00140664">
            <w:pPr>
              <w:pStyle w:val="TableText"/>
              <w:jc w:val="center"/>
              <w:cnfStyle w:val="000000000000" w:firstRow="0" w:lastRow="0" w:firstColumn="0" w:lastColumn="0" w:oddVBand="0" w:evenVBand="0" w:oddHBand="0" w:evenHBand="0" w:firstRowFirstColumn="0" w:firstRowLastColumn="0" w:lastRowFirstColumn="0" w:lastRowLastColumn="0"/>
              <w:rPr>
                <w:rFonts w:cs="Arial"/>
                <w:lang w:val="en-AU"/>
              </w:rPr>
            </w:pPr>
          </w:p>
        </w:tc>
        <w:tc>
          <w:tcPr>
            <w:tcW w:w="2899" w:type="pct"/>
            <w:shd w:val="clear" w:color="auto" w:fill="auto"/>
          </w:tcPr>
          <w:p w14:paraId="3A35961B" w14:textId="3BBB5861" w:rsidR="000C125E" w:rsidRPr="00A134A7" w:rsidRDefault="000C125E" w:rsidP="00FC4E10">
            <w:pPr>
              <w:pStyle w:val="TableText"/>
              <w:cnfStyle w:val="000000000000" w:firstRow="0" w:lastRow="0" w:firstColumn="0" w:lastColumn="0" w:oddVBand="0" w:evenVBand="0" w:oddHBand="0" w:evenHBand="0" w:firstRowFirstColumn="0" w:firstRowLastColumn="0" w:lastRowFirstColumn="0" w:lastRowLastColumn="0"/>
              <w:rPr>
                <w:rFonts w:cs="Arial"/>
                <w:lang w:val="en-AU"/>
              </w:rPr>
            </w:pPr>
            <w:r w:rsidRPr="005D74D1">
              <w:rPr>
                <w:rFonts w:cs="Arial"/>
              </w:rPr>
              <w:t xml:space="preserve">There remains significant work to be done to successfully implement the actions from </w:t>
            </w:r>
            <w:r w:rsidRPr="005D74D1">
              <w:rPr>
                <w:rFonts w:cs="Arial"/>
                <w:i/>
                <w:iCs/>
              </w:rPr>
              <w:t>Water is Life</w:t>
            </w:r>
            <w:r w:rsidRPr="005D74D1">
              <w:rPr>
                <w:rFonts w:cs="Arial"/>
              </w:rPr>
              <w:t>, and meaningfully integrate Traditional Owner involvement, values and principles of self-determination throughout EC projects and the broader Victorian water sector. While important progress has been made through EC5, there is still a large gap between the current level of Traditional Ownership self-determined participation and the long-term outcome.</w:t>
            </w:r>
          </w:p>
        </w:tc>
      </w:tr>
    </w:tbl>
    <w:p w14:paraId="0AF01441" w14:textId="77777777" w:rsidR="00A50E7D" w:rsidRPr="005D74D1" w:rsidRDefault="00BC4320" w:rsidP="00FC4E10">
      <w:pPr>
        <w:pStyle w:val="BodyText"/>
        <w:rPr>
          <w:rFonts w:cs="Arial"/>
        </w:rPr>
      </w:pPr>
      <w:r w:rsidRPr="005D74D1">
        <w:rPr>
          <w:rFonts w:cs="Arial"/>
        </w:rPr>
        <w:t xml:space="preserve">This KEQ evaluates progress made toward the </w:t>
      </w:r>
      <w:r w:rsidR="00393E9D" w:rsidRPr="005D74D1">
        <w:rPr>
          <w:rFonts w:cs="Arial"/>
        </w:rPr>
        <w:t>Traditional Owner</w:t>
      </w:r>
      <w:r w:rsidRPr="005D74D1">
        <w:rPr>
          <w:rFonts w:cs="Arial"/>
        </w:rPr>
        <w:t xml:space="preserve"> objective of the EC5. The program logic </w:t>
      </w:r>
      <w:r w:rsidR="00802004" w:rsidRPr="005D74D1">
        <w:rPr>
          <w:rFonts w:cs="Arial"/>
        </w:rPr>
        <w:t>(</w:t>
      </w:r>
      <w:r w:rsidR="002D0328" w:rsidRPr="005D74D1">
        <w:rPr>
          <w:rFonts w:cs="Arial"/>
        </w:rPr>
        <w:t>see Section 3.3.)</w:t>
      </w:r>
      <w:r w:rsidR="00802004" w:rsidRPr="005D74D1">
        <w:rPr>
          <w:rFonts w:cs="Arial"/>
        </w:rPr>
        <w:t xml:space="preserve"> </w:t>
      </w:r>
      <w:r w:rsidRPr="005D74D1">
        <w:rPr>
          <w:rFonts w:cs="Arial"/>
        </w:rPr>
        <w:t xml:space="preserve">includes the long-term outcome </w:t>
      </w:r>
      <w:r w:rsidR="00221156" w:rsidRPr="005D74D1">
        <w:rPr>
          <w:rFonts w:cs="Arial"/>
        </w:rPr>
        <w:t>‘</w:t>
      </w:r>
      <w:r w:rsidR="00393E9D" w:rsidRPr="005D74D1">
        <w:rPr>
          <w:rFonts w:cs="Arial"/>
        </w:rPr>
        <w:t>Traditional owners determine their own water management priorities</w:t>
      </w:r>
      <w:r w:rsidR="00221156" w:rsidRPr="005D74D1">
        <w:rPr>
          <w:rFonts w:cs="Arial"/>
        </w:rPr>
        <w:t>’</w:t>
      </w:r>
      <w:r w:rsidRPr="005D74D1">
        <w:rPr>
          <w:rFonts w:cs="Arial"/>
        </w:rPr>
        <w:t xml:space="preserve"> supported by the following </w:t>
      </w:r>
      <w:r w:rsidR="00015B66" w:rsidRPr="005D74D1">
        <w:rPr>
          <w:rFonts w:cs="Arial"/>
        </w:rPr>
        <w:t>E</w:t>
      </w:r>
      <w:r w:rsidRPr="005D74D1">
        <w:rPr>
          <w:rFonts w:cs="Arial"/>
        </w:rPr>
        <w:t>nd</w:t>
      </w:r>
      <w:r w:rsidR="00EC4FE9" w:rsidRPr="005D74D1">
        <w:rPr>
          <w:rFonts w:cs="Arial"/>
        </w:rPr>
        <w:t>-</w:t>
      </w:r>
      <w:r w:rsidRPr="005D74D1">
        <w:rPr>
          <w:rFonts w:cs="Arial"/>
        </w:rPr>
        <w:t>of</w:t>
      </w:r>
      <w:r w:rsidR="00EC4FE9" w:rsidRPr="005D74D1">
        <w:rPr>
          <w:rFonts w:cs="Arial"/>
        </w:rPr>
        <w:t>-</w:t>
      </w:r>
      <w:r w:rsidR="00015B66" w:rsidRPr="005D74D1">
        <w:rPr>
          <w:rFonts w:cs="Arial"/>
        </w:rPr>
        <w:t>T</w:t>
      </w:r>
      <w:r w:rsidRPr="005D74D1">
        <w:rPr>
          <w:rFonts w:cs="Arial"/>
        </w:rPr>
        <w:t>ranche outcomes:</w:t>
      </w:r>
    </w:p>
    <w:p w14:paraId="256CD0E8" w14:textId="4E82C724" w:rsidR="00A63E8A" w:rsidRPr="00A134A7" w:rsidRDefault="00A63E8A" w:rsidP="00A63E8A">
      <w:pPr>
        <w:pStyle w:val="BulletLevel1"/>
        <w:rPr>
          <w:rFonts w:cs="Arial"/>
          <w:lang w:val="en-AU"/>
        </w:rPr>
      </w:pPr>
      <w:r w:rsidRPr="00A134A7">
        <w:rPr>
          <w:rFonts w:cs="Arial"/>
          <w:lang w:val="en-AU"/>
        </w:rPr>
        <w:t>increased involvement of Traditional Owners in water policy, management and decision</w:t>
      </w:r>
      <w:r w:rsidR="002F1219" w:rsidRPr="00A134A7">
        <w:rPr>
          <w:rFonts w:cs="Arial"/>
          <w:lang w:val="en-AU"/>
        </w:rPr>
        <w:t> </w:t>
      </w:r>
      <w:r w:rsidRPr="00A134A7">
        <w:rPr>
          <w:rFonts w:cs="Arial"/>
          <w:lang w:val="en-AU"/>
        </w:rPr>
        <w:t>-</w:t>
      </w:r>
      <w:r w:rsidR="002F1219" w:rsidRPr="00A134A7">
        <w:rPr>
          <w:rFonts w:cs="Arial"/>
          <w:lang w:val="en-AU"/>
        </w:rPr>
        <w:t> </w:t>
      </w:r>
      <w:r w:rsidRPr="00A134A7">
        <w:rPr>
          <w:rFonts w:cs="Arial"/>
          <w:lang w:val="en-AU"/>
        </w:rPr>
        <w:t>making</w:t>
      </w:r>
    </w:p>
    <w:p w14:paraId="35F8BD0D" w14:textId="77777777" w:rsidR="00A50E7D" w:rsidRPr="00A134A7" w:rsidRDefault="00205166" w:rsidP="00592C36">
      <w:pPr>
        <w:pStyle w:val="BulletLevel1"/>
        <w:rPr>
          <w:rFonts w:cs="Arial"/>
          <w:lang w:val="en-AU"/>
        </w:rPr>
      </w:pPr>
      <w:r w:rsidRPr="00A134A7">
        <w:rPr>
          <w:rFonts w:cs="Arial"/>
          <w:lang w:val="en-AU"/>
        </w:rPr>
        <w:t xml:space="preserve">increased </w:t>
      </w:r>
      <w:r w:rsidR="00E00687" w:rsidRPr="00A134A7">
        <w:rPr>
          <w:rFonts w:cs="Arial"/>
          <w:lang w:val="en-AU"/>
        </w:rPr>
        <w:t>water availability for Traditional Owner groups</w:t>
      </w:r>
    </w:p>
    <w:p w14:paraId="7976E75F" w14:textId="416AB6EF" w:rsidR="00B14BEB" w:rsidRPr="00A134A7" w:rsidRDefault="00533241" w:rsidP="00592C36">
      <w:pPr>
        <w:pStyle w:val="BulletLevel1"/>
        <w:rPr>
          <w:rFonts w:cs="Arial"/>
          <w:lang w:val="en-AU"/>
        </w:rPr>
      </w:pPr>
      <w:r w:rsidRPr="00A134A7">
        <w:rPr>
          <w:rFonts w:cs="Arial"/>
          <w:lang w:val="en-AU"/>
        </w:rPr>
        <w:t xml:space="preserve">increased </w:t>
      </w:r>
      <w:r w:rsidR="00B14BEB" w:rsidRPr="00A134A7">
        <w:rPr>
          <w:rFonts w:cs="Arial"/>
          <w:lang w:val="en-AU"/>
        </w:rPr>
        <w:t>Traditional Owner employment in the water sector</w:t>
      </w:r>
      <w:r w:rsidR="00EC3057" w:rsidRPr="00A134A7">
        <w:rPr>
          <w:rFonts w:cs="Arial"/>
          <w:lang w:val="en-AU"/>
        </w:rPr>
        <w:t>.</w:t>
      </w:r>
    </w:p>
    <w:p w14:paraId="200A214B" w14:textId="77777777" w:rsidR="00A50E7D" w:rsidRPr="005D74D1" w:rsidRDefault="001C3154" w:rsidP="00FC4E10">
      <w:pPr>
        <w:pStyle w:val="BodyText"/>
        <w:rPr>
          <w:rFonts w:cs="Arial"/>
        </w:rPr>
      </w:pPr>
      <w:r w:rsidRPr="005D74D1">
        <w:rPr>
          <w:rFonts w:cs="Arial"/>
        </w:rPr>
        <w:t xml:space="preserve">A summary of the achievements made by EC5 projects to these outcomes is provided </w:t>
      </w:r>
      <w:r w:rsidR="001D0DC3" w:rsidRPr="005D74D1">
        <w:rPr>
          <w:rFonts w:cs="Arial"/>
        </w:rPr>
        <w:t>below</w:t>
      </w:r>
      <w:r w:rsidR="0020487D" w:rsidRPr="005D74D1">
        <w:rPr>
          <w:rFonts w:cs="Arial"/>
        </w:rPr>
        <w:t>. This is supported by examples of some of the main ways that individual projects have contributed to each outcome area, provided in Appendix B.</w:t>
      </w:r>
    </w:p>
    <w:p w14:paraId="079BEA94" w14:textId="016F5988" w:rsidR="00062F22" w:rsidRPr="00A134A7" w:rsidRDefault="00062F22" w:rsidP="00062F22">
      <w:pPr>
        <w:pStyle w:val="Heading3"/>
        <w:rPr>
          <w:rFonts w:ascii="Arial" w:hAnsi="Arial" w:cs="Arial"/>
        </w:rPr>
      </w:pPr>
      <w:r w:rsidRPr="00A134A7">
        <w:rPr>
          <w:rFonts w:ascii="Arial" w:hAnsi="Arial" w:cs="Arial"/>
        </w:rPr>
        <w:t>Increased involvement of Traditional Owners in water policy, management</w:t>
      </w:r>
      <w:r w:rsidR="00BD68E1" w:rsidRPr="00A134A7">
        <w:rPr>
          <w:rFonts w:ascii="Arial" w:hAnsi="Arial" w:cs="Arial"/>
        </w:rPr>
        <w:t>,</w:t>
      </w:r>
      <w:r w:rsidRPr="00A134A7">
        <w:rPr>
          <w:rFonts w:ascii="Arial" w:hAnsi="Arial" w:cs="Arial"/>
        </w:rPr>
        <w:t xml:space="preserve"> and decision-making</w:t>
      </w:r>
    </w:p>
    <w:p w14:paraId="61AB44AC" w14:textId="66CF69E1" w:rsidR="00A50E7D" w:rsidRPr="005D74D1" w:rsidRDefault="007B7C61" w:rsidP="00FC4E10">
      <w:pPr>
        <w:pStyle w:val="BodyText"/>
        <w:rPr>
          <w:rFonts w:cs="Arial"/>
          <w:lang w:eastAsia="en-AU"/>
        </w:rPr>
      </w:pPr>
      <w:r w:rsidRPr="005D74D1">
        <w:rPr>
          <w:rFonts w:cs="Arial"/>
          <w:lang w:eastAsia="en-AU"/>
        </w:rPr>
        <w:t xml:space="preserve">Over EC5, critical foundations </w:t>
      </w:r>
      <w:r w:rsidR="002B6E5D" w:rsidRPr="005D74D1">
        <w:rPr>
          <w:rFonts w:cs="Arial"/>
          <w:lang w:eastAsia="en-AU"/>
        </w:rPr>
        <w:t xml:space="preserve">were established </w:t>
      </w:r>
      <w:r w:rsidRPr="005D74D1">
        <w:rPr>
          <w:rFonts w:cs="Arial"/>
          <w:lang w:eastAsia="en-AU"/>
        </w:rPr>
        <w:t>that support Traditional Owner involvement, self-determination, objectives</w:t>
      </w:r>
      <w:r w:rsidR="00BD68E1" w:rsidRPr="005D74D1">
        <w:rPr>
          <w:rFonts w:cs="Arial"/>
          <w:lang w:eastAsia="en-AU"/>
        </w:rPr>
        <w:t>,</w:t>
      </w:r>
      <w:r w:rsidRPr="005D74D1">
        <w:rPr>
          <w:rFonts w:cs="Arial"/>
          <w:lang w:eastAsia="en-AU"/>
        </w:rPr>
        <w:t xml:space="preserve"> and aspirations. The publication of </w:t>
      </w:r>
      <w:r w:rsidRPr="005D74D1">
        <w:rPr>
          <w:rFonts w:cs="Arial"/>
          <w:i/>
          <w:iCs/>
          <w:lang w:eastAsia="en-AU"/>
        </w:rPr>
        <w:t>Water is Life</w:t>
      </w:r>
      <w:r w:rsidRPr="005D74D1">
        <w:rPr>
          <w:rFonts w:cs="Arial"/>
          <w:lang w:eastAsia="en-AU"/>
        </w:rPr>
        <w:t xml:space="preserve"> and CGRSWS in 2022 were key achievements of the EC5, representing a policy shift which provides new guidance and policy direction for the inclusion of Traditional Owners in water management and decision making.</w:t>
      </w:r>
    </w:p>
    <w:p w14:paraId="52D2E085" w14:textId="46E23474" w:rsidR="00A50E7D" w:rsidRPr="00A134A7" w:rsidRDefault="007B7C61" w:rsidP="00FC4E10">
      <w:pPr>
        <w:pStyle w:val="BulletLevel1"/>
        <w:keepNext/>
        <w:keepLines/>
        <w:ind w:left="360" w:hanging="360"/>
        <w:rPr>
          <w:rFonts w:cs="Arial"/>
          <w:lang w:val="en-AU" w:eastAsia="en-AU"/>
        </w:rPr>
      </w:pPr>
      <w:r w:rsidRPr="00A134A7">
        <w:rPr>
          <w:rFonts w:cs="Arial"/>
          <w:i/>
          <w:lang w:val="en-AU" w:eastAsia="en-AU"/>
        </w:rPr>
        <w:lastRenderedPageBreak/>
        <w:t>Water is Life</w:t>
      </w:r>
      <w:r w:rsidRPr="00A134A7">
        <w:rPr>
          <w:rFonts w:cs="Arial"/>
          <w:lang w:val="en-AU" w:eastAsia="en-AU"/>
        </w:rPr>
        <w:t xml:space="preserve"> is a nation-leading multi-lingual policy that places </w:t>
      </w:r>
      <w:r w:rsidR="00EC4FE9" w:rsidRPr="00A134A7">
        <w:rPr>
          <w:rFonts w:cs="Arial"/>
          <w:lang w:val="en-AU" w:eastAsia="en-AU"/>
        </w:rPr>
        <w:t>the Victorian G</w:t>
      </w:r>
      <w:r w:rsidRPr="00A134A7">
        <w:rPr>
          <w:rFonts w:cs="Arial"/>
          <w:lang w:val="en-AU" w:eastAsia="en-AU"/>
        </w:rPr>
        <w:t>overnment’s policy position and Traditional Owner voices side</w:t>
      </w:r>
      <w:r w:rsidR="00EC4FE9" w:rsidRPr="00A134A7">
        <w:rPr>
          <w:rFonts w:cs="Arial"/>
          <w:lang w:val="en-AU" w:eastAsia="en-AU"/>
        </w:rPr>
        <w:t>-</w:t>
      </w:r>
      <w:r w:rsidRPr="00A134A7">
        <w:rPr>
          <w:rFonts w:cs="Arial"/>
          <w:lang w:val="en-AU" w:eastAsia="en-AU"/>
        </w:rPr>
        <w:t>by</w:t>
      </w:r>
      <w:r w:rsidR="00EC4FE9" w:rsidRPr="00A134A7">
        <w:rPr>
          <w:rFonts w:cs="Arial"/>
          <w:lang w:val="en-AU" w:eastAsia="en-AU"/>
        </w:rPr>
        <w:t>-</w:t>
      </w:r>
      <w:r w:rsidRPr="00A134A7">
        <w:rPr>
          <w:rFonts w:cs="Arial"/>
          <w:lang w:val="en-AU" w:eastAsia="en-AU"/>
        </w:rPr>
        <w:t xml:space="preserve">side. The development and final publication of </w:t>
      </w:r>
      <w:r w:rsidRPr="00A134A7">
        <w:rPr>
          <w:rFonts w:cs="Arial"/>
          <w:i/>
          <w:lang w:val="en-AU" w:eastAsia="en-AU"/>
        </w:rPr>
        <w:t>Water is Life</w:t>
      </w:r>
      <w:r w:rsidRPr="00A134A7">
        <w:rPr>
          <w:rFonts w:cs="Arial"/>
          <w:lang w:val="en-AU" w:eastAsia="en-AU"/>
        </w:rPr>
        <w:t xml:space="preserve"> prioritise</w:t>
      </w:r>
      <w:r w:rsidR="00EC4FE9" w:rsidRPr="00A134A7">
        <w:rPr>
          <w:rFonts w:cs="Arial"/>
          <w:lang w:val="en-AU" w:eastAsia="en-AU"/>
        </w:rPr>
        <w:t>s</w:t>
      </w:r>
      <w:r w:rsidRPr="00A134A7">
        <w:rPr>
          <w:rFonts w:cs="Arial"/>
          <w:lang w:val="en-AU" w:eastAsia="en-AU"/>
        </w:rPr>
        <w:t xml:space="preserve"> collaboration and partnership with Traditional Owners to further enable self-determination. A total of 61 Traditional Owner Nation-level, regional and statewide workshops were held with Traditional Owners throughout </w:t>
      </w:r>
      <w:r w:rsidR="00EA0441" w:rsidRPr="00A134A7">
        <w:rPr>
          <w:rFonts w:cs="Arial"/>
          <w:lang w:val="en-AU" w:eastAsia="en-AU"/>
        </w:rPr>
        <w:t xml:space="preserve">the development of </w:t>
      </w:r>
      <w:r w:rsidR="00EA0441" w:rsidRPr="00A134A7">
        <w:rPr>
          <w:rFonts w:cs="Arial"/>
          <w:i/>
          <w:lang w:val="en-AU" w:eastAsia="en-AU"/>
        </w:rPr>
        <w:t>Water is Life</w:t>
      </w:r>
      <w:r w:rsidRPr="00A134A7">
        <w:rPr>
          <w:rFonts w:cs="Arial"/>
          <w:lang w:val="en-AU" w:eastAsia="en-AU"/>
        </w:rPr>
        <w:t xml:space="preserve">, and 27 Traditional Owner Nation Statements were published alongside the government’s policy commitments in the final </w:t>
      </w:r>
      <w:r w:rsidRPr="00A134A7">
        <w:rPr>
          <w:rFonts w:cs="Arial"/>
          <w:i/>
          <w:lang w:val="en-AU" w:eastAsia="en-AU"/>
        </w:rPr>
        <w:t>Water is Life</w:t>
      </w:r>
      <w:r w:rsidRPr="00A134A7">
        <w:rPr>
          <w:rFonts w:cs="Arial"/>
          <w:lang w:val="en-AU" w:eastAsia="en-AU"/>
        </w:rPr>
        <w:t xml:space="preserve"> document. </w:t>
      </w:r>
      <w:r w:rsidRPr="00A134A7">
        <w:rPr>
          <w:rFonts w:cs="Arial"/>
          <w:i/>
          <w:lang w:val="en-AU" w:eastAsia="en-AU"/>
        </w:rPr>
        <w:t>Water is Life</w:t>
      </w:r>
      <w:r w:rsidRPr="00A134A7">
        <w:rPr>
          <w:rFonts w:cs="Arial"/>
          <w:lang w:val="en-AU" w:eastAsia="en-AU"/>
        </w:rPr>
        <w:t xml:space="preserve"> establishes pathways to increase Traditional Owner roles and resources in water and waterway management across </w:t>
      </w:r>
      <w:r w:rsidR="00112FC4" w:rsidRPr="00A134A7">
        <w:rPr>
          <w:rFonts w:cs="Arial"/>
          <w:lang w:val="en-AU" w:eastAsia="en-AU"/>
        </w:rPr>
        <w:t>Victoria and</w:t>
      </w:r>
      <w:r w:rsidRPr="00A134A7">
        <w:rPr>
          <w:rFonts w:cs="Arial"/>
          <w:lang w:val="en-AU" w:eastAsia="en-AU"/>
        </w:rPr>
        <w:t xml:space="preserve"> has the potential to deliver tangible outcomes and staged systemic change, if implemented fully.</w:t>
      </w:r>
    </w:p>
    <w:p w14:paraId="42084DDA" w14:textId="3ED6D5BF" w:rsidR="007B7C61" w:rsidRPr="00A134A7" w:rsidRDefault="007B7C61" w:rsidP="00FC4E10">
      <w:pPr>
        <w:pStyle w:val="BulletLevel1"/>
        <w:keepNext/>
        <w:keepLines/>
        <w:ind w:left="360" w:hanging="360"/>
        <w:rPr>
          <w:rFonts w:cs="Arial"/>
          <w:lang w:val="en-AU" w:eastAsia="en-AU"/>
        </w:rPr>
      </w:pPr>
      <w:r w:rsidRPr="00A134A7">
        <w:rPr>
          <w:rFonts w:cs="Arial"/>
          <w:lang w:val="en-AU" w:eastAsia="en-AU"/>
        </w:rPr>
        <w:t xml:space="preserve">The CGRSWS is the first of its kind to be developed through a genuine partnership with Traditional Owners. Representatives of the Traditional Owners in the region sat alongside decision-makers from the government and the water sector and guided the development of the </w:t>
      </w:r>
      <w:r w:rsidR="00442040" w:rsidRPr="00A134A7">
        <w:rPr>
          <w:rFonts w:cs="Arial"/>
          <w:lang w:val="en-AU" w:eastAsia="en-AU"/>
        </w:rPr>
        <w:t>CGRSWS</w:t>
      </w:r>
      <w:r w:rsidRPr="00A134A7">
        <w:rPr>
          <w:rFonts w:cs="Arial"/>
          <w:lang w:val="en-AU" w:eastAsia="en-AU"/>
        </w:rPr>
        <w:t>. Traditional Owners developed their own stand-alone chapter, Healthy Country, Healthy Mob which sets out their expectations. Chapter 6: Water justice for Traditional Owners sets the policies and actions that are the next step for water justice for Traditional Owner groups in the region.</w:t>
      </w:r>
    </w:p>
    <w:p w14:paraId="154F58EB" w14:textId="77777777" w:rsidR="00A50E7D" w:rsidRPr="005D74D1" w:rsidRDefault="00C85D57" w:rsidP="00FC4E10">
      <w:pPr>
        <w:pStyle w:val="BodyText"/>
        <w:rPr>
          <w:rFonts w:cs="Arial"/>
          <w:lang w:eastAsia="en-AU"/>
        </w:rPr>
      </w:pPr>
      <w:r w:rsidRPr="005D74D1">
        <w:rPr>
          <w:rFonts w:cs="Arial"/>
          <w:lang w:eastAsia="en-AU"/>
        </w:rPr>
        <w:t>The</w:t>
      </w:r>
      <w:r w:rsidR="002B0E40" w:rsidRPr="005D74D1">
        <w:rPr>
          <w:rFonts w:cs="Arial"/>
          <w:lang w:eastAsia="en-AU"/>
        </w:rPr>
        <w:t>se publications</w:t>
      </w:r>
      <w:r w:rsidRPr="005D74D1">
        <w:rPr>
          <w:rFonts w:cs="Arial"/>
          <w:lang w:eastAsia="en-AU"/>
        </w:rPr>
        <w:t xml:space="preserve"> </w:t>
      </w:r>
      <w:r w:rsidRPr="005D74D1">
        <w:rPr>
          <w:rFonts w:cs="Arial"/>
        </w:rPr>
        <w:t xml:space="preserve">have changed how the Victorian Government partners with Traditional Owners and sharpened the focus on working towards Treaty. </w:t>
      </w:r>
      <w:r w:rsidRPr="005D74D1">
        <w:rPr>
          <w:rFonts w:cs="Arial"/>
          <w:lang w:eastAsia="en-AU"/>
        </w:rPr>
        <w:t>Many project evaluation reports acknowledged this important shift and provided examples of how inclusion of Traditional Owners has been considered and integrated into project frameworks and strategies.</w:t>
      </w:r>
    </w:p>
    <w:p w14:paraId="17D29CD4" w14:textId="77777777" w:rsidR="00A50E7D" w:rsidRPr="005D74D1" w:rsidRDefault="002B0E40" w:rsidP="00FC4E10">
      <w:pPr>
        <w:pStyle w:val="BodyText"/>
        <w:rPr>
          <w:rFonts w:cs="Arial"/>
        </w:rPr>
      </w:pPr>
      <w:r w:rsidRPr="005D74D1">
        <w:rPr>
          <w:rFonts w:cs="Arial"/>
        </w:rPr>
        <w:t xml:space="preserve">Other </w:t>
      </w:r>
      <w:r w:rsidR="00062F22" w:rsidRPr="005D74D1">
        <w:rPr>
          <w:rFonts w:cs="Arial"/>
        </w:rPr>
        <w:t xml:space="preserve">highlights of EC5 related to </w:t>
      </w:r>
      <w:r w:rsidR="00133460" w:rsidRPr="005D74D1">
        <w:rPr>
          <w:rFonts w:cs="Arial"/>
        </w:rPr>
        <w:t>increasing involvement of Traditional Owners in water policy, management and decision</w:t>
      </w:r>
      <w:r w:rsidR="00EC3057" w:rsidRPr="005D74D1">
        <w:rPr>
          <w:rFonts w:cs="Arial"/>
        </w:rPr>
        <w:t>-</w:t>
      </w:r>
      <w:r w:rsidR="00133460" w:rsidRPr="005D74D1">
        <w:rPr>
          <w:rFonts w:cs="Arial"/>
        </w:rPr>
        <w:t xml:space="preserve">making </w:t>
      </w:r>
      <w:r w:rsidR="00062F22" w:rsidRPr="005D74D1">
        <w:rPr>
          <w:rFonts w:cs="Arial"/>
        </w:rPr>
        <w:t>include:</w:t>
      </w:r>
    </w:p>
    <w:p w14:paraId="25F8F3E8" w14:textId="66E026FD" w:rsidR="00A50E7D" w:rsidRPr="00A134A7" w:rsidRDefault="00062F22" w:rsidP="00FC4E10">
      <w:pPr>
        <w:pStyle w:val="BulletLevel1"/>
        <w:rPr>
          <w:rFonts w:cs="Arial"/>
          <w:lang w:val="en-AU"/>
        </w:rPr>
      </w:pPr>
      <w:r w:rsidRPr="00A134A7">
        <w:rPr>
          <w:rFonts w:cs="Arial"/>
          <w:lang w:val="en-AU"/>
        </w:rPr>
        <w:t>A Traditional Owner stream in the IWM grants program, piloting of Traditional Owner IWM officers</w:t>
      </w:r>
      <w:r w:rsidR="00026A18" w:rsidRPr="00A134A7">
        <w:rPr>
          <w:rFonts w:cs="Arial"/>
          <w:lang w:val="en-AU"/>
        </w:rPr>
        <w:t xml:space="preserve">, </w:t>
      </w:r>
      <w:r w:rsidR="00213AF8" w:rsidRPr="00A134A7">
        <w:rPr>
          <w:rFonts w:cs="Arial"/>
          <w:lang w:val="en-AU"/>
        </w:rPr>
        <w:t>and support</w:t>
      </w:r>
      <w:r w:rsidR="00D5372B" w:rsidRPr="00A134A7">
        <w:rPr>
          <w:rFonts w:cs="Arial"/>
          <w:lang w:val="en-AU"/>
        </w:rPr>
        <w:t>ing</w:t>
      </w:r>
      <w:r w:rsidR="00213AF8" w:rsidRPr="00A134A7">
        <w:rPr>
          <w:rFonts w:cs="Arial"/>
          <w:lang w:val="en-AU"/>
        </w:rPr>
        <w:t xml:space="preserve"> 14 Traditional Owner led IWM projects</w:t>
      </w:r>
      <w:r w:rsidRPr="00A134A7">
        <w:rPr>
          <w:rFonts w:cs="Arial"/>
          <w:lang w:val="en-AU"/>
        </w:rPr>
        <w:t xml:space="preserve">. However, Traditional Owner groups </w:t>
      </w:r>
      <w:r w:rsidR="002678D6" w:rsidRPr="00A134A7">
        <w:rPr>
          <w:rFonts w:cs="Arial"/>
          <w:lang w:val="en-AU"/>
        </w:rPr>
        <w:t xml:space="preserve">and the project team </w:t>
      </w:r>
      <w:r w:rsidRPr="00A134A7">
        <w:rPr>
          <w:rFonts w:cs="Arial"/>
          <w:lang w:val="en-AU"/>
        </w:rPr>
        <w:t>have indicated that</w:t>
      </w:r>
      <w:r w:rsidR="007F3D29" w:rsidRPr="00A134A7">
        <w:rPr>
          <w:rFonts w:cs="Arial"/>
          <w:lang w:val="en-AU"/>
        </w:rPr>
        <w:t xml:space="preserve"> dedicated</w:t>
      </w:r>
      <w:r w:rsidRPr="00A134A7">
        <w:rPr>
          <w:rFonts w:cs="Arial"/>
          <w:lang w:val="en-AU"/>
        </w:rPr>
        <w:t xml:space="preserve"> funding support is needed to enable them to develop the skills and capacity to effectively participate in the </w:t>
      </w:r>
      <w:r w:rsidR="00112FC4" w:rsidRPr="00A134A7">
        <w:rPr>
          <w:rFonts w:cs="Arial"/>
          <w:lang w:val="en-AU"/>
        </w:rPr>
        <w:t>program and</w:t>
      </w:r>
      <w:r w:rsidR="008D6F19" w:rsidRPr="00A134A7">
        <w:rPr>
          <w:rFonts w:cs="Arial"/>
          <w:lang w:val="en-AU"/>
        </w:rPr>
        <w:t xml:space="preserve"> help to generate meaningful contributions from these groups</w:t>
      </w:r>
      <w:r w:rsidR="00EB6602" w:rsidRPr="00A134A7">
        <w:rPr>
          <w:rFonts w:cs="Arial"/>
          <w:lang w:val="en-AU"/>
        </w:rPr>
        <w:t xml:space="preserve"> A</w:t>
      </w:r>
      <w:r w:rsidR="00391C05" w:rsidRPr="00A134A7">
        <w:rPr>
          <w:rFonts w:cs="Arial"/>
          <w:lang w:val="en-AU"/>
        </w:rPr>
        <w:t>nother area for improvement was identified in regard to e</w:t>
      </w:r>
      <w:r w:rsidR="00EB6602" w:rsidRPr="00A134A7">
        <w:rPr>
          <w:rFonts w:cs="Arial"/>
          <w:lang w:val="en-AU"/>
        </w:rPr>
        <w:t>nsuring culturally safe and inclusive spaces within IWM Forum meetings to facilita</w:t>
      </w:r>
      <w:r w:rsidR="00391C05" w:rsidRPr="00A134A7">
        <w:rPr>
          <w:rFonts w:cs="Arial"/>
          <w:lang w:val="en-AU"/>
        </w:rPr>
        <w:t>te</w:t>
      </w:r>
      <w:r w:rsidR="00EB6602" w:rsidRPr="00A134A7">
        <w:rPr>
          <w:rFonts w:cs="Arial"/>
          <w:lang w:val="en-AU"/>
        </w:rPr>
        <w:t xml:space="preserve"> meaningful participation by Traditional Owner representatives.</w:t>
      </w:r>
    </w:p>
    <w:p w14:paraId="4D7B725B" w14:textId="59E7A02E" w:rsidR="00062F22" w:rsidRPr="00A134A7" w:rsidRDefault="00062F22" w:rsidP="00FC4E10">
      <w:pPr>
        <w:pStyle w:val="BulletLevel1"/>
        <w:rPr>
          <w:rFonts w:cs="Arial"/>
          <w:lang w:val="en-AU"/>
        </w:rPr>
      </w:pPr>
      <w:r w:rsidRPr="00A134A7">
        <w:rPr>
          <w:rFonts w:cs="Arial"/>
          <w:lang w:val="en-AU"/>
        </w:rPr>
        <w:t xml:space="preserve">The development of the draft </w:t>
      </w:r>
      <w:r w:rsidRPr="00A134A7">
        <w:rPr>
          <w:rFonts w:cs="Arial"/>
          <w:i/>
          <w:lang w:val="en-AU"/>
        </w:rPr>
        <w:t>Greens Lake Action Plan</w:t>
      </w:r>
      <w:r w:rsidRPr="00A134A7">
        <w:rPr>
          <w:rFonts w:cs="Arial"/>
          <w:lang w:val="en-AU"/>
        </w:rPr>
        <w:t xml:space="preserve"> represented a new way of working collaboratively with water corporations, Traditional Owners and the recreation community to generate shared outcomes.</w:t>
      </w:r>
    </w:p>
    <w:p w14:paraId="13DEE387" w14:textId="41335322" w:rsidR="00062F22" w:rsidRPr="00A134A7" w:rsidRDefault="00062F22" w:rsidP="00FC4E10">
      <w:pPr>
        <w:pStyle w:val="BulletLevel1"/>
        <w:rPr>
          <w:rFonts w:cs="Arial"/>
          <w:lang w:val="en-AU"/>
        </w:rPr>
      </w:pPr>
      <w:r w:rsidRPr="00A134A7">
        <w:rPr>
          <w:rFonts w:cs="Arial"/>
          <w:lang w:val="en-AU"/>
        </w:rPr>
        <w:t xml:space="preserve">The Traditional Owner Partnership developed by the CGRSWS to support self-determined outcomes for Traditional Owners in the region, including identifying opportunities to return water now and in the future, the development of the Cultural Benefits Framework and commitments to resources Traditional Owners in the region to partner </w:t>
      </w:r>
      <w:r w:rsidR="008F1285" w:rsidRPr="00A134A7">
        <w:rPr>
          <w:rFonts w:cs="Arial"/>
          <w:lang w:val="en-AU"/>
        </w:rPr>
        <w:t xml:space="preserve">during </w:t>
      </w:r>
      <w:r w:rsidRPr="00A134A7">
        <w:rPr>
          <w:rFonts w:cs="Arial"/>
          <w:lang w:val="en-AU"/>
        </w:rPr>
        <w:t xml:space="preserve">the implementation of the CGRSWS. Feedback from Traditional Owners is that the </w:t>
      </w:r>
      <w:r w:rsidR="00D43A8B" w:rsidRPr="00A134A7">
        <w:rPr>
          <w:rFonts w:cs="Arial"/>
          <w:lang w:val="en-AU"/>
        </w:rPr>
        <w:t>s</w:t>
      </w:r>
      <w:r w:rsidRPr="00A134A7">
        <w:rPr>
          <w:rFonts w:cs="Arial"/>
          <w:lang w:val="en-AU"/>
        </w:rPr>
        <w:t>trategy building process is to be used as an example for other strategy building processes across the Victorian Government.</w:t>
      </w:r>
    </w:p>
    <w:p w14:paraId="61890861" w14:textId="192BE0D0" w:rsidR="00062F22" w:rsidRPr="00A134A7" w:rsidRDefault="00062F22" w:rsidP="00A55D2C">
      <w:pPr>
        <w:pStyle w:val="BulletLevel1"/>
        <w:rPr>
          <w:rFonts w:cs="Arial"/>
          <w:lang w:val="en-AU"/>
        </w:rPr>
      </w:pPr>
      <w:r w:rsidRPr="00A134A7">
        <w:rPr>
          <w:rFonts w:cs="Arial"/>
          <w:lang w:val="en-AU"/>
        </w:rPr>
        <w:t xml:space="preserve">Delivery of the Cultural Water for Cultural Economies project and 10 </w:t>
      </w:r>
      <w:r w:rsidR="00F95CF5" w:rsidRPr="00A134A7">
        <w:rPr>
          <w:rFonts w:cs="Arial"/>
          <w:lang w:val="en-AU"/>
        </w:rPr>
        <w:t>Traditional Owner-</w:t>
      </w:r>
      <w:r w:rsidRPr="00A134A7">
        <w:rPr>
          <w:rFonts w:cs="Arial"/>
          <w:lang w:val="en-AU"/>
        </w:rPr>
        <w:t xml:space="preserve">led pilot projects focused on access to water for economic development (2019-21), provided foundational information used to inform the </w:t>
      </w:r>
      <w:r w:rsidR="000C125E" w:rsidRPr="00A134A7">
        <w:rPr>
          <w:rFonts w:cs="Arial"/>
          <w:lang w:val="en-AU"/>
        </w:rPr>
        <w:t>g</w:t>
      </w:r>
      <w:r w:rsidRPr="00A134A7">
        <w:rPr>
          <w:rFonts w:cs="Arial"/>
          <w:lang w:val="en-AU"/>
        </w:rPr>
        <w:t>overnment's drafting on Water is Life. The Cultural Water for Cultural Economies project included over 40 meetings and workshops with representatives from 20 T</w:t>
      </w:r>
      <w:r w:rsidR="00F95CF5" w:rsidRPr="00A134A7">
        <w:rPr>
          <w:rFonts w:cs="Arial"/>
          <w:lang w:val="en-AU"/>
        </w:rPr>
        <w:t xml:space="preserve">raditional </w:t>
      </w:r>
      <w:r w:rsidRPr="00A134A7">
        <w:rPr>
          <w:rFonts w:cs="Arial"/>
          <w:lang w:val="en-AU"/>
        </w:rPr>
        <w:t>O</w:t>
      </w:r>
      <w:r w:rsidR="00F95CF5" w:rsidRPr="00A134A7">
        <w:rPr>
          <w:rFonts w:cs="Arial"/>
          <w:lang w:val="en-AU"/>
        </w:rPr>
        <w:t>wner</w:t>
      </w:r>
      <w:r w:rsidRPr="00A134A7">
        <w:rPr>
          <w:rFonts w:cs="Arial"/>
          <w:lang w:val="en-AU"/>
        </w:rPr>
        <w:t xml:space="preserve"> groups.</w:t>
      </w:r>
    </w:p>
    <w:p w14:paraId="35676267" w14:textId="6035B289" w:rsidR="00CC7A03" w:rsidRPr="00A134A7" w:rsidRDefault="008D6090" w:rsidP="00FC4E10">
      <w:pPr>
        <w:pStyle w:val="BulletLevel1"/>
        <w:rPr>
          <w:rFonts w:cs="Arial"/>
          <w:lang w:val="en-AU"/>
        </w:rPr>
      </w:pPr>
      <w:r w:rsidRPr="00A134A7">
        <w:rPr>
          <w:rFonts w:cs="Arial"/>
          <w:lang w:val="en-AU"/>
        </w:rPr>
        <w:t xml:space="preserve">Traditional Owner groups were key participants in the </w:t>
      </w:r>
      <w:r w:rsidR="007628AD" w:rsidRPr="00A134A7">
        <w:rPr>
          <w:rFonts w:cs="Arial"/>
          <w:lang w:val="en-AU"/>
        </w:rPr>
        <w:t>c</w:t>
      </w:r>
      <w:r w:rsidRPr="00A134A7">
        <w:rPr>
          <w:rFonts w:cs="Arial"/>
          <w:lang w:val="en-AU"/>
        </w:rPr>
        <w:t xml:space="preserve">atchment stewardship projects as part of the </w:t>
      </w:r>
      <w:r w:rsidR="00632CB6" w:rsidRPr="00A134A7">
        <w:rPr>
          <w:rFonts w:cs="Arial"/>
          <w:lang w:val="en-AU"/>
        </w:rPr>
        <w:t>OCOC</w:t>
      </w:r>
      <w:r w:rsidRPr="00A134A7">
        <w:rPr>
          <w:rFonts w:cs="Arial"/>
          <w:lang w:val="en-AU"/>
        </w:rPr>
        <w:t xml:space="preserve"> project, </w:t>
      </w:r>
      <w:r w:rsidR="007628AD" w:rsidRPr="00A134A7">
        <w:rPr>
          <w:rFonts w:cs="Arial"/>
          <w:lang w:val="en-AU"/>
        </w:rPr>
        <w:t>including</w:t>
      </w:r>
      <w:r w:rsidRPr="00A134A7">
        <w:rPr>
          <w:rFonts w:cs="Arial"/>
          <w:lang w:val="en-AU"/>
        </w:rPr>
        <w:t xml:space="preserve"> 12 formal partnerships with Traditional Owner groups and 22 with Aboriginal Victorians</w:t>
      </w:r>
      <w:r w:rsidR="00AE2F54" w:rsidRPr="00A134A7">
        <w:rPr>
          <w:rFonts w:cs="Arial"/>
          <w:lang w:val="en-AU"/>
        </w:rPr>
        <w:t>.</w:t>
      </w:r>
    </w:p>
    <w:p w14:paraId="733C7F0C" w14:textId="77777777" w:rsidR="00A50E7D" w:rsidRPr="00A134A7" w:rsidRDefault="001D0F14" w:rsidP="00FC4E10">
      <w:pPr>
        <w:pStyle w:val="BulletLevel1"/>
        <w:rPr>
          <w:rFonts w:cs="Arial"/>
          <w:lang w:val="en-AU"/>
        </w:rPr>
      </w:pPr>
      <w:r w:rsidRPr="00A134A7">
        <w:rPr>
          <w:rFonts w:cs="Arial"/>
          <w:lang w:val="en-AU"/>
        </w:rPr>
        <w:lastRenderedPageBreak/>
        <w:t xml:space="preserve">Strengthened relationships with the Yorta Yorta Nation Aboriginal Corporation during the development of Black Swamp Environmental Water Management Plan which enabled sharing and learning with Goulburn Broken </w:t>
      </w:r>
      <w:r w:rsidR="00BE5971" w:rsidRPr="00A134A7">
        <w:rPr>
          <w:rFonts w:cs="Arial"/>
          <w:lang w:val="en-AU"/>
        </w:rPr>
        <w:t>CMA</w:t>
      </w:r>
      <w:r w:rsidRPr="00A134A7">
        <w:rPr>
          <w:rFonts w:cs="Arial"/>
          <w:lang w:val="en-AU"/>
        </w:rPr>
        <w:t xml:space="preserve"> on culturally sensitive language and improved context for the Moodie Swamp and </w:t>
      </w:r>
      <w:r w:rsidR="008D14E2" w:rsidRPr="00A134A7">
        <w:rPr>
          <w:rFonts w:cs="Arial"/>
          <w:lang w:val="en-AU"/>
        </w:rPr>
        <w:t>L</w:t>
      </w:r>
      <w:r w:rsidRPr="00A134A7">
        <w:rPr>
          <w:rFonts w:cs="Arial"/>
          <w:lang w:val="en-AU"/>
        </w:rPr>
        <w:t xml:space="preserve">ower Broken Creek </w:t>
      </w:r>
      <w:r w:rsidR="00632CB6" w:rsidRPr="00A134A7">
        <w:rPr>
          <w:rFonts w:cs="Arial"/>
          <w:lang w:val="en-AU"/>
        </w:rPr>
        <w:t>Environmental Water Management Plans</w:t>
      </w:r>
      <w:r w:rsidRPr="00A134A7">
        <w:rPr>
          <w:rFonts w:cs="Arial"/>
          <w:lang w:val="en-AU"/>
        </w:rPr>
        <w:t>.</w:t>
      </w:r>
    </w:p>
    <w:p w14:paraId="636A3EB8" w14:textId="77777777" w:rsidR="00A50E7D" w:rsidRPr="005D74D1" w:rsidRDefault="00D7069D" w:rsidP="006961E8">
      <w:pPr>
        <w:pStyle w:val="BodyText"/>
        <w:rPr>
          <w:rFonts w:cs="Arial"/>
        </w:rPr>
      </w:pPr>
      <w:r w:rsidRPr="005D74D1">
        <w:rPr>
          <w:rFonts w:cs="Arial"/>
        </w:rPr>
        <w:t>However, there is more work to do to meaningfully include and support Traditional Owners in water sector management and decision-making across Victoria</w:t>
      </w:r>
      <w:r w:rsidR="00A96BEF" w:rsidRPr="005D74D1">
        <w:rPr>
          <w:rFonts w:cs="Arial"/>
        </w:rPr>
        <w:t>. Continued investment is needed into EC6</w:t>
      </w:r>
      <w:r w:rsidR="00A96BEF" w:rsidRPr="00A134A7">
        <w:rPr>
          <w:rFonts w:cs="Arial"/>
        </w:rPr>
        <w:t xml:space="preserve"> </w:t>
      </w:r>
      <w:r w:rsidR="00A96BEF" w:rsidRPr="005D74D1">
        <w:rPr>
          <w:rFonts w:cs="Arial"/>
        </w:rPr>
        <w:t xml:space="preserve">to successfully implement the full suite of actions included in Water is Life and the CGRSWS, and meaningfully embed Traditional Owner involvement, values and principles of self-determination throughout the EC5 projects and the broader Victorian </w:t>
      </w:r>
      <w:r w:rsidR="00DC6C57" w:rsidRPr="005D74D1">
        <w:rPr>
          <w:rFonts w:cs="Arial"/>
        </w:rPr>
        <w:t>w</w:t>
      </w:r>
      <w:r w:rsidR="00A96BEF" w:rsidRPr="005D74D1">
        <w:rPr>
          <w:rFonts w:cs="Arial"/>
        </w:rPr>
        <w:t xml:space="preserve">ater sector. </w:t>
      </w:r>
      <w:r w:rsidR="00CE105E" w:rsidRPr="005D74D1">
        <w:rPr>
          <w:rFonts w:cs="Arial"/>
        </w:rPr>
        <w:t>A little over half (</w:t>
      </w:r>
      <w:r w:rsidR="00A96BEF" w:rsidRPr="005D74D1">
        <w:rPr>
          <w:rFonts w:cs="Arial"/>
        </w:rPr>
        <w:t>58%</w:t>
      </w:r>
      <w:r w:rsidR="00CE105E" w:rsidRPr="005D74D1">
        <w:rPr>
          <w:rFonts w:cs="Arial"/>
        </w:rPr>
        <w:t>)</w:t>
      </w:r>
      <w:r w:rsidR="00A96BEF" w:rsidRPr="005D74D1">
        <w:rPr>
          <w:rFonts w:cs="Arial"/>
        </w:rPr>
        <w:t xml:space="preserve"> of the project evaluations indicated that the project </w:t>
      </w:r>
      <w:r w:rsidR="00DC6C57" w:rsidRPr="005D74D1">
        <w:rPr>
          <w:rFonts w:cs="Arial"/>
        </w:rPr>
        <w:t xml:space="preserve">supported </w:t>
      </w:r>
      <w:r w:rsidR="00A96BEF" w:rsidRPr="005D74D1">
        <w:rPr>
          <w:rFonts w:cs="Arial"/>
        </w:rPr>
        <w:t>Traditional Owner self-determination objectives and aspirations. Recognising that many of the projects were historically developed with little or no Traditional Owner involvement, this indicates that Traditional Owner inclusion is increasingly being integrated into the EC and water sector and momentum is building in the right direction.</w:t>
      </w:r>
    </w:p>
    <w:p w14:paraId="5CDD03EC" w14:textId="3347C556" w:rsidR="0099347F" w:rsidRPr="005D74D1" w:rsidRDefault="004D4008" w:rsidP="00FC4E10">
      <w:pPr>
        <w:pStyle w:val="BodyText"/>
        <w:rPr>
          <w:rFonts w:cs="Arial"/>
        </w:rPr>
      </w:pPr>
      <w:r w:rsidRPr="005D74D1">
        <w:rPr>
          <w:rFonts w:cs="Arial"/>
        </w:rPr>
        <w:t xml:space="preserve">While the development of </w:t>
      </w:r>
      <w:r w:rsidRPr="005D74D1">
        <w:rPr>
          <w:rFonts w:cs="Arial"/>
          <w:i/>
          <w:iCs/>
        </w:rPr>
        <w:t>Water is Life</w:t>
      </w:r>
      <w:r w:rsidRPr="005D74D1">
        <w:rPr>
          <w:rFonts w:cs="Arial"/>
        </w:rPr>
        <w:t xml:space="preserve">, the CGRSWS and Aboriginal Water Program funding have all contributed significantly to elevating Traditional Owner voices and enabling Traditional Owner self-determination of water management priorities, there is work to be done to create an enabling environment for partnerships with Traditional Owners. </w:t>
      </w:r>
      <w:r w:rsidR="0099347F" w:rsidRPr="005D74D1">
        <w:rPr>
          <w:rFonts w:cs="Arial"/>
        </w:rPr>
        <w:t xml:space="preserve">Since the beginning of EC5, </w:t>
      </w:r>
      <w:r w:rsidR="008303B3" w:rsidRPr="005D74D1">
        <w:rPr>
          <w:rFonts w:cs="Arial"/>
        </w:rPr>
        <w:t>the Victorian G</w:t>
      </w:r>
      <w:r w:rsidR="0099347F" w:rsidRPr="005D74D1">
        <w:rPr>
          <w:rFonts w:cs="Arial"/>
        </w:rPr>
        <w:t xml:space="preserve">overnment and the water sector have increased responsibilities and obligations to include Traditional Owners in the way water is managed in Victoria. However, Traditional Owner organisations report being over-stretched and describe the ongoing challenge of balancing and </w:t>
      </w:r>
      <w:r w:rsidR="00E82AAC" w:rsidRPr="005D74D1">
        <w:rPr>
          <w:rFonts w:cs="Arial"/>
        </w:rPr>
        <w:t>engaging with multiple and</w:t>
      </w:r>
      <w:r w:rsidR="0099347F" w:rsidRPr="005D74D1">
        <w:rPr>
          <w:rFonts w:cs="Arial"/>
        </w:rPr>
        <w:t xml:space="preserve"> competing priorities. These priorities often suit the needs of </w:t>
      </w:r>
      <w:r w:rsidR="00E82AAC" w:rsidRPr="005D74D1">
        <w:rPr>
          <w:rFonts w:cs="Arial"/>
        </w:rPr>
        <w:t>G</w:t>
      </w:r>
      <w:r w:rsidR="0099347F" w:rsidRPr="005D74D1">
        <w:rPr>
          <w:rFonts w:cs="Arial"/>
        </w:rPr>
        <w:t>overnment and/or the water sector, rather than those of Traditional Owners, and therefore reduce Traditional Owners’ ability to exercise self-determination in water management.</w:t>
      </w:r>
    </w:p>
    <w:p w14:paraId="6E1E07CE" w14:textId="6B4CB2A9" w:rsidR="0099347F" w:rsidRPr="005D74D1" w:rsidRDefault="00733AEC" w:rsidP="00FC4E10">
      <w:pPr>
        <w:pStyle w:val="BodyText"/>
        <w:rPr>
          <w:rFonts w:cs="Arial"/>
        </w:rPr>
      </w:pPr>
      <w:r w:rsidRPr="005D74D1">
        <w:rPr>
          <w:rFonts w:cs="Arial"/>
        </w:rPr>
        <w:t>For</w:t>
      </w:r>
      <w:r w:rsidR="0099347F" w:rsidRPr="005D74D1">
        <w:rPr>
          <w:rFonts w:cs="Arial"/>
        </w:rPr>
        <w:t xml:space="preserve"> Traditional Owners to partner with government and contribute to government processes from an informed position, </w:t>
      </w:r>
      <w:r w:rsidRPr="005D74D1">
        <w:rPr>
          <w:rFonts w:cs="Arial"/>
        </w:rPr>
        <w:t>they</w:t>
      </w:r>
      <w:r w:rsidR="0099347F" w:rsidRPr="005D74D1">
        <w:rPr>
          <w:rFonts w:cs="Arial"/>
        </w:rPr>
        <w:t xml:space="preserve"> must be able to determine and articulate their water priorities, be adequately resourced, and </w:t>
      </w:r>
      <w:r w:rsidR="00A7645D" w:rsidRPr="005D74D1">
        <w:rPr>
          <w:rFonts w:cs="Arial"/>
        </w:rPr>
        <w:t xml:space="preserve">be </w:t>
      </w:r>
      <w:r w:rsidR="0099347F" w:rsidRPr="005D74D1">
        <w:rPr>
          <w:rFonts w:cs="Arial"/>
        </w:rPr>
        <w:t>included as early as possible in the development and delivery of projects. Business case development and program planning must consider the resources necessary to enable Traditional Owners to participate fully in EC projects.</w:t>
      </w:r>
    </w:p>
    <w:p w14:paraId="7C6A5C35" w14:textId="5704022D" w:rsidR="004D4008" w:rsidRPr="005D74D1" w:rsidRDefault="004D4008" w:rsidP="00FC4E10">
      <w:pPr>
        <w:pStyle w:val="BodyText"/>
        <w:rPr>
          <w:rFonts w:cs="Arial"/>
        </w:rPr>
      </w:pPr>
      <w:r w:rsidRPr="005D74D1">
        <w:rPr>
          <w:rFonts w:cs="Arial"/>
        </w:rPr>
        <w:t>Traditional Owner groups have indicated that more funding support is needed to enable them to develop the skills and capacity to effectively participate in EC projects, and several project evaluations reported on challenges in aligning project work plans with Traditional Owner timeframes and priorities. Future governance and funding structures will need to be designed in collaboration with Traditional Owner organisations to account for the increased demand for engagement and partnership on a wide range of matters across water resource management.</w:t>
      </w:r>
    </w:p>
    <w:p w14:paraId="420CCF72" w14:textId="11DFC540" w:rsidR="0071167C" w:rsidRPr="005D74D1" w:rsidRDefault="0071167C" w:rsidP="00FC4E10">
      <w:pPr>
        <w:pStyle w:val="BodyText"/>
        <w:rPr>
          <w:rFonts w:cs="Arial"/>
        </w:rPr>
      </w:pPr>
      <w:r w:rsidRPr="005D74D1">
        <w:rPr>
          <w:rFonts w:cs="Arial"/>
        </w:rPr>
        <w:t>Some</w:t>
      </w:r>
      <w:r w:rsidR="00267B3B" w:rsidRPr="005D74D1">
        <w:rPr>
          <w:rFonts w:cs="Arial"/>
        </w:rPr>
        <w:t xml:space="preserve"> relevant strategies suggested by EC5 project teams </w:t>
      </w:r>
      <w:r w:rsidR="005919FA" w:rsidRPr="005D74D1">
        <w:rPr>
          <w:rFonts w:cs="Arial"/>
        </w:rPr>
        <w:t xml:space="preserve">to </w:t>
      </w:r>
      <w:r w:rsidR="00BF03E3" w:rsidRPr="005D74D1">
        <w:rPr>
          <w:rFonts w:cs="Arial"/>
        </w:rPr>
        <w:t>support</w:t>
      </w:r>
      <w:r w:rsidR="005919FA" w:rsidRPr="005D74D1">
        <w:rPr>
          <w:rFonts w:cs="Arial"/>
        </w:rPr>
        <w:t xml:space="preserve"> Traditional Owner </w:t>
      </w:r>
      <w:r w:rsidR="00BF03E3" w:rsidRPr="005D74D1">
        <w:rPr>
          <w:rFonts w:cs="Arial"/>
        </w:rPr>
        <w:t>self-determination and effective partnerships include</w:t>
      </w:r>
      <w:r w:rsidR="00D50D4F" w:rsidRPr="005D74D1">
        <w:rPr>
          <w:rFonts w:cs="Arial"/>
        </w:rPr>
        <w:t>:</w:t>
      </w:r>
    </w:p>
    <w:p w14:paraId="7CCA18EC" w14:textId="659B2088" w:rsidR="00D50D4F" w:rsidRPr="00A134A7" w:rsidRDefault="00BE5971" w:rsidP="0078213F">
      <w:pPr>
        <w:pStyle w:val="BulletLevel1"/>
        <w:rPr>
          <w:rFonts w:cs="Arial"/>
          <w:lang w:val="en-AU"/>
        </w:rPr>
      </w:pPr>
      <w:r w:rsidRPr="00A134A7">
        <w:rPr>
          <w:rFonts w:cs="Arial"/>
          <w:lang w:val="en-AU"/>
        </w:rPr>
        <w:t>H</w:t>
      </w:r>
      <w:r w:rsidR="00D50D4F" w:rsidRPr="00A134A7">
        <w:rPr>
          <w:rFonts w:cs="Arial"/>
          <w:lang w:val="en-AU"/>
        </w:rPr>
        <w:t xml:space="preserve">aving key relationship managers assigned </w:t>
      </w:r>
      <w:r w:rsidR="00B31597" w:rsidRPr="00A134A7">
        <w:rPr>
          <w:rFonts w:cs="Arial"/>
          <w:lang w:val="en-AU"/>
        </w:rPr>
        <w:t>to Traditional Owner partnerships</w:t>
      </w:r>
      <w:r w:rsidR="00E14894" w:rsidRPr="00A134A7">
        <w:rPr>
          <w:rFonts w:cs="Arial"/>
          <w:lang w:val="en-AU"/>
        </w:rPr>
        <w:t xml:space="preserve"> </w:t>
      </w:r>
      <w:r w:rsidR="0078213F" w:rsidRPr="00A134A7">
        <w:rPr>
          <w:rFonts w:cs="Arial"/>
          <w:lang w:val="en-AU"/>
        </w:rPr>
        <w:t>across the EC</w:t>
      </w:r>
      <w:r w:rsidRPr="00A134A7">
        <w:rPr>
          <w:rFonts w:cs="Arial"/>
          <w:lang w:val="en-AU"/>
        </w:rPr>
        <w:t>.</w:t>
      </w:r>
    </w:p>
    <w:p w14:paraId="2A5C842E" w14:textId="0B3BFBEB" w:rsidR="00E14894" w:rsidRPr="00A134A7" w:rsidRDefault="00BE5971" w:rsidP="0078213F">
      <w:pPr>
        <w:pStyle w:val="BulletLevel1"/>
        <w:rPr>
          <w:rFonts w:cs="Arial"/>
          <w:lang w:val="en-AU"/>
        </w:rPr>
      </w:pPr>
      <w:r w:rsidRPr="00A134A7">
        <w:rPr>
          <w:rFonts w:cs="Arial"/>
          <w:lang w:val="en-AU"/>
        </w:rPr>
        <w:t>I</w:t>
      </w:r>
      <w:r w:rsidR="00E14894" w:rsidRPr="00A134A7">
        <w:rPr>
          <w:rFonts w:cs="Arial"/>
          <w:lang w:val="en-AU"/>
        </w:rPr>
        <w:t>ncreased focus on creating culturally s</w:t>
      </w:r>
      <w:r w:rsidR="00661FCD" w:rsidRPr="00A134A7">
        <w:rPr>
          <w:rFonts w:cs="Arial"/>
          <w:lang w:val="en-AU"/>
        </w:rPr>
        <w:t>a</w:t>
      </w:r>
      <w:r w:rsidR="00E14894" w:rsidRPr="00A134A7">
        <w:rPr>
          <w:rFonts w:cs="Arial"/>
          <w:lang w:val="en-AU"/>
        </w:rPr>
        <w:t>fe and in</w:t>
      </w:r>
      <w:r w:rsidR="00661FCD" w:rsidRPr="00A134A7">
        <w:rPr>
          <w:rFonts w:cs="Arial"/>
          <w:lang w:val="en-AU"/>
        </w:rPr>
        <w:t>clusive</w:t>
      </w:r>
      <w:r w:rsidR="00E14894" w:rsidRPr="00A134A7">
        <w:rPr>
          <w:rFonts w:cs="Arial"/>
          <w:lang w:val="en-AU"/>
        </w:rPr>
        <w:t xml:space="preserve"> environment</w:t>
      </w:r>
      <w:r w:rsidR="00661FCD" w:rsidRPr="00A134A7">
        <w:rPr>
          <w:rFonts w:cs="Arial"/>
          <w:lang w:val="en-AU"/>
        </w:rPr>
        <w:t>s</w:t>
      </w:r>
      <w:r w:rsidR="00E14894" w:rsidRPr="00A134A7">
        <w:rPr>
          <w:rFonts w:cs="Arial"/>
          <w:lang w:val="en-AU"/>
        </w:rPr>
        <w:t xml:space="preserve"> for Elders and other Traditional Owners in collaborative forums / meetings</w:t>
      </w:r>
      <w:r w:rsidRPr="00A134A7">
        <w:rPr>
          <w:rFonts w:cs="Arial"/>
          <w:lang w:val="en-AU"/>
        </w:rPr>
        <w:t>.</w:t>
      </w:r>
    </w:p>
    <w:p w14:paraId="1E232C3E" w14:textId="1AB77304" w:rsidR="00523A4A" w:rsidRPr="00A134A7" w:rsidRDefault="00BE5971" w:rsidP="0078213F">
      <w:pPr>
        <w:pStyle w:val="BulletLevel1"/>
        <w:rPr>
          <w:rFonts w:cs="Arial"/>
          <w:lang w:val="en-AU"/>
        </w:rPr>
      </w:pPr>
      <w:r w:rsidRPr="00A134A7">
        <w:rPr>
          <w:rFonts w:cs="Arial"/>
          <w:lang w:val="en-AU"/>
        </w:rPr>
        <w:t>S</w:t>
      </w:r>
      <w:r w:rsidR="00523A4A" w:rsidRPr="00A134A7">
        <w:rPr>
          <w:rFonts w:cs="Arial"/>
          <w:lang w:val="en-AU"/>
        </w:rPr>
        <w:t>treamlining funding arrangements and ensuring there is oversight of broader engagement across the EC investment spectrum to avoid burdenin</w:t>
      </w:r>
      <w:r w:rsidR="00861BD0" w:rsidRPr="00A134A7">
        <w:rPr>
          <w:rFonts w:cs="Arial"/>
          <w:lang w:val="en-AU"/>
        </w:rPr>
        <w:t>g</w:t>
      </w:r>
      <w:r w:rsidR="00523A4A" w:rsidRPr="00A134A7">
        <w:rPr>
          <w:rFonts w:cs="Arial"/>
          <w:lang w:val="en-AU"/>
        </w:rPr>
        <w:t xml:space="preserve"> Traditional Owner partners.</w:t>
      </w:r>
    </w:p>
    <w:p w14:paraId="55471ECB" w14:textId="4BB41D0C" w:rsidR="00E14894" w:rsidRPr="00A134A7" w:rsidRDefault="00BE5971" w:rsidP="0078213F">
      <w:pPr>
        <w:pStyle w:val="BulletLevel1"/>
        <w:rPr>
          <w:rFonts w:cs="Arial"/>
          <w:lang w:val="en-AU"/>
        </w:rPr>
      </w:pPr>
      <w:r w:rsidRPr="00A134A7">
        <w:rPr>
          <w:rFonts w:cs="Arial"/>
          <w:lang w:val="en-AU"/>
        </w:rPr>
        <w:t>C</w:t>
      </w:r>
      <w:r w:rsidR="008F6C5C" w:rsidRPr="00A134A7">
        <w:rPr>
          <w:rFonts w:cs="Arial"/>
          <w:lang w:val="en-AU"/>
        </w:rPr>
        <w:t>onsideration of the</w:t>
      </w:r>
      <w:r w:rsidR="00523A4A" w:rsidRPr="00A134A7">
        <w:rPr>
          <w:rFonts w:cs="Arial"/>
          <w:lang w:val="en-AU"/>
        </w:rPr>
        <w:t xml:space="preserve"> ability to carry over Traditional Owner funding between tranches</w:t>
      </w:r>
      <w:r w:rsidR="00FD3927" w:rsidRPr="00A134A7">
        <w:rPr>
          <w:rFonts w:cs="Arial"/>
          <w:lang w:val="en-AU"/>
        </w:rPr>
        <w:t xml:space="preserve">, account for </w:t>
      </w:r>
      <w:r w:rsidR="00CF6C4D" w:rsidRPr="00A134A7">
        <w:rPr>
          <w:rFonts w:cs="Arial"/>
          <w:lang w:val="en-AU"/>
        </w:rPr>
        <w:t xml:space="preserve">the transitional period </w:t>
      </w:r>
      <w:r w:rsidR="00C83716" w:rsidRPr="00A134A7">
        <w:rPr>
          <w:rFonts w:cs="Arial"/>
          <w:lang w:val="en-AU"/>
        </w:rPr>
        <w:t xml:space="preserve">(gap) between when one </w:t>
      </w:r>
      <w:r w:rsidR="004A1EE4" w:rsidRPr="00A134A7">
        <w:rPr>
          <w:rFonts w:cs="Arial"/>
          <w:lang w:val="en-AU"/>
        </w:rPr>
        <w:t>EC tranche and the next,</w:t>
      </w:r>
      <w:r w:rsidR="00523A4A" w:rsidRPr="00A134A7">
        <w:rPr>
          <w:rFonts w:cs="Arial"/>
          <w:lang w:val="en-AU"/>
        </w:rPr>
        <w:t xml:space="preserve"> </w:t>
      </w:r>
      <w:r w:rsidR="008F6C5C" w:rsidRPr="00A134A7">
        <w:rPr>
          <w:rFonts w:cs="Arial"/>
          <w:lang w:val="en-AU"/>
        </w:rPr>
        <w:t>and</w:t>
      </w:r>
      <w:r w:rsidR="00523A4A" w:rsidRPr="00A134A7">
        <w:rPr>
          <w:rFonts w:cs="Arial"/>
          <w:lang w:val="en-AU"/>
        </w:rPr>
        <w:t xml:space="preserve"> combin</w:t>
      </w:r>
      <w:r w:rsidR="00356D98" w:rsidRPr="00A134A7">
        <w:rPr>
          <w:rFonts w:cs="Arial"/>
          <w:lang w:val="en-AU"/>
        </w:rPr>
        <w:t>e</w:t>
      </w:r>
      <w:r w:rsidR="00523A4A" w:rsidRPr="00A134A7">
        <w:rPr>
          <w:rFonts w:cs="Arial"/>
          <w:lang w:val="en-AU"/>
        </w:rPr>
        <w:t xml:space="preserve"> funding streams to minimise administrative burden on Traditional Owner </w:t>
      </w:r>
      <w:r w:rsidR="008E4B8A" w:rsidRPr="00A134A7">
        <w:rPr>
          <w:rFonts w:cs="Arial"/>
          <w:lang w:val="en-AU"/>
        </w:rPr>
        <w:t>groups</w:t>
      </w:r>
      <w:r w:rsidR="00861BD0" w:rsidRPr="00A134A7">
        <w:rPr>
          <w:rFonts w:cs="Arial"/>
          <w:lang w:val="en-AU"/>
        </w:rPr>
        <w:t>.</w:t>
      </w:r>
    </w:p>
    <w:p w14:paraId="00498952" w14:textId="77777777" w:rsidR="00A50E7D" w:rsidRPr="00A134A7" w:rsidRDefault="00BE5971" w:rsidP="0078213F">
      <w:pPr>
        <w:pStyle w:val="BulletLevel1"/>
        <w:rPr>
          <w:rFonts w:cs="Arial"/>
          <w:lang w:val="en-AU"/>
        </w:rPr>
      </w:pPr>
      <w:r w:rsidRPr="00A134A7">
        <w:rPr>
          <w:rFonts w:cs="Arial"/>
          <w:lang w:val="en-AU"/>
        </w:rPr>
        <w:t>I</w:t>
      </w:r>
      <w:r w:rsidR="00E70077" w:rsidRPr="00A134A7">
        <w:rPr>
          <w:rFonts w:cs="Arial"/>
          <w:lang w:val="en-AU"/>
        </w:rPr>
        <w:t>ncrease flexibility in funding agreements and project plans</w:t>
      </w:r>
      <w:r w:rsidR="00AB5F8A" w:rsidRPr="00A134A7">
        <w:rPr>
          <w:rFonts w:cs="Arial"/>
          <w:lang w:val="en-AU"/>
        </w:rPr>
        <w:t xml:space="preserve"> for Traditional Owner partners</w:t>
      </w:r>
      <w:r w:rsidR="00DD6D42" w:rsidRPr="00A134A7">
        <w:rPr>
          <w:rFonts w:cs="Arial"/>
          <w:lang w:val="en-AU"/>
        </w:rPr>
        <w:t>, to cater for dynamic and changing priorities</w:t>
      </w:r>
      <w:r w:rsidR="001744A4" w:rsidRPr="00A134A7">
        <w:rPr>
          <w:rFonts w:cs="Arial"/>
          <w:lang w:val="en-AU"/>
        </w:rPr>
        <w:t xml:space="preserve"> and act as an enable</w:t>
      </w:r>
      <w:r w:rsidR="008E4B8A" w:rsidRPr="00A134A7">
        <w:rPr>
          <w:rFonts w:cs="Arial"/>
          <w:lang w:val="en-AU"/>
        </w:rPr>
        <w:t>r</w:t>
      </w:r>
      <w:r w:rsidR="001744A4" w:rsidRPr="00A134A7">
        <w:rPr>
          <w:rFonts w:cs="Arial"/>
          <w:lang w:val="en-AU"/>
        </w:rPr>
        <w:t xml:space="preserve"> for </w:t>
      </w:r>
      <w:r w:rsidR="009C284A" w:rsidRPr="00A134A7">
        <w:rPr>
          <w:rFonts w:cs="Arial"/>
          <w:lang w:val="en-AU"/>
        </w:rPr>
        <w:t>self-determined priorities.</w:t>
      </w:r>
    </w:p>
    <w:p w14:paraId="74B62D3E" w14:textId="0239D914" w:rsidR="00E2085D" w:rsidRPr="00A134A7" w:rsidRDefault="00E2085D" w:rsidP="00E2085D">
      <w:pPr>
        <w:pStyle w:val="Heading3"/>
        <w:rPr>
          <w:rFonts w:ascii="Arial" w:hAnsi="Arial" w:cs="Arial"/>
        </w:rPr>
      </w:pPr>
      <w:bookmarkStart w:id="415" w:name="_Ref147094309"/>
      <w:r w:rsidRPr="00A134A7">
        <w:rPr>
          <w:rFonts w:ascii="Arial" w:hAnsi="Arial" w:cs="Arial"/>
        </w:rPr>
        <w:lastRenderedPageBreak/>
        <w:t>Increased water availability for Traditional Owner Groups</w:t>
      </w:r>
    </w:p>
    <w:p w14:paraId="0889D7CE" w14:textId="6EBE6078" w:rsidR="00E5539A" w:rsidRPr="005D74D1" w:rsidRDefault="00E2085D" w:rsidP="00FC4E10">
      <w:pPr>
        <w:pStyle w:val="BodyText"/>
        <w:rPr>
          <w:rFonts w:cs="Arial"/>
        </w:rPr>
      </w:pPr>
      <w:r w:rsidRPr="005D74D1">
        <w:rPr>
          <w:rFonts w:cs="Arial"/>
        </w:rPr>
        <w:t>The Victorian Government recognises First Nations’ and Traditional Owners’ rights and connection to water through Water for Victoria (2016) and is committed to increasing the water available to Traditional Owners to use for self-determined purposes. Water is Life</w:t>
      </w:r>
      <w:r w:rsidR="007C75CD" w:rsidRPr="005D74D1">
        <w:rPr>
          <w:rFonts w:cs="Arial"/>
        </w:rPr>
        <w:t xml:space="preserve"> </w:t>
      </w:r>
      <w:r w:rsidRPr="005D74D1">
        <w:rPr>
          <w:rFonts w:cs="Arial"/>
        </w:rPr>
        <w:t>and the CGRSWS establish pathways to increase water return to Traditional Owner Groups, which forms an important foundational basis for progress toward this outcome</w:t>
      </w:r>
      <w:r w:rsidR="007B7C61" w:rsidRPr="005D74D1">
        <w:rPr>
          <w:rFonts w:cs="Arial"/>
        </w:rPr>
        <w:t>.</w:t>
      </w:r>
    </w:p>
    <w:p w14:paraId="0214C191" w14:textId="43289B5B" w:rsidR="00E2085D" w:rsidRPr="005D74D1" w:rsidRDefault="00E2085D" w:rsidP="00FC4E10">
      <w:pPr>
        <w:pStyle w:val="BodyText"/>
        <w:rPr>
          <w:rFonts w:cs="Arial"/>
        </w:rPr>
      </w:pPr>
      <w:r w:rsidRPr="005D74D1">
        <w:rPr>
          <w:rFonts w:cs="Arial"/>
        </w:rPr>
        <w:t>Delivery of the Cultural Water for Cultural Economies project and 10 T</w:t>
      </w:r>
      <w:r w:rsidR="005007F8" w:rsidRPr="005D74D1">
        <w:rPr>
          <w:rFonts w:cs="Arial"/>
        </w:rPr>
        <w:t xml:space="preserve">raditional </w:t>
      </w:r>
      <w:r w:rsidRPr="005D74D1">
        <w:rPr>
          <w:rFonts w:cs="Arial"/>
        </w:rPr>
        <w:t>O</w:t>
      </w:r>
      <w:r w:rsidR="005007F8" w:rsidRPr="005D74D1">
        <w:rPr>
          <w:rFonts w:cs="Arial"/>
        </w:rPr>
        <w:t>wner</w:t>
      </w:r>
      <w:r w:rsidRPr="005D74D1">
        <w:rPr>
          <w:rFonts w:cs="Arial"/>
        </w:rPr>
        <w:t>-led pilot projects (2019-21) also focused on understanding the current barriers to Traditional Owners' accessing, using and managing water. These activities provided foundational information used to inform the pathways to increase water returns outlined in Water is Life.</w:t>
      </w:r>
    </w:p>
    <w:p w14:paraId="5A2CB846" w14:textId="77777777" w:rsidR="00A50E7D" w:rsidRPr="005D74D1" w:rsidRDefault="00E2085D" w:rsidP="00FC4E10">
      <w:pPr>
        <w:pStyle w:val="BodyText"/>
        <w:rPr>
          <w:rFonts w:cs="Arial"/>
        </w:rPr>
      </w:pPr>
      <w:r w:rsidRPr="005D74D1">
        <w:rPr>
          <w:rFonts w:cs="Arial"/>
        </w:rPr>
        <w:t xml:space="preserve">During EC5, the Victorian Government </w:t>
      </w:r>
      <w:r w:rsidR="00923F8A" w:rsidRPr="005D74D1">
        <w:rPr>
          <w:rFonts w:cs="Arial"/>
        </w:rPr>
        <w:t>returned</w:t>
      </w:r>
      <w:r w:rsidRPr="005D74D1">
        <w:rPr>
          <w:rFonts w:cs="Arial"/>
        </w:rPr>
        <w:t xml:space="preserve"> water to Traditional Owners</w:t>
      </w:r>
      <w:r w:rsidR="00C52589" w:rsidRPr="005D74D1">
        <w:rPr>
          <w:rFonts w:cs="Arial"/>
        </w:rPr>
        <w:t xml:space="preserve"> </w:t>
      </w:r>
      <w:r w:rsidR="00923F8A" w:rsidRPr="005D74D1">
        <w:rPr>
          <w:rFonts w:cs="Arial"/>
        </w:rPr>
        <w:t>through a range of projects including:</w:t>
      </w:r>
    </w:p>
    <w:p w14:paraId="0799FE5F" w14:textId="5BF8283E" w:rsidR="00E2085D" w:rsidRPr="00A134A7" w:rsidRDefault="00E2085D" w:rsidP="00FC4E10">
      <w:pPr>
        <w:pStyle w:val="BulletLevel1"/>
        <w:rPr>
          <w:rFonts w:cs="Arial"/>
          <w:lang w:val="en-AU"/>
        </w:rPr>
      </w:pPr>
      <w:r w:rsidRPr="00A134A7">
        <w:rPr>
          <w:rFonts w:cs="Arial"/>
          <w:lang w:val="en-AU"/>
        </w:rPr>
        <w:t>2 GL section 51 licence on the Mitchell River returned to Gunaikurnai Land and Waters Aboriginal Corporation in south-eastern Victoria</w:t>
      </w:r>
      <w:r w:rsidR="00A959EC" w:rsidRPr="00A134A7">
        <w:rPr>
          <w:rFonts w:cs="Arial"/>
          <w:lang w:val="en-AU"/>
        </w:rPr>
        <w:t>.</w:t>
      </w:r>
    </w:p>
    <w:p w14:paraId="39C031A4" w14:textId="695C76AD" w:rsidR="00E2085D" w:rsidRPr="00A134A7" w:rsidRDefault="00E2085D" w:rsidP="00FC4E10">
      <w:pPr>
        <w:pStyle w:val="BulletLevel1"/>
        <w:rPr>
          <w:rFonts w:cs="Arial"/>
          <w:lang w:val="en-AU"/>
        </w:rPr>
      </w:pPr>
      <w:r w:rsidRPr="00A134A7">
        <w:rPr>
          <w:rFonts w:cs="Arial"/>
          <w:lang w:val="en-AU"/>
        </w:rPr>
        <w:t>2.5 GL section 51 licence on the Fitzroy River system returned to Gunditj Mirring Traditional Owners Aboriginal Corporation in south-western Victoria</w:t>
      </w:r>
      <w:r w:rsidR="00A959EC" w:rsidRPr="00A134A7">
        <w:rPr>
          <w:rFonts w:cs="Arial"/>
          <w:lang w:val="en-AU"/>
        </w:rPr>
        <w:t>.</w:t>
      </w:r>
    </w:p>
    <w:p w14:paraId="1D3D4416" w14:textId="00677D3E" w:rsidR="00E2085D" w:rsidRPr="00A134A7" w:rsidRDefault="00E2085D" w:rsidP="00FC4E10">
      <w:pPr>
        <w:pStyle w:val="BulletLevel1"/>
        <w:rPr>
          <w:rFonts w:cs="Arial"/>
          <w:lang w:val="en-AU"/>
        </w:rPr>
      </w:pPr>
      <w:r w:rsidRPr="00A134A7">
        <w:rPr>
          <w:rFonts w:cs="Arial"/>
          <w:lang w:val="en-AU"/>
        </w:rPr>
        <w:t>two licences for cultural water use (</w:t>
      </w:r>
      <w:r w:rsidR="0005799E" w:rsidRPr="00A134A7">
        <w:rPr>
          <w:rFonts w:cs="Arial"/>
          <w:lang w:val="en-AU"/>
        </w:rPr>
        <w:t>0.</w:t>
      </w:r>
      <w:r w:rsidRPr="00A134A7">
        <w:rPr>
          <w:rFonts w:cs="Arial"/>
          <w:lang w:val="en-AU"/>
        </w:rPr>
        <w:t>200 </w:t>
      </w:r>
      <w:r w:rsidR="0005799E" w:rsidRPr="00A134A7">
        <w:rPr>
          <w:rFonts w:cs="Arial"/>
          <w:lang w:val="en-AU"/>
        </w:rPr>
        <w:t>G</w:t>
      </w:r>
      <w:r w:rsidRPr="00A134A7">
        <w:rPr>
          <w:rFonts w:cs="Arial"/>
          <w:lang w:val="en-AU"/>
        </w:rPr>
        <w:t xml:space="preserve">L at Buchan Munji and </w:t>
      </w:r>
      <w:r w:rsidR="0005799E" w:rsidRPr="00A134A7">
        <w:rPr>
          <w:rFonts w:cs="Arial"/>
          <w:lang w:val="en-AU"/>
        </w:rPr>
        <w:t>0.</w:t>
      </w:r>
      <w:r w:rsidRPr="00A134A7">
        <w:rPr>
          <w:rFonts w:cs="Arial"/>
          <w:lang w:val="en-AU"/>
        </w:rPr>
        <w:t>500 </w:t>
      </w:r>
      <w:r w:rsidR="0005799E" w:rsidRPr="00A134A7">
        <w:rPr>
          <w:rFonts w:cs="Arial"/>
          <w:lang w:val="en-AU"/>
        </w:rPr>
        <w:t>G</w:t>
      </w:r>
      <w:r w:rsidRPr="00A134A7">
        <w:rPr>
          <w:rFonts w:cs="Arial"/>
          <w:lang w:val="en-AU"/>
        </w:rPr>
        <w:t>L on the Tambo River) issued to Gunaikurnai Land and Waters Aboriginal Corporation</w:t>
      </w:r>
      <w:r w:rsidR="00A959EC" w:rsidRPr="00A134A7">
        <w:rPr>
          <w:rFonts w:cs="Arial"/>
          <w:lang w:val="en-AU"/>
        </w:rPr>
        <w:t>.</w:t>
      </w:r>
    </w:p>
    <w:p w14:paraId="5269BBDC" w14:textId="33F1A5FC" w:rsidR="00E2085D" w:rsidRPr="00A134A7" w:rsidRDefault="00A959EC" w:rsidP="00FC4E10">
      <w:pPr>
        <w:pStyle w:val="BulletLevel1"/>
        <w:rPr>
          <w:rFonts w:cs="Arial"/>
          <w:lang w:val="en-AU"/>
        </w:rPr>
      </w:pPr>
      <w:r w:rsidRPr="00A134A7">
        <w:rPr>
          <w:rFonts w:cs="Arial"/>
          <w:lang w:val="en-AU"/>
        </w:rPr>
        <w:t>A</w:t>
      </w:r>
      <w:r w:rsidR="00E2085D" w:rsidRPr="00A134A7">
        <w:rPr>
          <w:rFonts w:cs="Arial"/>
          <w:lang w:val="en-AU"/>
        </w:rPr>
        <w:t xml:space="preserve"> number of water returns in progress at the time of this </w:t>
      </w:r>
      <w:r w:rsidR="00FD1D22" w:rsidRPr="00A134A7">
        <w:rPr>
          <w:rFonts w:cs="Arial"/>
          <w:lang w:val="en-AU"/>
        </w:rPr>
        <w:t>End</w:t>
      </w:r>
      <w:r w:rsidR="00615878" w:rsidRPr="00A134A7">
        <w:rPr>
          <w:rFonts w:cs="Arial"/>
          <w:lang w:val="en-AU"/>
        </w:rPr>
        <w:t>-O</w:t>
      </w:r>
      <w:r w:rsidR="00FD1D22" w:rsidRPr="00A134A7">
        <w:rPr>
          <w:rFonts w:cs="Arial"/>
          <w:lang w:val="en-AU"/>
        </w:rPr>
        <w:t>f</w:t>
      </w:r>
      <w:r w:rsidR="00615878" w:rsidRPr="00A134A7">
        <w:rPr>
          <w:rFonts w:cs="Arial"/>
          <w:lang w:val="en-AU"/>
        </w:rPr>
        <w:t>-</w:t>
      </w:r>
      <w:r w:rsidR="00FD1D22" w:rsidRPr="00A134A7">
        <w:rPr>
          <w:rFonts w:cs="Arial"/>
          <w:lang w:val="en-AU"/>
        </w:rPr>
        <w:t>Tranche</w:t>
      </w:r>
      <w:r w:rsidR="00E2085D" w:rsidRPr="00A134A7">
        <w:rPr>
          <w:rFonts w:cs="Arial"/>
          <w:lang w:val="en-AU"/>
        </w:rPr>
        <w:t xml:space="preserve"> evaluation</w:t>
      </w:r>
      <w:r w:rsidRPr="00A134A7">
        <w:rPr>
          <w:rFonts w:cs="Arial"/>
          <w:lang w:val="en-AU"/>
        </w:rPr>
        <w:t>.</w:t>
      </w:r>
    </w:p>
    <w:p w14:paraId="482C40CA" w14:textId="77777777" w:rsidR="00A50E7D" w:rsidRPr="00A134A7" w:rsidRDefault="00A959EC" w:rsidP="00FC4E10">
      <w:pPr>
        <w:pStyle w:val="BulletLevel1"/>
        <w:rPr>
          <w:rFonts w:cs="Arial"/>
          <w:lang w:val="en-AU"/>
        </w:rPr>
      </w:pPr>
      <w:r w:rsidRPr="00A134A7">
        <w:rPr>
          <w:rFonts w:cs="Arial"/>
          <w:lang w:val="en-AU"/>
        </w:rPr>
        <w:t>I</w:t>
      </w:r>
      <w:r w:rsidR="00E2085D" w:rsidRPr="00A134A7">
        <w:rPr>
          <w:rFonts w:cs="Arial"/>
          <w:lang w:val="en-AU"/>
        </w:rPr>
        <w:t>n March 2022, Victoria reported for the National Agreement on Closing the Gap (Inland Waters Target) that Traditional Owners and Aboriginal Victorians held 4</w:t>
      </w:r>
      <w:r w:rsidR="0005799E" w:rsidRPr="00A134A7">
        <w:rPr>
          <w:rFonts w:cs="Arial"/>
          <w:lang w:val="en-AU"/>
        </w:rPr>
        <w:t>.</w:t>
      </w:r>
      <w:r w:rsidR="00E2085D" w:rsidRPr="00A134A7">
        <w:rPr>
          <w:rFonts w:cs="Arial"/>
          <w:lang w:val="en-AU"/>
        </w:rPr>
        <w:t>298 </w:t>
      </w:r>
      <w:r w:rsidR="0005799E" w:rsidRPr="00A134A7">
        <w:rPr>
          <w:rFonts w:cs="Arial"/>
          <w:lang w:val="en-AU"/>
        </w:rPr>
        <w:t>G</w:t>
      </w:r>
      <w:r w:rsidR="00E2085D" w:rsidRPr="00A134A7">
        <w:rPr>
          <w:rFonts w:cs="Arial"/>
          <w:lang w:val="en-AU"/>
        </w:rPr>
        <w:t xml:space="preserve">L of water entitlements. As of </w:t>
      </w:r>
      <w:r w:rsidR="005007F8" w:rsidRPr="00A134A7">
        <w:rPr>
          <w:rFonts w:cs="Arial"/>
          <w:lang w:val="en-AU"/>
        </w:rPr>
        <w:t>30 June 2024</w:t>
      </w:r>
      <w:r w:rsidR="00E2085D" w:rsidRPr="00A134A7">
        <w:rPr>
          <w:rFonts w:cs="Arial"/>
          <w:lang w:val="en-AU"/>
        </w:rPr>
        <w:t xml:space="preserve">, this figure has increased to </w:t>
      </w:r>
      <w:r w:rsidR="005007F8" w:rsidRPr="00A134A7">
        <w:rPr>
          <w:rFonts w:cs="Arial"/>
          <w:lang w:val="en-AU"/>
        </w:rPr>
        <w:t>9</w:t>
      </w:r>
      <w:r w:rsidR="0005799E" w:rsidRPr="00A134A7">
        <w:rPr>
          <w:rFonts w:cs="Arial"/>
          <w:lang w:val="en-AU"/>
        </w:rPr>
        <w:t>.</w:t>
      </w:r>
      <w:r w:rsidR="005007F8" w:rsidRPr="00A134A7">
        <w:rPr>
          <w:rFonts w:cs="Arial"/>
          <w:lang w:val="en-AU"/>
        </w:rPr>
        <w:t>228</w:t>
      </w:r>
      <w:r w:rsidR="00E2085D" w:rsidRPr="00A134A7">
        <w:rPr>
          <w:rFonts w:cs="Arial"/>
          <w:lang w:val="en-AU"/>
        </w:rPr>
        <w:t> </w:t>
      </w:r>
      <w:r w:rsidR="0005799E" w:rsidRPr="00A134A7">
        <w:rPr>
          <w:rFonts w:cs="Arial"/>
          <w:lang w:val="en-AU"/>
        </w:rPr>
        <w:t>G</w:t>
      </w:r>
      <w:r w:rsidR="00E2085D" w:rsidRPr="00A134A7">
        <w:rPr>
          <w:rFonts w:cs="Arial"/>
          <w:lang w:val="en-AU"/>
        </w:rPr>
        <w:t>L.</w:t>
      </w:r>
    </w:p>
    <w:p w14:paraId="78A84B95" w14:textId="77777777" w:rsidR="00A50E7D" w:rsidRPr="005D74D1" w:rsidRDefault="00E2085D" w:rsidP="00FC4E10">
      <w:pPr>
        <w:pStyle w:val="BodyText"/>
        <w:rPr>
          <w:rFonts w:cs="Arial"/>
        </w:rPr>
      </w:pPr>
      <w:r w:rsidRPr="005D74D1">
        <w:rPr>
          <w:rFonts w:cs="Arial"/>
        </w:rPr>
        <w:t>Other examples of how projects are considering ways to work toward this outcome include:</w:t>
      </w:r>
    </w:p>
    <w:p w14:paraId="03BE93A8" w14:textId="2F8ABE03" w:rsidR="00E2085D" w:rsidRPr="00A134A7" w:rsidRDefault="00D35D47" w:rsidP="00FC4E10">
      <w:pPr>
        <w:pStyle w:val="BulletLevel1"/>
        <w:rPr>
          <w:rFonts w:cs="Arial"/>
          <w:lang w:val="en-AU"/>
        </w:rPr>
      </w:pPr>
      <w:r w:rsidRPr="00A134A7">
        <w:rPr>
          <w:rFonts w:cs="Arial"/>
          <w:lang w:val="en-AU"/>
        </w:rPr>
        <w:t xml:space="preserve">The </w:t>
      </w:r>
      <w:r w:rsidR="00D43A8B" w:rsidRPr="00A134A7">
        <w:rPr>
          <w:rFonts w:cs="Arial"/>
          <w:lang w:val="en-AU"/>
        </w:rPr>
        <w:t>L</w:t>
      </w:r>
      <w:r w:rsidRPr="00A134A7">
        <w:rPr>
          <w:rFonts w:cs="Arial"/>
          <w:lang w:val="en-AU"/>
        </w:rPr>
        <w:t xml:space="preserve">icensing </w:t>
      </w:r>
      <w:r w:rsidR="00D43A8B" w:rsidRPr="00A134A7">
        <w:rPr>
          <w:rFonts w:cs="Arial"/>
          <w:lang w:val="en-AU"/>
        </w:rPr>
        <w:t>F</w:t>
      </w:r>
      <w:r w:rsidRPr="00A134A7">
        <w:rPr>
          <w:rFonts w:cs="Arial"/>
          <w:lang w:val="en-AU"/>
        </w:rPr>
        <w:t xml:space="preserve">ramework </w:t>
      </w:r>
      <w:r w:rsidR="00D43A8B" w:rsidRPr="00A134A7">
        <w:rPr>
          <w:rFonts w:cs="Arial"/>
          <w:lang w:val="en-AU"/>
        </w:rPr>
        <w:t>G</w:t>
      </w:r>
      <w:r w:rsidRPr="00A134A7">
        <w:rPr>
          <w:rFonts w:cs="Arial"/>
          <w:lang w:val="en-AU"/>
        </w:rPr>
        <w:t xml:space="preserve">roundwater and </w:t>
      </w:r>
      <w:r w:rsidR="00D43A8B" w:rsidRPr="00A134A7">
        <w:rPr>
          <w:rFonts w:cs="Arial"/>
          <w:lang w:val="en-AU"/>
        </w:rPr>
        <w:t>U</w:t>
      </w:r>
      <w:r w:rsidRPr="00A134A7">
        <w:rPr>
          <w:rFonts w:cs="Arial"/>
          <w:lang w:val="en-AU"/>
        </w:rPr>
        <w:t xml:space="preserve">nregulated </w:t>
      </w:r>
      <w:r w:rsidR="00D43A8B" w:rsidRPr="00A134A7">
        <w:rPr>
          <w:rFonts w:cs="Arial"/>
          <w:lang w:val="en-AU"/>
        </w:rPr>
        <w:t>S</w:t>
      </w:r>
      <w:r w:rsidRPr="00A134A7">
        <w:rPr>
          <w:rFonts w:cs="Arial"/>
          <w:lang w:val="en-AU"/>
        </w:rPr>
        <w:t>ystems</w:t>
      </w:r>
      <w:r w:rsidRPr="005D74D1">
        <w:rPr>
          <w:rFonts w:cs="Arial"/>
          <w:color w:val="00B050"/>
          <w:lang w:val="en-AU"/>
        </w:rPr>
        <w:t xml:space="preserve"> </w:t>
      </w:r>
      <w:r w:rsidRPr="005D74D1">
        <w:rPr>
          <w:rFonts w:cs="Arial"/>
          <w:lang w:val="en-AU"/>
        </w:rPr>
        <w:t xml:space="preserve">project </w:t>
      </w:r>
      <w:r w:rsidRPr="00A134A7">
        <w:rPr>
          <w:rFonts w:cs="Arial"/>
          <w:lang w:val="en-AU"/>
        </w:rPr>
        <w:t>identified ways to reduce obstacles for Traditional Owners applying for section 51 licences and established an authorisation process allowing Traditional Owner Groups to nominate crown land parcels for a section 51 licence application, where the Traditional Owner group does not own or occupy</w:t>
      </w:r>
      <w:r w:rsidR="00FC4E10" w:rsidRPr="00A134A7">
        <w:rPr>
          <w:rFonts w:cs="Arial"/>
          <w:lang w:val="en-AU"/>
        </w:rPr>
        <w:t> </w:t>
      </w:r>
      <w:r w:rsidRPr="00A134A7">
        <w:rPr>
          <w:rFonts w:cs="Arial"/>
          <w:lang w:val="en-AU"/>
        </w:rPr>
        <w:t>land.</w:t>
      </w:r>
    </w:p>
    <w:p w14:paraId="764E32B5" w14:textId="77777777" w:rsidR="00A50E7D" w:rsidRPr="005D74D1" w:rsidRDefault="00BF1F98" w:rsidP="00FC4E10">
      <w:pPr>
        <w:pStyle w:val="BulletLevel1"/>
        <w:rPr>
          <w:rFonts w:cs="Arial"/>
          <w:lang w:val="en-AU"/>
        </w:rPr>
      </w:pPr>
      <w:r w:rsidRPr="005D74D1">
        <w:rPr>
          <w:rFonts w:cs="Arial"/>
          <w:lang w:val="en-AU"/>
        </w:rPr>
        <w:t>Through delivery of water for the environment in partnership with Traditional Owner organisations, and in support of cultural values, such as:</w:t>
      </w:r>
    </w:p>
    <w:p w14:paraId="6653111E" w14:textId="77777777" w:rsidR="00A50E7D" w:rsidRPr="005D74D1" w:rsidRDefault="00BF1F98" w:rsidP="00A55D2C">
      <w:pPr>
        <w:pStyle w:val="BulletLevel2"/>
        <w:rPr>
          <w:rFonts w:cs="Arial"/>
        </w:rPr>
      </w:pPr>
      <w:r w:rsidRPr="005D74D1">
        <w:rPr>
          <w:rFonts w:cs="Arial"/>
        </w:rPr>
        <w:t>Delivering water for the environment to Annulus Billabong in the Yarra system, for the first time - in partnership with Wurundjeri Woi Wurrung Cultural Heritage Aboriginal Corporation in spring 2020 and 2021. These events supported cultural values identified by Traditional Owners, as well as environmental objectives including vegetation growth, habitat and feeding conditions for waterbirds.</w:t>
      </w:r>
    </w:p>
    <w:p w14:paraId="1E929545" w14:textId="6D86C57C" w:rsidR="00BF1F98" w:rsidRPr="005D74D1" w:rsidRDefault="00BF1F98" w:rsidP="00A55D2C">
      <w:pPr>
        <w:pStyle w:val="BulletLevel2"/>
        <w:rPr>
          <w:rFonts w:cs="Arial"/>
        </w:rPr>
      </w:pPr>
      <w:r w:rsidRPr="005D74D1">
        <w:rPr>
          <w:rFonts w:cs="Arial"/>
        </w:rPr>
        <w:t xml:space="preserve">Supporting the First People of the Millewa Mallee Aboriginal Corporation's restoration and protection of a site of high cultural significance at Robertson Creek in the lower Mallee in </w:t>
      </w:r>
      <w:r w:rsidR="00104420" w:rsidRPr="005D74D1">
        <w:rPr>
          <w:rFonts w:cs="Arial"/>
        </w:rPr>
        <w:t>s</w:t>
      </w:r>
      <w:r w:rsidRPr="005D74D1">
        <w:rPr>
          <w:rFonts w:cs="Arial"/>
        </w:rPr>
        <w:t>pring 2020 with the environmental flows.</w:t>
      </w:r>
    </w:p>
    <w:p w14:paraId="3CB95B18" w14:textId="77777777" w:rsidR="00A50E7D" w:rsidRPr="005D74D1" w:rsidRDefault="00BF1F98" w:rsidP="00A55D2C">
      <w:pPr>
        <w:pStyle w:val="BulletLevel2"/>
        <w:rPr>
          <w:rFonts w:cs="Arial"/>
        </w:rPr>
      </w:pPr>
      <w:r w:rsidRPr="005D74D1">
        <w:rPr>
          <w:rFonts w:cs="Arial"/>
        </w:rPr>
        <w:t>For the first time in August 2022, 1</w:t>
      </w:r>
      <w:r w:rsidR="0005799E" w:rsidRPr="005D74D1">
        <w:rPr>
          <w:rFonts w:cs="Arial"/>
        </w:rPr>
        <w:t>.</w:t>
      </w:r>
      <w:r w:rsidRPr="005D74D1">
        <w:rPr>
          <w:rFonts w:cs="Arial"/>
        </w:rPr>
        <w:t xml:space="preserve">913 </w:t>
      </w:r>
      <w:r w:rsidR="0005799E" w:rsidRPr="005D74D1">
        <w:rPr>
          <w:rFonts w:cs="Arial"/>
        </w:rPr>
        <w:t>G</w:t>
      </w:r>
      <w:r w:rsidRPr="005D74D1">
        <w:rPr>
          <w:rFonts w:cs="Arial"/>
        </w:rPr>
        <w:t xml:space="preserve">L of water for the environment was delivered to partially fill Lake Boort in partnership with Dja Dja Wurrung Aboriginal Clans Corporation, North Central </w:t>
      </w:r>
      <w:r w:rsidR="00952992" w:rsidRPr="005D74D1">
        <w:rPr>
          <w:rFonts w:cs="Arial"/>
        </w:rPr>
        <w:t>CMA</w:t>
      </w:r>
      <w:r w:rsidRPr="005D74D1">
        <w:rPr>
          <w:rFonts w:cs="Arial"/>
        </w:rPr>
        <w:t>, the VEWH, Goulburn Murray Water and Parks Victoria. The Lake Boort partial fill aimed to support river red gums that were planted in 2017 and culturally important vegetation, such as spiny flat</w:t>
      </w:r>
      <w:r w:rsidR="00C722B9" w:rsidRPr="005D74D1">
        <w:rPr>
          <w:rFonts w:cs="Arial"/>
        </w:rPr>
        <w:t> </w:t>
      </w:r>
      <w:r w:rsidRPr="005D74D1">
        <w:rPr>
          <w:rFonts w:cs="Arial"/>
        </w:rPr>
        <w:t>sedge.</w:t>
      </w:r>
    </w:p>
    <w:p w14:paraId="413354FF" w14:textId="1EA50B90" w:rsidR="00E2085D" w:rsidRPr="00A134A7" w:rsidRDefault="00E2085D" w:rsidP="00253DEE">
      <w:pPr>
        <w:pStyle w:val="BulletLevel1"/>
        <w:keepNext/>
        <w:keepLines/>
        <w:rPr>
          <w:rFonts w:cs="Arial"/>
          <w:lang w:val="en-AU"/>
        </w:rPr>
      </w:pPr>
      <w:r w:rsidRPr="00A134A7">
        <w:rPr>
          <w:rFonts w:cs="Arial"/>
          <w:lang w:val="en-AU"/>
        </w:rPr>
        <w:lastRenderedPageBreak/>
        <w:t>Identification in the CGRSWS of where there is unallocated water on relevant Country and where there are other opportunities to return water to Traditional Owners in the region.</w:t>
      </w:r>
    </w:p>
    <w:p w14:paraId="1164342F" w14:textId="6950809E" w:rsidR="00E2085D" w:rsidRPr="005D74D1" w:rsidRDefault="00E2085D" w:rsidP="00253DEE">
      <w:pPr>
        <w:pStyle w:val="BodyText"/>
        <w:keepNext/>
        <w:keepLines/>
        <w:rPr>
          <w:rFonts w:cs="Arial"/>
        </w:rPr>
      </w:pPr>
      <w:r w:rsidRPr="005D74D1">
        <w:rPr>
          <w:rFonts w:cs="Arial"/>
        </w:rPr>
        <w:t>These types of foundational activities can ‘set the scene’ for future projects to increase water availability, hence they represent interim progress toward the outcome.</w:t>
      </w:r>
    </w:p>
    <w:p w14:paraId="0C29A150" w14:textId="76EE3914" w:rsidR="00E2085D" w:rsidRPr="00A134A7" w:rsidRDefault="00E2085D" w:rsidP="00E2085D">
      <w:pPr>
        <w:pStyle w:val="Heading3"/>
        <w:rPr>
          <w:rFonts w:ascii="Arial" w:hAnsi="Arial" w:cs="Arial"/>
        </w:rPr>
      </w:pPr>
      <w:r w:rsidRPr="00A134A7">
        <w:rPr>
          <w:rFonts w:ascii="Arial" w:hAnsi="Arial" w:cs="Arial"/>
        </w:rPr>
        <w:t>Increased Traditional Owner employment in the water sector</w:t>
      </w:r>
    </w:p>
    <w:p w14:paraId="71965C9B" w14:textId="77777777" w:rsidR="00A50E7D" w:rsidRPr="005D74D1" w:rsidRDefault="00E2085D" w:rsidP="00FC4E10">
      <w:pPr>
        <w:pStyle w:val="BodyText"/>
        <w:rPr>
          <w:rFonts w:cs="Arial"/>
        </w:rPr>
      </w:pPr>
      <w:r w:rsidRPr="005D74D1">
        <w:rPr>
          <w:rFonts w:cs="Arial"/>
        </w:rPr>
        <w:t>All the projects supporting increased involvement by Traditional Owners in water policy, planning and decision-making have supported Traditional Owner groups and/or individuals financially, leading to increased employment in the water sector. This has included:</w:t>
      </w:r>
    </w:p>
    <w:p w14:paraId="3D226691" w14:textId="77777777" w:rsidR="00A50E7D" w:rsidRPr="00A134A7" w:rsidRDefault="000B0446" w:rsidP="00FC4E10">
      <w:pPr>
        <w:pStyle w:val="BulletLevel1"/>
        <w:rPr>
          <w:rFonts w:cs="Arial"/>
          <w:lang w:val="en-AU" w:eastAsia="en-AU"/>
        </w:rPr>
      </w:pPr>
      <w:r w:rsidRPr="00A134A7">
        <w:rPr>
          <w:rFonts w:cs="Arial"/>
          <w:lang w:val="en-AU"/>
        </w:rPr>
        <w:t xml:space="preserve">Continuation of the Aboriginal Water Program (established in 2016) </w:t>
      </w:r>
      <w:r w:rsidR="00BF648A" w:rsidRPr="00A134A7">
        <w:rPr>
          <w:rFonts w:cs="Arial"/>
          <w:lang w:val="en-AU"/>
        </w:rPr>
        <w:t>during</w:t>
      </w:r>
      <w:r w:rsidRPr="00A134A7">
        <w:rPr>
          <w:rFonts w:cs="Arial"/>
          <w:lang w:val="en-AU"/>
        </w:rPr>
        <w:t xml:space="preserve"> EC5 has funded Traditional Owners through the Water, Country and Community Program grants (stages 1 and 2). This program has supported </w:t>
      </w:r>
      <w:r w:rsidR="004A7305" w:rsidRPr="00A134A7">
        <w:rPr>
          <w:rFonts w:cs="Arial"/>
          <w:lang w:val="en-AU"/>
        </w:rPr>
        <w:t xml:space="preserve">24 </w:t>
      </w:r>
      <w:r w:rsidR="00952992" w:rsidRPr="00A134A7">
        <w:rPr>
          <w:rFonts w:cs="Arial"/>
          <w:lang w:val="en-AU"/>
        </w:rPr>
        <w:t>full-time equivalent</w:t>
      </w:r>
      <w:r w:rsidR="004A7305" w:rsidRPr="00A134A7">
        <w:rPr>
          <w:rFonts w:cs="Arial"/>
          <w:lang w:val="en-AU"/>
        </w:rPr>
        <w:t xml:space="preserve"> </w:t>
      </w:r>
      <w:r w:rsidRPr="00A134A7">
        <w:rPr>
          <w:rFonts w:cs="Arial"/>
          <w:lang w:val="en-AU"/>
        </w:rPr>
        <w:t xml:space="preserve">Aboriginal Water Officer roles and a range of Traditional Owner-led water-related projects across 18 Traditional Owner groups (including </w:t>
      </w:r>
      <w:r w:rsidR="00B52968" w:rsidRPr="00A134A7">
        <w:rPr>
          <w:rFonts w:cs="Arial"/>
          <w:lang w:val="en-AU"/>
        </w:rPr>
        <w:t>all</w:t>
      </w:r>
      <w:r w:rsidRPr="00A134A7">
        <w:rPr>
          <w:rFonts w:cs="Arial"/>
          <w:lang w:val="en-AU"/>
        </w:rPr>
        <w:t xml:space="preserve"> Registered Aboriginal Parties) and 4 </w:t>
      </w:r>
      <w:r w:rsidR="00BF648A" w:rsidRPr="00A134A7">
        <w:rPr>
          <w:rFonts w:cs="Arial"/>
          <w:lang w:val="en-AU"/>
        </w:rPr>
        <w:t>CMAs</w:t>
      </w:r>
      <w:r w:rsidRPr="00A134A7">
        <w:rPr>
          <w:rFonts w:cs="Arial"/>
          <w:lang w:val="en-AU"/>
        </w:rPr>
        <w:t>, that have strengthened Traditional Owner capacity and enabled greater involvement in the</w:t>
      </w:r>
      <w:r w:rsidRPr="00A134A7">
        <w:rPr>
          <w:rFonts w:cs="Arial"/>
          <w:lang w:val="en-AU" w:eastAsia="en-AU"/>
        </w:rPr>
        <w:t xml:space="preserve"> way water is managed and delivered in</w:t>
      </w:r>
      <w:r w:rsidR="00FC4E10" w:rsidRPr="00A134A7">
        <w:rPr>
          <w:rFonts w:cs="Arial"/>
          <w:lang w:val="en-AU" w:eastAsia="en-AU"/>
        </w:rPr>
        <w:t> </w:t>
      </w:r>
      <w:r w:rsidRPr="00A134A7">
        <w:rPr>
          <w:rFonts w:cs="Arial"/>
          <w:lang w:val="en-AU" w:eastAsia="en-AU"/>
        </w:rPr>
        <w:t>Victoria.</w:t>
      </w:r>
    </w:p>
    <w:p w14:paraId="135141F3" w14:textId="77777777" w:rsidR="00A50E7D" w:rsidRPr="00A134A7" w:rsidRDefault="00E2085D" w:rsidP="00FC4E10">
      <w:pPr>
        <w:pStyle w:val="BulletLevel1"/>
        <w:rPr>
          <w:rFonts w:cs="Arial"/>
          <w:lang w:val="en-AU"/>
        </w:rPr>
      </w:pPr>
      <w:r w:rsidRPr="00A134A7">
        <w:rPr>
          <w:rFonts w:cs="Arial"/>
          <w:lang w:val="en-AU"/>
        </w:rPr>
        <w:t>Total funding (through CMAs) to 30 projects for Traditional Owners and Aboriginal Businesses of $883,802.</w:t>
      </w:r>
    </w:p>
    <w:p w14:paraId="1695009B" w14:textId="3D7D8482" w:rsidR="00E2085D" w:rsidRPr="00A134A7" w:rsidRDefault="00E2085D" w:rsidP="00FC4E10">
      <w:pPr>
        <w:pStyle w:val="BulletLevel1"/>
        <w:rPr>
          <w:rFonts w:cs="Arial"/>
          <w:lang w:val="en-AU"/>
        </w:rPr>
      </w:pPr>
      <w:r w:rsidRPr="00A134A7">
        <w:rPr>
          <w:rFonts w:cs="Arial"/>
          <w:lang w:val="en-AU"/>
        </w:rPr>
        <w:t xml:space="preserve">The Traditional Owner Partnership (founded from the CGRSWS development process) continues. Funding for RAP groups to participate in decision making in the water sector as well as ensuring </w:t>
      </w:r>
      <w:r w:rsidR="00F10125" w:rsidRPr="00A134A7">
        <w:rPr>
          <w:rFonts w:cs="Arial"/>
          <w:lang w:val="en-AU"/>
        </w:rPr>
        <w:t>i</w:t>
      </w:r>
      <w:r w:rsidRPr="00A134A7">
        <w:rPr>
          <w:rFonts w:cs="Arial"/>
          <w:lang w:val="en-AU"/>
        </w:rPr>
        <w:t>mplementation of the CGRSWS is ongoing for EC5 and will be required post EC5.</w:t>
      </w:r>
    </w:p>
    <w:bookmarkEnd w:id="415"/>
    <w:p w14:paraId="4B2C3C38" w14:textId="37EFCE80" w:rsidR="00112FC4" w:rsidRPr="005D74D1" w:rsidRDefault="00294F70" w:rsidP="00E34BB2">
      <w:pPr>
        <w:pStyle w:val="BodyText"/>
        <w:rPr>
          <w:rFonts w:cs="Arial"/>
        </w:rPr>
      </w:pPr>
      <w:r w:rsidRPr="005D74D1">
        <w:rPr>
          <w:rFonts w:cs="Arial"/>
        </w:rPr>
        <w:t xml:space="preserve">Case </w:t>
      </w:r>
      <w:r w:rsidR="000108DD" w:rsidRPr="005D74D1">
        <w:rPr>
          <w:rFonts w:cs="Arial"/>
        </w:rPr>
        <w:t>S</w:t>
      </w:r>
      <w:r w:rsidRPr="005D74D1">
        <w:rPr>
          <w:rFonts w:cs="Arial"/>
        </w:rPr>
        <w:t>tudy 4 provides an example of how the</w:t>
      </w:r>
      <w:r w:rsidR="006218B6" w:rsidRPr="005D74D1">
        <w:rPr>
          <w:rFonts w:cs="Arial"/>
        </w:rPr>
        <w:t xml:space="preserve"> Aboriginal Water Officer Network is </w:t>
      </w:r>
      <w:r w:rsidR="005B5B4B" w:rsidRPr="005D74D1">
        <w:rPr>
          <w:rFonts w:cs="Arial"/>
        </w:rPr>
        <w:t xml:space="preserve">facilitating increased </w:t>
      </w:r>
      <w:r w:rsidR="00F82815" w:rsidRPr="005D74D1">
        <w:rPr>
          <w:rFonts w:cs="Arial"/>
        </w:rPr>
        <w:t xml:space="preserve">employment of Traditional Owners in the water sector, and supporting </w:t>
      </w:r>
      <w:r w:rsidR="004D0535" w:rsidRPr="005D74D1">
        <w:rPr>
          <w:rFonts w:cs="Arial"/>
        </w:rPr>
        <w:t xml:space="preserve">inclusion </w:t>
      </w:r>
      <w:r w:rsidR="00F3421D" w:rsidRPr="005D74D1">
        <w:rPr>
          <w:rFonts w:cs="Arial"/>
        </w:rPr>
        <w:t xml:space="preserve">of Traditional Owner values into </w:t>
      </w:r>
      <w:r w:rsidR="00F82815" w:rsidRPr="005D74D1">
        <w:rPr>
          <w:rFonts w:cs="Arial"/>
        </w:rPr>
        <w:t xml:space="preserve">water management. </w:t>
      </w:r>
    </w:p>
    <w:p w14:paraId="05D1CEE8" w14:textId="77777777" w:rsidR="00112FC4" w:rsidRPr="005D74D1" w:rsidRDefault="00112FC4">
      <w:pPr>
        <w:rPr>
          <w:rFonts w:cs="Arial"/>
          <w:sz w:val="22"/>
        </w:rPr>
      </w:pPr>
      <w:r w:rsidRPr="005D74D1">
        <w:rPr>
          <w:rFonts w:cs="Arial"/>
        </w:rPr>
        <w:br w:type="page"/>
      </w:r>
    </w:p>
    <w:p w14:paraId="6FE4CF40" w14:textId="77777777" w:rsidR="00294F70" w:rsidRPr="005D74D1" w:rsidRDefault="00294F70" w:rsidP="00E34BB2">
      <w:pPr>
        <w:pStyle w:val="BodyText"/>
        <w:rPr>
          <w:rFonts w:cs="Arial"/>
        </w:rPr>
      </w:pPr>
    </w:p>
    <w:tbl>
      <w:tblPr>
        <w:tblStyle w:val="TableGridLight"/>
        <w:tblW w:w="5000" w:type="pct"/>
        <w:tblBorders>
          <w:top w:val="single" w:sz="4" w:space="0" w:color="231EDC" w:themeColor="accent1"/>
          <w:left w:val="single" w:sz="4" w:space="0" w:color="231EDC" w:themeColor="accent1"/>
          <w:bottom w:val="single" w:sz="4" w:space="0" w:color="231EDC" w:themeColor="accent1"/>
          <w:right w:val="single" w:sz="4" w:space="0" w:color="231EDC" w:themeColor="accent1"/>
          <w:insideH w:val="single" w:sz="4" w:space="0" w:color="E6E6E6" w:themeColor="background2"/>
          <w:insideV w:val="single" w:sz="4" w:space="0" w:color="E6E6E6" w:themeColor="background2"/>
        </w:tblBorders>
        <w:tblLook w:val="04A0" w:firstRow="1" w:lastRow="0" w:firstColumn="1" w:lastColumn="0" w:noHBand="0" w:noVBand="1"/>
      </w:tblPr>
      <w:tblGrid>
        <w:gridCol w:w="5106"/>
        <w:gridCol w:w="4522"/>
      </w:tblGrid>
      <w:tr w:rsidR="00081447" w:rsidRPr="005D74D1" w14:paraId="549296E1" w14:textId="77777777" w:rsidTr="00D5735A">
        <w:trPr>
          <w:tblHeader/>
        </w:trPr>
        <w:tc>
          <w:tcPr>
            <w:tcW w:w="5000" w:type="pct"/>
            <w:gridSpan w:val="2"/>
            <w:tcBorders>
              <w:bottom w:val="single" w:sz="4" w:space="0" w:color="231EDC" w:themeColor="accent1"/>
            </w:tcBorders>
            <w:shd w:val="clear" w:color="auto" w:fill="231EDC" w:themeFill="accent1"/>
          </w:tcPr>
          <w:p w14:paraId="0653B6A5" w14:textId="433B58A5" w:rsidR="00081447" w:rsidRPr="00A134A7" w:rsidRDefault="00081447" w:rsidP="000C66AB">
            <w:pPr>
              <w:pStyle w:val="TableHeadingWhite"/>
              <w:rPr>
                <w:rFonts w:cs="Arial"/>
                <w:lang w:val="en-AU"/>
              </w:rPr>
            </w:pPr>
            <w:r w:rsidRPr="005D74D1">
              <w:rPr>
                <w:rFonts w:cs="Arial"/>
              </w:rPr>
              <w:t xml:space="preserve">Case Study 4: Aboriginal Water Officer Network </w:t>
            </w:r>
          </w:p>
        </w:tc>
      </w:tr>
      <w:tr w:rsidR="00081447" w:rsidRPr="005D74D1" w14:paraId="4310E596" w14:textId="77777777" w:rsidTr="00D5735A">
        <w:tc>
          <w:tcPr>
            <w:tcW w:w="2651" w:type="pct"/>
            <w:tcBorders>
              <w:top w:val="single" w:sz="4" w:space="0" w:color="231EDC" w:themeColor="accent1"/>
              <w:left w:val="single" w:sz="4" w:space="0" w:color="231EDC" w:themeColor="accent1"/>
              <w:bottom w:val="nil"/>
              <w:right w:val="nil"/>
            </w:tcBorders>
          </w:tcPr>
          <w:p w14:paraId="6EAA5EAA" w14:textId="77777777" w:rsidR="00081447" w:rsidRPr="00A134A7" w:rsidRDefault="00B70364" w:rsidP="00FC4E10">
            <w:pPr>
              <w:pStyle w:val="TableText"/>
              <w:rPr>
                <w:rFonts w:cs="Arial"/>
                <w:lang w:val="en-AU"/>
              </w:rPr>
            </w:pPr>
            <w:r w:rsidRPr="00A134A7">
              <w:rPr>
                <w:rFonts w:cs="Arial"/>
                <w:noProof/>
              </w:rPr>
              <w:drawing>
                <wp:inline distT="0" distB="0" distL="0" distR="0" wp14:anchorId="6A6FA4FC" wp14:editId="581941CB">
                  <wp:extent cx="3009600" cy="2033296"/>
                  <wp:effectExtent l="57150" t="57150" r="38735" b="43180"/>
                  <wp:docPr id="17" name="Picture 17"/>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73">
                            <a:extLst>
                              <a:ext uri="{BEBA8EAE-BF5A-486C-A8C5-ECC9F3942E4B}">
                                <a14:imgProps xmlns:a14="http://schemas.microsoft.com/office/drawing/2010/main">
                                  <a14:imgLayer r:embed="rId74">
                                    <a14:imgEffect>
                                      <a14:sharpenSoften amount="-50000"/>
                                    </a14:imgEffect>
                                  </a14:imgLayer>
                                </a14:imgProps>
                              </a:ext>
                              <a:ext uri="{28A0092B-C50C-407E-A947-70E740481C1C}">
                                <a14:useLocalDpi xmlns:a14="http://schemas.microsoft.com/office/drawing/2010/main" val="0"/>
                              </a:ext>
                            </a:extLst>
                          </a:blip>
                          <a:stretch>
                            <a:fillRect/>
                          </a:stretch>
                        </pic:blipFill>
                        <pic:spPr bwMode="auto">
                          <a:xfrm rot="10800000" flipV="1">
                            <a:off x="0" y="0"/>
                            <a:ext cx="3009600" cy="2033296"/>
                          </a:xfrm>
                          <a:prstGeom prst="rect">
                            <a:avLst/>
                          </a:prstGeom>
                          <a:scene3d>
                            <a:camera prst="orthographicFront">
                              <a:rot lat="0" lon="10800000" rev="0"/>
                            </a:camera>
                            <a:lightRig rig="threePt" dir="t"/>
                          </a:scene3d>
                        </pic:spPr>
                      </pic:pic>
                    </a:graphicData>
                  </a:graphic>
                </wp:inline>
              </w:drawing>
            </w:r>
          </w:p>
          <w:p w14:paraId="71BC4C28" w14:textId="2FAD8CD9" w:rsidR="00081447" w:rsidRPr="00A134A7" w:rsidRDefault="00B70364" w:rsidP="00FC4E10">
            <w:pPr>
              <w:pStyle w:val="TableText"/>
              <w:rPr>
                <w:rFonts w:cs="Arial"/>
                <w:lang w:val="en-AU"/>
              </w:rPr>
            </w:pPr>
            <w:r w:rsidRPr="005D74D1">
              <w:rPr>
                <w:rFonts w:cs="Arial"/>
              </w:rPr>
              <w:t>The banks of the Wimmera River during the AWON's visit to Ranch Billabong (Credit: Brodey Hamilton, February 2022)</w:t>
            </w:r>
          </w:p>
        </w:tc>
        <w:tc>
          <w:tcPr>
            <w:tcW w:w="2349" w:type="pct"/>
            <w:tcBorders>
              <w:top w:val="single" w:sz="4" w:space="0" w:color="231EDC" w:themeColor="accent1"/>
              <w:left w:val="nil"/>
              <w:bottom w:val="nil"/>
              <w:right w:val="single" w:sz="4" w:space="0" w:color="231EDC" w:themeColor="accent1"/>
            </w:tcBorders>
          </w:tcPr>
          <w:p w14:paraId="5FC27BB6" w14:textId="33A59A4C" w:rsidR="00081447" w:rsidRPr="00A134A7" w:rsidRDefault="00B70364" w:rsidP="00E67F7E">
            <w:pPr>
              <w:pStyle w:val="TableText"/>
              <w:rPr>
                <w:rFonts w:cs="Arial"/>
                <w:lang w:val="en-AU"/>
              </w:rPr>
            </w:pPr>
            <w:r w:rsidRPr="005D74D1">
              <w:rPr>
                <w:rFonts w:cs="Arial"/>
              </w:rPr>
              <w:t xml:space="preserve">The Aboriginal Water Officer Network (AWON) is a space for Aboriginal Water Officers (AWOs) to come together to share and discuss knowledge, information and experiences working in the water sector and undertaking projects. It is an opportunity for AWOs to yarn about self-determination, water management practices, cultural knowledge, government processes and policies, among other topics. </w:t>
            </w:r>
            <w:r w:rsidR="00BF648A" w:rsidRPr="005D74D1">
              <w:rPr>
                <w:rFonts w:cs="Arial"/>
              </w:rPr>
              <w:t>AWON</w:t>
            </w:r>
            <w:r w:rsidRPr="005D74D1">
              <w:rPr>
                <w:rFonts w:cs="Arial"/>
              </w:rPr>
              <w:t xml:space="preserve"> Meetings are held quarterly, hosted by the AWON and supported by DEECA. They are held on Country by nominated hosts within the AWON and include one full day in a meeting-like format, and one full day undertaking on-Country activities.</w:t>
            </w:r>
          </w:p>
        </w:tc>
      </w:tr>
      <w:tr w:rsidR="00081447" w:rsidRPr="005D74D1" w14:paraId="4732C906" w14:textId="77777777" w:rsidTr="00D5735A">
        <w:tc>
          <w:tcPr>
            <w:tcW w:w="5000" w:type="pct"/>
            <w:gridSpan w:val="2"/>
            <w:tcBorders>
              <w:top w:val="nil"/>
              <w:left w:val="single" w:sz="4" w:space="0" w:color="231EDC" w:themeColor="accent1"/>
              <w:bottom w:val="single" w:sz="4" w:space="0" w:color="231EDC" w:themeColor="accent1"/>
              <w:right w:val="single" w:sz="4" w:space="0" w:color="231EDC" w:themeColor="accent1"/>
            </w:tcBorders>
          </w:tcPr>
          <w:p w14:paraId="2C469FDB" w14:textId="2F7194B3" w:rsidR="00B70364" w:rsidRPr="005D74D1" w:rsidRDefault="00B70364" w:rsidP="00FC4E10">
            <w:pPr>
              <w:pStyle w:val="TableText"/>
              <w:rPr>
                <w:rFonts w:cs="Arial"/>
                <w:lang w:val="en-AU"/>
              </w:rPr>
            </w:pPr>
            <w:r w:rsidRPr="005D74D1">
              <w:rPr>
                <w:rFonts w:cs="Arial"/>
              </w:rPr>
              <w:t>Some benefits of the AWON are:</w:t>
            </w:r>
          </w:p>
          <w:p w14:paraId="48249C56" w14:textId="1CEF3AD2" w:rsidR="00DB0997" w:rsidRPr="00A134A7" w:rsidRDefault="00DB0997" w:rsidP="00FC4E10">
            <w:pPr>
              <w:pStyle w:val="TableBullet"/>
              <w:rPr>
                <w:rFonts w:cs="Arial"/>
                <w:lang w:val="en-AU"/>
              </w:rPr>
            </w:pPr>
            <w:r w:rsidRPr="00A134A7">
              <w:rPr>
                <w:rFonts w:cs="Arial"/>
                <w:lang w:val="en-AU"/>
              </w:rPr>
              <w:t>It provides a safe space for Traditional Owners in the water sector to connect and share cultural and governmental knowledge.</w:t>
            </w:r>
          </w:p>
          <w:p w14:paraId="3F8E5A2C" w14:textId="77777777" w:rsidR="00DB0997" w:rsidRPr="00A134A7" w:rsidRDefault="00DB0997" w:rsidP="00FC4E10">
            <w:pPr>
              <w:pStyle w:val="TableBullet"/>
              <w:rPr>
                <w:rFonts w:cs="Arial"/>
                <w:lang w:val="en-AU"/>
              </w:rPr>
            </w:pPr>
            <w:r w:rsidRPr="00A134A7">
              <w:rPr>
                <w:rFonts w:cs="Arial"/>
                <w:lang w:val="en-AU"/>
              </w:rPr>
              <w:t>It provides AWOs with an opportunity to speak with DEECA face-to-face about their priorities for water and any obstacles to self-determination that they face.</w:t>
            </w:r>
          </w:p>
          <w:p w14:paraId="53261609" w14:textId="7A8C9CC0" w:rsidR="00DB0997" w:rsidRPr="00A134A7" w:rsidRDefault="00DB0997" w:rsidP="00FC4E10">
            <w:pPr>
              <w:pStyle w:val="TableBullet"/>
              <w:rPr>
                <w:rFonts w:cs="Arial"/>
                <w:lang w:val="en-AU"/>
              </w:rPr>
            </w:pPr>
            <w:r w:rsidRPr="00A134A7">
              <w:rPr>
                <w:rFonts w:cs="Arial"/>
                <w:lang w:val="en-AU"/>
              </w:rPr>
              <w:t>It allows AWOs from all around Victoria to meet in-person, have a yarn and get out on Country</w:t>
            </w:r>
            <w:r w:rsidR="00253DEE" w:rsidRPr="00A134A7">
              <w:rPr>
                <w:rFonts w:cs="Arial"/>
                <w:lang w:val="en-AU"/>
              </w:rPr>
              <w:t> </w:t>
            </w:r>
            <w:r w:rsidRPr="00A134A7">
              <w:rPr>
                <w:rFonts w:cs="Arial"/>
                <w:lang w:val="en-AU"/>
              </w:rPr>
              <w:t>together.</w:t>
            </w:r>
          </w:p>
          <w:p w14:paraId="77283F1E" w14:textId="731D221C" w:rsidR="00DB0997" w:rsidRPr="005D74D1" w:rsidRDefault="00DB0997" w:rsidP="00FC4E10">
            <w:pPr>
              <w:pStyle w:val="TableText"/>
              <w:keepNext/>
              <w:keepLines/>
              <w:rPr>
                <w:rFonts w:cs="Arial"/>
                <w:lang w:val="en-AU"/>
              </w:rPr>
            </w:pPr>
            <w:r w:rsidRPr="005D74D1">
              <w:rPr>
                <w:rFonts w:cs="Arial"/>
              </w:rPr>
              <w:t>The AWO positions provide dedicated resources to support the delivery of Traditional Owner self-determined water priorities, directly contributing to the Traditional Owner priority EC outcomes. The program has initiated funding for 2</w:t>
            </w:r>
            <w:r w:rsidR="00D03554" w:rsidRPr="005D74D1">
              <w:rPr>
                <w:rFonts w:cs="Arial"/>
              </w:rPr>
              <w:t>4</w:t>
            </w:r>
            <w:r w:rsidRPr="005D74D1">
              <w:rPr>
                <w:rFonts w:cs="Arial"/>
              </w:rPr>
              <w:t xml:space="preserve"> full-time equivalent Aboriginal Water Officer positions. AWOs work on Traditional Owner-determined water projects and programs. Partnerships have been fostered between Traditional Owner Corporations, Aboriginal communities, CMAs, and water corporations.</w:t>
            </w:r>
          </w:p>
          <w:p w14:paraId="5E0A58A9" w14:textId="49F9B216" w:rsidR="00DB0997" w:rsidRPr="005D74D1" w:rsidRDefault="00DB0997" w:rsidP="00FC4E10">
            <w:pPr>
              <w:pStyle w:val="TableText"/>
              <w:rPr>
                <w:rFonts w:cs="Arial"/>
                <w:b/>
                <w:bCs/>
                <w:lang w:val="en-AU"/>
              </w:rPr>
            </w:pPr>
            <w:r w:rsidRPr="005D74D1">
              <w:rPr>
                <w:rFonts w:cs="Arial"/>
                <w:b/>
                <w:bCs/>
              </w:rPr>
              <w:t>The Aboriginal Water Officer Network (AWON) on Wotjobaluk Country</w:t>
            </w:r>
          </w:p>
          <w:p w14:paraId="4B66C47F" w14:textId="77777777" w:rsidR="00A50E7D" w:rsidRPr="005D74D1" w:rsidRDefault="00DB0997" w:rsidP="00FC4E10">
            <w:pPr>
              <w:pStyle w:val="TableText"/>
              <w:rPr>
                <w:rFonts w:cs="Arial"/>
                <w:lang w:val="en-AU"/>
              </w:rPr>
            </w:pPr>
            <w:r w:rsidRPr="005D74D1">
              <w:rPr>
                <w:rFonts w:cs="Arial"/>
              </w:rPr>
              <w:t>The year of 2022 was a year of firsts for the AWON. On 24 and 25 February, the AWON held its first network</w:t>
            </w:r>
            <w:r w:rsidR="00241C50" w:rsidRPr="005D74D1">
              <w:rPr>
                <w:rFonts w:cs="Arial"/>
              </w:rPr>
              <w:t xml:space="preserve"> </w:t>
            </w:r>
            <w:r w:rsidRPr="005D74D1">
              <w:rPr>
                <w:rFonts w:cs="Arial"/>
              </w:rPr>
              <w:t>meeting of the year, which was also the first in-person meeting in almost 12 months, and the first hybrid</w:t>
            </w:r>
            <w:r w:rsidR="006961E8" w:rsidRPr="005D74D1">
              <w:rPr>
                <w:rFonts w:cs="Arial"/>
              </w:rPr>
              <w:t xml:space="preserve"> </w:t>
            </w:r>
            <w:r w:rsidRPr="005D74D1">
              <w:rPr>
                <w:rFonts w:cs="Arial"/>
              </w:rPr>
              <w:t>meeting ever.</w:t>
            </w:r>
          </w:p>
          <w:p w14:paraId="52034F91" w14:textId="6CA32F9E" w:rsidR="00241C50" w:rsidRPr="00A134A7" w:rsidRDefault="00241C50" w:rsidP="00FC4E10">
            <w:pPr>
              <w:pStyle w:val="TableBullet"/>
              <w:rPr>
                <w:rFonts w:cs="Arial"/>
                <w:lang w:val="en-AU"/>
              </w:rPr>
            </w:pPr>
            <w:r w:rsidRPr="00A134A7">
              <w:rPr>
                <w:rFonts w:cs="Arial"/>
                <w:lang w:val="en-AU"/>
              </w:rPr>
              <w:t>The COVID-safe event was hosted by Wimmera CMA and Barengi Gadjin Land Council on Wotjobaluk</w:t>
            </w:r>
            <w:r w:rsidR="00FC4E10" w:rsidRPr="00A134A7">
              <w:rPr>
                <w:rFonts w:cs="Arial"/>
                <w:lang w:val="en-AU"/>
              </w:rPr>
              <w:t> </w:t>
            </w:r>
            <w:r w:rsidRPr="00A134A7">
              <w:rPr>
                <w:rFonts w:cs="Arial"/>
                <w:lang w:val="en-AU"/>
              </w:rPr>
              <w:t>Country.</w:t>
            </w:r>
          </w:p>
          <w:p w14:paraId="641049FC" w14:textId="77777777" w:rsidR="00241C50" w:rsidRPr="00A134A7" w:rsidRDefault="00241C50" w:rsidP="00FC4E10">
            <w:pPr>
              <w:pStyle w:val="TableBullet"/>
              <w:rPr>
                <w:rFonts w:cs="Arial"/>
                <w:lang w:val="en-AU"/>
              </w:rPr>
            </w:pPr>
            <w:r w:rsidRPr="00A134A7">
              <w:rPr>
                <w:rFonts w:cs="Arial"/>
                <w:lang w:val="en-AU"/>
              </w:rPr>
              <w:t>An even split of attendees from all around the state dialled in virtually or attended in person for the first day of the meeting.</w:t>
            </w:r>
          </w:p>
          <w:p w14:paraId="5FF3405B" w14:textId="77777777" w:rsidR="00241C50" w:rsidRPr="005D74D1" w:rsidRDefault="00241C50" w:rsidP="00FC4E10">
            <w:pPr>
              <w:pStyle w:val="TableText"/>
              <w:rPr>
                <w:rFonts w:cs="Arial"/>
                <w:lang w:val="en-AU"/>
              </w:rPr>
            </w:pPr>
            <w:r w:rsidRPr="005D74D1">
              <w:rPr>
                <w:rFonts w:cs="Arial"/>
              </w:rPr>
              <w:t>The AWON kicked off with a warm Welcome to Country by Uncle Ron Marks and a Smoking Ceremony by</w:t>
            </w:r>
          </w:p>
          <w:p w14:paraId="4BA090A4" w14:textId="0C02C1E9" w:rsidR="00241C50" w:rsidRPr="005D74D1" w:rsidRDefault="00241C50" w:rsidP="00FC4E10">
            <w:pPr>
              <w:pStyle w:val="TableText"/>
              <w:rPr>
                <w:rFonts w:cs="Arial"/>
                <w:lang w:val="en-AU"/>
              </w:rPr>
            </w:pPr>
            <w:r w:rsidRPr="005D74D1">
              <w:rPr>
                <w:rFonts w:cs="Arial"/>
              </w:rPr>
              <w:t>Lachie Marks near the banks of the Wimmera River. Day 1 provided an opportunity for members to connect</w:t>
            </w:r>
            <w:r w:rsidR="00FC4E10" w:rsidRPr="005D74D1">
              <w:rPr>
                <w:rFonts w:cs="Arial"/>
              </w:rPr>
              <w:t xml:space="preserve"> </w:t>
            </w:r>
            <w:r w:rsidRPr="005D74D1">
              <w:rPr>
                <w:rFonts w:cs="Arial"/>
              </w:rPr>
              <w:t>and yarn about current projects and priorities. It also involved robust discussions and knowledge sharing</w:t>
            </w:r>
            <w:r w:rsidR="00FC4E10" w:rsidRPr="005D74D1">
              <w:rPr>
                <w:rFonts w:cs="Arial"/>
              </w:rPr>
              <w:t xml:space="preserve"> </w:t>
            </w:r>
            <w:r w:rsidRPr="005D74D1">
              <w:rPr>
                <w:rFonts w:cs="Arial"/>
              </w:rPr>
              <w:t>around Aboriginal water assessments, strategic planning, relationship building, and learning and</w:t>
            </w:r>
          </w:p>
          <w:p w14:paraId="3B264BB2" w14:textId="20F21D25" w:rsidR="00241C50" w:rsidRPr="005D74D1" w:rsidRDefault="00241C50" w:rsidP="00FC4E10">
            <w:pPr>
              <w:pStyle w:val="TableText"/>
              <w:rPr>
                <w:rFonts w:cs="Arial"/>
                <w:lang w:val="en-AU"/>
              </w:rPr>
            </w:pPr>
            <w:r w:rsidRPr="005D74D1">
              <w:rPr>
                <w:rFonts w:cs="Arial"/>
              </w:rPr>
              <w:t>development opportunities. Day 2 started with a presentation from Ben Muir on the Ranch Billabong project being undertaken by Barengi Gadjin Land Council and Wimmera CMA, and ended with a deadly trip to and tour of the Ranch itself.</w:t>
            </w:r>
          </w:p>
        </w:tc>
      </w:tr>
    </w:tbl>
    <w:p w14:paraId="382B2175" w14:textId="77777777" w:rsidR="00112FC4" w:rsidRPr="005D74D1" w:rsidRDefault="00112FC4" w:rsidP="00140664">
      <w:pPr>
        <w:pStyle w:val="BodyText"/>
        <w:rPr>
          <w:rFonts w:cs="Arial"/>
        </w:rPr>
      </w:pPr>
      <w:bookmarkStart w:id="416" w:name="_Toc147329339"/>
    </w:p>
    <w:p w14:paraId="08092339" w14:textId="77777777" w:rsidR="00112FC4" w:rsidRPr="005D74D1" w:rsidRDefault="00112FC4">
      <w:pPr>
        <w:rPr>
          <w:rFonts w:eastAsiaTheme="majorEastAsia" w:cs="Arial"/>
          <w:b/>
          <w:sz w:val="28"/>
          <w:szCs w:val="26"/>
        </w:rPr>
      </w:pPr>
      <w:r w:rsidRPr="005D74D1">
        <w:rPr>
          <w:rFonts w:cs="Arial"/>
        </w:rPr>
        <w:br w:type="page"/>
      </w:r>
    </w:p>
    <w:p w14:paraId="32ED91D1" w14:textId="69AF602A" w:rsidR="00A50E7D" w:rsidRPr="005D74D1" w:rsidRDefault="00875A29" w:rsidP="00875A29">
      <w:pPr>
        <w:pStyle w:val="Heading2"/>
        <w:rPr>
          <w:rFonts w:cs="Arial"/>
        </w:rPr>
      </w:pPr>
      <w:bookmarkStart w:id="417" w:name="_Toc183777371"/>
      <w:r w:rsidRPr="005D74D1">
        <w:rPr>
          <w:rFonts w:cs="Arial"/>
        </w:rPr>
        <w:lastRenderedPageBreak/>
        <w:t>To what extent were social and community values incorporated into water management?</w:t>
      </w:r>
      <w:bookmarkEnd w:id="416"/>
      <w:bookmarkEnd w:id="417"/>
    </w:p>
    <w:p w14:paraId="5EF305ED" w14:textId="1DEE681D" w:rsidR="00A55D2C" w:rsidRPr="005D74D1" w:rsidRDefault="006113B5" w:rsidP="005147C1">
      <w:pPr>
        <w:pStyle w:val="BodyText"/>
        <w:rPr>
          <w:rFonts w:cs="Arial"/>
        </w:rPr>
      </w:pPr>
      <w:r w:rsidRPr="005D74D1">
        <w:rPr>
          <w:rFonts w:cs="Arial"/>
        </w:rPr>
        <w:t xml:space="preserve">The overall performance assessment for this KEQ is: </w:t>
      </w:r>
    </w:p>
    <w:tbl>
      <w:tblPr>
        <w:tblW w:w="5000" w:type="pct"/>
        <w:tblBorders>
          <w:top w:val="single" w:sz="4" w:space="0" w:color="231EDC" w:themeColor="accent1"/>
          <w:left w:val="single" w:sz="4" w:space="0" w:color="231EDC" w:themeColor="accent1"/>
          <w:bottom w:val="single" w:sz="4" w:space="0" w:color="231EDC" w:themeColor="accent1"/>
          <w:right w:val="single" w:sz="4" w:space="0" w:color="231EDC" w:themeColor="accent1"/>
          <w:insideH w:val="single" w:sz="4" w:space="0" w:color="231EDC" w:themeColor="accent1"/>
          <w:insideV w:val="single" w:sz="4" w:space="0" w:color="231EDC" w:themeColor="accent1"/>
        </w:tblBorders>
        <w:tblLook w:val="04A0" w:firstRow="1" w:lastRow="0" w:firstColumn="1" w:lastColumn="0" w:noHBand="0" w:noVBand="1"/>
      </w:tblPr>
      <w:tblGrid>
        <w:gridCol w:w="1400"/>
        <w:gridCol w:w="1596"/>
        <w:gridCol w:w="1192"/>
        <w:gridCol w:w="5440"/>
      </w:tblGrid>
      <w:tr w:rsidR="00A55D2C" w:rsidRPr="005D74D1" w14:paraId="50AA9DA5" w14:textId="77777777" w:rsidTr="00140664">
        <w:trPr>
          <w:trHeight w:val="503"/>
          <w:tblHeader/>
        </w:trPr>
        <w:tc>
          <w:tcPr>
            <w:tcW w:w="727" w:type="pct"/>
            <w:shd w:val="clear" w:color="auto" w:fill="231EDC" w:themeFill="accent1"/>
          </w:tcPr>
          <w:p w14:paraId="27B7F016" w14:textId="77777777" w:rsidR="00AE18C2" w:rsidRPr="005D74D1" w:rsidRDefault="00AE18C2" w:rsidP="00A55D2C">
            <w:pPr>
              <w:pStyle w:val="TableHeading"/>
              <w:rPr>
                <w:rFonts w:cs="Arial"/>
              </w:rPr>
            </w:pPr>
            <w:r w:rsidRPr="005D74D1">
              <w:rPr>
                <w:rFonts w:cs="Arial"/>
              </w:rPr>
              <w:t>Outcome theme</w:t>
            </w:r>
          </w:p>
        </w:tc>
        <w:tc>
          <w:tcPr>
            <w:tcW w:w="829" w:type="pct"/>
            <w:shd w:val="clear" w:color="auto" w:fill="231EDC" w:themeFill="accent1"/>
          </w:tcPr>
          <w:p w14:paraId="56823D07" w14:textId="77777777" w:rsidR="00AE18C2" w:rsidRPr="005D74D1" w:rsidRDefault="00AE18C2" w:rsidP="00A55D2C">
            <w:pPr>
              <w:pStyle w:val="TableHeading"/>
              <w:rPr>
                <w:rFonts w:cs="Arial"/>
              </w:rPr>
            </w:pPr>
            <w:r w:rsidRPr="005D74D1">
              <w:rPr>
                <w:rFonts w:cs="Arial"/>
              </w:rPr>
              <w:t>Rating type</w:t>
            </w:r>
          </w:p>
        </w:tc>
        <w:tc>
          <w:tcPr>
            <w:tcW w:w="619" w:type="pct"/>
            <w:shd w:val="clear" w:color="auto" w:fill="231EDC" w:themeFill="accent1"/>
          </w:tcPr>
          <w:p w14:paraId="5D6C28DB" w14:textId="77777777" w:rsidR="00AE18C2" w:rsidRPr="005D74D1" w:rsidRDefault="00AE18C2" w:rsidP="00A55D2C">
            <w:pPr>
              <w:pStyle w:val="TableHeading"/>
              <w:rPr>
                <w:rFonts w:cs="Arial"/>
              </w:rPr>
            </w:pPr>
            <w:r w:rsidRPr="005D74D1">
              <w:rPr>
                <w:rFonts w:cs="Arial"/>
              </w:rPr>
              <w:t>Rating</w:t>
            </w:r>
          </w:p>
        </w:tc>
        <w:tc>
          <w:tcPr>
            <w:tcW w:w="2826" w:type="pct"/>
            <w:shd w:val="clear" w:color="auto" w:fill="231EDC" w:themeFill="accent1"/>
          </w:tcPr>
          <w:p w14:paraId="1968484E" w14:textId="77777777" w:rsidR="00AE18C2" w:rsidRPr="005D74D1" w:rsidRDefault="00AE18C2" w:rsidP="00A55D2C">
            <w:pPr>
              <w:pStyle w:val="TableHeading"/>
              <w:rPr>
                <w:rFonts w:cs="Arial"/>
              </w:rPr>
            </w:pPr>
            <w:r w:rsidRPr="005D74D1">
              <w:rPr>
                <w:rFonts w:cs="Arial"/>
              </w:rPr>
              <w:t>Rationale</w:t>
            </w:r>
          </w:p>
        </w:tc>
      </w:tr>
      <w:tr w:rsidR="00A55D2C" w:rsidRPr="005D74D1" w14:paraId="4AFB281A" w14:textId="77777777" w:rsidTr="00140664">
        <w:tc>
          <w:tcPr>
            <w:tcW w:w="727" w:type="pct"/>
            <w:vMerge w:val="restart"/>
            <w:vAlign w:val="center"/>
          </w:tcPr>
          <w:p w14:paraId="3C6E9D75" w14:textId="1209D289" w:rsidR="000C125E" w:rsidRPr="005D74D1" w:rsidRDefault="000C125E" w:rsidP="00112FC4">
            <w:pPr>
              <w:pStyle w:val="TableText"/>
              <w:rPr>
                <w:rFonts w:cs="Arial"/>
              </w:rPr>
            </w:pPr>
            <w:r w:rsidRPr="005D74D1">
              <w:rPr>
                <w:rFonts w:cs="Arial"/>
              </w:rPr>
              <w:t>Inclusive Management</w:t>
            </w:r>
          </w:p>
        </w:tc>
        <w:tc>
          <w:tcPr>
            <w:tcW w:w="829" w:type="pct"/>
            <w:vAlign w:val="center"/>
          </w:tcPr>
          <w:p w14:paraId="7A9B5529" w14:textId="48D2490E" w:rsidR="000C125E" w:rsidRPr="005D74D1" w:rsidRDefault="00AA0B76" w:rsidP="00112FC4">
            <w:pPr>
              <w:pStyle w:val="TableText"/>
              <w:rPr>
                <w:rFonts w:cs="Arial"/>
              </w:rPr>
            </w:pPr>
            <w:r w:rsidRPr="005D74D1">
              <w:rPr>
                <w:rFonts w:cs="Arial"/>
              </w:rPr>
              <w:t>Extent to which end-of-EC5 outcomes were achieved</w:t>
            </w:r>
          </w:p>
        </w:tc>
        <w:tc>
          <w:tcPr>
            <w:tcW w:w="619" w:type="pct"/>
            <w:vAlign w:val="center"/>
          </w:tcPr>
          <w:p w14:paraId="371D19BF" w14:textId="77777777" w:rsidR="000C125E" w:rsidRPr="005D74D1" w:rsidRDefault="000C125E" w:rsidP="00140664">
            <w:pPr>
              <w:pStyle w:val="TableText"/>
              <w:jc w:val="center"/>
              <w:rPr>
                <w:rFonts w:cs="Arial"/>
              </w:rPr>
            </w:pPr>
            <w:r w:rsidRPr="005D74D1">
              <w:rPr>
                <w:rFonts w:cs="Arial"/>
              </w:rPr>
              <w:t>High</w:t>
            </w:r>
          </w:p>
          <w:p w14:paraId="25595D7C" w14:textId="27E46A61" w:rsidR="000C125E" w:rsidRPr="005D74D1" w:rsidRDefault="000C125E" w:rsidP="00140664">
            <w:pPr>
              <w:pStyle w:val="TableText"/>
              <w:jc w:val="center"/>
              <w:rPr>
                <w:rFonts w:cs="Arial"/>
              </w:rPr>
            </w:pPr>
            <w:r w:rsidRPr="00A134A7">
              <w:rPr>
                <w:rFonts w:cs="Arial"/>
                <w:noProof/>
              </w:rPr>
              <mc:AlternateContent>
                <mc:Choice Requires="wpg">
                  <w:drawing>
                    <wp:inline distT="0" distB="0" distL="0" distR="0" wp14:anchorId="0A10D13F" wp14:editId="42380812">
                      <wp:extent cx="460375" cy="248285"/>
                      <wp:effectExtent l="0" t="0" r="15875" b="18415"/>
                      <wp:docPr id="1852310106" name="Group 1852310106"/>
                      <wp:cNvGraphicFramePr/>
                      <a:graphic xmlns:a="http://schemas.openxmlformats.org/drawingml/2006/main">
                        <a:graphicData uri="http://schemas.microsoft.com/office/word/2010/wordprocessingGroup">
                          <wpg:wgp>
                            <wpg:cNvGrpSpPr/>
                            <wpg:grpSpPr>
                              <a:xfrm>
                                <a:off x="0" y="0"/>
                                <a:ext cx="460375" cy="248285"/>
                                <a:chOff x="0" y="0"/>
                                <a:chExt cx="675125" cy="248400"/>
                              </a:xfrm>
                            </wpg:grpSpPr>
                            <wps:wsp>
                              <wps:cNvPr id="1609022573" name="Rectangle 1609022573"/>
                              <wps:cNvSpPr/>
                              <wps:spPr>
                                <a:xfrm>
                                  <a:off x="0" y="0"/>
                                  <a:ext cx="133200" cy="24840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96410295" name="Rectangle 1196410295"/>
                              <wps:cNvSpPr/>
                              <wps:spPr>
                                <a:xfrm>
                                  <a:off x="135481" y="0"/>
                                  <a:ext cx="133200" cy="24840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11422280" name="Rectangle 911422280"/>
                              <wps:cNvSpPr/>
                              <wps:spPr>
                                <a:xfrm>
                                  <a:off x="270962" y="0"/>
                                  <a:ext cx="133200" cy="24840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62030823" name="Rectangle 1562030823"/>
                              <wps:cNvSpPr/>
                              <wps:spPr>
                                <a:xfrm>
                                  <a:off x="406443" y="0"/>
                                  <a:ext cx="133200" cy="24840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2818277" name="Rectangle 352818277"/>
                              <wps:cNvSpPr/>
                              <wps:spPr>
                                <a:xfrm>
                                  <a:off x="541925" y="0"/>
                                  <a:ext cx="133200" cy="2484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xmlns:w16du="http://schemas.microsoft.com/office/word/2023/wordml/word16du">
                  <w:pict>
                    <v:group w14:anchorId="69D98397" id="Group 1852310106" o:spid="_x0000_s1026" style="width:36.25pt;height:19.55pt;mso-position-horizontal-relative:char;mso-position-vertical-relative:line" coordsize="6751,2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">
                      <v:rect id="Rectangle 1609022573" o:spid="_x0000_s1027" style="position:absolute;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" fillcolor="#231edc [3204]" strokecolor="black [3213]" strokeweight="1pt"/>
                      <v:rect id="Rectangle 1196410295" o:spid="_x0000_s1028" style="position:absolute;left:1354;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" fillcolor="#231edc [3204]" strokecolor="black [3213]" strokeweight="1pt"/>
                      <v:rect id="Rectangle 911422280" o:spid="_x0000_s1029" style="position:absolute;left:2709;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" fillcolor="#231edc [3204]" strokecolor="black [3213]" strokeweight="1pt"/>
                      <v:rect id="Rectangle 1562030823" o:spid="_x0000_s1030" style="position:absolute;left:4064;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" fillcolor="#231edc [3204]" strokecolor="black [3213]" strokeweight="1pt"/>
                      <v:rect id="Rectangle 352818277" o:spid="_x0000_s1031" style="position:absolute;left:5419;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" fillcolor="white [3212]" strokecolor="black [3213]" strokeweight="1pt"/>
                      <w10:anchorlock/>
                    </v:group>
                  </w:pict>
                </mc:Fallback>
              </mc:AlternateContent>
            </w:r>
          </w:p>
        </w:tc>
        <w:tc>
          <w:tcPr>
            <w:tcW w:w="2826" w:type="pct"/>
          </w:tcPr>
          <w:p w14:paraId="7064180A" w14:textId="5C8FB38A" w:rsidR="000C125E" w:rsidRPr="005D74D1" w:rsidRDefault="000C125E" w:rsidP="00A55D2C">
            <w:pPr>
              <w:pStyle w:val="TableText"/>
              <w:rPr>
                <w:rFonts w:cs="Arial"/>
              </w:rPr>
            </w:pPr>
            <w:r w:rsidRPr="005D74D1">
              <w:rPr>
                <w:rFonts w:cs="Arial"/>
              </w:rPr>
              <w:t xml:space="preserve">The EC5 projects continued being inclusive of social and community values. Key features of EC5 were a focus on managing recreation at Victoria’s water storages, projects focused on improved recreational values and new technology platforms for improved access to information. Some priorities shifted throughout EC5 due to COVID-19 disruption and flood recovery works. </w:t>
            </w:r>
          </w:p>
        </w:tc>
      </w:tr>
      <w:tr w:rsidR="00A55D2C" w:rsidRPr="005D74D1" w14:paraId="20029223" w14:textId="77777777" w:rsidTr="00140664">
        <w:tc>
          <w:tcPr>
            <w:tcW w:w="727" w:type="pct"/>
            <w:vMerge/>
            <w:vAlign w:val="center"/>
          </w:tcPr>
          <w:p w14:paraId="203E39A6" w14:textId="77777777" w:rsidR="000C125E" w:rsidRPr="005D74D1" w:rsidRDefault="000C125E" w:rsidP="00112FC4">
            <w:pPr>
              <w:pStyle w:val="TableText"/>
              <w:rPr>
                <w:rFonts w:cs="Arial"/>
              </w:rPr>
            </w:pPr>
          </w:p>
        </w:tc>
        <w:tc>
          <w:tcPr>
            <w:tcW w:w="829" w:type="pct"/>
            <w:vAlign w:val="center"/>
          </w:tcPr>
          <w:p w14:paraId="0E3664BB" w14:textId="0FE78FCD" w:rsidR="000C125E" w:rsidRPr="005D74D1" w:rsidRDefault="000C125E" w:rsidP="00112FC4">
            <w:pPr>
              <w:pStyle w:val="TableText"/>
              <w:rPr>
                <w:rFonts w:cs="Arial"/>
              </w:rPr>
            </w:pPr>
            <w:r w:rsidRPr="005D74D1">
              <w:rPr>
                <w:rFonts w:cs="Arial"/>
              </w:rPr>
              <w:t>Overall progress toward long-term outcomes</w:t>
            </w:r>
          </w:p>
        </w:tc>
        <w:tc>
          <w:tcPr>
            <w:tcW w:w="619" w:type="pct"/>
            <w:vAlign w:val="center"/>
          </w:tcPr>
          <w:p w14:paraId="634DC449" w14:textId="77777777" w:rsidR="000C125E" w:rsidRPr="005D74D1" w:rsidRDefault="000C125E" w:rsidP="00140664">
            <w:pPr>
              <w:pStyle w:val="TableText"/>
              <w:jc w:val="center"/>
              <w:rPr>
                <w:rFonts w:cs="Arial"/>
              </w:rPr>
            </w:pPr>
            <w:r w:rsidRPr="005D74D1">
              <w:rPr>
                <w:rFonts w:cs="Arial"/>
              </w:rPr>
              <w:t>High</w:t>
            </w:r>
          </w:p>
          <w:p w14:paraId="3121C324" w14:textId="3970192F" w:rsidR="000C125E" w:rsidRPr="005D74D1" w:rsidRDefault="000C125E" w:rsidP="00140664">
            <w:pPr>
              <w:pStyle w:val="TableText"/>
              <w:jc w:val="center"/>
              <w:rPr>
                <w:rFonts w:cs="Arial"/>
              </w:rPr>
            </w:pPr>
            <w:r w:rsidRPr="00A134A7">
              <w:rPr>
                <w:rFonts w:cs="Arial"/>
                <w:noProof/>
              </w:rPr>
              <mc:AlternateContent>
                <mc:Choice Requires="wpg">
                  <w:drawing>
                    <wp:inline distT="0" distB="0" distL="0" distR="0" wp14:anchorId="1C82F2CC" wp14:editId="355C1D7E">
                      <wp:extent cx="460800" cy="248400"/>
                      <wp:effectExtent l="0" t="0" r="15875" b="18415"/>
                      <wp:docPr id="212" name="Group 212"/>
                      <wp:cNvGraphicFramePr/>
                      <a:graphic xmlns:a="http://schemas.openxmlformats.org/drawingml/2006/main">
                        <a:graphicData uri="http://schemas.microsoft.com/office/word/2010/wordprocessingGroup">
                          <wpg:wgp>
                            <wpg:cNvGrpSpPr/>
                            <wpg:grpSpPr>
                              <a:xfrm>
                                <a:off x="0" y="0"/>
                                <a:ext cx="460800" cy="248400"/>
                                <a:chOff x="0" y="0"/>
                                <a:chExt cx="675126" cy="248400"/>
                              </a:xfrm>
                            </wpg:grpSpPr>
                            <wps:wsp>
                              <wps:cNvPr id="220" name="Rectangle 220"/>
                              <wps:cNvSpPr/>
                              <wps:spPr>
                                <a:xfrm>
                                  <a:off x="0" y="0"/>
                                  <a:ext cx="133200" cy="248400"/>
                                </a:xfrm>
                                <a:prstGeom prst="rect">
                                  <a:avLst/>
                                </a:prstGeom>
                                <a:solidFill>
                                  <a:srgbClr val="FFC000"/>
                                </a:solidFill>
                                <a:ln w="12700" cap="flat" cmpd="sng" algn="ctr">
                                  <a:solidFill>
                                    <a:srgbClr val="000000"/>
                                  </a:solidFill>
                                  <a:prstDash val="solid"/>
                                  <a:miter lim="800000"/>
                                </a:ln>
                                <a:effectLst/>
                              </wps:spPr>
                              <wps:bodyPr rtlCol="0" anchor="ctr"/>
                            </wps:wsp>
                            <wps:wsp>
                              <wps:cNvPr id="221" name="Rectangle 221"/>
                              <wps:cNvSpPr/>
                              <wps:spPr>
                                <a:xfrm>
                                  <a:off x="135482" y="0"/>
                                  <a:ext cx="133200" cy="248400"/>
                                </a:xfrm>
                                <a:prstGeom prst="rect">
                                  <a:avLst/>
                                </a:prstGeom>
                                <a:solidFill>
                                  <a:srgbClr val="FFC000"/>
                                </a:solidFill>
                                <a:ln w="12700" cap="flat" cmpd="sng" algn="ctr">
                                  <a:solidFill>
                                    <a:srgbClr val="000000"/>
                                  </a:solidFill>
                                  <a:prstDash val="solid"/>
                                  <a:miter lim="800000"/>
                                </a:ln>
                                <a:effectLst/>
                              </wps:spPr>
                              <wps:bodyPr rtlCol="0" anchor="ctr"/>
                            </wps:wsp>
                            <wps:wsp>
                              <wps:cNvPr id="222" name="Rectangle 222"/>
                              <wps:cNvSpPr/>
                              <wps:spPr>
                                <a:xfrm>
                                  <a:off x="270963" y="0"/>
                                  <a:ext cx="133200" cy="248400"/>
                                </a:xfrm>
                                <a:prstGeom prst="rect">
                                  <a:avLst/>
                                </a:prstGeom>
                                <a:solidFill>
                                  <a:srgbClr val="FFC000"/>
                                </a:solidFill>
                                <a:ln w="12700" cap="flat" cmpd="sng" algn="ctr">
                                  <a:solidFill>
                                    <a:srgbClr val="000000"/>
                                  </a:solidFill>
                                  <a:prstDash val="solid"/>
                                  <a:miter lim="800000"/>
                                </a:ln>
                                <a:effectLst/>
                              </wps:spPr>
                              <wps:bodyPr rtlCol="0" anchor="ctr"/>
                            </wps:wsp>
                            <wps:wsp>
                              <wps:cNvPr id="223" name="Rectangle 223"/>
                              <wps:cNvSpPr/>
                              <wps:spPr>
                                <a:xfrm>
                                  <a:off x="406444" y="0"/>
                                  <a:ext cx="133200" cy="248400"/>
                                </a:xfrm>
                                <a:prstGeom prst="rect">
                                  <a:avLst/>
                                </a:prstGeom>
                                <a:solidFill>
                                  <a:srgbClr val="FFC000"/>
                                </a:solidFill>
                                <a:ln w="12700" cap="flat" cmpd="sng" algn="ctr">
                                  <a:solidFill>
                                    <a:srgbClr val="000000"/>
                                  </a:solidFill>
                                  <a:prstDash val="solid"/>
                                  <a:miter lim="800000"/>
                                </a:ln>
                                <a:effectLst/>
                              </wps:spPr>
                              <wps:bodyPr rtlCol="0" anchor="ctr"/>
                            </wps:wsp>
                            <wps:wsp>
                              <wps:cNvPr id="224" name="Rectangle 224"/>
                              <wps:cNvSpPr/>
                              <wps:spPr>
                                <a:xfrm>
                                  <a:off x="541926" y="0"/>
                                  <a:ext cx="133200" cy="248400"/>
                                </a:xfrm>
                                <a:prstGeom prst="rect">
                                  <a:avLst/>
                                </a:prstGeom>
                                <a:solidFill>
                                  <a:srgbClr val="FFFFFF"/>
                                </a:solidFill>
                                <a:ln w="12700" cap="flat" cmpd="sng" algn="ctr">
                                  <a:solidFill>
                                    <a:srgbClr val="000000"/>
                                  </a:solidFill>
                                  <a:prstDash val="solid"/>
                                  <a:miter lim="800000"/>
                                </a:ln>
                                <a:effectLst/>
                              </wps:spPr>
                              <wps:bodyPr rtlCol="0" anchor="ctr"/>
                            </wps:wsp>
                          </wpg:wgp>
                        </a:graphicData>
                      </a:graphic>
                    </wp:inline>
                  </w:drawing>
                </mc:Choice>
                <mc:Fallback xmlns:w16du="http://schemas.microsoft.com/office/word/2023/wordml/word16du">
                  <w:pict>
                    <v:group w14:anchorId="317320FC" id="Group 212" o:spid="_x0000_s1026" style="width:36.3pt;height:19.55pt;mso-position-horizontal-relative:char;mso-position-vertical-relative:line" coordsize="6751,2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">
                      <v:rect id="Rectangle 220" o:spid="_x0000_s1027" style="position:absolute;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" fillcolor="#ffc000" strokeweight="1pt"/>
                      <v:rect id="Rectangle 221" o:spid="_x0000_s1028" style="position:absolute;left:1354;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" fillcolor="#ffc000" strokeweight="1pt"/>
                      <v:rect id="Rectangle 222" o:spid="_x0000_s1029" style="position:absolute;left:2709;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" fillcolor="#ffc000" strokeweight="1pt"/>
                      <v:rect id="Rectangle 223" o:spid="_x0000_s1030" style="position:absolute;left:4064;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" fillcolor="#ffc000" strokeweight="1pt"/>
                      <v:rect id="Rectangle 224" o:spid="_x0000_s1031" style="position:absolute;left:5419;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" strokeweight="1pt"/>
                      <w10:anchorlock/>
                    </v:group>
                  </w:pict>
                </mc:Fallback>
              </mc:AlternateContent>
            </w:r>
          </w:p>
        </w:tc>
        <w:tc>
          <w:tcPr>
            <w:tcW w:w="2826" w:type="pct"/>
          </w:tcPr>
          <w:p w14:paraId="7747FEB0" w14:textId="41846DB6" w:rsidR="000C125E" w:rsidRPr="005D74D1" w:rsidRDefault="000C125E" w:rsidP="00A55D2C">
            <w:pPr>
              <w:pStyle w:val="TableText"/>
              <w:rPr>
                <w:rFonts w:cs="Arial"/>
              </w:rPr>
            </w:pPr>
            <w:r w:rsidRPr="005D74D1">
              <w:rPr>
                <w:rFonts w:cs="Arial"/>
              </w:rPr>
              <w:t xml:space="preserve">Community participation and inclusion of community values were strongly integrated throughout the EC5 initiatives, indicating a high level of inclusive management throughout the Victorian water sector. Significant opportunities remain to improve high value recreation opportunities. </w:t>
            </w:r>
          </w:p>
        </w:tc>
      </w:tr>
    </w:tbl>
    <w:p w14:paraId="1FE4D6E1" w14:textId="77777777" w:rsidR="00A50E7D" w:rsidRPr="005D74D1" w:rsidRDefault="00C93BE9" w:rsidP="00FC4E10">
      <w:pPr>
        <w:pStyle w:val="BodyText"/>
        <w:keepNext/>
        <w:keepLines/>
        <w:rPr>
          <w:rFonts w:cs="Arial"/>
        </w:rPr>
      </w:pPr>
      <w:r w:rsidRPr="005D74D1">
        <w:rPr>
          <w:rFonts w:cs="Arial"/>
        </w:rPr>
        <w:t xml:space="preserve">This KEQ evaluates progress made toward the </w:t>
      </w:r>
      <w:r w:rsidR="00275918" w:rsidRPr="005D74D1">
        <w:rPr>
          <w:rFonts w:cs="Arial"/>
        </w:rPr>
        <w:t>Inclusive Management</w:t>
      </w:r>
      <w:r w:rsidRPr="005D74D1">
        <w:rPr>
          <w:rFonts w:cs="Arial"/>
        </w:rPr>
        <w:t xml:space="preserve"> objective of the EC5</w:t>
      </w:r>
      <w:r w:rsidR="00F6147F" w:rsidRPr="005D74D1">
        <w:rPr>
          <w:rFonts w:cs="Arial"/>
        </w:rPr>
        <w:t xml:space="preserve"> tranche</w:t>
      </w:r>
      <w:r w:rsidRPr="005D74D1">
        <w:rPr>
          <w:rFonts w:cs="Arial"/>
        </w:rPr>
        <w:t>. The program logic (</w:t>
      </w:r>
      <w:r w:rsidR="005147C1" w:rsidRPr="005D74D1">
        <w:rPr>
          <w:rFonts w:cs="Arial"/>
        </w:rPr>
        <w:t>see Section 3.3</w:t>
      </w:r>
      <w:r w:rsidRPr="005D74D1">
        <w:rPr>
          <w:rFonts w:cs="Arial"/>
        </w:rPr>
        <w:t xml:space="preserve">) includes the long-term outcome </w:t>
      </w:r>
      <w:r w:rsidR="00221156" w:rsidRPr="005D74D1">
        <w:rPr>
          <w:rFonts w:cs="Arial"/>
        </w:rPr>
        <w:t>‘</w:t>
      </w:r>
      <w:r w:rsidR="00275918" w:rsidRPr="005D74D1">
        <w:rPr>
          <w:rFonts w:cs="Arial"/>
        </w:rPr>
        <w:t>Social and community values are incorporated into water management</w:t>
      </w:r>
      <w:r w:rsidR="00221156" w:rsidRPr="005D74D1">
        <w:rPr>
          <w:rFonts w:cs="Arial"/>
        </w:rPr>
        <w:t>’</w:t>
      </w:r>
      <w:r w:rsidRPr="005D74D1">
        <w:rPr>
          <w:rFonts w:cs="Arial"/>
        </w:rPr>
        <w:t xml:space="preserve"> supported by the following </w:t>
      </w:r>
      <w:r w:rsidR="00CF56BB" w:rsidRPr="005D74D1">
        <w:rPr>
          <w:rFonts w:cs="Arial"/>
        </w:rPr>
        <w:t>E</w:t>
      </w:r>
      <w:r w:rsidRPr="005D74D1">
        <w:rPr>
          <w:rFonts w:cs="Arial"/>
        </w:rPr>
        <w:t>nd</w:t>
      </w:r>
      <w:r w:rsidR="00015B66" w:rsidRPr="005D74D1">
        <w:rPr>
          <w:rFonts w:cs="Arial"/>
        </w:rPr>
        <w:t>-</w:t>
      </w:r>
      <w:r w:rsidRPr="005D74D1">
        <w:rPr>
          <w:rFonts w:cs="Arial"/>
        </w:rPr>
        <w:t>of</w:t>
      </w:r>
      <w:r w:rsidR="00015B66" w:rsidRPr="005D74D1">
        <w:rPr>
          <w:rFonts w:cs="Arial"/>
        </w:rPr>
        <w:t>-</w:t>
      </w:r>
      <w:r w:rsidR="00CF56BB" w:rsidRPr="005D74D1">
        <w:rPr>
          <w:rFonts w:cs="Arial"/>
        </w:rPr>
        <w:t>T</w:t>
      </w:r>
      <w:r w:rsidRPr="005D74D1">
        <w:rPr>
          <w:rFonts w:cs="Arial"/>
        </w:rPr>
        <w:t>ranche outcomes:</w:t>
      </w:r>
    </w:p>
    <w:p w14:paraId="7771590F" w14:textId="0F49DE61" w:rsidR="00A61AC2" w:rsidRPr="00A134A7" w:rsidRDefault="008931B8" w:rsidP="00FC4E10">
      <w:pPr>
        <w:pStyle w:val="BulletLevel1"/>
        <w:keepNext/>
        <w:keepLines/>
        <w:rPr>
          <w:rFonts w:cs="Arial"/>
          <w:lang w:val="en-AU"/>
        </w:rPr>
      </w:pPr>
      <w:r w:rsidRPr="00A134A7">
        <w:rPr>
          <w:rFonts w:cs="Arial"/>
          <w:lang w:val="en-AU"/>
        </w:rPr>
        <w:t xml:space="preserve">greater </w:t>
      </w:r>
      <w:r w:rsidR="00A61AC2" w:rsidRPr="00A134A7">
        <w:rPr>
          <w:rFonts w:cs="Arial"/>
          <w:lang w:val="en-AU"/>
        </w:rPr>
        <w:t>access to water-based spaces, creating opportunities to improve community health</w:t>
      </w:r>
    </w:p>
    <w:p w14:paraId="2AAA591B" w14:textId="3559B36F" w:rsidR="00A6123F" w:rsidRPr="00A134A7" w:rsidRDefault="008931B8" w:rsidP="00FC4E10">
      <w:pPr>
        <w:pStyle w:val="BulletLevel1"/>
        <w:keepNext/>
        <w:keepLines/>
        <w:rPr>
          <w:rFonts w:cs="Arial"/>
          <w:lang w:val="en-AU"/>
        </w:rPr>
      </w:pPr>
      <w:r w:rsidRPr="00A134A7">
        <w:rPr>
          <w:rFonts w:cs="Arial"/>
          <w:lang w:val="en-AU"/>
        </w:rPr>
        <w:t xml:space="preserve">improved </w:t>
      </w:r>
      <w:r w:rsidR="00A6123F" w:rsidRPr="00A134A7">
        <w:rPr>
          <w:rFonts w:cs="Arial"/>
          <w:lang w:val="en-AU"/>
        </w:rPr>
        <w:t>community access to water resource information</w:t>
      </w:r>
    </w:p>
    <w:p w14:paraId="1C0E8BA9" w14:textId="029B6B2B" w:rsidR="00EA2A49" w:rsidRPr="00A134A7" w:rsidRDefault="008931B8" w:rsidP="00FC4E10">
      <w:pPr>
        <w:pStyle w:val="BulletLevel1"/>
        <w:keepNext/>
        <w:keepLines/>
        <w:rPr>
          <w:rFonts w:cs="Arial"/>
          <w:lang w:val="en-AU"/>
        </w:rPr>
      </w:pPr>
      <w:r w:rsidRPr="00A134A7">
        <w:rPr>
          <w:rFonts w:cs="Arial"/>
          <w:lang w:val="en-AU"/>
        </w:rPr>
        <w:t xml:space="preserve">improved </w:t>
      </w:r>
      <w:r w:rsidR="00EA2A49" w:rsidRPr="00A134A7">
        <w:rPr>
          <w:rFonts w:cs="Arial"/>
          <w:lang w:val="en-AU"/>
        </w:rPr>
        <w:t>reflection of the diversity of community values in water management</w:t>
      </w:r>
      <w:r w:rsidR="02D707A0" w:rsidRPr="00A134A7">
        <w:rPr>
          <w:rFonts w:cs="Arial"/>
          <w:lang w:val="en-AU"/>
        </w:rPr>
        <w:t>.</w:t>
      </w:r>
    </w:p>
    <w:p w14:paraId="04841ACE" w14:textId="77777777" w:rsidR="00A50E7D" w:rsidRPr="005D74D1" w:rsidRDefault="00A64E2A" w:rsidP="00C93BE9">
      <w:pPr>
        <w:pStyle w:val="BodyText"/>
        <w:rPr>
          <w:rFonts w:cs="Arial"/>
        </w:rPr>
      </w:pPr>
      <w:r w:rsidRPr="005D74D1">
        <w:rPr>
          <w:rFonts w:cs="Arial"/>
        </w:rPr>
        <w:t xml:space="preserve">The EC5 </w:t>
      </w:r>
      <w:r w:rsidR="00856D03" w:rsidRPr="005D74D1">
        <w:rPr>
          <w:rFonts w:cs="Arial"/>
        </w:rPr>
        <w:t>project</w:t>
      </w:r>
      <w:r w:rsidRPr="005D74D1">
        <w:rPr>
          <w:rFonts w:cs="Arial"/>
        </w:rPr>
        <w:t xml:space="preserve">s were inclusive of social and community values, with </w:t>
      </w:r>
      <w:r w:rsidR="0070354E" w:rsidRPr="005D74D1">
        <w:rPr>
          <w:rFonts w:cs="Arial"/>
        </w:rPr>
        <w:t xml:space="preserve">87% of the </w:t>
      </w:r>
      <w:r w:rsidR="00856D03" w:rsidRPr="005D74D1">
        <w:rPr>
          <w:rFonts w:cs="Arial"/>
        </w:rPr>
        <w:t>project</w:t>
      </w:r>
      <w:r w:rsidR="0070354E" w:rsidRPr="005D74D1">
        <w:rPr>
          <w:rFonts w:cs="Arial"/>
        </w:rPr>
        <w:t>s repo</w:t>
      </w:r>
      <w:r w:rsidRPr="005D74D1">
        <w:rPr>
          <w:rFonts w:cs="Arial"/>
        </w:rPr>
        <w:t xml:space="preserve">rting </w:t>
      </w:r>
      <w:r w:rsidR="005F38B1" w:rsidRPr="005D74D1">
        <w:rPr>
          <w:rFonts w:cs="Arial"/>
        </w:rPr>
        <w:t>that they are</w:t>
      </w:r>
      <w:r w:rsidR="0070354E" w:rsidRPr="005D74D1">
        <w:rPr>
          <w:rFonts w:cs="Arial"/>
        </w:rPr>
        <w:t xml:space="preserve"> </w:t>
      </w:r>
      <w:r w:rsidR="00E829C1" w:rsidRPr="005D74D1">
        <w:rPr>
          <w:rFonts w:cs="Arial"/>
        </w:rPr>
        <w:t xml:space="preserve">increasing community participation and </w:t>
      </w:r>
      <w:r w:rsidR="00907093" w:rsidRPr="005D74D1">
        <w:rPr>
          <w:rFonts w:cs="Arial"/>
        </w:rPr>
        <w:t>inclusion</w:t>
      </w:r>
      <w:r w:rsidR="00E829C1" w:rsidRPr="005D74D1">
        <w:rPr>
          <w:rFonts w:cs="Arial"/>
        </w:rPr>
        <w:t xml:space="preserve"> of community values in water management. </w:t>
      </w:r>
      <w:r w:rsidR="00856D03" w:rsidRPr="005D74D1">
        <w:rPr>
          <w:rFonts w:cs="Arial"/>
        </w:rPr>
        <w:t>Project</w:t>
      </w:r>
      <w:r w:rsidR="00907093" w:rsidRPr="005D74D1">
        <w:rPr>
          <w:rFonts w:cs="Arial"/>
        </w:rPr>
        <w:t xml:space="preserve"> evaluation reports provided examples of community engagement, capacity building and knowledge sharing activities that supported </w:t>
      </w:r>
      <w:r w:rsidR="00856D03" w:rsidRPr="005D74D1">
        <w:rPr>
          <w:rFonts w:cs="Arial"/>
        </w:rPr>
        <w:t>project</w:t>
      </w:r>
      <w:r w:rsidR="00907093" w:rsidRPr="005D74D1">
        <w:rPr>
          <w:rFonts w:cs="Arial"/>
        </w:rPr>
        <w:t xml:space="preserve"> outcomes.</w:t>
      </w:r>
    </w:p>
    <w:p w14:paraId="0D90ED76" w14:textId="77777777" w:rsidR="00A50E7D" w:rsidRPr="005D74D1" w:rsidRDefault="001C3154" w:rsidP="0020487D">
      <w:pPr>
        <w:pStyle w:val="BodyText"/>
        <w:rPr>
          <w:rFonts w:cs="Arial"/>
        </w:rPr>
      </w:pPr>
      <w:bookmarkStart w:id="418" w:name="_Ref147096635"/>
      <w:r w:rsidRPr="005D74D1">
        <w:rPr>
          <w:rFonts w:cs="Arial"/>
        </w:rPr>
        <w:t xml:space="preserve">A summary of the achievements made by EC5 projects to these outcomes is provided </w:t>
      </w:r>
      <w:r w:rsidR="00785746" w:rsidRPr="005D74D1">
        <w:rPr>
          <w:rFonts w:cs="Arial"/>
        </w:rPr>
        <w:t>below</w:t>
      </w:r>
      <w:r w:rsidR="0020487D" w:rsidRPr="005D74D1">
        <w:rPr>
          <w:rFonts w:cs="Arial"/>
        </w:rPr>
        <w:t>. This is supported by examples of some of the main ways that individual projects have contributed to each outcome area, provided in Appendix B.</w:t>
      </w:r>
    </w:p>
    <w:p w14:paraId="297B9D64" w14:textId="70808591" w:rsidR="0020487D" w:rsidRPr="00A134A7" w:rsidRDefault="00F72899" w:rsidP="00BB0E20">
      <w:pPr>
        <w:pStyle w:val="Heading3"/>
        <w:rPr>
          <w:rFonts w:ascii="Arial" w:hAnsi="Arial" w:cs="Arial"/>
        </w:rPr>
      </w:pPr>
      <w:r w:rsidRPr="00A134A7">
        <w:rPr>
          <w:rFonts w:ascii="Arial" w:hAnsi="Arial" w:cs="Arial"/>
        </w:rPr>
        <w:t>Greater access to water-based spaces, creating opportunities to improve community health</w:t>
      </w:r>
    </w:p>
    <w:p w14:paraId="72865A3E" w14:textId="36AACD89" w:rsidR="00F72899" w:rsidRPr="005D74D1" w:rsidRDefault="00F72899" w:rsidP="0020487D">
      <w:pPr>
        <w:pStyle w:val="BodyText"/>
        <w:rPr>
          <w:rFonts w:cs="Arial"/>
        </w:rPr>
      </w:pPr>
      <w:r w:rsidRPr="005D74D1">
        <w:rPr>
          <w:rFonts w:cs="Arial"/>
        </w:rPr>
        <w:t>The Recreational Values project complet</w:t>
      </w:r>
      <w:r w:rsidR="00837333" w:rsidRPr="005D74D1">
        <w:rPr>
          <w:rFonts w:cs="Arial"/>
        </w:rPr>
        <w:t>ed</w:t>
      </w:r>
      <w:r w:rsidRPr="005D74D1">
        <w:rPr>
          <w:rFonts w:cs="Arial"/>
        </w:rPr>
        <w:t xml:space="preserve"> a range of policy and planning projects focused on improved access for community enjoyment of waterways including </w:t>
      </w:r>
      <w:r w:rsidR="00837333" w:rsidRPr="005D74D1">
        <w:rPr>
          <w:rFonts w:cs="Arial"/>
        </w:rPr>
        <w:t xml:space="preserve">development </w:t>
      </w:r>
      <w:r w:rsidRPr="005D74D1">
        <w:rPr>
          <w:rFonts w:cs="Arial"/>
        </w:rPr>
        <w:t>of new Recreational Area (Water) Regulations 2023 to manage recreation at storages and embedding recreational values in the next Victorian Waterway Management Strategy. It also distributed $2.</w:t>
      </w:r>
      <w:r w:rsidR="00BE72CA" w:rsidRPr="005D74D1">
        <w:rPr>
          <w:rFonts w:cs="Arial"/>
        </w:rPr>
        <w:t xml:space="preserve">89 </w:t>
      </w:r>
      <w:r w:rsidRPr="005D74D1">
        <w:rPr>
          <w:rFonts w:cs="Arial"/>
        </w:rPr>
        <w:t xml:space="preserve">million of grants funds to support </w:t>
      </w:r>
      <w:r w:rsidR="00BE72CA" w:rsidRPr="005D74D1">
        <w:rPr>
          <w:rFonts w:cs="Arial"/>
        </w:rPr>
        <w:t xml:space="preserve">19 </w:t>
      </w:r>
      <w:r w:rsidRPr="005D74D1">
        <w:rPr>
          <w:rFonts w:cs="Arial"/>
        </w:rPr>
        <w:t xml:space="preserve">projects </w:t>
      </w:r>
      <w:r w:rsidR="00BE72CA" w:rsidRPr="005D74D1">
        <w:rPr>
          <w:rFonts w:cs="Arial"/>
        </w:rPr>
        <w:t xml:space="preserve">and 11 organisations </w:t>
      </w:r>
      <w:r w:rsidRPr="005D74D1">
        <w:rPr>
          <w:rFonts w:cs="Arial"/>
        </w:rPr>
        <w:t>focused on improving recreational outcomes</w:t>
      </w:r>
      <w:r w:rsidR="009D2417" w:rsidRPr="005D74D1">
        <w:rPr>
          <w:rFonts w:cs="Arial"/>
        </w:rPr>
        <w:t>,</w:t>
      </w:r>
      <w:r w:rsidR="00301626" w:rsidRPr="005D74D1">
        <w:rPr>
          <w:rFonts w:cs="Arial"/>
        </w:rPr>
        <w:t xml:space="preserve"> including consideration of recreational access to drinking water storages, a policy statement in the CGRSWS and collaboration with Melbourne Water to consider access to Tarago Reservoir. It progressed the </w:t>
      </w:r>
      <w:r w:rsidR="009D2417" w:rsidRPr="005D74D1">
        <w:rPr>
          <w:rFonts w:cs="Arial"/>
        </w:rPr>
        <w:t>f</w:t>
      </w:r>
      <w:r w:rsidR="00301626" w:rsidRPr="005D74D1">
        <w:rPr>
          <w:rFonts w:cs="Arial"/>
        </w:rPr>
        <w:t xml:space="preserve">lagship Water Wannon project, explored new ways to facilitate recreation using water corporation assets, and delivered </w:t>
      </w:r>
      <w:r w:rsidR="004F6079" w:rsidRPr="005D74D1">
        <w:rPr>
          <w:rFonts w:cs="Arial"/>
        </w:rPr>
        <w:t>four</w:t>
      </w:r>
      <w:r w:rsidR="00301626" w:rsidRPr="005D74D1">
        <w:rPr>
          <w:rFonts w:cs="Arial"/>
        </w:rPr>
        <w:t xml:space="preserve"> planning and community engagement projects.</w:t>
      </w:r>
    </w:p>
    <w:p w14:paraId="27BA9BE1" w14:textId="62B6E8FF" w:rsidR="00883DA9" w:rsidRPr="005D74D1" w:rsidRDefault="008754F0" w:rsidP="0020487D">
      <w:pPr>
        <w:pStyle w:val="BodyText"/>
        <w:rPr>
          <w:rFonts w:cs="Arial"/>
        </w:rPr>
      </w:pPr>
      <w:r w:rsidRPr="005D74D1">
        <w:rPr>
          <w:rFonts w:cs="Arial"/>
        </w:rPr>
        <w:t xml:space="preserve">One example of an impactful </w:t>
      </w:r>
      <w:r w:rsidR="00560AAA" w:rsidRPr="005D74D1">
        <w:rPr>
          <w:rFonts w:cs="Arial"/>
        </w:rPr>
        <w:t xml:space="preserve">grant contribution </w:t>
      </w:r>
      <w:r w:rsidR="00A4249D" w:rsidRPr="005D74D1">
        <w:rPr>
          <w:rFonts w:cs="Arial"/>
        </w:rPr>
        <w:t>leading to improved community outcomes</w:t>
      </w:r>
      <w:r w:rsidR="00560AAA" w:rsidRPr="005D74D1">
        <w:rPr>
          <w:rFonts w:cs="Arial"/>
        </w:rPr>
        <w:t xml:space="preserve"> is the </w:t>
      </w:r>
      <w:r w:rsidR="00883DA9" w:rsidRPr="005D74D1">
        <w:rPr>
          <w:rFonts w:cs="Arial"/>
        </w:rPr>
        <w:t xml:space="preserve">Trawool Walking Track project. A $250,000 investment from the Recreational Values </w:t>
      </w:r>
      <w:r w:rsidR="001C3154" w:rsidRPr="005D74D1">
        <w:rPr>
          <w:rFonts w:cs="Arial"/>
        </w:rPr>
        <w:t>project</w:t>
      </w:r>
      <w:r w:rsidR="00883DA9" w:rsidRPr="005D74D1">
        <w:rPr>
          <w:rFonts w:cs="Arial"/>
        </w:rPr>
        <w:t xml:space="preserve"> was </w:t>
      </w:r>
      <w:r w:rsidR="00883DA9" w:rsidRPr="005D74D1">
        <w:rPr>
          <w:rFonts w:cs="Arial"/>
        </w:rPr>
        <w:lastRenderedPageBreak/>
        <w:t xml:space="preserve">pivotal in getting the project off the ground, which facilitated an excellent partnership between Goulburn Valley Water and Taungurung Land and Waters Council, among others. </w:t>
      </w:r>
      <w:r w:rsidR="004D602C" w:rsidRPr="005D74D1">
        <w:rPr>
          <w:rFonts w:cs="Arial"/>
        </w:rPr>
        <w:t xml:space="preserve">Goulburn Valley Water </w:t>
      </w:r>
      <w:r w:rsidR="00883DA9" w:rsidRPr="005D74D1">
        <w:rPr>
          <w:rFonts w:cs="Arial"/>
        </w:rPr>
        <w:t xml:space="preserve">is a small water corporation, whose focus on recreation to date has been minimal. Through the inclusion of recreational values in their operations, they have been able to deliver on multiple projects to open disused assets for recreational use </w:t>
      </w:r>
      <w:r w:rsidR="00056A8D" w:rsidRPr="005D74D1">
        <w:rPr>
          <w:rFonts w:cs="Arial"/>
        </w:rPr>
        <w:t>by</w:t>
      </w:r>
      <w:r w:rsidR="00883DA9" w:rsidRPr="005D74D1">
        <w:rPr>
          <w:rFonts w:cs="Arial"/>
        </w:rPr>
        <w:t xml:space="preserve"> communities.</w:t>
      </w:r>
    </w:p>
    <w:p w14:paraId="145D48DC" w14:textId="77777777" w:rsidR="00A50E7D" w:rsidRPr="005D74D1" w:rsidRDefault="00315092" w:rsidP="0020487D">
      <w:pPr>
        <w:pStyle w:val="BodyText"/>
        <w:rPr>
          <w:rFonts w:cs="Arial"/>
        </w:rPr>
      </w:pPr>
      <w:r w:rsidRPr="005D74D1">
        <w:rPr>
          <w:rFonts w:cs="Arial"/>
        </w:rPr>
        <w:t xml:space="preserve">The Recreational </w:t>
      </w:r>
      <w:r w:rsidR="00082304" w:rsidRPr="005D74D1">
        <w:rPr>
          <w:rFonts w:cs="Arial"/>
        </w:rPr>
        <w:t>V</w:t>
      </w:r>
      <w:r w:rsidRPr="005D74D1">
        <w:rPr>
          <w:rFonts w:cs="Arial"/>
        </w:rPr>
        <w:t>alues project also responded to unforeseen events during EC5, with the implementation</w:t>
      </w:r>
      <w:r w:rsidR="00BF6FBC" w:rsidRPr="005D74D1">
        <w:rPr>
          <w:rFonts w:cs="Arial"/>
        </w:rPr>
        <w:t xml:space="preserve"> (and then controlled easing</w:t>
      </w:r>
      <w:r w:rsidR="00082304" w:rsidRPr="005D74D1">
        <w:rPr>
          <w:rFonts w:cs="Arial"/>
        </w:rPr>
        <w:t>)</w:t>
      </w:r>
      <w:r w:rsidR="00BF6FBC" w:rsidRPr="005D74D1">
        <w:rPr>
          <w:rFonts w:cs="Arial"/>
        </w:rPr>
        <w:t xml:space="preserve"> of COVID-19 restrictions across 40 recreational areas, in collaboration with water corporations and DEECA’s emergency management and public land teams.</w:t>
      </w:r>
      <w:r w:rsidRPr="005D74D1">
        <w:rPr>
          <w:rFonts w:cs="Arial"/>
        </w:rPr>
        <w:t xml:space="preserve"> They were also </w:t>
      </w:r>
      <w:r w:rsidR="00607767" w:rsidRPr="005D74D1">
        <w:rPr>
          <w:rFonts w:cs="Arial"/>
        </w:rPr>
        <w:t>involved</w:t>
      </w:r>
      <w:r w:rsidRPr="005D74D1">
        <w:rPr>
          <w:rFonts w:cs="Arial"/>
        </w:rPr>
        <w:t xml:space="preserve"> in </w:t>
      </w:r>
      <w:r w:rsidR="008D16AB" w:rsidRPr="005D74D1">
        <w:rPr>
          <w:rFonts w:cs="Arial"/>
        </w:rPr>
        <w:t>flood recovery works to repair recreation infrastructure following the October 2022 floods.</w:t>
      </w:r>
    </w:p>
    <w:p w14:paraId="17802BBE" w14:textId="74FC768F" w:rsidR="00F72899" w:rsidRPr="00A134A7" w:rsidRDefault="00F72899" w:rsidP="00BB0E20">
      <w:pPr>
        <w:pStyle w:val="Heading3"/>
        <w:rPr>
          <w:rFonts w:ascii="Arial" w:hAnsi="Arial" w:cs="Arial"/>
        </w:rPr>
      </w:pPr>
      <w:r w:rsidRPr="00A134A7">
        <w:rPr>
          <w:rFonts w:ascii="Arial" w:hAnsi="Arial" w:cs="Arial"/>
        </w:rPr>
        <w:t>Improved community access to water resource information</w:t>
      </w:r>
    </w:p>
    <w:p w14:paraId="3FF9B300" w14:textId="77777777" w:rsidR="00F72899" w:rsidRPr="005D74D1" w:rsidRDefault="00F72899" w:rsidP="00FC4E10">
      <w:pPr>
        <w:pStyle w:val="BodyText"/>
        <w:keepNext/>
        <w:keepLines/>
        <w:rPr>
          <w:rFonts w:cs="Arial"/>
        </w:rPr>
      </w:pPr>
      <w:r w:rsidRPr="005D74D1">
        <w:rPr>
          <w:rFonts w:cs="Arial"/>
        </w:rPr>
        <w:t>Several projects developed new technology platforms and communications products for improved community and sector access to information, including:</w:t>
      </w:r>
    </w:p>
    <w:p w14:paraId="6954D90B" w14:textId="59CB1BEB" w:rsidR="00F72899" w:rsidRPr="00A134A7" w:rsidRDefault="00F72899" w:rsidP="00FC4E10">
      <w:pPr>
        <w:pStyle w:val="BulletLevel1"/>
        <w:keepNext/>
        <w:keepLines/>
        <w:rPr>
          <w:rFonts w:cs="Arial"/>
          <w:lang w:val="en-AU"/>
        </w:rPr>
      </w:pPr>
      <w:r w:rsidRPr="00A134A7">
        <w:rPr>
          <w:rFonts w:cs="Arial"/>
          <w:lang w:val="en-AU"/>
        </w:rPr>
        <w:t xml:space="preserve">redevelopment of the Water </w:t>
      </w:r>
      <w:r w:rsidR="00E77C1F" w:rsidRPr="00A134A7">
        <w:rPr>
          <w:rFonts w:cs="Arial"/>
          <w:lang w:val="en-AU"/>
        </w:rPr>
        <w:t xml:space="preserve">Management </w:t>
      </w:r>
      <w:r w:rsidRPr="00A134A7">
        <w:rPr>
          <w:rFonts w:cs="Arial"/>
          <w:lang w:val="en-AU"/>
        </w:rPr>
        <w:t xml:space="preserve">Information System </w:t>
      </w:r>
      <w:r w:rsidR="00E77C1F" w:rsidRPr="00A134A7">
        <w:rPr>
          <w:rFonts w:cs="Arial"/>
          <w:lang w:val="en-AU"/>
        </w:rPr>
        <w:t xml:space="preserve">(WIMS) </w:t>
      </w:r>
      <w:r w:rsidR="00C20B71" w:rsidRPr="00A134A7">
        <w:rPr>
          <w:rFonts w:cs="Arial"/>
          <w:lang w:val="en-AU"/>
        </w:rPr>
        <w:t>and upgrading the WMIS website</w:t>
      </w:r>
    </w:p>
    <w:p w14:paraId="77177739" w14:textId="77777777" w:rsidR="00F72899" w:rsidRPr="00A134A7" w:rsidRDefault="00F72899" w:rsidP="00FC4E10">
      <w:pPr>
        <w:pStyle w:val="BulletLevel1"/>
        <w:keepNext/>
        <w:keepLines/>
        <w:rPr>
          <w:rFonts w:cs="Arial"/>
          <w:lang w:val="en-AU"/>
        </w:rPr>
      </w:pPr>
      <w:r w:rsidRPr="00A134A7">
        <w:rPr>
          <w:rFonts w:cs="Arial"/>
          <w:lang w:val="en-AU"/>
        </w:rPr>
        <w:t>development of the Water Education Portal (aimed at resources for students and teachers)</w:t>
      </w:r>
    </w:p>
    <w:p w14:paraId="3F6B7ABE" w14:textId="77777777" w:rsidR="00F72899" w:rsidRPr="00A134A7" w:rsidRDefault="00F72899" w:rsidP="00FC4E10">
      <w:pPr>
        <w:pStyle w:val="BulletLevel1"/>
        <w:keepNext/>
        <w:keepLines/>
        <w:rPr>
          <w:rFonts w:cs="Arial"/>
          <w:lang w:val="en-AU"/>
        </w:rPr>
      </w:pPr>
      <w:r w:rsidRPr="00A134A7">
        <w:rPr>
          <w:rFonts w:cs="Arial"/>
          <w:lang w:val="en-AU"/>
        </w:rPr>
        <w:t>launch of the Water Market Watch iOS app to provide real-time water market information</w:t>
      </w:r>
    </w:p>
    <w:p w14:paraId="49E4FC72" w14:textId="5FFAEEF8" w:rsidR="00F72899" w:rsidRPr="00A134A7" w:rsidRDefault="00F72899" w:rsidP="00FC4E10">
      <w:pPr>
        <w:pStyle w:val="BulletLevel1"/>
        <w:keepNext/>
        <w:keepLines/>
        <w:rPr>
          <w:rFonts w:cs="Arial"/>
          <w:lang w:val="en-AU"/>
        </w:rPr>
      </w:pPr>
      <w:r w:rsidRPr="00A134A7">
        <w:rPr>
          <w:rFonts w:cs="Arial"/>
          <w:lang w:val="en-AU"/>
        </w:rPr>
        <w:t>upgrade of the Victorian Water Accounts platform</w:t>
      </w:r>
      <w:r w:rsidR="006E7BC0" w:rsidRPr="00A134A7">
        <w:rPr>
          <w:rFonts w:cs="Arial"/>
          <w:lang w:val="en-AU"/>
        </w:rPr>
        <w:t xml:space="preserve"> to provide a new interactive website to improve the ability of users to engage with the water accounts and download the data for use</w:t>
      </w:r>
    </w:p>
    <w:p w14:paraId="0965B7A4" w14:textId="3E34708E" w:rsidR="00E54CE1" w:rsidRPr="00A134A7" w:rsidRDefault="00E54CE1" w:rsidP="00FC4E10">
      <w:pPr>
        <w:pStyle w:val="BulletLevel1"/>
        <w:keepNext/>
        <w:keepLines/>
        <w:rPr>
          <w:rFonts w:cs="Arial"/>
          <w:lang w:val="en-AU"/>
        </w:rPr>
      </w:pPr>
      <w:r w:rsidRPr="00A134A7">
        <w:rPr>
          <w:rFonts w:cs="Arial"/>
          <w:lang w:val="en-AU"/>
        </w:rPr>
        <w:t>production of photography and video assets to assist in community engagement including social media</w:t>
      </w:r>
    </w:p>
    <w:p w14:paraId="43D6A561" w14:textId="08C100F1" w:rsidR="006B46B3" w:rsidRPr="005D74D1" w:rsidRDefault="00094897" w:rsidP="009E4282">
      <w:pPr>
        <w:pStyle w:val="BodyText"/>
        <w:rPr>
          <w:rFonts w:cs="Arial"/>
        </w:rPr>
      </w:pPr>
      <w:r w:rsidRPr="005D74D1">
        <w:rPr>
          <w:rFonts w:cs="Arial"/>
        </w:rPr>
        <w:t>Project teams acknowledged that there is a lot of water resources data, analysis, knowledge and insights that is of value to the community. Embracing new and evolving ways of communicating this information should be a high priority to increase community understanding and improve access to it.</w:t>
      </w:r>
    </w:p>
    <w:p w14:paraId="3E59BB09" w14:textId="148844D8" w:rsidR="00F72899" w:rsidRPr="00A134A7" w:rsidRDefault="00F72899" w:rsidP="00BB0E20">
      <w:pPr>
        <w:pStyle w:val="Heading3"/>
        <w:rPr>
          <w:rFonts w:ascii="Arial" w:hAnsi="Arial" w:cs="Arial"/>
        </w:rPr>
      </w:pPr>
      <w:r w:rsidRPr="00A134A7">
        <w:rPr>
          <w:rFonts w:ascii="Arial" w:hAnsi="Arial" w:cs="Arial"/>
        </w:rPr>
        <w:t>Improved reflection of the diversity of community values in water management</w:t>
      </w:r>
    </w:p>
    <w:p w14:paraId="6A2A7781" w14:textId="77777777" w:rsidR="00A50E7D" w:rsidRPr="005D74D1" w:rsidRDefault="00F72899" w:rsidP="0020487D">
      <w:pPr>
        <w:pStyle w:val="BodyText"/>
        <w:rPr>
          <w:rFonts w:cs="Arial"/>
        </w:rPr>
      </w:pPr>
      <w:r w:rsidRPr="005D74D1">
        <w:rPr>
          <w:rFonts w:cs="Arial"/>
        </w:rPr>
        <w:t>Many projects reported working extensively and collaboratively with communities as part of planning and delivery of projects. The My Victorian Water Survey ran for five weeks in March/April 2022 and generated a total of 6,240 online survey</w:t>
      </w:r>
      <w:r w:rsidR="00056A8D" w:rsidRPr="005D74D1">
        <w:rPr>
          <w:rFonts w:cs="Arial"/>
        </w:rPr>
        <w:t xml:space="preserve"> responses</w:t>
      </w:r>
      <w:r w:rsidRPr="005D74D1">
        <w:rPr>
          <w:rFonts w:cs="Arial"/>
        </w:rPr>
        <w:t>, gathering a wealth of information about current waterway usage, attitudes and understandings about waterway health, current knowledge and language used by the community, and aspirations for the future.</w:t>
      </w:r>
    </w:p>
    <w:p w14:paraId="42A57E83" w14:textId="77777777" w:rsidR="00A50E7D" w:rsidRPr="00A134A7" w:rsidRDefault="009E6112" w:rsidP="0020487D">
      <w:pPr>
        <w:pStyle w:val="BodyText"/>
        <w:rPr>
          <w:rFonts w:cs="Arial"/>
        </w:rPr>
      </w:pPr>
      <w:r w:rsidRPr="005D74D1">
        <w:rPr>
          <w:rFonts w:cs="Arial"/>
        </w:rPr>
        <w:t xml:space="preserve">From </w:t>
      </w:r>
      <w:r w:rsidR="00B01019" w:rsidRPr="005D74D1">
        <w:rPr>
          <w:rFonts w:cs="Arial"/>
        </w:rPr>
        <w:t>the results, a</w:t>
      </w:r>
      <w:r w:rsidRPr="005D74D1">
        <w:rPr>
          <w:rFonts w:cs="Arial"/>
        </w:rPr>
        <w:t>lmost all respondents said that waterways nurture their wellbeing (94%), and that healthy waterways are important for continued community needs (84%) and for future generations (83%), demonstrating that there will likely continue to be strong community support for initiatives that improve the health, accessibility and amenity of urban waterways.</w:t>
      </w:r>
      <w:r w:rsidR="00B01019" w:rsidRPr="005D74D1">
        <w:rPr>
          <w:rFonts w:cs="Arial"/>
        </w:rPr>
        <w:t xml:space="preserve"> The information collected</w:t>
      </w:r>
      <w:r w:rsidR="00F72899" w:rsidRPr="005D74D1">
        <w:rPr>
          <w:rFonts w:cs="Arial"/>
        </w:rPr>
        <w:t xml:space="preserve"> will help shape water-sector policy, guide investments and inform waterway programs and community engagement.</w:t>
      </w:r>
    </w:p>
    <w:p w14:paraId="0B75A9DA" w14:textId="36FA7D4B" w:rsidR="00237B39" w:rsidRPr="005D74D1" w:rsidRDefault="00F72899" w:rsidP="00FC4E10">
      <w:pPr>
        <w:pStyle w:val="BodyText"/>
        <w:rPr>
          <w:rFonts w:cs="Arial"/>
        </w:rPr>
      </w:pPr>
      <w:r w:rsidRPr="00A134A7">
        <w:rPr>
          <w:rFonts w:cs="Arial"/>
        </w:rPr>
        <w:t>The development of the YSP was informed by the 50-year Community Vision prepared by a community assembly, and an engagement program that reached 120,000 people.</w:t>
      </w:r>
      <w:bookmarkEnd w:id="418"/>
      <w:r w:rsidR="00C43594" w:rsidRPr="005D74D1">
        <w:rPr>
          <w:rFonts w:cs="Arial"/>
        </w:rPr>
        <w:t xml:space="preserve"> </w:t>
      </w:r>
      <w:r w:rsidR="00C06AFC" w:rsidRPr="005D74D1">
        <w:rPr>
          <w:rFonts w:cs="Arial"/>
        </w:rPr>
        <w:t xml:space="preserve">Case </w:t>
      </w:r>
      <w:r w:rsidR="000108DD" w:rsidRPr="005D74D1">
        <w:rPr>
          <w:rFonts w:cs="Arial"/>
        </w:rPr>
        <w:t>S</w:t>
      </w:r>
      <w:r w:rsidR="00C06AFC" w:rsidRPr="005D74D1">
        <w:rPr>
          <w:rFonts w:cs="Arial"/>
        </w:rPr>
        <w:t>tudy 5 outlines the collaborative development of the YSP</w:t>
      </w:r>
      <w:r w:rsidR="00C24156" w:rsidRPr="005D74D1">
        <w:rPr>
          <w:rFonts w:cs="Arial"/>
        </w:rPr>
        <w:t>, involving Melbourne Water, Wurundjeri-Woi wurrung Cultural Heritage Aboriginal Corporation</w:t>
      </w:r>
      <w:r w:rsidR="005F434A" w:rsidRPr="005D74D1">
        <w:rPr>
          <w:rFonts w:cs="Arial"/>
        </w:rPr>
        <w:t xml:space="preserve">, a range of state and local government entities, Yarra Collaboration Committee, Yarra River Community Assembly, and </w:t>
      </w:r>
      <w:r w:rsidR="005E4438" w:rsidRPr="005D74D1">
        <w:rPr>
          <w:rFonts w:cs="Arial"/>
        </w:rPr>
        <w:t xml:space="preserve">the </w:t>
      </w:r>
      <w:r w:rsidR="005F434A" w:rsidRPr="005D74D1">
        <w:rPr>
          <w:rFonts w:cs="Arial"/>
        </w:rPr>
        <w:t>wider community</w:t>
      </w:r>
      <w:r w:rsidR="005E4438" w:rsidRPr="005D74D1">
        <w:rPr>
          <w:rFonts w:cs="Arial"/>
        </w:rPr>
        <w:t xml:space="preserve">. </w:t>
      </w:r>
    </w:p>
    <w:tbl>
      <w:tblPr>
        <w:tblStyle w:val="TableGridLight"/>
        <w:tblW w:w="5000" w:type="pct"/>
        <w:tblBorders>
          <w:top w:val="single" w:sz="4" w:space="0" w:color="231EDC" w:themeColor="accent1"/>
          <w:left w:val="single" w:sz="4" w:space="0" w:color="231EDC" w:themeColor="accent1"/>
          <w:bottom w:val="single" w:sz="4" w:space="0" w:color="231EDC" w:themeColor="accent1"/>
          <w:right w:val="single" w:sz="4" w:space="0" w:color="231EDC" w:themeColor="accent1"/>
          <w:insideH w:val="single" w:sz="4" w:space="0" w:color="E6E6E6" w:themeColor="background2"/>
          <w:insideV w:val="single" w:sz="4" w:space="0" w:color="E6E6E6" w:themeColor="background2"/>
        </w:tblBorders>
        <w:tblLook w:val="04A0" w:firstRow="1" w:lastRow="0" w:firstColumn="1" w:lastColumn="0" w:noHBand="0" w:noVBand="1"/>
      </w:tblPr>
      <w:tblGrid>
        <w:gridCol w:w="4956"/>
        <w:gridCol w:w="4672"/>
      </w:tblGrid>
      <w:tr w:rsidR="001D2BED" w:rsidRPr="005D74D1" w14:paraId="6CE96C8F" w14:textId="77777777" w:rsidTr="005301D6">
        <w:trPr>
          <w:tblHeader/>
        </w:trPr>
        <w:tc>
          <w:tcPr>
            <w:tcW w:w="5000" w:type="pct"/>
            <w:gridSpan w:val="2"/>
            <w:tcBorders>
              <w:bottom w:val="single" w:sz="4" w:space="0" w:color="231EDC" w:themeColor="accent1"/>
            </w:tcBorders>
            <w:shd w:val="clear" w:color="auto" w:fill="231EDC" w:themeFill="accent1"/>
          </w:tcPr>
          <w:p w14:paraId="449D9852" w14:textId="61D614D8" w:rsidR="001D2BED" w:rsidRPr="00A134A7" w:rsidRDefault="006274C1" w:rsidP="000C66AB">
            <w:pPr>
              <w:pStyle w:val="TableHeadingWhite"/>
              <w:rPr>
                <w:rFonts w:cs="Arial"/>
                <w:lang w:val="en-AU"/>
              </w:rPr>
            </w:pPr>
            <w:r w:rsidRPr="005D74D1">
              <w:rPr>
                <w:rFonts w:cs="Arial"/>
              </w:rPr>
              <w:lastRenderedPageBreak/>
              <w:t>Case Study 5: Development of Burndap Birrarung burndap umarkoo, the Yarra Strategic Plan (YSP)</w:t>
            </w:r>
          </w:p>
        </w:tc>
      </w:tr>
      <w:tr w:rsidR="001D2BED" w:rsidRPr="005D74D1" w14:paraId="41639B92" w14:textId="77777777" w:rsidTr="005301D6">
        <w:tc>
          <w:tcPr>
            <w:tcW w:w="2571" w:type="pct"/>
            <w:tcBorders>
              <w:top w:val="single" w:sz="4" w:space="0" w:color="231EDC" w:themeColor="accent1"/>
              <w:left w:val="single" w:sz="4" w:space="0" w:color="231EDC" w:themeColor="accent1"/>
              <w:bottom w:val="nil"/>
              <w:right w:val="nil"/>
            </w:tcBorders>
          </w:tcPr>
          <w:p w14:paraId="030F4219" w14:textId="77777777" w:rsidR="001D2BED" w:rsidRPr="00A134A7" w:rsidRDefault="001D2BED" w:rsidP="00FC4E10">
            <w:pPr>
              <w:pStyle w:val="TableText"/>
              <w:rPr>
                <w:rFonts w:cs="Arial"/>
                <w:lang w:val="en-AU"/>
              </w:rPr>
            </w:pPr>
            <w:r w:rsidRPr="00A134A7">
              <w:rPr>
                <w:rFonts w:cs="Arial"/>
                <w:noProof/>
              </w:rPr>
              <w:drawing>
                <wp:inline distT="0" distB="0" distL="0" distR="0" wp14:anchorId="7E4DCF16" wp14:editId="5C174942">
                  <wp:extent cx="3009600" cy="2006400"/>
                  <wp:effectExtent l="0" t="0" r="635" b="0"/>
                  <wp:docPr id="226" name="Picture 226" descr="Black Duck family, by Andrew L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Duck family, by Andrew Lees"/>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009600" cy="2006400"/>
                          </a:xfrm>
                          <a:prstGeom prst="rect">
                            <a:avLst/>
                          </a:prstGeom>
                          <a:noFill/>
                          <a:ln>
                            <a:noFill/>
                          </a:ln>
                        </pic:spPr>
                      </pic:pic>
                    </a:graphicData>
                  </a:graphic>
                </wp:inline>
              </w:drawing>
            </w:r>
          </w:p>
          <w:p w14:paraId="51F6A3EF" w14:textId="7A155CB2" w:rsidR="002111F6" w:rsidRPr="00A134A7" w:rsidRDefault="002111F6" w:rsidP="00FC4E10">
            <w:pPr>
              <w:pStyle w:val="TableText"/>
              <w:rPr>
                <w:rFonts w:cs="Arial"/>
                <w:lang w:val="en-AU"/>
              </w:rPr>
            </w:pPr>
            <w:r w:rsidRPr="005D74D1">
              <w:rPr>
                <w:rFonts w:cs="Arial"/>
              </w:rPr>
              <w:t>Annulus Billabong Pacific Black Ducks, VEWH</w:t>
            </w:r>
          </w:p>
        </w:tc>
        <w:tc>
          <w:tcPr>
            <w:tcW w:w="2429" w:type="pct"/>
            <w:tcBorders>
              <w:top w:val="single" w:sz="4" w:space="0" w:color="231EDC" w:themeColor="accent1"/>
              <w:left w:val="nil"/>
              <w:bottom w:val="nil"/>
              <w:right w:val="single" w:sz="4" w:space="0" w:color="231EDC" w:themeColor="accent1"/>
            </w:tcBorders>
          </w:tcPr>
          <w:p w14:paraId="7DFBD692" w14:textId="2BDAC637" w:rsidR="001D2BED" w:rsidRPr="00A134A7" w:rsidRDefault="002111F6" w:rsidP="00FC4E10">
            <w:pPr>
              <w:pStyle w:val="TableText"/>
              <w:rPr>
                <w:rFonts w:cs="Arial"/>
                <w:lang w:val="en-AU"/>
              </w:rPr>
            </w:pPr>
            <w:r w:rsidRPr="005D74D1">
              <w:rPr>
                <w:rFonts w:cs="Arial"/>
                <w:i/>
                <w:iCs/>
              </w:rPr>
              <w:t xml:space="preserve">Burndap Birrarung burndap umarkoo, </w:t>
            </w:r>
            <w:r w:rsidRPr="005D74D1">
              <w:rPr>
                <w:rFonts w:cs="Arial"/>
              </w:rPr>
              <w:t xml:space="preserve">the Yarra Strategic Plan (YSP) is the first 10-year plan for the Yarra River Corridor to protect and enhance the Birrarung (Yarra River) and its parklands as one living and integrated natural entity. The YSP was developed by Melbourne Water as the lead agency, in collaboration with the Wurundjeri Woi wurrung Cultural Heritage Aboriginal Corporation and state and local government entities with decision-making and land management responsibilities in the Birrarung corridor and on Yarra River Land (responsible public entities). The YSP aligns with the </w:t>
            </w:r>
            <w:r w:rsidR="00B16B62" w:rsidRPr="005D74D1">
              <w:rPr>
                <w:rFonts w:cs="Arial"/>
              </w:rPr>
              <w:t>50-year Community</w:t>
            </w:r>
            <w:r w:rsidR="00630C3E" w:rsidRPr="005D74D1">
              <w:rPr>
                <w:rFonts w:cs="Arial"/>
              </w:rPr>
              <w:t xml:space="preserve"> Vision for the Birrarung and regional Healthy </w:t>
            </w:r>
          </w:p>
        </w:tc>
      </w:tr>
      <w:tr w:rsidR="001D2BED" w:rsidRPr="005D74D1" w14:paraId="549341A8" w14:textId="77777777" w:rsidTr="005301D6">
        <w:tc>
          <w:tcPr>
            <w:tcW w:w="5000" w:type="pct"/>
            <w:gridSpan w:val="2"/>
            <w:tcBorders>
              <w:top w:val="nil"/>
              <w:left w:val="single" w:sz="4" w:space="0" w:color="231EDC" w:themeColor="accent1"/>
              <w:bottom w:val="single" w:sz="4" w:space="0" w:color="231EDC" w:themeColor="accent1"/>
              <w:right w:val="single" w:sz="4" w:space="0" w:color="231EDC" w:themeColor="accent1"/>
            </w:tcBorders>
          </w:tcPr>
          <w:p w14:paraId="6A3AD98E" w14:textId="77777777" w:rsidR="00A50E7D" w:rsidRPr="00A134A7" w:rsidRDefault="007C18C3" w:rsidP="00FC4E10">
            <w:pPr>
              <w:pStyle w:val="TableText"/>
              <w:rPr>
                <w:rFonts w:cs="Arial"/>
                <w:lang w:val="en-AU"/>
              </w:rPr>
            </w:pPr>
            <w:r w:rsidRPr="005D74D1">
              <w:rPr>
                <w:rFonts w:cs="Arial"/>
              </w:rPr>
              <w:t>Waterways Strategy, as well as supports both the Wurundjeri Woi-wurrung and Bunurong Traditional Owners to increase their participation in the management of land on their respective Country. It contributes to the EC outcomes of water security, waterway and catchment health, Traditional Owner priorities, and inclusive management.,</w:t>
            </w:r>
          </w:p>
          <w:p w14:paraId="55817419" w14:textId="161D64D0" w:rsidR="00A50E7D" w:rsidRPr="00A134A7" w:rsidRDefault="007C18C3" w:rsidP="00FC4E10">
            <w:pPr>
              <w:pStyle w:val="TableText"/>
              <w:rPr>
                <w:rFonts w:cs="Arial"/>
                <w:lang w:val="en-AU"/>
              </w:rPr>
            </w:pPr>
            <w:r w:rsidRPr="005D74D1">
              <w:rPr>
                <w:rFonts w:cs="Arial"/>
              </w:rPr>
              <w:t xml:space="preserve">An important feature of the YSP is the shared commitment to transparent and coordinated decision-making by responsible public entities that enables diverse values to be reflected in the Birrarung’s management. This decision-making framework </w:t>
            </w:r>
            <w:r w:rsidRPr="00A134A7">
              <w:rPr>
                <w:rFonts w:cs="Arial"/>
              </w:rPr>
              <w:t>embeds the role of Traditional Owners as custodians of the Birrarung through partnership, representation and involvement in planning and decision-making</w:t>
            </w:r>
            <w:r w:rsidRPr="005D74D1">
              <w:rPr>
                <w:rFonts w:cs="Arial"/>
              </w:rPr>
              <w:t>. T</w:t>
            </w:r>
            <w:r w:rsidRPr="00A134A7">
              <w:rPr>
                <w:rFonts w:cs="Arial"/>
              </w:rPr>
              <w:t xml:space="preserve">he framework enables the development and prioritisation of projects that lead to </w:t>
            </w:r>
            <w:r w:rsidRPr="005D74D1">
              <w:rPr>
                <w:rFonts w:cs="Arial"/>
              </w:rPr>
              <w:t>lasting</w:t>
            </w:r>
            <w:r w:rsidRPr="00A134A7">
              <w:rPr>
                <w:rFonts w:cs="Arial"/>
              </w:rPr>
              <w:t xml:space="preserve"> change</w:t>
            </w:r>
            <w:r w:rsidRPr="005D74D1">
              <w:rPr>
                <w:rFonts w:cs="Arial"/>
              </w:rPr>
              <w:t xml:space="preserve"> in the river’s</w:t>
            </w:r>
            <w:r w:rsidR="00A55D2C" w:rsidRPr="005D74D1">
              <w:rPr>
                <w:rFonts w:cs="Arial"/>
              </w:rPr>
              <w:t> </w:t>
            </w:r>
            <w:r w:rsidRPr="005D74D1">
              <w:rPr>
                <w:rFonts w:cs="Arial"/>
              </w:rPr>
              <w:t>values.</w:t>
            </w:r>
          </w:p>
          <w:p w14:paraId="236AD5A8" w14:textId="5281B820" w:rsidR="001D2BED" w:rsidRPr="00A134A7" w:rsidRDefault="007C18C3" w:rsidP="00FC4E10">
            <w:pPr>
              <w:pStyle w:val="TableText"/>
              <w:rPr>
                <w:rFonts w:cs="Arial"/>
                <w:lang w:val="en-AU"/>
              </w:rPr>
            </w:pPr>
            <w:r w:rsidRPr="005D74D1">
              <w:rPr>
                <w:rFonts w:cs="Arial"/>
              </w:rPr>
              <w:t xml:space="preserve">A priority project under the YSP, the Annulus Billabong (Yarra Flats) project has received funds to support identification and implementation of a permanent watering solution. This aims to improve the wetland’s water regime to meet ecological watering objectives, improving ecosystem services, cultural and social values. This has led to improvements in managing the billabong, with native wetland cover increasing from ~5% to ~28% in the Annulus Billabong between 2019–22, following successive waterings (Greet et al. 2022). </w:t>
            </w:r>
          </w:p>
        </w:tc>
      </w:tr>
    </w:tbl>
    <w:p w14:paraId="75AA3B91" w14:textId="77777777" w:rsidR="00112FC4" w:rsidRPr="005D74D1" w:rsidRDefault="00112FC4" w:rsidP="00140664">
      <w:pPr>
        <w:pStyle w:val="BodyText"/>
        <w:rPr>
          <w:rFonts w:cs="Arial"/>
        </w:rPr>
      </w:pPr>
      <w:bookmarkStart w:id="419" w:name="_Toc147335015"/>
      <w:bookmarkStart w:id="420" w:name="_Toc147337879"/>
      <w:bookmarkStart w:id="421" w:name="_Toc147338484"/>
      <w:bookmarkStart w:id="422" w:name="_Toc147342845"/>
      <w:bookmarkStart w:id="423" w:name="_Toc147352735"/>
      <w:bookmarkStart w:id="424" w:name="_Toc147335016"/>
      <w:bookmarkStart w:id="425" w:name="_Toc147337880"/>
      <w:bookmarkStart w:id="426" w:name="_Toc147338485"/>
      <w:bookmarkStart w:id="427" w:name="_Toc147342846"/>
      <w:bookmarkStart w:id="428" w:name="_Toc147352736"/>
      <w:bookmarkStart w:id="429" w:name="_Toc147335017"/>
      <w:bookmarkStart w:id="430" w:name="_Toc147337881"/>
      <w:bookmarkStart w:id="431" w:name="_Toc147338486"/>
      <w:bookmarkStart w:id="432" w:name="_Toc147342847"/>
      <w:bookmarkStart w:id="433" w:name="_Toc147352737"/>
      <w:bookmarkStart w:id="434" w:name="_Toc147329340"/>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p>
    <w:p w14:paraId="7030DDE3" w14:textId="04A98043" w:rsidR="00875A29" w:rsidRPr="005D74D1" w:rsidRDefault="00875A29" w:rsidP="00875A29">
      <w:pPr>
        <w:pStyle w:val="Heading2"/>
        <w:rPr>
          <w:rFonts w:cs="Arial"/>
        </w:rPr>
      </w:pPr>
      <w:bookmarkStart w:id="435" w:name="_Toc183777372"/>
      <w:r w:rsidRPr="005D74D1">
        <w:rPr>
          <w:rFonts w:cs="Arial"/>
        </w:rPr>
        <w:t>To what extent was the effectiveness of water governance improved?</w:t>
      </w:r>
      <w:bookmarkEnd w:id="434"/>
      <w:bookmarkEnd w:id="435"/>
    </w:p>
    <w:p w14:paraId="42E08BC4" w14:textId="33F29FE7" w:rsidR="00A55D2C" w:rsidRPr="005D74D1" w:rsidRDefault="00D40CDD" w:rsidP="001534A1">
      <w:pPr>
        <w:pStyle w:val="BodyText"/>
        <w:rPr>
          <w:rFonts w:cs="Arial"/>
        </w:rPr>
      </w:pPr>
      <w:r w:rsidRPr="005D74D1">
        <w:rPr>
          <w:rFonts w:cs="Arial"/>
        </w:rPr>
        <w:t xml:space="preserve">The overall performance assessment for this KEQ is: </w:t>
      </w:r>
    </w:p>
    <w:tbl>
      <w:tblPr>
        <w:tblStyle w:val="GridTable4-Accent1"/>
        <w:tblW w:w="5000" w:type="pct"/>
        <w:tblBorders>
          <w:top w:val="single" w:sz="4" w:space="0" w:color="231EDC" w:themeColor="accent1"/>
          <w:left w:val="single" w:sz="4" w:space="0" w:color="231EDC" w:themeColor="accent1"/>
          <w:bottom w:val="single" w:sz="4" w:space="0" w:color="231EDC" w:themeColor="accent1"/>
          <w:right w:val="single" w:sz="4" w:space="0" w:color="231EDC" w:themeColor="accent1"/>
          <w:insideH w:val="single" w:sz="4" w:space="0" w:color="231EDC" w:themeColor="accent1"/>
          <w:insideV w:val="single" w:sz="4" w:space="0" w:color="231EDC" w:themeColor="accent1"/>
        </w:tblBorders>
        <w:tblLook w:val="04A0" w:firstRow="1" w:lastRow="0" w:firstColumn="1" w:lastColumn="0" w:noHBand="0" w:noVBand="1"/>
      </w:tblPr>
      <w:tblGrid>
        <w:gridCol w:w="1439"/>
        <w:gridCol w:w="1709"/>
        <w:gridCol w:w="1437"/>
        <w:gridCol w:w="5043"/>
      </w:tblGrid>
      <w:tr w:rsidR="0059410B" w:rsidRPr="005D74D1" w14:paraId="23BA1BC7" w14:textId="77777777" w:rsidTr="00140664">
        <w:trPr>
          <w:cnfStyle w:val="100000000000" w:firstRow="1" w:lastRow="0" w:firstColumn="0" w:lastColumn="0" w:oddVBand="0" w:evenVBand="0" w:oddHBand="0" w:evenHBand="0" w:firstRowFirstColumn="0" w:firstRowLastColumn="0" w:lastRowFirstColumn="0" w:lastRowLastColumn="0"/>
          <w:trHeight w:val="503"/>
          <w:tblHeader/>
        </w:trPr>
        <w:tc>
          <w:tcPr>
            <w:cnfStyle w:val="001000000000" w:firstRow="0" w:lastRow="0" w:firstColumn="1" w:lastColumn="0" w:oddVBand="0" w:evenVBand="0" w:oddHBand="0" w:evenHBand="0" w:firstRowFirstColumn="0" w:firstRowLastColumn="0" w:lastRowFirstColumn="0" w:lastRowLastColumn="0"/>
            <w:tcW w:w="746" w:type="pct"/>
            <w:tcBorders>
              <w:top w:val="none" w:sz="0" w:space="0" w:color="auto"/>
              <w:left w:val="none" w:sz="0" w:space="0" w:color="auto"/>
              <w:bottom w:val="none" w:sz="0" w:space="0" w:color="auto"/>
              <w:right w:val="none" w:sz="0" w:space="0" w:color="auto"/>
            </w:tcBorders>
            <w:vAlign w:val="center"/>
          </w:tcPr>
          <w:p w14:paraId="72564742" w14:textId="77777777" w:rsidR="0059410B" w:rsidRPr="00A134A7" w:rsidRDefault="0059410B" w:rsidP="000C66AB">
            <w:pPr>
              <w:pStyle w:val="TableHeadingWhite"/>
              <w:rPr>
                <w:rFonts w:cs="Arial"/>
                <w:b/>
                <w:bCs w:val="0"/>
                <w:lang w:val="en-AU"/>
              </w:rPr>
            </w:pPr>
            <w:r w:rsidRPr="005D74D1">
              <w:rPr>
                <w:rFonts w:cs="Arial"/>
              </w:rPr>
              <w:t>Outcome theme</w:t>
            </w:r>
          </w:p>
        </w:tc>
        <w:tc>
          <w:tcPr>
            <w:tcW w:w="888" w:type="pct"/>
            <w:tcBorders>
              <w:top w:val="none" w:sz="0" w:space="0" w:color="auto"/>
              <w:left w:val="none" w:sz="0" w:space="0" w:color="auto"/>
              <w:bottom w:val="none" w:sz="0" w:space="0" w:color="auto"/>
              <w:right w:val="none" w:sz="0" w:space="0" w:color="auto"/>
            </w:tcBorders>
            <w:vAlign w:val="center"/>
          </w:tcPr>
          <w:p w14:paraId="72F89F11" w14:textId="77777777" w:rsidR="0059410B" w:rsidRPr="00A134A7" w:rsidRDefault="0059410B" w:rsidP="000C66AB">
            <w:pPr>
              <w:pStyle w:val="TableHeadingWhite"/>
              <w:cnfStyle w:val="100000000000" w:firstRow="1" w:lastRow="0" w:firstColumn="0" w:lastColumn="0" w:oddVBand="0" w:evenVBand="0" w:oddHBand="0" w:evenHBand="0" w:firstRowFirstColumn="0" w:firstRowLastColumn="0" w:lastRowFirstColumn="0" w:lastRowLastColumn="0"/>
              <w:rPr>
                <w:rFonts w:cs="Arial"/>
                <w:b/>
                <w:bCs w:val="0"/>
                <w:lang w:val="en-AU"/>
              </w:rPr>
            </w:pPr>
            <w:r w:rsidRPr="005D74D1">
              <w:rPr>
                <w:rFonts w:cs="Arial"/>
              </w:rPr>
              <w:t>Rating type</w:t>
            </w:r>
          </w:p>
        </w:tc>
        <w:tc>
          <w:tcPr>
            <w:tcW w:w="747" w:type="pct"/>
            <w:tcBorders>
              <w:top w:val="none" w:sz="0" w:space="0" w:color="auto"/>
              <w:left w:val="none" w:sz="0" w:space="0" w:color="auto"/>
              <w:bottom w:val="none" w:sz="0" w:space="0" w:color="auto"/>
              <w:right w:val="none" w:sz="0" w:space="0" w:color="auto"/>
            </w:tcBorders>
            <w:vAlign w:val="center"/>
          </w:tcPr>
          <w:p w14:paraId="46FB4530" w14:textId="77777777" w:rsidR="0059410B" w:rsidRPr="00A134A7" w:rsidRDefault="0059410B" w:rsidP="000C66AB">
            <w:pPr>
              <w:pStyle w:val="TableHeadingWhite"/>
              <w:cnfStyle w:val="100000000000" w:firstRow="1" w:lastRow="0" w:firstColumn="0" w:lastColumn="0" w:oddVBand="0" w:evenVBand="0" w:oddHBand="0" w:evenHBand="0" w:firstRowFirstColumn="0" w:firstRowLastColumn="0" w:lastRowFirstColumn="0" w:lastRowLastColumn="0"/>
              <w:rPr>
                <w:rFonts w:cs="Arial"/>
                <w:b/>
                <w:bCs w:val="0"/>
                <w:lang w:val="en-AU"/>
              </w:rPr>
            </w:pPr>
            <w:r w:rsidRPr="005D74D1">
              <w:rPr>
                <w:rFonts w:cs="Arial"/>
              </w:rPr>
              <w:t>Rating</w:t>
            </w:r>
          </w:p>
        </w:tc>
        <w:tc>
          <w:tcPr>
            <w:tcW w:w="2619" w:type="pct"/>
            <w:tcBorders>
              <w:top w:val="none" w:sz="0" w:space="0" w:color="auto"/>
              <w:left w:val="none" w:sz="0" w:space="0" w:color="auto"/>
              <w:bottom w:val="none" w:sz="0" w:space="0" w:color="auto"/>
              <w:right w:val="none" w:sz="0" w:space="0" w:color="auto"/>
            </w:tcBorders>
            <w:vAlign w:val="center"/>
          </w:tcPr>
          <w:p w14:paraId="309A1F93" w14:textId="77777777" w:rsidR="0059410B" w:rsidRPr="00A134A7" w:rsidRDefault="0059410B" w:rsidP="000C66AB">
            <w:pPr>
              <w:pStyle w:val="TableHeadingWhite"/>
              <w:cnfStyle w:val="100000000000" w:firstRow="1" w:lastRow="0" w:firstColumn="0" w:lastColumn="0" w:oddVBand="0" w:evenVBand="0" w:oddHBand="0" w:evenHBand="0" w:firstRowFirstColumn="0" w:firstRowLastColumn="0" w:lastRowFirstColumn="0" w:lastRowLastColumn="0"/>
              <w:rPr>
                <w:rFonts w:cs="Arial"/>
                <w:b/>
                <w:bCs w:val="0"/>
                <w:lang w:val="en-AU"/>
              </w:rPr>
            </w:pPr>
            <w:r w:rsidRPr="005D74D1">
              <w:rPr>
                <w:rFonts w:cs="Arial"/>
              </w:rPr>
              <w:t>Rationale</w:t>
            </w:r>
          </w:p>
        </w:tc>
      </w:tr>
      <w:tr w:rsidR="00615878" w:rsidRPr="005D74D1" w14:paraId="4E8020D9" w14:textId="77777777" w:rsidTr="001406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6" w:type="pct"/>
            <w:vMerge w:val="restart"/>
            <w:shd w:val="clear" w:color="auto" w:fill="auto"/>
            <w:vAlign w:val="center"/>
          </w:tcPr>
          <w:p w14:paraId="35C85ECF" w14:textId="77777777" w:rsidR="000C125E" w:rsidRPr="00A134A7" w:rsidRDefault="000C125E" w:rsidP="00112FC4">
            <w:pPr>
              <w:pStyle w:val="TableText"/>
              <w:rPr>
                <w:rFonts w:cs="Arial"/>
                <w:b w:val="0"/>
                <w:lang w:val="en-AU"/>
              </w:rPr>
            </w:pPr>
            <w:r w:rsidRPr="005D74D1">
              <w:rPr>
                <w:rFonts w:cs="Arial"/>
              </w:rPr>
              <w:t>Inclusive Management</w:t>
            </w:r>
          </w:p>
        </w:tc>
        <w:tc>
          <w:tcPr>
            <w:tcW w:w="888" w:type="pct"/>
            <w:shd w:val="clear" w:color="auto" w:fill="auto"/>
            <w:vAlign w:val="center"/>
          </w:tcPr>
          <w:p w14:paraId="62EA09E8" w14:textId="46726CA8" w:rsidR="000C125E" w:rsidRPr="00A134A7" w:rsidRDefault="00AA0B76" w:rsidP="00112FC4">
            <w:pPr>
              <w:pStyle w:val="TableText"/>
              <w:cnfStyle w:val="000000100000" w:firstRow="0" w:lastRow="0" w:firstColumn="0" w:lastColumn="0" w:oddVBand="0" w:evenVBand="0" w:oddHBand="1" w:evenHBand="0" w:firstRowFirstColumn="0" w:firstRowLastColumn="0" w:lastRowFirstColumn="0" w:lastRowLastColumn="0"/>
              <w:rPr>
                <w:rFonts w:cs="Arial"/>
                <w:lang w:val="en-AU"/>
              </w:rPr>
            </w:pPr>
            <w:r w:rsidRPr="005D74D1">
              <w:rPr>
                <w:rFonts w:cs="Arial"/>
              </w:rPr>
              <w:t>Extent to which end-of-EC5 outcomes were achieved</w:t>
            </w:r>
          </w:p>
        </w:tc>
        <w:tc>
          <w:tcPr>
            <w:tcW w:w="747" w:type="pct"/>
            <w:shd w:val="clear" w:color="auto" w:fill="auto"/>
            <w:vAlign w:val="center"/>
          </w:tcPr>
          <w:p w14:paraId="27BE41BA" w14:textId="77777777" w:rsidR="000C125E" w:rsidRPr="005D74D1" w:rsidRDefault="000C125E" w:rsidP="00140664">
            <w:pPr>
              <w:pStyle w:val="TableText"/>
              <w:jc w:val="center"/>
              <w:cnfStyle w:val="000000100000" w:firstRow="0" w:lastRow="0" w:firstColumn="0" w:lastColumn="0" w:oddVBand="0" w:evenVBand="0" w:oddHBand="1" w:evenHBand="0" w:firstRowFirstColumn="0" w:firstRowLastColumn="0" w:lastRowFirstColumn="0" w:lastRowLastColumn="0"/>
              <w:rPr>
                <w:rFonts w:cs="Arial"/>
                <w:lang w:val="en-AU"/>
              </w:rPr>
            </w:pPr>
            <w:r w:rsidRPr="005D74D1">
              <w:rPr>
                <w:rFonts w:cs="Arial"/>
              </w:rPr>
              <w:t>High</w:t>
            </w:r>
          </w:p>
          <w:p w14:paraId="39A1C69F" w14:textId="393E5BDF" w:rsidR="000C125E" w:rsidRPr="00A134A7" w:rsidRDefault="000C125E" w:rsidP="00140664">
            <w:pPr>
              <w:pStyle w:val="TableText"/>
              <w:jc w:val="center"/>
              <w:cnfStyle w:val="000000100000" w:firstRow="0" w:lastRow="0" w:firstColumn="0" w:lastColumn="0" w:oddVBand="0" w:evenVBand="0" w:oddHBand="1" w:evenHBand="0" w:firstRowFirstColumn="0" w:firstRowLastColumn="0" w:lastRowFirstColumn="0" w:lastRowLastColumn="0"/>
              <w:rPr>
                <w:rFonts w:cs="Arial"/>
                <w:lang w:val="en-AU"/>
              </w:rPr>
            </w:pPr>
            <w:r w:rsidRPr="00A134A7">
              <w:rPr>
                <w:rFonts w:cs="Arial"/>
                <w:noProof/>
              </w:rPr>
              <mc:AlternateContent>
                <mc:Choice Requires="wpg">
                  <w:drawing>
                    <wp:inline distT="0" distB="0" distL="0" distR="0" wp14:anchorId="2D31D207" wp14:editId="6B530F90">
                      <wp:extent cx="460375" cy="248285"/>
                      <wp:effectExtent l="0" t="0" r="15875" b="18415"/>
                      <wp:docPr id="2139447013" name="Group 2139447013"/>
                      <wp:cNvGraphicFramePr/>
                      <a:graphic xmlns:a="http://schemas.openxmlformats.org/drawingml/2006/main">
                        <a:graphicData uri="http://schemas.microsoft.com/office/word/2010/wordprocessingGroup">
                          <wpg:wgp>
                            <wpg:cNvGrpSpPr/>
                            <wpg:grpSpPr>
                              <a:xfrm>
                                <a:off x="0" y="0"/>
                                <a:ext cx="460375" cy="248285"/>
                                <a:chOff x="0" y="0"/>
                                <a:chExt cx="675125" cy="248400"/>
                              </a:xfrm>
                            </wpg:grpSpPr>
                            <wps:wsp>
                              <wps:cNvPr id="465412528" name="Rectangle 465412528"/>
                              <wps:cNvSpPr/>
                              <wps:spPr>
                                <a:xfrm>
                                  <a:off x="0" y="0"/>
                                  <a:ext cx="133200" cy="24840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40358010" name="Rectangle 1440358010"/>
                              <wps:cNvSpPr/>
                              <wps:spPr>
                                <a:xfrm>
                                  <a:off x="135481" y="0"/>
                                  <a:ext cx="133200" cy="24840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51400951" name="Rectangle 1951400951"/>
                              <wps:cNvSpPr/>
                              <wps:spPr>
                                <a:xfrm>
                                  <a:off x="270962" y="0"/>
                                  <a:ext cx="133200" cy="24840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18373353" name="Rectangle 1618373353"/>
                              <wps:cNvSpPr/>
                              <wps:spPr>
                                <a:xfrm>
                                  <a:off x="406443" y="0"/>
                                  <a:ext cx="133200" cy="24840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08466788" name="Rectangle 808466788"/>
                              <wps:cNvSpPr/>
                              <wps:spPr>
                                <a:xfrm>
                                  <a:off x="541925" y="0"/>
                                  <a:ext cx="133200" cy="2484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xmlns:w16du="http://schemas.microsoft.com/office/word/2023/wordml/word16du">
                  <w:pict>
                    <v:group w14:anchorId="443644C0" id="Group 2139447013" o:spid="_x0000_s1026" style="width:36.25pt;height:19.55pt;mso-position-horizontal-relative:char;mso-position-vertical-relative:line" coordsize="6751,2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">
                      <v:rect id="Rectangle 465412528" o:spid="_x0000_s1027" style="position:absolute;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" fillcolor="#231edc [3204]" strokecolor="black [3213]" strokeweight="1pt"/>
                      <v:rect id="Rectangle 1440358010" o:spid="_x0000_s1028" style="position:absolute;left:1354;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" fillcolor="#231edc [3204]" strokecolor="black [3213]" strokeweight="1pt"/>
                      <v:rect id="Rectangle 1951400951" o:spid="_x0000_s1029" style="position:absolute;left:2709;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" fillcolor="#231edc [3204]" strokecolor="black [3213]" strokeweight="1pt"/>
                      <v:rect id="Rectangle 1618373353" o:spid="_x0000_s1030" style="position:absolute;left:4064;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" fillcolor="#231edc [3204]" strokecolor="black [3213]" strokeweight="1pt"/>
                      <v:rect id="Rectangle 808466788" o:spid="_x0000_s1031" style="position:absolute;left:5419;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" fillcolor="white [3212]" strokecolor="black [3213]" strokeweight="1pt"/>
                      <w10:anchorlock/>
                    </v:group>
                  </w:pict>
                </mc:Fallback>
              </mc:AlternateContent>
            </w:r>
          </w:p>
        </w:tc>
        <w:tc>
          <w:tcPr>
            <w:tcW w:w="2619" w:type="pct"/>
            <w:shd w:val="clear" w:color="auto" w:fill="auto"/>
          </w:tcPr>
          <w:p w14:paraId="0E4D81FB" w14:textId="4701ADC7" w:rsidR="000C125E" w:rsidRPr="00A134A7" w:rsidRDefault="000C125E" w:rsidP="00FC4E10">
            <w:pPr>
              <w:pStyle w:val="TableText"/>
              <w:cnfStyle w:val="000000100000" w:firstRow="0" w:lastRow="0" w:firstColumn="0" w:lastColumn="0" w:oddVBand="0" w:evenVBand="0" w:oddHBand="1" w:evenHBand="0" w:firstRowFirstColumn="0" w:firstRowLastColumn="0" w:lastRowFirstColumn="0" w:lastRowLastColumn="0"/>
              <w:rPr>
                <w:rFonts w:cs="Arial"/>
                <w:lang w:val="en-AU"/>
              </w:rPr>
            </w:pPr>
            <w:r w:rsidRPr="005D74D1">
              <w:rPr>
                <w:rFonts w:cs="Arial"/>
              </w:rPr>
              <w:t xml:space="preserve">Many of the EC5 projects contributed to meeting the needs of customers and the community, through improved water planning, access to information and broad community / stakeholder inclusion in water planning and decision-making. </w:t>
            </w:r>
          </w:p>
        </w:tc>
      </w:tr>
      <w:tr w:rsidR="00615878" w:rsidRPr="005D74D1" w14:paraId="29617357" w14:textId="77777777" w:rsidTr="00140664">
        <w:tc>
          <w:tcPr>
            <w:cnfStyle w:val="001000000000" w:firstRow="0" w:lastRow="0" w:firstColumn="1" w:lastColumn="0" w:oddVBand="0" w:evenVBand="0" w:oddHBand="0" w:evenHBand="0" w:firstRowFirstColumn="0" w:firstRowLastColumn="0" w:lastRowFirstColumn="0" w:lastRowLastColumn="0"/>
            <w:tcW w:w="746" w:type="pct"/>
            <w:vMerge/>
            <w:shd w:val="clear" w:color="auto" w:fill="auto"/>
            <w:vAlign w:val="center"/>
          </w:tcPr>
          <w:p w14:paraId="2478F42F" w14:textId="77777777" w:rsidR="000C125E" w:rsidRPr="00A134A7" w:rsidRDefault="000C125E" w:rsidP="00112FC4">
            <w:pPr>
              <w:pStyle w:val="TableText"/>
              <w:rPr>
                <w:rFonts w:cs="Arial"/>
                <w:b w:val="0"/>
                <w:lang w:val="en-AU"/>
              </w:rPr>
            </w:pPr>
          </w:p>
        </w:tc>
        <w:tc>
          <w:tcPr>
            <w:tcW w:w="888" w:type="pct"/>
            <w:shd w:val="clear" w:color="auto" w:fill="auto"/>
            <w:vAlign w:val="center"/>
          </w:tcPr>
          <w:p w14:paraId="4F3C7043" w14:textId="2674970B" w:rsidR="000C125E" w:rsidRPr="00A134A7" w:rsidRDefault="000C125E" w:rsidP="00112FC4">
            <w:pPr>
              <w:pStyle w:val="TableText"/>
              <w:cnfStyle w:val="000000000000" w:firstRow="0" w:lastRow="0" w:firstColumn="0" w:lastColumn="0" w:oddVBand="0" w:evenVBand="0" w:oddHBand="0" w:evenHBand="0" w:firstRowFirstColumn="0" w:firstRowLastColumn="0" w:lastRowFirstColumn="0" w:lastRowLastColumn="0"/>
              <w:rPr>
                <w:rFonts w:cs="Arial"/>
                <w:lang w:val="en-AU"/>
              </w:rPr>
            </w:pPr>
            <w:r w:rsidRPr="005D74D1">
              <w:rPr>
                <w:rFonts w:cs="Arial"/>
              </w:rPr>
              <w:t>Overall progress toward long-term outcomes</w:t>
            </w:r>
          </w:p>
        </w:tc>
        <w:tc>
          <w:tcPr>
            <w:tcW w:w="747" w:type="pct"/>
            <w:shd w:val="clear" w:color="auto" w:fill="auto"/>
            <w:vAlign w:val="center"/>
          </w:tcPr>
          <w:p w14:paraId="02EE35AE" w14:textId="77777777" w:rsidR="000C125E" w:rsidRPr="00A134A7" w:rsidRDefault="000C125E" w:rsidP="00140664">
            <w:pPr>
              <w:pStyle w:val="TableText"/>
              <w:jc w:val="center"/>
              <w:cnfStyle w:val="000000000000" w:firstRow="0" w:lastRow="0" w:firstColumn="0" w:lastColumn="0" w:oddVBand="0" w:evenVBand="0" w:oddHBand="0" w:evenHBand="0" w:firstRowFirstColumn="0" w:firstRowLastColumn="0" w:lastRowFirstColumn="0" w:lastRowLastColumn="0"/>
              <w:rPr>
                <w:rFonts w:cs="Arial"/>
                <w:lang w:val="en-AU"/>
              </w:rPr>
            </w:pPr>
            <w:r w:rsidRPr="005D74D1">
              <w:rPr>
                <w:rFonts w:cs="Arial"/>
              </w:rPr>
              <w:t>Very High</w:t>
            </w:r>
          </w:p>
          <w:p w14:paraId="3D88B893" w14:textId="078E096A" w:rsidR="000C125E" w:rsidRPr="00A134A7" w:rsidRDefault="000C125E" w:rsidP="00140664">
            <w:pPr>
              <w:pStyle w:val="TableText"/>
              <w:jc w:val="center"/>
              <w:cnfStyle w:val="000000000000" w:firstRow="0" w:lastRow="0" w:firstColumn="0" w:lastColumn="0" w:oddVBand="0" w:evenVBand="0" w:oddHBand="0" w:evenHBand="0" w:firstRowFirstColumn="0" w:firstRowLastColumn="0" w:lastRowFirstColumn="0" w:lastRowLastColumn="0"/>
              <w:rPr>
                <w:rFonts w:cs="Arial"/>
                <w:lang w:val="en-AU"/>
              </w:rPr>
            </w:pPr>
            <w:r w:rsidRPr="00A134A7">
              <w:rPr>
                <w:rFonts w:cs="Arial"/>
                <w:noProof/>
              </w:rPr>
              <mc:AlternateContent>
                <mc:Choice Requires="wpg">
                  <w:drawing>
                    <wp:inline distT="0" distB="0" distL="0" distR="0" wp14:anchorId="6F0BD9A2" wp14:editId="3C4ADC9C">
                      <wp:extent cx="460800" cy="248401"/>
                      <wp:effectExtent l="0" t="0" r="15875" b="18415"/>
                      <wp:docPr id="321" name="Group 321"/>
                      <wp:cNvGraphicFramePr/>
                      <a:graphic xmlns:a="http://schemas.openxmlformats.org/drawingml/2006/main">
                        <a:graphicData uri="http://schemas.microsoft.com/office/word/2010/wordprocessingGroup">
                          <wpg:wgp>
                            <wpg:cNvGrpSpPr/>
                            <wpg:grpSpPr>
                              <a:xfrm>
                                <a:off x="0" y="0"/>
                                <a:ext cx="460800" cy="248401"/>
                                <a:chOff x="0" y="0"/>
                                <a:chExt cx="657283" cy="248401"/>
                              </a:xfrm>
                              <a:solidFill>
                                <a:srgbClr val="FFA014"/>
                              </a:solidFill>
                            </wpg:grpSpPr>
                            <wps:wsp>
                              <wps:cNvPr id="322" name="Rectangle 322"/>
                              <wps:cNvSpPr/>
                              <wps:spPr>
                                <a:xfrm>
                                  <a:off x="0" y="0"/>
                                  <a:ext cx="133200" cy="248400"/>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3" name="Rectangle 323"/>
                              <wps:cNvSpPr/>
                              <wps:spPr>
                                <a:xfrm>
                                  <a:off x="131021" y="0"/>
                                  <a:ext cx="133200" cy="248400"/>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4" name="Rectangle 324"/>
                              <wps:cNvSpPr/>
                              <wps:spPr>
                                <a:xfrm>
                                  <a:off x="262042" y="0"/>
                                  <a:ext cx="133200" cy="248400"/>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6" name="Rectangle 326"/>
                              <wps:cNvSpPr/>
                              <wps:spPr>
                                <a:xfrm>
                                  <a:off x="393063" y="1"/>
                                  <a:ext cx="133200" cy="248400"/>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7" name="Rectangle 327"/>
                              <wps:cNvSpPr/>
                              <wps:spPr>
                                <a:xfrm>
                                  <a:off x="524083" y="0"/>
                                  <a:ext cx="133200" cy="248400"/>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xmlns:w16du="http://schemas.microsoft.com/office/word/2023/wordml/word16du">
                  <w:pict>
                    <v:group w14:anchorId="02ACF969" id="Group 321" o:spid="_x0000_s1026" style="width:36.3pt;height:19.55pt;mso-position-horizontal-relative:char;mso-position-vertical-relative:line" coordsize="6572,2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">
                      <v:rect id="Rectangle 322" o:spid="_x0000_s1027" style="position:absolute;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" filled="f" strokecolor="black [3213]" strokeweight="1pt"/>
                      <v:rect id="Rectangle 323" o:spid="_x0000_s1028" style="position:absolute;left:1310;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" filled="f" strokecolor="black [3213]" strokeweight="1pt"/>
                      <v:rect id="Rectangle 324" o:spid="_x0000_s1029" style="position:absolute;left:2620;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" filled="f" strokecolor="black [3213]" strokeweight="1pt"/>
                      <v:rect id="Rectangle 326" o:spid="_x0000_s1030" style="position:absolute;left:3930;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" filled="f" strokecolor="black [3213]" strokeweight="1pt"/>
                      <v:rect id="Rectangle 327" o:spid="_x0000_s1031" style="position:absolute;left:5240;width:1332;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" filled="f" strokecolor="black [3213]" strokeweight="1pt"/>
                      <w10:anchorlock/>
                    </v:group>
                  </w:pict>
                </mc:Fallback>
              </mc:AlternateContent>
            </w:r>
          </w:p>
        </w:tc>
        <w:tc>
          <w:tcPr>
            <w:tcW w:w="2619" w:type="pct"/>
            <w:shd w:val="clear" w:color="auto" w:fill="auto"/>
          </w:tcPr>
          <w:p w14:paraId="411DA576" w14:textId="61D33C1D" w:rsidR="000C125E" w:rsidRPr="00A134A7" w:rsidRDefault="000C125E" w:rsidP="00FC4E10">
            <w:pPr>
              <w:pStyle w:val="TableText"/>
              <w:cnfStyle w:val="000000000000" w:firstRow="0" w:lastRow="0" w:firstColumn="0" w:lastColumn="0" w:oddVBand="0" w:evenVBand="0" w:oddHBand="0" w:evenHBand="0" w:firstRowFirstColumn="0" w:firstRowLastColumn="0" w:lastRowFirstColumn="0" w:lastRowLastColumn="0"/>
              <w:rPr>
                <w:rFonts w:cs="Arial"/>
                <w:lang w:val="en-AU"/>
              </w:rPr>
            </w:pPr>
            <w:r w:rsidRPr="005D74D1">
              <w:rPr>
                <w:rFonts w:cs="Arial"/>
              </w:rPr>
              <w:t xml:space="preserve">The Victorian water sector enjoys a high level of strong governance integration and effectiveness. Ongoing work, such as that provided in EC5, is needed to maintain and further improve as existing and new challenges emerge, and new technologies present opportunities. </w:t>
            </w:r>
          </w:p>
        </w:tc>
      </w:tr>
    </w:tbl>
    <w:p w14:paraId="5E5D74B9" w14:textId="77777777" w:rsidR="00A50E7D" w:rsidRPr="005D74D1" w:rsidRDefault="00E040AD" w:rsidP="00F57F77">
      <w:pPr>
        <w:pStyle w:val="BodyText"/>
        <w:rPr>
          <w:rFonts w:cs="Arial"/>
        </w:rPr>
      </w:pPr>
      <w:r w:rsidRPr="005D74D1">
        <w:rPr>
          <w:rFonts w:cs="Arial"/>
        </w:rPr>
        <w:lastRenderedPageBreak/>
        <w:t xml:space="preserve">This KEQ evaluates progress made toward the </w:t>
      </w:r>
      <w:r w:rsidR="003863B3" w:rsidRPr="005D74D1">
        <w:rPr>
          <w:rFonts w:cs="Arial"/>
        </w:rPr>
        <w:t>Water Governance</w:t>
      </w:r>
      <w:r w:rsidRPr="005D74D1">
        <w:rPr>
          <w:rFonts w:cs="Arial"/>
        </w:rPr>
        <w:t xml:space="preserve"> objective of the EC5. The program logic (</w:t>
      </w:r>
      <w:r w:rsidR="001534A1" w:rsidRPr="005D74D1">
        <w:rPr>
          <w:rFonts w:cs="Arial"/>
        </w:rPr>
        <w:t>see Section 3.3.</w:t>
      </w:r>
      <w:r w:rsidRPr="005D74D1">
        <w:rPr>
          <w:rFonts w:cs="Arial"/>
        </w:rPr>
        <w:t xml:space="preserve">) includes the long-term outcome </w:t>
      </w:r>
      <w:r w:rsidR="00221156" w:rsidRPr="005D74D1">
        <w:rPr>
          <w:rFonts w:cs="Arial"/>
        </w:rPr>
        <w:t>‘</w:t>
      </w:r>
      <w:r w:rsidR="00EC40C0" w:rsidRPr="005D74D1">
        <w:rPr>
          <w:rFonts w:cs="Arial"/>
        </w:rPr>
        <w:t>Water sector governance and system are integrated and effective</w:t>
      </w:r>
      <w:r w:rsidR="00221156" w:rsidRPr="005D74D1">
        <w:rPr>
          <w:rFonts w:cs="Arial"/>
        </w:rPr>
        <w:t>’</w:t>
      </w:r>
      <w:r w:rsidRPr="005D74D1">
        <w:rPr>
          <w:rFonts w:cs="Arial"/>
        </w:rPr>
        <w:t xml:space="preserve"> supported by the following </w:t>
      </w:r>
      <w:r w:rsidR="00015B66" w:rsidRPr="005D74D1">
        <w:rPr>
          <w:rFonts w:cs="Arial"/>
        </w:rPr>
        <w:t>E</w:t>
      </w:r>
      <w:r w:rsidRPr="005D74D1">
        <w:rPr>
          <w:rFonts w:cs="Arial"/>
        </w:rPr>
        <w:t>nd</w:t>
      </w:r>
      <w:r w:rsidR="519D6AA0" w:rsidRPr="005D74D1">
        <w:rPr>
          <w:rFonts w:cs="Arial"/>
        </w:rPr>
        <w:t>-</w:t>
      </w:r>
      <w:r w:rsidRPr="005D74D1">
        <w:rPr>
          <w:rFonts w:cs="Arial"/>
        </w:rPr>
        <w:t>of</w:t>
      </w:r>
      <w:r w:rsidR="49EC6039" w:rsidRPr="005D74D1">
        <w:rPr>
          <w:rFonts w:cs="Arial"/>
        </w:rPr>
        <w:t>-</w:t>
      </w:r>
      <w:r w:rsidR="00015B66" w:rsidRPr="005D74D1">
        <w:rPr>
          <w:rFonts w:cs="Arial"/>
        </w:rPr>
        <w:t>T</w:t>
      </w:r>
      <w:r w:rsidRPr="005D74D1">
        <w:rPr>
          <w:rFonts w:cs="Arial"/>
        </w:rPr>
        <w:t>ranche outcomes:</w:t>
      </w:r>
    </w:p>
    <w:p w14:paraId="764D77E9" w14:textId="0C8B7D95" w:rsidR="008D1732" w:rsidRPr="005D74D1" w:rsidRDefault="00544CF4" w:rsidP="00155026">
      <w:pPr>
        <w:pStyle w:val="BulletLevel1"/>
        <w:rPr>
          <w:rFonts w:cs="Arial"/>
          <w:lang w:val="en-AU"/>
        </w:rPr>
      </w:pPr>
      <w:r w:rsidRPr="005D74D1">
        <w:rPr>
          <w:rFonts w:cs="Arial"/>
          <w:lang w:val="en-AU"/>
        </w:rPr>
        <w:t xml:space="preserve">improved </w:t>
      </w:r>
      <w:r w:rsidR="008D1732" w:rsidRPr="005D74D1">
        <w:rPr>
          <w:rFonts w:cs="Arial"/>
          <w:lang w:val="en-AU"/>
        </w:rPr>
        <w:t>performance of water sector in meeting the needs of customers and the community</w:t>
      </w:r>
    </w:p>
    <w:p w14:paraId="54CE22D6" w14:textId="670BC661" w:rsidR="00A71B3A" w:rsidRPr="005D74D1" w:rsidRDefault="00544CF4" w:rsidP="00155026">
      <w:pPr>
        <w:pStyle w:val="BulletLevel1"/>
        <w:rPr>
          <w:rFonts w:cs="Arial"/>
          <w:lang w:val="en-AU"/>
        </w:rPr>
      </w:pPr>
      <w:r w:rsidRPr="005D74D1">
        <w:rPr>
          <w:rFonts w:cs="Arial"/>
          <w:lang w:val="en-AU"/>
        </w:rPr>
        <w:t xml:space="preserve">improved </w:t>
      </w:r>
      <w:r w:rsidR="00A71B3A" w:rsidRPr="005D74D1">
        <w:rPr>
          <w:rFonts w:cs="Arial"/>
          <w:lang w:val="en-AU"/>
        </w:rPr>
        <w:t>management of risks and emergencies</w:t>
      </w:r>
    </w:p>
    <w:p w14:paraId="38F37E6A" w14:textId="49C676C4" w:rsidR="000D0C7B" w:rsidRPr="005D74D1" w:rsidRDefault="00544CF4" w:rsidP="00155026">
      <w:pPr>
        <w:pStyle w:val="BulletLevel1"/>
        <w:rPr>
          <w:rFonts w:cs="Arial"/>
          <w:lang w:val="en-AU"/>
        </w:rPr>
      </w:pPr>
      <w:r w:rsidRPr="005D74D1">
        <w:rPr>
          <w:rFonts w:cs="Arial"/>
          <w:lang w:val="en-AU"/>
        </w:rPr>
        <w:t xml:space="preserve">increased </w:t>
      </w:r>
      <w:r w:rsidR="000D0C7B" w:rsidRPr="005D74D1">
        <w:rPr>
          <w:rFonts w:cs="Arial"/>
          <w:lang w:val="en-AU"/>
        </w:rPr>
        <w:t>embedment of climate change in water sector planning and decision</w:t>
      </w:r>
      <w:r w:rsidR="00A81B74" w:rsidRPr="005D74D1">
        <w:rPr>
          <w:rFonts w:cs="Arial"/>
          <w:lang w:val="en-AU"/>
        </w:rPr>
        <w:t>-</w:t>
      </w:r>
      <w:r w:rsidR="000D0C7B" w:rsidRPr="005D74D1">
        <w:rPr>
          <w:rFonts w:cs="Arial"/>
          <w:lang w:val="en-AU"/>
        </w:rPr>
        <w:t>making</w:t>
      </w:r>
      <w:r w:rsidRPr="005D74D1">
        <w:rPr>
          <w:rFonts w:cs="Arial"/>
          <w:lang w:val="en-AU"/>
        </w:rPr>
        <w:t>.</w:t>
      </w:r>
    </w:p>
    <w:p w14:paraId="1859DF8A" w14:textId="77777777" w:rsidR="00A50E7D" w:rsidRPr="005D74D1" w:rsidRDefault="001C3154" w:rsidP="00FC4E10">
      <w:pPr>
        <w:pStyle w:val="BodyText"/>
        <w:rPr>
          <w:rFonts w:cs="Arial"/>
        </w:rPr>
      </w:pPr>
      <w:bookmarkStart w:id="436" w:name="tab16"/>
      <w:bookmarkStart w:id="437" w:name="_Ref147096623"/>
      <w:bookmarkEnd w:id="436"/>
      <w:r w:rsidRPr="005D74D1">
        <w:rPr>
          <w:rFonts w:cs="Arial"/>
        </w:rPr>
        <w:t>A summary of the achievements made by EC5 projects to these outcomes is provided</w:t>
      </w:r>
      <w:r w:rsidR="0020487D" w:rsidRPr="005D74D1">
        <w:rPr>
          <w:rFonts w:cs="Arial"/>
        </w:rPr>
        <w:t>. This is supported by examples of some of the main ways that individual projects have contributed to each outcome area, provided in Appendix B.</w:t>
      </w:r>
    </w:p>
    <w:p w14:paraId="0536A9ED" w14:textId="771FC1C7" w:rsidR="00836524" w:rsidRPr="00A134A7" w:rsidRDefault="00836524" w:rsidP="00836524">
      <w:pPr>
        <w:pStyle w:val="Heading3"/>
        <w:rPr>
          <w:rFonts w:ascii="Arial" w:hAnsi="Arial" w:cs="Arial"/>
        </w:rPr>
      </w:pPr>
      <w:r w:rsidRPr="00A134A7">
        <w:rPr>
          <w:rFonts w:ascii="Arial" w:hAnsi="Arial" w:cs="Arial"/>
        </w:rPr>
        <w:t>Improved performance of water sector in meeting the needs of customers and the community</w:t>
      </w:r>
    </w:p>
    <w:p w14:paraId="77529852" w14:textId="1AFD898B" w:rsidR="00836524" w:rsidRPr="005D74D1" w:rsidRDefault="00836524" w:rsidP="00FC4E10">
      <w:pPr>
        <w:pStyle w:val="BodyText"/>
        <w:rPr>
          <w:rFonts w:cs="Arial"/>
        </w:rPr>
      </w:pPr>
      <w:r w:rsidRPr="005D74D1">
        <w:rPr>
          <w:rFonts w:cs="Arial"/>
        </w:rPr>
        <w:t xml:space="preserve">The </w:t>
      </w:r>
      <w:r w:rsidRPr="005D74D1">
        <w:rPr>
          <w:rFonts w:cs="Arial"/>
          <w:iCs/>
        </w:rPr>
        <w:t xml:space="preserve">Central Bendigo Mine Rehabilitation Project </w:t>
      </w:r>
      <w:r w:rsidR="00484E46" w:rsidRPr="005D74D1">
        <w:rPr>
          <w:rFonts w:cs="Arial"/>
          <w:iCs/>
        </w:rPr>
        <w:t>(</w:t>
      </w:r>
      <w:r w:rsidRPr="005D74D1">
        <w:rPr>
          <w:rFonts w:cs="Arial"/>
          <w:iCs/>
        </w:rPr>
        <w:t>Groundwater</w:t>
      </w:r>
      <w:r w:rsidR="00484E46" w:rsidRPr="005D74D1">
        <w:rPr>
          <w:rFonts w:cs="Arial"/>
          <w:iCs/>
        </w:rPr>
        <w:t>)</w:t>
      </w:r>
      <w:r w:rsidRPr="005D74D1">
        <w:rPr>
          <w:rFonts w:cs="Arial"/>
        </w:rPr>
        <w:t xml:space="preserve"> met customer and community expectations </w:t>
      </w:r>
      <w:r w:rsidR="008964E6" w:rsidRPr="005D74D1">
        <w:rPr>
          <w:rFonts w:cs="Arial"/>
        </w:rPr>
        <w:t xml:space="preserve">regarding </w:t>
      </w:r>
      <w:r w:rsidR="00D70682" w:rsidRPr="005D74D1">
        <w:rPr>
          <w:rFonts w:cs="Arial"/>
        </w:rPr>
        <w:t>prevention of</w:t>
      </w:r>
      <w:r w:rsidRPr="005D74D1">
        <w:rPr>
          <w:rFonts w:cs="Arial"/>
        </w:rPr>
        <w:t xml:space="preserve"> mine impacted groundwater discharges to Central Bendigo through an interim solution, enabled Central Deborah Gold Mine to continue to offer underground tours, and developed and secured funding for implementation of a long-term management solution.</w:t>
      </w:r>
    </w:p>
    <w:p w14:paraId="625CB977" w14:textId="0B925AFD" w:rsidR="00836524" w:rsidRPr="005D74D1" w:rsidRDefault="00836524" w:rsidP="00FC4E10">
      <w:pPr>
        <w:pStyle w:val="BodyText"/>
        <w:rPr>
          <w:rFonts w:cs="Arial"/>
        </w:rPr>
      </w:pPr>
      <w:r w:rsidRPr="005D74D1">
        <w:rPr>
          <w:rFonts w:cs="Arial"/>
        </w:rPr>
        <w:t xml:space="preserve">The </w:t>
      </w:r>
      <w:r w:rsidR="004436E5" w:rsidRPr="005D74D1">
        <w:rPr>
          <w:rFonts w:cs="Arial"/>
        </w:rPr>
        <w:t xml:space="preserve">level of achievement </w:t>
      </w:r>
      <w:r w:rsidRPr="005D74D1">
        <w:rPr>
          <w:rFonts w:cs="Arial"/>
        </w:rPr>
        <w:t>toward inclusive water management outlined in</w:t>
      </w:r>
      <w:r w:rsidR="00265CDA" w:rsidRPr="005D74D1">
        <w:rPr>
          <w:rFonts w:cs="Arial"/>
        </w:rPr>
        <w:t xml:space="preserve"> section 4.6</w:t>
      </w:r>
      <w:r w:rsidRPr="005D74D1">
        <w:rPr>
          <w:rFonts w:cs="Arial"/>
        </w:rPr>
        <w:t xml:space="preserve"> is also relevant to this outcome, as customer and community needs are closely linked with community access to water information and inclusion in water planning and decision-making.</w:t>
      </w:r>
    </w:p>
    <w:p w14:paraId="0E3BFB79" w14:textId="12FCE7BE" w:rsidR="00836524" w:rsidRPr="00A134A7" w:rsidRDefault="00836524" w:rsidP="00836524">
      <w:pPr>
        <w:pStyle w:val="Heading3"/>
        <w:rPr>
          <w:rFonts w:ascii="Arial" w:hAnsi="Arial" w:cs="Arial"/>
        </w:rPr>
      </w:pPr>
      <w:r w:rsidRPr="00A134A7">
        <w:rPr>
          <w:rFonts w:ascii="Arial" w:hAnsi="Arial" w:cs="Arial"/>
        </w:rPr>
        <w:t>Improved management of risks and emergencies</w:t>
      </w:r>
    </w:p>
    <w:p w14:paraId="4B425D31" w14:textId="77777777" w:rsidR="00A50E7D" w:rsidRPr="005D74D1" w:rsidRDefault="00836524" w:rsidP="00FC4E10">
      <w:pPr>
        <w:pStyle w:val="BodyText"/>
        <w:keepNext/>
        <w:keepLines/>
        <w:rPr>
          <w:rFonts w:cs="Arial"/>
        </w:rPr>
      </w:pPr>
      <w:r w:rsidRPr="005D74D1">
        <w:rPr>
          <w:rFonts w:cs="Arial"/>
        </w:rPr>
        <w:t>Flood risks were</w:t>
      </w:r>
      <w:r w:rsidRPr="005D74D1" w:rsidDel="006A2349">
        <w:rPr>
          <w:rFonts w:cs="Arial"/>
        </w:rPr>
        <w:t xml:space="preserve"> </w:t>
      </w:r>
      <w:r w:rsidRPr="005D74D1">
        <w:rPr>
          <w:rFonts w:cs="Arial"/>
        </w:rPr>
        <w:t xml:space="preserve">better understood and managed through completion of </w:t>
      </w:r>
      <w:r w:rsidR="004A1490" w:rsidRPr="005D74D1">
        <w:rPr>
          <w:rFonts w:cs="Arial"/>
        </w:rPr>
        <w:t xml:space="preserve">23 </w:t>
      </w:r>
      <w:r w:rsidRPr="005D74D1">
        <w:rPr>
          <w:rFonts w:cs="Arial"/>
        </w:rPr>
        <w:t xml:space="preserve">flood studies, 8 planning scheme amendments, </w:t>
      </w:r>
      <w:r w:rsidR="004A1490" w:rsidRPr="005D74D1">
        <w:rPr>
          <w:rFonts w:cs="Arial"/>
        </w:rPr>
        <w:t xml:space="preserve">11 </w:t>
      </w:r>
      <w:r w:rsidRPr="005D74D1">
        <w:rPr>
          <w:rFonts w:cs="Arial"/>
        </w:rPr>
        <w:t xml:space="preserve">flood mitigation infrastructure projects, </w:t>
      </w:r>
      <w:r w:rsidR="004A1490" w:rsidRPr="005D74D1">
        <w:rPr>
          <w:rFonts w:cs="Arial"/>
        </w:rPr>
        <w:t xml:space="preserve">23 </w:t>
      </w:r>
      <w:r w:rsidRPr="005D74D1">
        <w:rPr>
          <w:rFonts w:cs="Arial"/>
        </w:rPr>
        <w:t xml:space="preserve">projects to develop or upgrade flood warning services, </w:t>
      </w:r>
      <w:r w:rsidR="00DD71FB" w:rsidRPr="005D74D1">
        <w:rPr>
          <w:rFonts w:cs="Arial"/>
        </w:rPr>
        <w:t xml:space="preserve">and </w:t>
      </w:r>
      <w:r w:rsidRPr="005D74D1">
        <w:rPr>
          <w:rFonts w:cs="Arial"/>
        </w:rPr>
        <w:t>completion of all 56 actions from the Victorian floodplain management strategy</w:t>
      </w:r>
      <w:r w:rsidR="00DD71FB" w:rsidRPr="005D74D1">
        <w:rPr>
          <w:rFonts w:cs="Arial"/>
        </w:rPr>
        <w:t xml:space="preserve">. The FloodZoom platform was </w:t>
      </w:r>
      <w:r w:rsidR="00A92FB1" w:rsidRPr="005D74D1">
        <w:rPr>
          <w:rFonts w:cs="Arial"/>
        </w:rPr>
        <w:t>improved to create</w:t>
      </w:r>
      <w:r w:rsidR="00DD71FB" w:rsidRPr="005D74D1">
        <w:rPr>
          <w:rFonts w:cs="Arial"/>
        </w:rPr>
        <w:t xml:space="preserve"> a </w:t>
      </w:r>
      <w:r w:rsidR="00A92FB1" w:rsidRPr="005D74D1">
        <w:rPr>
          <w:rFonts w:cs="Arial"/>
        </w:rPr>
        <w:t>‘</w:t>
      </w:r>
      <w:r w:rsidR="00DD71FB" w:rsidRPr="005D74D1">
        <w:rPr>
          <w:rFonts w:cs="Arial"/>
        </w:rPr>
        <w:t>one stop shop</w:t>
      </w:r>
      <w:r w:rsidR="00A92FB1" w:rsidRPr="005D74D1">
        <w:rPr>
          <w:rFonts w:cs="Arial"/>
        </w:rPr>
        <w:t>’</w:t>
      </w:r>
      <w:r w:rsidR="00DD71FB" w:rsidRPr="005D74D1">
        <w:rPr>
          <w:rFonts w:cs="Arial"/>
        </w:rPr>
        <w:t xml:space="preserve"> experience for flood responders and analysts. Maps from 100% of completed flood studies stored by FloodZoom are now publicly available due to collaboration with the Victorian Government’s Digital Twin platform.</w:t>
      </w:r>
    </w:p>
    <w:p w14:paraId="10E40DB5" w14:textId="0AC539AD" w:rsidR="00836524" w:rsidRPr="005D74D1" w:rsidRDefault="009F3B43" w:rsidP="00FC4E10">
      <w:pPr>
        <w:pStyle w:val="BodyText"/>
        <w:keepNext/>
        <w:keepLines/>
        <w:rPr>
          <w:rFonts w:cs="Arial"/>
        </w:rPr>
      </w:pPr>
      <w:r w:rsidRPr="005D74D1">
        <w:rPr>
          <w:rFonts w:cs="Arial"/>
        </w:rPr>
        <w:t>The</w:t>
      </w:r>
      <w:r w:rsidR="00836524" w:rsidRPr="005D74D1">
        <w:rPr>
          <w:rFonts w:cs="Arial"/>
        </w:rPr>
        <w:t xml:space="preserve"> </w:t>
      </w:r>
      <w:r w:rsidR="00561DCC" w:rsidRPr="005D74D1">
        <w:rPr>
          <w:rFonts w:cs="Arial"/>
        </w:rPr>
        <w:t>3</w:t>
      </w:r>
      <w:r w:rsidR="00836524" w:rsidRPr="005D74D1">
        <w:rPr>
          <w:rFonts w:cs="Arial"/>
        </w:rPr>
        <w:t xml:space="preserve"> </w:t>
      </w:r>
      <w:r w:rsidR="00A07945" w:rsidRPr="005D74D1">
        <w:rPr>
          <w:rFonts w:cs="Arial"/>
        </w:rPr>
        <w:t>l</w:t>
      </w:r>
      <w:r w:rsidR="00836524" w:rsidRPr="005D74D1">
        <w:rPr>
          <w:rFonts w:cs="Arial"/>
        </w:rPr>
        <w:t xml:space="preserve">ocal </w:t>
      </w:r>
      <w:r w:rsidR="00A07945" w:rsidRPr="005D74D1">
        <w:rPr>
          <w:rFonts w:cs="Arial"/>
        </w:rPr>
        <w:t>g</w:t>
      </w:r>
      <w:r w:rsidR="00836524" w:rsidRPr="005D74D1">
        <w:rPr>
          <w:rFonts w:cs="Arial"/>
        </w:rPr>
        <w:t xml:space="preserve">overnment </w:t>
      </w:r>
      <w:r w:rsidR="00A07945" w:rsidRPr="005D74D1">
        <w:rPr>
          <w:rFonts w:cs="Arial"/>
        </w:rPr>
        <w:t>a</w:t>
      </w:r>
      <w:r w:rsidR="00996128" w:rsidRPr="005D74D1">
        <w:rPr>
          <w:rFonts w:cs="Arial"/>
        </w:rPr>
        <w:t>uthority</w:t>
      </w:r>
      <w:r w:rsidR="00836524" w:rsidRPr="005D74D1">
        <w:rPr>
          <w:rFonts w:cs="Arial"/>
        </w:rPr>
        <w:t xml:space="preserve"> owned small dams</w:t>
      </w:r>
      <w:r w:rsidR="00A36675" w:rsidRPr="005D74D1">
        <w:rPr>
          <w:rFonts w:cs="Arial"/>
        </w:rPr>
        <w:t xml:space="preserve"> at highest risk of failure</w:t>
      </w:r>
      <w:r w:rsidR="00836524" w:rsidRPr="005D74D1">
        <w:rPr>
          <w:rFonts w:cs="Arial"/>
        </w:rPr>
        <w:t xml:space="preserve"> have been </w:t>
      </w:r>
      <w:r w:rsidRPr="005D74D1">
        <w:rPr>
          <w:rFonts w:cs="Arial"/>
        </w:rPr>
        <w:t xml:space="preserve">rehabilitated and </w:t>
      </w:r>
      <w:r w:rsidR="00836524" w:rsidRPr="005D74D1">
        <w:rPr>
          <w:rFonts w:cs="Arial"/>
        </w:rPr>
        <w:t>preparedness works</w:t>
      </w:r>
      <w:r w:rsidRPr="005D74D1">
        <w:rPr>
          <w:rFonts w:cs="Arial"/>
        </w:rPr>
        <w:t xml:space="preserve"> undertaken</w:t>
      </w:r>
      <w:r w:rsidR="00836524" w:rsidRPr="005D74D1">
        <w:rPr>
          <w:rFonts w:cs="Arial"/>
        </w:rPr>
        <w:t xml:space="preserve">, as well as upgrades to the Dam Safety Portal </w:t>
      </w:r>
      <w:r w:rsidR="004A1490" w:rsidRPr="005D74D1">
        <w:rPr>
          <w:rFonts w:cs="Arial"/>
        </w:rPr>
        <w:t xml:space="preserve">to </w:t>
      </w:r>
      <w:r w:rsidR="00836524" w:rsidRPr="005D74D1">
        <w:rPr>
          <w:rFonts w:cs="Arial"/>
        </w:rPr>
        <w:t>include local government dams.</w:t>
      </w:r>
    </w:p>
    <w:p w14:paraId="52764AAA" w14:textId="01263F3C" w:rsidR="00836524" w:rsidRPr="00A134A7" w:rsidRDefault="00836524" w:rsidP="00836524">
      <w:pPr>
        <w:pStyle w:val="Heading3"/>
        <w:rPr>
          <w:rFonts w:ascii="Arial" w:hAnsi="Arial" w:cs="Arial"/>
        </w:rPr>
      </w:pPr>
      <w:r w:rsidRPr="00A134A7">
        <w:rPr>
          <w:rFonts w:ascii="Arial" w:hAnsi="Arial" w:cs="Arial"/>
        </w:rPr>
        <w:t>Increased embedment of climate change in water sector planning and decision-making</w:t>
      </w:r>
    </w:p>
    <w:p w14:paraId="7FBD872E" w14:textId="5E45FF07" w:rsidR="00836524" w:rsidRPr="00A134A7" w:rsidRDefault="00836524" w:rsidP="00B450A6">
      <w:pPr>
        <w:pStyle w:val="TableBullet"/>
        <w:numPr>
          <w:ilvl w:val="0"/>
          <w:numId w:val="0"/>
        </w:numPr>
        <w:rPr>
          <w:rStyle w:val="BodyTextChar"/>
          <w:rFonts w:cs="Arial"/>
          <w:lang w:val="en-AU"/>
        </w:rPr>
      </w:pPr>
      <w:r w:rsidRPr="00A134A7">
        <w:rPr>
          <w:rFonts w:cs="Arial"/>
          <w:lang w:val="en-AU"/>
        </w:rPr>
        <w:t xml:space="preserve">A key achievement of EC5 for this outcome was development of </w:t>
      </w:r>
      <w:r w:rsidRPr="00A134A7">
        <w:rPr>
          <w:rFonts w:cs="Arial"/>
          <w:i/>
          <w:iCs/>
          <w:lang w:val="en-AU"/>
        </w:rPr>
        <w:t xml:space="preserve">Guidelines for Assessing the Impact of </w:t>
      </w:r>
      <w:r w:rsidRPr="00A134A7">
        <w:rPr>
          <w:rStyle w:val="BodyTextChar"/>
          <w:rFonts w:cs="Arial"/>
          <w:lang w:val="en-AU"/>
        </w:rPr>
        <w:t>Climate Change on Water Availability in Victoria</w:t>
      </w:r>
      <w:r w:rsidR="00A92FB1" w:rsidRPr="00A134A7">
        <w:rPr>
          <w:rStyle w:val="BodyTextChar"/>
          <w:rFonts w:cs="Arial"/>
          <w:lang w:val="en-AU"/>
        </w:rPr>
        <w:t xml:space="preserve"> (</w:t>
      </w:r>
      <w:r w:rsidR="00561DCC" w:rsidRPr="00A134A7">
        <w:rPr>
          <w:rStyle w:val="BodyTextChar"/>
          <w:rFonts w:cs="Arial"/>
          <w:lang w:val="en-AU"/>
        </w:rPr>
        <w:t>t</w:t>
      </w:r>
      <w:r w:rsidR="00A92FB1" w:rsidRPr="00A134A7">
        <w:rPr>
          <w:rStyle w:val="BodyTextChar"/>
          <w:rFonts w:cs="Arial"/>
          <w:lang w:val="en-AU"/>
        </w:rPr>
        <w:t>he Guidelines)</w:t>
      </w:r>
      <w:r w:rsidRPr="00A134A7">
        <w:rPr>
          <w:rStyle w:val="BodyTextChar"/>
          <w:rFonts w:cs="Arial"/>
          <w:lang w:val="en-AU"/>
        </w:rPr>
        <w:t xml:space="preserve">. </w:t>
      </w:r>
      <w:r w:rsidR="00010444" w:rsidRPr="00A134A7">
        <w:rPr>
          <w:rStyle w:val="BodyTextChar"/>
          <w:rFonts w:cs="Arial"/>
          <w:lang w:val="en-AU"/>
        </w:rPr>
        <w:t xml:space="preserve">Stakeholders rely on this guidance </w:t>
      </w:r>
      <w:r w:rsidR="002A532E" w:rsidRPr="00A134A7">
        <w:rPr>
          <w:rStyle w:val="BodyTextChar"/>
          <w:rFonts w:cs="Arial"/>
          <w:lang w:val="en-AU"/>
        </w:rPr>
        <w:t xml:space="preserve">as part of their </w:t>
      </w:r>
      <w:r w:rsidR="00B700E1" w:rsidRPr="00A134A7">
        <w:rPr>
          <w:rStyle w:val="BodyTextChar"/>
          <w:rFonts w:cs="Arial"/>
          <w:lang w:val="en-AU"/>
        </w:rPr>
        <w:t>climate change risk assessments</w:t>
      </w:r>
      <w:r w:rsidR="002A532E" w:rsidRPr="00A134A7">
        <w:rPr>
          <w:rStyle w:val="BodyTextChar"/>
          <w:rFonts w:cs="Arial"/>
          <w:lang w:val="en-AU"/>
        </w:rPr>
        <w:t>, particularly for water availability for consumptive</w:t>
      </w:r>
      <w:r w:rsidR="00B700E1" w:rsidRPr="00A134A7">
        <w:rPr>
          <w:rStyle w:val="BodyTextChar"/>
          <w:rFonts w:cs="Arial"/>
          <w:lang w:val="en-AU"/>
        </w:rPr>
        <w:t xml:space="preserve"> use,</w:t>
      </w:r>
      <w:r w:rsidR="002A532E" w:rsidRPr="00A134A7">
        <w:rPr>
          <w:rStyle w:val="BodyTextChar"/>
          <w:rFonts w:cs="Arial"/>
          <w:lang w:val="en-AU"/>
        </w:rPr>
        <w:t xml:space="preserve"> water supply for cities, towns, irrigators and industry as well as for environmental and Traditional Owner outcomes. Ensuring these products remain up-to-date is an important part of enabling the sector to respond to the challenge of climate change.</w:t>
      </w:r>
      <w:r w:rsidR="00010444" w:rsidRPr="00A134A7">
        <w:rPr>
          <w:rStyle w:val="BodyTextChar"/>
          <w:rFonts w:cs="Arial"/>
          <w:lang w:val="en-AU"/>
        </w:rPr>
        <w:t xml:space="preserve"> </w:t>
      </w:r>
      <w:r w:rsidRPr="00A134A7">
        <w:rPr>
          <w:rStyle w:val="BodyTextChar"/>
          <w:rFonts w:cs="Arial"/>
          <w:lang w:val="en-AU"/>
        </w:rPr>
        <w:t>An independent survey conducted to understand the usefulness of The Guidelines to the water sector found:</w:t>
      </w:r>
    </w:p>
    <w:p w14:paraId="24F7F22A" w14:textId="25EDA2E5" w:rsidR="00836524" w:rsidRPr="00A134A7" w:rsidRDefault="00836524" w:rsidP="00FC4E10">
      <w:pPr>
        <w:pStyle w:val="BulletLevel1"/>
        <w:rPr>
          <w:rFonts w:cs="Arial"/>
          <w:lang w:val="en-AU"/>
        </w:rPr>
      </w:pPr>
      <w:r w:rsidRPr="00A134A7">
        <w:rPr>
          <w:rFonts w:cs="Arial"/>
          <w:lang w:val="en-AU"/>
        </w:rPr>
        <w:t xml:space="preserve">‘The Guidelines appear to be universally used by </w:t>
      </w:r>
      <w:r w:rsidR="00561DCC" w:rsidRPr="00A134A7">
        <w:rPr>
          <w:rFonts w:cs="Arial"/>
          <w:lang w:val="en-AU"/>
        </w:rPr>
        <w:t>u</w:t>
      </w:r>
      <w:r w:rsidRPr="00A134A7">
        <w:rPr>
          <w:rFonts w:cs="Arial"/>
          <w:lang w:val="en-AU"/>
        </w:rPr>
        <w:t xml:space="preserve">rban </w:t>
      </w:r>
      <w:r w:rsidR="00561DCC" w:rsidRPr="00A134A7">
        <w:rPr>
          <w:rFonts w:cs="Arial"/>
          <w:lang w:val="en-AU"/>
        </w:rPr>
        <w:t>w</w:t>
      </w:r>
      <w:r w:rsidRPr="00A134A7">
        <w:rPr>
          <w:rFonts w:cs="Arial"/>
          <w:lang w:val="en-AU"/>
        </w:rPr>
        <w:t xml:space="preserve">ater </w:t>
      </w:r>
      <w:r w:rsidR="00561DCC" w:rsidRPr="00A134A7">
        <w:rPr>
          <w:rFonts w:cs="Arial"/>
          <w:lang w:val="en-AU"/>
        </w:rPr>
        <w:t>c</w:t>
      </w:r>
      <w:r w:rsidRPr="00A134A7">
        <w:rPr>
          <w:rFonts w:cs="Arial"/>
          <w:lang w:val="en-AU"/>
        </w:rPr>
        <w:t>orporations for their Urban Water Strategies and associated water resource planning’.</w:t>
      </w:r>
    </w:p>
    <w:p w14:paraId="28DF05C6" w14:textId="77777777" w:rsidR="00265CDA" w:rsidRPr="005D74D1" w:rsidRDefault="00836524" w:rsidP="00FC4E10">
      <w:pPr>
        <w:pStyle w:val="BulletLevel1"/>
        <w:rPr>
          <w:rFonts w:cs="Arial"/>
          <w:lang w:val="en-AU"/>
        </w:rPr>
      </w:pPr>
      <w:r w:rsidRPr="005D74D1">
        <w:rPr>
          <w:rFonts w:cs="Arial"/>
          <w:lang w:val="en-AU"/>
        </w:rPr>
        <w:t xml:space="preserve">‘The consultants interviewed used the guidelines for urban water strategies, but also for environmental type studies and investigations in the rural water area. DEECA teams use the Guidelines in strategic areas such as Sustainable Water Strategies, Long-Term Water </w:t>
      </w:r>
      <w:r w:rsidRPr="005D74D1">
        <w:rPr>
          <w:rFonts w:cs="Arial"/>
          <w:lang w:val="en-AU"/>
        </w:rPr>
        <w:lastRenderedPageBreak/>
        <w:t>Resource Assessment as well as Urban Water Strategies, and modelling of the northern Victorian regulated systems’.</w:t>
      </w:r>
    </w:p>
    <w:p w14:paraId="50E29AEB" w14:textId="2D9E3188" w:rsidR="00836524" w:rsidRPr="005D74D1" w:rsidRDefault="00836524" w:rsidP="00FC4E10">
      <w:pPr>
        <w:pStyle w:val="BulletLevel1"/>
        <w:rPr>
          <w:rFonts w:cs="Arial"/>
          <w:lang w:val="en-AU"/>
        </w:rPr>
      </w:pPr>
      <w:r w:rsidRPr="005D74D1">
        <w:rPr>
          <w:rFonts w:cs="Arial"/>
          <w:lang w:val="en-AU"/>
        </w:rPr>
        <w:t>‘Almost all participants commented on the high value of the guidelines, that they provide consistent and dependable advice, that they are of high quality and well researched and that they are a “point of truth” for the industry’.</w:t>
      </w:r>
    </w:p>
    <w:p w14:paraId="2244BF11" w14:textId="5A46CD66" w:rsidR="002A02BB" w:rsidRPr="005D74D1" w:rsidRDefault="0032047A" w:rsidP="00FC4E10">
      <w:pPr>
        <w:pStyle w:val="BodyText"/>
        <w:rPr>
          <w:rFonts w:cs="Arial"/>
        </w:rPr>
      </w:pPr>
      <w:r w:rsidRPr="005D74D1">
        <w:rPr>
          <w:rFonts w:cs="Arial"/>
        </w:rPr>
        <w:t>The CGRSWS Funding Stream 4 Water Cycle Climate Change Adaptation Action Plan project improved understanding of climate risks by providing feedback to the water sector on their Corporate Plans and Annual Reports to build capacity to better address the climate change</w:t>
      </w:r>
      <w:r w:rsidR="005B40BD" w:rsidRPr="005D74D1">
        <w:rPr>
          <w:rFonts w:cs="Arial"/>
        </w:rPr>
        <w:t xml:space="preserve"> risks</w:t>
      </w:r>
      <w:r w:rsidRPr="005D74D1">
        <w:rPr>
          <w:rFonts w:cs="Arial"/>
        </w:rPr>
        <w:t>. This project also involved in-depth consultation with the water sector on their understanding and management of climate risks, resulting in the establishment of partnerships with CMAs (through a grants program) and water corporations (by agreement with VicWater) to build their climate risk management capacity.</w:t>
      </w:r>
    </w:p>
    <w:p w14:paraId="3920CCB9" w14:textId="54524177" w:rsidR="00875A29" w:rsidRPr="005D74D1" w:rsidRDefault="00875A29" w:rsidP="0078190D">
      <w:pPr>
        <w:pStyle w:val="Heading2"/>
        <w:rPr>
          <w:rFonts w:cs="Arial"/>
        </w:rPr>
      </w:pPr>
      <w:bookmarkStart w:id="438" w:name="_Toc147329341"/>
      <w:bookmarkStart w:id="439" w:name="_Toc183777373"/>
      <w:bookmarkEnd w:id="437"/>
      <w:r w:rsidRPr="005D74D1">
        <w:rPr>
          <w:rFonts w:cs="Arial"/>
        </w:rPr>
        <w:t>To what extent has ongoing, foundational work, supported other programs and improved data availability and decision</w:t>
      </w:r>
      <w:r w:rsidR="00A81B74" w:rsidRPr="005D74D1">
        <w:rPr>
          <w:rFonts w:cs="Arial"/>
        </w:rPr>
        <w:t>-</w:t>
      </w:r>
      <w:r w:rsidRPr="005D74D1">
        <w:rPr>
          <w:rFonts w:cs="Arial"/>
        </w:rPr>
        <w:t>making?</w:t>
      </w:r>
      <w:bookmarkEnd w:id="438"/>
      <w:bookmarkEnd w:id="439"/>
    </w:p>
    <w:p w14:paraId="1DD7DC71" w14:textId="77777777" w:rsidR="00A50E7D" w:rsidRPr="005D74D1" w:rsidRDefault="001F1401" w:rsidP="00FC4E10">
      <w:pPr>
        <w:pStyle w:val="BodyText"/>
        <w:keepNext/>
        <w:keepLines/>
        <w:rPr>
          <w:rFonts w:cs="Arial"/>
        </w:rPr>
      </w:pPr>
      <w:r w:rsidRPr="005D74D1">
        <w:rPr>
          <w:rFonts w:cs="Arial"/>
        </w:rPr>
        <w:t xml:space="preserve">This KEQ does not link to a specific </w:t>
      </w:r>
      <w:r w:rsidR="00C6308B" w:rsidRPr="005D74D1">
        <w:rPr>
          <w:rFonts w:cs="Arial"/>
        </w:rPr>
        <w:t>long</w:t>
      </w:r>
      <w:r w:rsidR="00316DF6" w:rsidRPr="005D74D1">
        <w:rPr>
          <w:rFonts w:cs="Arial"/>
        </w:rPr>
        <w:t>-</w:t>
      </w:r>
      <w:r w:rsidR="00C6308B" w:rsidRPr="005D74D1">
        <w:rPr>
          <w:rFonts w:cs="Arial"/>
        </w:rPr>
        <w:t xml:space="preserve">term outcome from the </w:t>
      </w:r>
      <w:r w:rsidR="00F0799F" w:rsidRPr="005D74D1">
        <w:rPr>
          <w:rFonts w:cs="Arial"/>
        </w:rPr>
        <w:t xml:space="preserve">program </w:t>
      </w:r>
      <w:r w:rsidR="00C6308B" w:rsidRPr="005D74D1">
        <w:rPr>
          <w:rFonts w:cs="Arial"/>
        </w:rPr>
        <w:t>logic (</w:t>
      </w:r>
      <w:r w:rsidR="00F57F77" w:rsidRPr="005D74D1">
        <w:rPr>
          <w:rFonts w:cs="Arial"/>
        </w:rPr>
        <w:t>see Section 3.3)</w:t>
      </w:r>
      <w:r w:rsidR="00F0799F" w:rsidRPr="005D74D1">
        <w:rPr>
          <w:rFonts w:cs="Arial"/>
        </w:rPr>
        <w:t>. H</w:t>
      </w:r>
      <w:r w:rsidR="00C6308B" w:rsidRPr="005D74D1">
        <w:rPr>
          <w:rFonts w:cs="Arial"/>
        </w:rPr>
        <w:t>owever</w:t>
      </w:r>
      <w:r w:rsidR="00F0799F" w:rsidRPr="005D74D1">
        <w:rPr>
          <w:rFonts w:cs="Arial"/>
        </w:rPr>
        <w:t>, this KEQ</w:t>
      </w:r>
      <w:r w:rsidR="00C6308B" w:rsidRPr="005D74D1">
        <w:rPr>
          <w:rFonts w:cs="Arial"/>
        </w:rPr>
        <w:t xml:space="preserve"> recognises the importance of </w:t>
      </w:r>
      <w:r w:rsidR="005C015B" w:rsidRPr="005D74D1">
        <w:rPr>
          <w:rFonts w:cs="Arial"/>
        </w:rPr>
        <w:t xml:space="preserve">ongoing foundational work undertaken throughout EC5 in supporting the </w:t>
      </w:r>
      <w:r w:rsidR="001343F2" w:rsidRPr="005D74D1">
        <w:rPr>
          <w:rFonts w:cs="Arial"/>
        </w:rPr>
        <w:t>End-Of-Tranche</w:t>
      </w:r>
      <w:r w:rsidR="005C015B" w:rsidRPr="005D74D1">
        <w:rPr>
          <w:rFonts w:cs="Arial"/>
        </w:rPr>
        <w:t xml:space="preserve"> outcomes. </w:t>
      </w:r>
      <w:r w:rsidR="003B335B" w:rsidRPr="005D74D1">
        <w:rPr>
          <w:rFonts w:cs="Arial"/>
        </w:rPr>
        <w:t xml:space="preserve">In particular, the ongoing surface water and groundwater monitoring and modelling </w:t>
      </w:r>
      <w:r w:rsidR="00856D03" w:rsidRPr="005D74D1">
        <w:rPr>
          <w:rFonts w:cs="Arial"/>
        </w:rPr>
        <w:t>project</w:t>
      </w:r>
      <w:r w:rsidR="003B335B" w:rsidRPr="005D74D1">
        <w:rPr>
          <w:rFonts w:cs="Arial"/>
        </w:rPr>
        <w:t>s provide</w:t>
      </w:r>
      <w:r w:rsidR="005B74E8" w:rsidRPr="005D74D1">
        <w:rPr>
          <w:rFonts w:cs="Arial"/>
        </w:rPr>
        <w:t>d</w:t>
      </w:r>
      <w:r w:rsidR="003B335B" w:rsidRPr="005D74D1">
        <w:rPr>
          <w:rFonts w:cs="Arial"/>
        </w:rPr>
        <w:t xml:space="preserve"> </w:t>
      </w:r>
      <w:r w:rsidR="005B74E8" w:rsidRPr="005D74D1">
        <w:rPr>
          <w:rFonts w:cs="Arial"/>
        </w:rPr>
        <w:t xml:space="preserve">continued development of a detailed knowledge base of continuous and comprehensive water monitoring data </w:t>
      </w:r>
      <w:r w:rsidR="006C5CA9" w:rsidRPr="005D74D1">
        <w:rPr>
          <w:rFonts w:cs="Arial"/>
        </w:rPr>
        <w:t>and information which is used for planning and decision</w:t>
      </w:r>
      <w:r w:rsidR="00A81B74" w:rsidRPr="005D74D1">
        <w:rPr>
          <w:rFonts w:cs="Arial"/>
        </w:rPr>
        <w:t>-</w:t>
      </w:r>
      <w:r w:rsidR="006C5CA9" w:rsidRPr="005D74D1">
        <w:rPr>
          <w:rFonts w:cs="Arial"/>
        </w:rPr>
        <w:t>making throughout the Victorian water sector</w:t>
      </w:r>
      <w:r w:rsidR="006712DE" w:rsidRPr="005D74D1">
        <w:rPr>
          <w:rFonts w:cs="Arial"/>
        </w:rPr>
        <w:t>.</w:t>
      </w:r>
    </w:p>
    <w:p w14:paraId="53EBC0D8" w14:textId="77777777" w:rsidR="00A50E7D" w:rsidRPr="005D74D1" w:rsidRDefault="003B335B" w:rsidP="00FC4E10">
      <w:pPr>
        <w:pStyle w:val="BodyText"/>
        <w:keepNext/>
        <w:keepLines/>
        <w:rPr>
          <w:rFonts w:cs="Arial"/>
        </w:rPr>
      </w:pPr>
      <w:r w:rsidRPr="005D74D1">
        <w:rPr>
          <w:rFonts w:cs="Arial"/>
        </w:rPr>
        <w:t xml:space="preserve">In addition to the surface water and groundwater monitoring and modelling, many of the other EC5 </w:t>
      </w:r>
      <w:r w:rsidR="00856D03" w:rsidRPr="005D74D1">
        <w:rPr>
          <w:rFonts w:cs="Arial"/>
        </w:rPr>
        <w:t>project</w:t>
      </w:r>
      <w:r w:rsidRPr="005D74D1">
        <w:rPr>
          <w:rFonts w:cs="Arial"/>
        </w:rPr>
        <w:t xml:space="preserve">s noted the use of the EC to fund </w:t>
      </w:r>
      <w:r w:rsidR="001643C6" w:rsidRPr="005D74D1">
        <w:rPr>
          <w:rFonts w:cs="Arial"/>
        </w:rPr>
        <w:t>business-as-usual</w:t>
      </w:r>
      <w:r w:rsidRPr="005D74D1">
        <w:rPr>
          <w:rFonts w:cs="Arial"/>
        </w:rPr>
        <w:t xml:space="preserve"> works that was critical to the groups achieving their standard objectives and ongoing obligations. Overall, 81% of the </w:t>
      </w:r>
      <w:r w:rsidR="00856D03" w:rsidRPr="005D74D1">
        <w:rPr>
          <w:rFonts w:cs="Arial"/>
        </w:rPr>
        <w:t>project</w:t>
      </w:r>
      <w:r w:rsidRPr="005D74D1">
        <w:rPr>
          <w:rFonts w:cs="Arial"/>
        </w:rPr>
        <w:t xml:space="preserve">s reported having a degree of ongoing work (which started prior to EC5 and/or will continue post EC5). </w:t>
      </w:r>
      <w:r w:rsidR="00856D03" w:rsidRPr="005D74D1">
        <w:rPr>
          <w:rFonts w:cs="Arial"/>
        </w:rPr>
        <w:t>Project</w:t>
      </w:r>
      <w:r w:rsidRPr="005D74D1">
        <w:rPr>
          <w:rFonts w:cs="Arial"/>
        </w:rPr>
        <w:t xml:space="preserve"> evaluation reports noted the need for long</w:t>
      </w:r>
      <w:r w:rsidR="00747054" w:rsidRPr="005D74D1">
        <w:rPr>
          <w:rFonts w:cs="Arial"/>
        </w:rPr>
        <w:t>-</w:t>
      </w:r>
      <w:r w:rsidRPr="005D74D1">
        <w:rPr>
          <w:rFonts w:cs="Arial"/>
        </w:rPr>
        <w:t>term, reliable funding to drive important outcomes and create long</w:t>
      </w:r>
      <w:r w:rsidR="00747054" w:rsidRPr="005D74D1">
        <w:rPr>
          <w:rFonts w:cs="Arial"/>
        </w:rPr>
        <w:t>-</w:t>
      </w:r>
      <w:r w:rsidRPr="005D74D1">
        <w:rPr>
          <w:rFonts w:cs="Arial"/>
        </w:rPr>
        <w:t>term changes in how water resources are managed in Victoria, and that the EC (over several tranches) has been successful in progressing long</w:t>
      </w:r>
      <w:r w:rsidR="00747054" w:rsidRPr="005D74D1">
        <w:rPr>
          <w:rFonts w:cs="Arial"/>
        </w:rPr>
        <w:t>-</w:t>
      </w:r>
      <w:r w:rsidRPr="005D74D1">
        <w:rPr>
          <w:rFonts w:cs="Arial"/>
        </w:rPr>
        <w:t>term direction and policy</w:t>
      </w:r>
      <w:r w:rsidR="00FC4E10" w:rsidRPr="005D74D1">
        <w:rPr>
          <w:rFonts w:cs="Arial"/>
        </w:rPr>
        <w:t> </w:t>
      </w:r>
      <w:r w:rsidRPr="005D74D1">
        <w:rPr>
          <w:rFonts w:cs="Arial"/>
        </w:rPr>
        <w:t>work.</w:t>
      </w:r>
    </w:p>
    <w:p w14:paraId="4B4D3279" w14:textId="4A810D65" w:rsidR="00222CF3" w:rsidRPr="005D74D1" w:rsidRDefault="00023589" w:rsidP="00222CF3">
      <w:pPr>
        <w:pStyle w:val="BodyText"/>
        <w:rPr>
          <w:rFonts w:cs="Arial"/>
        </w:rPr>
      </w:pPr>
      <w:r w:rsidRPr="005D74D1">
        <w:rPr>
          <w:rFonts w:cs="Arial"/>
        </w:rPr>
        <w:t xml:space="preserve">It is acknowledged that there are a range of opportunities and benefits of EC funding supporting both short and long-term projects. There is a need to reflect on </w:t>
      </w:r>
      <w:r w:rsidR="00DD19A6" w:rsidRPr="005D74D1">
        <w:rPr>
          <w:rFonts w:cs="Arial"/>
        </w:rPr>
        <w:t>potential risks</w:t>
      </w:r>
      <w:r w:rsidRPr="005D74D1">
        <w:rPr>
          <w:rFonts w:cs="Arial"/>
        </w:rPr>
        <w:t xml:space="preserve"> that could emerge if the EC is increasingly used for ongoing, </w:t>
      </w:r>
      <w:r w:rsidR="001643C6" w:rsidRPr="005D74D1">
        <w:rPr>
          <w:rFonts w:cs="Arial"/>
        </w:rPr>
        <w:t>business-as-usual</w:t>
      </w:r>
      <w:r w:rsidRPr="005D74D1">
        <w:rPr>
          <w:rFonts w:cs="Arial"/>
        </w:rPr>
        <w:t xml:space="preserve"> activities, such as</w:t>
      </w:r>
      <w:r w:rsidR="006D65B0" w:rsidRPr="005D74D1">
        <w:rPr>
          <w:rFonts w:cs="Arial"/>
        </w:rPr>
        <w:t>:</w:t>
      </w:r>
    </w:p>
    <w:p w14:paraId="17AC4373" w14:textId="77777777" w:rsidR="00A50E7D" w:rsidRPr="00A134A7" w:rsidRDefault="00982227" w:rsidP="00155026">
      <w:pPr>
        <w:pStyle w:val="BulletLevel1"/>
        <w:rPr>
          <w:rFonts w:cs="Arial"/>
          <w:lang w:val="en-AU"/>
        </w:rPr>
      </w:pPr>
      <w:r w:rsidRPr="00A134A7">
        <w:rPr>
          <w:rFonts w:cs="Arial"/>
          <w:lang w:val="en-AU"/>
        </w:rPr>
        <w:t xml:space="preserve">potential </w:t>
      </w:r>
      <w:r w:rsidR="000F582D" w:rsidRPr="00A134A7">
        <w:rPr>
          <w:rFonts w:cs="Arial"/>
          <w:lang w:val="en-AU"/>
        </w:rPr>
        <w:t xml:space="preserve">for </w:t>
      </w:r>
      <w:r w:rsidR="00962B66" w:rsidRPr="00A134A7">
        <w:rPr>
          <w:rFonts w:cs="Arial"/>
          <w:lang w:val="en-AU"/>
        </w:rPr>
        <w:t>redu</w:t>
      </w:r>
      <w:r w:rsidR="000F582D" w:rsidRPr="00A134A7">
        <w:rPr>
          <w:rFonts w:cs="Arial"/>
          <w:lang w:val="en-AU"/>
        </w:rPr>
        <w:t xml:space="preserve">ced ability </w:t>
      </w:r>
      <w:r w:rsidR="002D0E82" w:rsidRPr="00A134A7">
        <w:rPr>
          <w:rFonts w:cs="Arial"/>
          <w:lang w:val="en-AU"/>
        </w:rPr>
        <w:t>to</w:t>
      </w:r>
      <w:r w:rsidR="000F582D" w:rsidRPr="00A134A7">
        <w:rPr>
          <w:rFonts w:cs="Arial"/>
          <w:lang w:val="en-AU"/>
        </w:rPr>
        <w:t xml:space="preserve"> innovate and implement new </w:t>
      </w:r>
      <w:r w:rsidR="00856D03" w:rsidRPr="00A134A7">
        <w:rPr>
          <w:rFonts w:cs="Arial"/>
          <w:lang w:val="en-AU"/>
        </w:rPr>
        <w:t>project</w:t>
      </w:r>
      <w:r w:rsidR="001018A7" w:rsidRPr="00A134A7">
        <w:rPr>
          <w:rFonts w:cs="Arial"/>
          <w:lang w:val="en-AU"/>
        </w:rPr>
        <w:t>s</w:t>
      </w:r>
      <w:r w:rsidR="000F582D" w:rsidRPr="00A134A7">
        <w:rPr>
          <w:rFonts w:cs="Arial"/>
          <w:lang w:val="en-AU"/>
        </w:rPr>
        <w:t xml:space="preserve"> in response to changing demand and priorities</w:t>
      </w:r>
    </w:p>
    <w:p w14:paraId="33C4DB83" w14:textId="10B555E1" w:rsidR="000F582D" w:rsidRPr="00A134A7" w:rsidRDefault="005501CA" w:rsidP="00155026">
      <w:pPr>
        <w:pStyle w:val="BulletLevel1"/>
        <w:rPr>
          <w:rFonts w:cs="Arial"/>
          <w:lang w:val="en-AU"/>
        </w:rPr>
      </w:pPr>
      <w:r w:rsidRPr="00A134A7">
        <w:rPr>
          <w:rFonts w:cs="Arial"/>
          <w:lang w:val="en-AU"/>
        </w:rPr>
        <w:t xml:space="preserve">risks </w:t>
      </w:r>
      <w:r w:rsidR="000F582D" w:rsidRPr="00A134A7">
        <w:rPr>
          <w:rFonts w:cs="Arial"/>
          <w:lang w:val="en-AU"/>
        </w:rPr>
        <w:t xml:space="preserve">to </w:t>
      </w:r>
      <w:r w:rsidR="00530C60" w:rsidRPr="00A134A7">
        <w:rPr>
          <w:rFonts w:cs="Arial"/>
          <w:lang w:val="en-AU"/>
        </w:rPr>
        <w:t xml:space="preserve">the delivery of </w:t>
      </w:r>
      <w:r w:rsidR="00FF11F2" w:rsidRPr="00A134A7">
        <w:rPr>
          <w:rFonts w:cs="Arial"/>
          <w:lang w:val="en-AU"/>
        </w:rPr>
        <w:t xml:space="preserve">critical </w:t>
      </w:r>
      <w:r w:rsidR="001643C6" w:rsidRPr="00A134A7">
        <w:rPr>
          <w:rFonts w:cs="Arial"/>
          <w:lang w:val="en-AU"/>
        </w:rPr>
        <w:t>business-as-usual</w:t>
      </w:r>
      <w:r w:rsidR="00530C60" w:rsidRPr="00A134A7">
        <w:rPr>
          <w:rFonts w:cs="Arial"/>
          <w:lang w:val="en-AU"/>
        </w:rPr>
        <w:t xml:space="preserve"> </w:t>
      </w:r>
      <w:r w:rsidR="009C4795" w:rsidRPr="00A134A7">
        <w:rPr>
          <w:rFonts w:cs="Arial"/>
          <w:lang w:val="en-AU"/>
        </w:rPr>
        <w:t xml:space="preserve">DEECA </w:t>
      </w:r>
      <w:r w:rsidR="000F582D" w:rsidRPr="00A134A7">
        <w:rPr>
          <w:rFonts w:cs="Arial"/>
          <w:lang w:val="en-AU"/>
        </w:rPr>
        <w:t>activities if funding pool from EC were to decrease</w:t>
      </w:r>
    </w:p>
    <w:p w14:paraId="09863A6E" w14:textId="77777777" w:rsidR="00A50E7D" w:rsidRPr="00A134A7" w:rsidRDefault="005501CA" w:rsidP="00155026">
      <w:pPr>
        <w:pStyle w:val="BulletLevel1"/>
        <w:rPr>
          <w:rFonts w:cs="Arial"/>
          <w:lang w:val="en-AU"/>
        </w:rPr>
      </w:pPr>
      <w:r w:rsidRPr="00A134A7">
        <w:rPr>
          <w:rFonts w:cs="Arial"/>
          <w:lang w:val="en-AU"/>
        </w:rPr>
        <w:t xml:space="preserve">difficulty </w:t>
      </w:r>
      <w:r w:rsidR="003F76D0" w:rsidRPr="00A134A7">
        <w:rPr>
          <w:rFonts w:cs="Arial"/>
          <w:lang w:val="en-AU"/>
        </w:rPr>
        <w:t xml:space="preserve">in providing </w:t>
      </w:r>
      <w:r w:rsidR="00310809" w:rsidRPr="00A134A7">
        <w:rPr>
          <w:rFonts w:cs="Arial"/>
          <w:lang w:val="en-AU"/>
        </w:rPr>
        <w:t xml:space="preserve">immediate visible </w:t>
      </w:r>
      <w:r w:rsidR="00856D03" w:rsidRPr="00A134A7">
        <w:rPr>
          <w:rFonts w:cs="Arial"/>
          <w:lang w:val="en-AU"/>
        </w:rPr>
        <w:t>project</w:t>
      </w:r>
      <w:r w:rsidR="00310809" w:rsidRPr="00A134A7">
        <w:rPr>
          <w:rFonts w:cs="Arial"/>
          <w:lang w:val="en-AU"/>
        </w:rPr>
        <w:t xml:space="preserve"> outcomes</w:t>
      </w:r>
      <w:r w:rsidR="005058B8" w:rsidRPr="00A134A7">
        <w:rPr>
          <w:rFonts w:cs="Arial"/>
          <w:lang w:val="en-AU"/>
        </w:rPr>
        <w:t xml:space="preserve"> and benefits</w:t>
      </w:r>
      <w:r w:rsidR="001018A7" w:rsidRPr="00A134A7">
        <w:rPr>
          <w:rFonts w:cs="Arial"/>
          <w:lang w:val="en-AU"/>
        </w:rPr>
        <w:t xml:space="preserve"> of ongoing </w:t>
      </w:r>
      <w:r w:rsidR="001643C6" w:rsidRPr="00A134A7">
        <w:rPr>
          <w:rFonts w:cs="Arial"/>
          <w:lang w:val="en-AU"/>
        </w:rPr>
        <w:t>business-as-usual</w:t>
      </w:r>
      <w:r w:rsidR="0035118D" w:rsidRPr="00A134A7">
        <w:rPr>
          <w:rFonts w:cs="Arial"/>
          <w:lang w:val="en-AU"/>
        </w:rPr>
        <w:t xml:space="preserve"> work, leading to </w:t>
      </w:r>
      <w:r w:rsidR="00FD01A5" w:rsidRPr="00A134A7">
        <w:rPr>
          <w:rFonts w:cs="Arial"/>
          <w:lang w:val="en-AU"/>
        </w:rPr>
        <w:t xml:space="preserve">poor community perception </w:t>
      </w:r>
      <w:r w:rsidR="00047346" w:rsidRPr="00A134A7">
        <w:rPr>
          <w:rFonts w:cs="Arial"/>
          <w:lang w:val="en-AU"/>
        </w:rPr>
        <w:t>of the EC.</w:t>
      </w:r>
    </w:p>
    <w:p w14:paraId="375F14AB" w14:textId="77777777" w:rsidR="00A50E7D" w:rsidRPr="005D74D1" w:rsidRDefault="005E082F" w:rsidP="00CA7B58">
      <w:pPr>
        <w:pStyle w:val="BodyText"/>
        <w:rPr>
          <w:rFonts w:cs="Arial"/>
        </w:rPr>
      </w:pPr>
      <w:r w:rsidRPr="005D74D1">
        <w:rPr>
          <w:rFonts w:cs="Arial"/>
        </w:rPr>
        <w:t>Some examples of ongoing</w:t>
      </w:r>
      <w:r w:rsidR="00AE48B9" w:rsidRPr="005D74D1">
        <w:rPr>
          <w:rFonts w:cs="Arial"/>
        </w:rPr>
        <w:t xml:space="preserve"> work (in addition to the surface water and groundwater monitoring and modelling outlined above) include:</w:t>
      </w:r>
    </w:p>
    <w:p w14:paraId="466346AD" w14:textId="77777777" w:rsidR="00A50E7D" w:rsidRPr="00A134A7" w:rsidRDefault="0019315C" w:rsidP="78A5BF0D">
      <w:pPr>
        <w:pStyle w:val="BulletLevel1"/>
        <w:rPr>
          <w:rFonts w:cs="Arial"/>
          <w:lang w:val="en-AU"/>
        </w:rPr>
      </w:pPr>
      <w:r w:rsidRPr="00A134A7">
        <w:rPr>
          <w:rFonts w:cs="Arial"/>
          <w:lang w:val="en-AU"/>
        </w:rPr>
        <w:t xml:space="preserve">The Retail Entitlements and Markets </w:t>
      </w:r>
      <w:r w:rsidR="00856D03" w:rsidRPr="00A134A7">
        <w:rPr>
          <w:rFonts w:cs="Arial"/>
          <w:lang w:val="en-AU"/>
        </w:rPr>
        <w:t>project</w:t>
      </w:r>
      <w:r w:rsidR="009F60AC" w:rsidRPr="00A134A7">
        <w:rPr>
          <w:rFonts w:cs="Arial"/>
          <w:lang w:val="en-AU"/>
        </w:rPr>
        <w:t xml:space="preserve"> is part of a broader </w:t>
      </w:r>
      <w:r w:rsidR="001B7E1B" w:rsidRPr="00A134A7">
        <w:rPr>
          <w:rFonts w:cs="Arial"/>
          <w:lang w:val="en-AU"/>
        </w:rPr>
        <w:t xml:space="preserve">policy and program development, underpinned by protecting the integrity of, and continually improving, </w:t>
      </w:r>
      <w:r w:rsidR="002F2684" w:rsidRPr="00A134A7">
        <w:rPr>
          <w:rFonts w:cs="Arial"/>
          <w:lang w:val="en-AU"/>
        </w:rPr>
        <w:t>the retail entitlement and water trading framework. The work is ongoing in that policy needs to continue to evolve and adapt to achieve positive and holistic benefits for Victoria as conditions change and new challenges emerge.</w:t>
      </w:r>
    </w:p>
    <w:p w14:paraId="5431864D" w14:textId="6741122D" w:rsidR="00EC3F1F" w:rsidRPr="00A134A7" w:rsidRDefault="00C11F67" w:rsidP="00155026">
      <w:pPr>
        <w:pStyle w:val="BulletLevel1"/>
        <w:rPr>
          <w:rFonts w:cs="Arial"/>
          <w:lang w:val="en-AU"/>
        </w:rPr>
      </w:pPr>
      <w:r w:rsidRPr="00A134A7">
        <w:rPr>
          <w:rFonts w:cs="Arial"/>
          <w:lang w:val="en-AU"/>
        </w:rPr>
        <w:lastRenderedPageBreak/>
        <w:t>The Managing Victoria’s Water Sharing Fram</w:t>
      </w:r>
      <w:r w:rsidR="0049065D" w:rsidRPr="00A134A7">
        <w:rPr>
          <w:rFonts w:cs="Arial"/>
          <w:lang w:val="en-AU"/>
        </w:rPr>
        <w:t>e</w:t>
      </w:r>
      <w:r w:rsidRPr="00A134A7">
        <w:rPr>
          <w:rFonts w:cs="Arial"/>
          <w:lang w:val="en-AU"/>
        </w:rPr>
        <w:t xml:space="preserve">work </w:t>
      </w:r>
      <w:r w:rsidR="00856D03" w:rsidRPr="00A134A7">
        <w:rPr>
          <w:rFonts w:cs="Arial"/>
          <w:lang w:val="en-AU"/>
        </w:rPr>
        <w:t>project</w:t>
      </w:r>
      <w:r w:rsidRPr="00A134A7">
        <w:rPr>
          <w:rFonts w:cs="Arial"/>
          <w:lang w:val="en-AU"/>
        </w:rPr>
        <w:t xml:space="preserve"> </w:t>
      </w:r>
      <w:r w:rsidR="0049065D" w:rsidRPr="00A134A7">
        <w:rPr>
          <w:rFonts w:cs="Arial"/>
          <w:lang w:val="en-AU"/>
        </w:rPr>
        <w:t xml:space="preserve">supported the </w:t>
      </w:r>
      <w:r w:rsidRPr="00A134A7">
        <w:rPr>
          <w:rFonts w:cs="Arial"/>
          <w:lang w:val="en-AU"/>
        </w:rPr>
        <w:t xml:space="preserve">ongoing administration of bulk entitlements, environmental entitlements and management of large, regulated systems including the support for the Minister for Water in fulfilling their statutory obligations. This work is fundamental to the implementation of most policies relating to water sharing arrangements and recovery of water for the environment, irrigators and </w:t>
      </w:r>
      <w:r w:rsidR="00D05337" w:rsidRPr="00A134A7">
        <w:rPr>
          <w:rFonts w:cs="Arial"/>
          <w:lang w:val="en-AU"/>
        </w:rPr>
        <w:t>T</w:t>
      </w:r>
      <w:r w:rsidRPr="00A134A7">
        <w:rPr>
          <w:rFonts w:cs="Arial"/>
          <w:lang w:val="en-AU"/>
        </w:rPr>
        <w:t xml:space="preserve">raditional </w:t>
      </w:r>
      <w:r w:rsidR="00D05337" w:rsidRPr="00A134A7">
        <w:rPr>
          <w:rFonts w:cs="Arial"/>
          <w:lang w:val="en-AU"/>
        </w:rPr>
        <w:t>O</w:t>
      </w:r>
      <w:r w:rsidRPr="00A134A7">
        <w:rPr>
          <w:rFonts w:cs="Arial"/>
          <w:lang w:val="en-AU"/>
        </w:rPr>
        <w:t>wners. It is also fundamental in ensuring that water corporations can successfully continue to carry out their primary function of supplying water to their customers and ensuring that environmental water managers can deliver water for the environment</w:t>
      </w:r>
      <w:r w:rsidR="004C759C" w:rsidRPr="00A134A7">
        <w:rPr>
          <w:rFonts w:cs="Arial"/>
          <w:lang w:val="en-AU"/>
        </w:rPr>
        <w:t>.</w:t>
      </w:r>
    </w:p>
    <w:p w14:paraId="2CC96D0A" w14:textId="554C354B" w:rsidR="004C759C" w:rsidRPr="00A134A7" w:rsidRDefault="00770D4A" w:rsidP="00155026">
      <w:pPr>
        <w:pStyle w:val="BulletLevel1"/>
        <w:rPr>
          <w:rFonts w:cs="Arial"/>
          <w:lang w:val="en-AU"/>
        </w:rPr>
      </w:pPr>
      <w:r w:rsidRPr="00A134A7">
        <w:rPr>
          <w:rFonts w:cs="Arial"/>
          <w:lang w:val="en-AU"/>
        </w:rPr>
        <w:t>For Water Compliance Reform, ongoing work by DEECA is required to ensure water corporations continue to improve their compliance performance and deliver consistent, cost-effective and best-practice compliance outcomes across different water systems into the future.</w:t>
      </w:r>
    </w:p>
    <w:p w14:paraId="4EF7413B" w14:textId="65FA1E05" w:rsidR="00770D4A" w:rsidRPr="00A134A7" w:rsidRDefault="00407F6A" w:rsidP="00155026">
      <w:pPr>
        <w:pStyle w:val="BulletLevel1"/>
        <w:rPr>
          <w:rFonts w:cs="Arial"/>
          <w:lang w:val="en-AU"/>
        </w:rPr>
      </w:pPr>
      <w:r w:rsidRPr="00A134A7">
        <w:rPr>
          <w:rFonts w:cs="Arial"/>
          <w:lang w:val="en-AU"/>
        </w:rPr>
        <w:t xml:space="preserve">The </w:t>
      </w:r>
      <w:r w:rsidR="004248AC" w:rsidRPr="00A134A7">
        <w:rPr>
          <w:rFonts w:cs="Arial"/>
          <w:lang w:val="en-AU"/>
        </w:rPr>
        <w:t>rural</w:t>
      </w:r>
      <w:r w:rsidRPr="00A134A7">
        <w:rPr>
          <w:rFonts w:cs="Arial"/>
          <w:lang w:val="en-AU"/>
        </w:rPr>
        <w:t xml:space="preserve"> water infrastructure project oversight and governance </w:t>
      </w:r>
      <w:r w:rsidR="00856D03" w:rsidRPr="00A134A7">
        <w:rPr>
          <w:rFonts w:cs="Arial"/>
          <w:lang w:val="en-AU"/>
        </w:rPr>
        <w:t>project</w:t>
      </w:r>
      <w:r w:rsidR="003F548B" w:rsidRPr="00A134A7">
        <w:rPr>
          <w:rFonts w:cs="Arial"/>
          <w:lang w:val="en-AU"/>
        </w:rPr>
        <w:t xml:space="preserve"> funding </w:t>
      </w:r>
      <w:r w:rsidR="00F00BD7" w:rsidRPr="00A134A7">
        <w:rPr>
          <w:rFonts w:cs="Arial"/>
          <w:lang w:val="en-AU"/>
        </w:rPr>
        <w:t xml:space="preserve">is required to ensure </w:t>
      </w:r>
      <w:r w:rsidR="006E1037" w:rsidRPr="00A134A7">
        <w:rPr>
          <w:rFonts w:cs="Arial"/>
          <w:lang w:val="en-AU"/>
        </w:rPr>
        <w:t xml:space="preserve">the </w:t>
      </w:r>
      <w:r w:rsidR="009446C5" w:rsidRPr="00A134A7">
        <w:rPr>
          <w:rFonts w:cs="Arial"/>
          <w:lang w:val="en-AU"/>
        </w:rPr>
        <w:t>appropriate expenditure of public money on major water infrastructure projects. This includes</w:t>
      </w:r>
      <w:r w:rsidR="006D62C5" w:rsidRPr="00A134A7">
        <w:rPr>
          <w:rFonts w:cs="Arial"/>
          <w:lang w:val="en-AU"/>
        </w:rPr>
        <w:t xml:space="preserve"> </w:t>
      </w:r>
      <w:r w:rsidR="00646ABF" w:rsidRPr="00A134A7">
        <w:rPr>
          <w:rFonts w:cs="Arial"/>
          <w:lang w:val="en-AU"/>
        </w:rPr>
        <w:t>seeking</w:t>
      </w:r>
      <w:r w:rsidR="006D62C5" w:rsidRPr="00A134A7">
        <w:rPr>
          <w:rFonts w:cs="Arial"/>
          <w:lang w:val="en-AU"/>
        </w:rPr>
        <w:t xml:space="preserve"> </w:t>
      </w:r>
      <w:r w:rsidR="009267C5" w:rsidRPr="00A134A7">
        <w:rPr>
          <w:rFonts w:cs="Arial"/>
          <w:lang w:val="en-AU"/>
        </w:rPr>
        <w:t>p</w:t>
      </w:r>
      <w:r w:rsidR="00F00BD7" w:rsidRPr="00A134A7">
        <w:rPr>
          <w:rFonts w:cs="Arial"/>
          <w:lang w:val="en-AU"/>
        </w:rPr>
        <w:t>ublic good outcomes and benefits from Government investment</w:t>
      </w:r>
      <w:r w:rsidR="0076668E" w:rsidRPr="00A134A7">
        <w:rPr>
          <w:rFonts w:cs="Arial"/>
          <w:lang w:val="en-AU"/>
        </w:rPr>
        <w:t xml:space="preserve">, both State and Commonwealth, </w:t>
      </w:r>
      <w:r w:rsidR="00F00BD7" w:rsidRPr="00A134A7">
        <w:rPr>
          <w:rFonts w:cs="Arial"/>
          <w:lang w:val="en-AU"/>
        </w:rPr>
        <w:t xml:space="preserve">in </w:t>
      </w:r>
      <w:r w:rsidR="0076668E" w:rsidRPr="00A134A7">
        <w:rPr>
          <w:rFonts w:cs="Arial"/>
          <w:lang w:val="en-AU"/>
        </w:rPr>
        <w:t xml:space="preserve">water </w:t>
      </w:r>
      <w:r w:rsidR="00D02D6C" w:rsidRPr="00A134A7">
        <w:rPr>
          <w:rFonts w:cs="Arial"/>
          <w:lang w:val="en-AU"/>
        </w:rPr>
        <w:t xml:space="preserve">infrastructure projects </w:t>
      </w:r>
      <w:r w:rsidR="006E1037" w:rsidRPr="00A134A7">
        <w:rPr>
          <w:rFonts w:cs="Arial"/>
          <w:lang w:val="en-AU"/>
        </w:rPr>
        <w:t>through</w:t>
      </w:r>
      <w:r w:rsidR="00FE50BC" w:rsidRPr="00A134A7">
        <w:rPr>
          <w:rFonts w:cs="Arial"/>
          <w:lang w:val="en-AU"/>
        </w:rPr>
        <w:t xml:space="preserve"> the </w:t>
      </w:r>
      <w:r w:rsidR="00D02D6C" w:rsidRPr="00A134A7">
        <w:rPr>
          <w:rFonts w:cs="Arial"/>
          <w:lang w:val="en-AU"/>
        </w:rPr>
        <w:t>monitoring of performance</w:t>
      </w:r>
      <w:r w:rsidR="004C42BA" w:rsidRPr="00A134A7">
        <w:rPr>
          <w:rFonts w:cs="Arial"/>
          <w:lang w:val="en-AU"/>
        </w:rPr>
        <w:t xml:space="preserve"> and compliance of the projects being delivered.</w:t>
      </w:r>
    </w:p>
    <w:p w14:paraId="1A179115" w14:textId="475E9070" w:rsidR="00407F6A" w:rsidRPr="00A134A7" w:rsidRDefault="00514D98" w:rsidP="00155026">
      <w:pPr>
        <w:pStyle w:val="BulletLevel1"/>
        <w:rPr>
          <w:rFonts w:cs="Arial"/>
          <w:lang w:val="en-AU"/>
        </w:rPr>
      </w:pPr>
      <w:r w:rsidRPr="00A134A7">
        <w:rPr>
          <w:rFonts w:cs="Arial"/>
          <w:lang w:val="en-AU"/>
        </w:rPr>
        <w:t xml:space="preserve">The Sustainable Irrigation Program involves </w:t>
      </w:r>
      <w:r w:rsidR="00A934DA" w:rsidRPr="00A134A7">
        <w:rPr>
          <w:rFonts w:cs="Arial"/>
          <w:lang w:val="en-AU"/>
        </w:rPr>
        <w:t xml:space="preserve">ongoing activities including </w:t>
      </w:r>
      <w:r w:rsidR="004C72C2" w:rsidRPr="00A134A7">
        <w:rPr>
          <w:rFonts w:cs="Arial"/>
          <w:lang w:val="en-AU"/>
        </w:rPr>
        <w:t>Basin Salinity Management 2030</w:t>
      </w:r>
      <w:r w:rsidR="004C72C2" w:rsidRPr="00A134A7" w:rsidDel="004C72C2">
        <w:rPr>
          <w:rFonts w:cs="Arial"/>
          <w:lang w:val="en-AU"/>
        </w:rPr>
        <w:t xml:space="preserve"> </w:t>
      </w:r>
      <w:r w:rsidR="00A934DA" w:rsidRPr="00A134A7">
        <w:rPr>
          <w:rFonts w:cs="Arial"/>
          <w:lang w:val="en-AU"/>
        </w:rPr>
        <w:t xml:space="preserve">compliance, </w:t>
      </w:r>
      <w:r w:rsidR="7054E373" w:rsidRPr="00A134A7">
        <w:rPr>
          <w:rFonts w:cs="Arial"/>
          <w:lang w:val="en-AU"/>
        </w:rPr>
        <w:t>m</w:t>
      </w:r>
      <w:r w:rsidR="00A934DA" w:rsidRPr="00A134A7">
        <w:rPr>
          <w:rFonts w:cs="Arial"/>
          <w:lang w:val="en-AU"/>
        </w:rPr>
        <w:t>aintaining Land and Water Management Plans and Irrigation Development Guidelines, optimis</w:t>
      </w:r>
      <w:r w:rsidR="3CD643CC" w:rsidRPr="00A134A7">
        <w:rPr>
          <w:rFonts w:cs="Arial"/>
          <w:lang w:val="en-AU"/>
        </w:rPr>
        <w:t>ing</w:t>
      </w:r>
      <w:r w:rsidR="00A934DA" w:rsidRPr="00A134A7">
        <w:rPr>
          <w:rFonts w:cs="Arial"/>
          <w:lang w:val="en-AU"/>
        </w:rPr>
        <w:t xml:space="preserve"> irrigation drainage, and irrigation extension.</w:t>
      </w:r>
    </w:p>
    <w:p w14:paraId="73FE3C95" w14:textId="77777777" w:rsidR="00A50E7D" w:rsidRPr="00A134A7" w:rsidRDefault="005104B0" w:rsidP="00155026">
      <w:pPr>
        <w:pStyle w:val="BulletLevel1"/>
        <w:rPr>
          <w:rFonts w:cs="Arial"/>
          <w:lang w:val="en-AU"/>
        </w:rPr>
      </w:pPr>
      <w:r w:rsidRPr="00A134A7">
        <w:rPr>
          <w:rFonts w:cs="Arial"/>
          <w:lang w:val="en-AU"/>
        </w:rPr>
        <w:t xml:space="preserve">There is </w:t>
      </w:r>
      <w:r w:rsidR="00FB5652" w:rsidRPr="00A134A7">
        <w:rPr>
          <w:rFonts w:cs="Arial"/>
          <w:lang w:val="en-AU"/>
        </w:rPr>
        <w:t>a</w:t>
      </w:r>
      <w:r w:rsidRPr="00A134A7">
        <w:rPr>
          <w:rFonts w:cs="Arial"/>
          <w:lang w:val="en-AU"/>
        </w:rPr>
        <w:t xml:space="preserve"> legislative requirement for </w:t>
      </w:r>
      <w:r w:rsidR="004C72C2" w:rsidRPr="00A134A7">
        <w:rPr>
          <w:rFonts w:cs="Arial"/>
          <w:lang w:val="en-AU"/>
        </w:rPr>
        <w:t>Sustainable Water Strategies (</w:t>
      </w:r>
      <w:r w:rsidR="006340D9" w:rsidRPr="00A134A7">
        <w:rPr>
          <w:rFonts w:cs="Arial"/>
          <w:lang w:val="en-AU"/>
        </w:rPr>
        <w:t>SWS</w:t>
      </w:r>
      <w:r w:rsidR="004C72C2" w:rsidRPr="00A134A7">
        <w:rPr>
          <w:rFonts w:cs="Arial"/>
          <w:lang w:val="en-AU"/>
        </w:rPr>
        <w:t>)</w:t>
      </w:r>
      <w:r w:rsidRPr="00A134A7">
        <w:rPr>
          <w:rFonts w:cs="Arial"/>
          <w:lang w:val="en-AU"/>
        </w:rPr>
        <w:t xml:space="preserve">, </w:t>
      </w:r>
      <w:r w:rsidR="007B0DA3" w:rsidRPr="00A134A7">
        <w:rPr>
          <w:rFonts w:cs="Arial"/>
          <w:lang w:val="en-AU"/>
        </w:rPr>
        <w:t xml:space="preserve">including </w:t>
      </w:r>
      <w:r w:rsidRPr="00A134A7">
        <w:rPr>
          <w:rFonts w:cs="Arial"/>
          <w:lang w:val="en-AU"/>
        </w:rPr>
        <w:t xml:space="preserve">to implement existing Strategies and to </w:t>
      </w:r>
      <w:r w:rsidR="007B0DA3" w:rsidRPr="00A134A7">
        <w:rPr>
          <w:rFonts w:cs="Arial"/>
          <w:lang w:val="en-AU"/>
        </w:rPr>
        <w:t xml:space="preserve">monitor, report, and </w:t>
      </w:r>
      <w:r w:rsidRPr="00A134A7">
        <w:rPr>
          <w:rFonts w:cs="Arial"/>
          <w:lang w:val="en-AU"/>
        </w:rPr>
        <w:t xml:space="preserve">review </w:t>
      </w:r>
      <w:r w:rsidR="0013679B" w:rsidRPr="00A134A7">
        <w:rPr>
          <w:rFonts w:cs="Arial"/>
          <w:lang w:val="en-AU"/>
        </w:rPr>
        <w:t>them</w:t>
      </w:r>
      <w:r w:rsidRPr="00A134A7">
        <w:rPr>
          <w:rFonts w:cs="Arial"/>
          <w:lang w:val="en-AU"/>
        </w:rPr>
        <w:t xml:space="preserve">. </w:t>
      </w:r>
      <w:r w:rsidR="008D4167" w:rsidRPr="00A134A7">
        <w:rPr>
          <w:rFonts w:cs="Arial"/>
          <w:lang w:val="en-AU"/>
        </w:rPr>
        <w:t>The prior EC4 tranche</w:t>
      </w:r>
      <w:r w:rsidRPr="00A134A7">
        <w:rPr>
          <w:rFonts w:cs="Arial"/>
          <w:lang w:val="en-AU"/>
        </w:rPr>
        <w:t xml:space="preserve"> resulted in the review of the Central Region SWS, </w:t>
      </w:r>
      <w:r w:rsidR="00BA4057" w:rsidRPr="00A134A7">
        <w:rPr>
          <w:rFonts w:cs="Arial"/>
          <w:lang w:val="en-AU"/>
        </w:rPr>
        <w:t>and</w:t>
      </w:r>
      <w:r w:rsidRPr="00A134A7">
        <w:rPr>
          <w:rFonts w:cs="Arial"/>
          <w:lang w:val="en-AU"/>
        </w:rPr>
        <w:t xml:space="preserve"> midterm review of both the Western and Northern Region SWS.</w:t>
      </w:r>
      <w:r w:rsidR="008D4167" w:rsidRPr="00A134A7">
        <w:rPr>
          <w:rFonts w:cs="Arial"/>
          <w:lang w:val="en-AU"/>
        </w:rPr>
        <w:t xml:space="preserve"> </w:t>
      </w:r>
      <w:r w:rsidRPr="00A134A7">
        <w:rPr>
          <w:rFonts w:cs="Arial"/>
          <w:lang w:val="en-AU"/>
        </w:rPr>
        <w:t xml:space="preserve">The EC5 led to the </w:t>
      </w:r>
      <w:r w:rsidR="0013679B" w:rsidRPr="00A134A7">
        <w:rPr>
          <w:rFonts w:cs="Arial"/>
          <w:lang w:val="en-AU"/>
        </w:rPr>
        <w:t xml:space="preserve">development of the 2022 </w:t>
      </w:r>
      <w:r w:rsidRPr="00A134A7">
        <w:rPr>
          <w:rFonts w:cs="Arial"/>
          <w:lang w:val="en-AU"/>
        </w:rPr>
        <w:t>CGRSWS</w:t>
      </w:r>
      <w:r w:rsidR="00AA113D" w:rsidRPr="00A134A7">
        <w:rPr>
          <w:rFonts w:cs="Arial"/>
          <w:lang w:val="en-AU"/>
        </w:rPr>
        <w:t xml:space="preserve"> and ongoing monitoring of other SWS</w:t>
      </w:r>
      <w:r w:rsidR="007C562E" w:rsidRPr="00A134A7">
        <w:rPr>
          <w:rFonts w:cs="Arial"/>
          <w:lang w:val="en-AU"/>
        </w:rPr>
        <w:t>s</w:t>
      </w:r>
      <w:r w:rsidRPr="00A134A7">
        <w:rPr>
          <w:rFonts w:cs="Arial"/>
          <w:lang w:val="en-AU"/>
        </w:rPr>
        <w:t>.</w:t>
      </w:r>
      <w:r w:rsidR="00BA4057" w:rsidRPr="00A134A7">
        <w:rPr>
          <w:rFonts w:cs="Arial"/>
          <w:lang w:val="en-AU"/>
        </w:rPr>
        <w:t xml:space="preserve"> </w:t>
      </w:r>
      <w:r w:rsidRPr="00A134A7">
        <w:rPr>
          <w:rFonts w:cs="Arial"/>
          <w:lang w:val="en-AU"/>
        </w:rPr>
        <w:t xml:space="preserve">In future, (EC6 and beyond) </w:t>
      </w:r>
      <w:r w:rsidR="007C562E" w:rsidRPr="00A134A7">
        <w:rPr>
          <w:rFonts w:cs="Arial"/>
          <w:lang w:val="en-AU"/>
        </w:rPr>
        <w:t>there is a need to maintain a core team to monitor, report, evaluate and review SWSs across the state</w:t>
      </w:r>
      <w:r w:rsidR="00BA4057" w:rsidRPr="00A134A7">
        <w:rPr>
          <w:rFonts w:cs="Arial"/>
          <w:lang w:val="en-AU"/>
        </w:rPr>
        <w:t>.</w:t>
      </w:r>
    </w:p>
    <w:p w14:paraId="50EE35EA" w14:textId="77777777" w:rsidR="00A50E7D" w:rsidRPr="00A134A7" w:rsidRDefault="001E4A37" w:rsidP="00155026">
      <w:pPr>
        <w:pStyle w:val="BulletLevel1"/>
        <w:rPr>
          <w:rFonts w:cs="Arial"/>
          <w:lang w:val="en-AU"/>
        </w:rPr>
      </w:pPr>
      <w:r w:rsidRPr="00A134A7">
        <w:rPr>
          <w:rFonts w:cs="Arial"/>
          <w:lang w:val="en-AU"/>
        </w:rPr>
        <w:t>The IWM Program is about mainstreaming a t</w:t>
      </w:r>
      <w:r w:rsidR="00AE28EC" w:rsidRPr="00A134A7">
        <w:rPr>
          <w:rFonts w:cs="Arial"/>
          <w:lang w:val="en-AU"/>
        </w:rPr>
        <w:t>ransformative</w:t>
      </w:r>
      <w:r w:rsidRPr="00A134A7">
        <w:rPr>
          <w:rFonts w:cs="Arial"/>
          <w:lang w:val="en-AU"/>
        </w:rPr>
        <w:t xml:space="preserve"> approach to water management. The scale of the change in terms of the number of organisations involved, the community value to be delivered and the policy changes required mean that this change is ongoing.</w:t>
      </w:r>
    </w:p>
    <w:p w14:paraId="4F7009D3" w14:textId="77777777" w:rsidR="00A50E7D" w:rsidRPr="00A134A7" w:rsidRDefault="0023291C" w:rsidP="00FC4E10">
      <w:pPr>
        <w:pStyle w:val="BulletLevel1"/>
        <w:rPr>
          <w:rFonts w:cs="Arial"/>
          <w:lang w:val="en-AU"/>
        </w:rPr>
      </w:pPr>
      <w:r w:rsidRPr="00A134A7">
        <w:rPr>
          <w:rFonts w:cs="Arial"/>
          <w:lang w:val="en-AU"/>
        </w:rPr>
        <w:t xml:space="preserve">For the Waterway Health program, the long-term/ongoing nature of the program is not only beneficial but necessary to meet the </w:t>
      </w:r>
      <w:r w:rsidR="00856D03" w:rsidRPr="00A134A7">
        <w:rPr>
          <w:rFonts w:cs="Arial"/>
          <w:lang w:val="en-AU"/>
        </w:rPr>
        <w:t>project</w:t>
      </w:r>
      <w:r w:rsidRPr="00A134A7">
        <w:rPr>
          <w:rFonts w:cs="Arial"/>
          <w:lang w:val="en-AU"/>
        </w:rPr>
        <w:t xml:space="preserve">’s aims of improving the health of Victoria’s waterways. </w:t>
      </w:r>
      <w:r w:rsidR="00D337CA" w:rsidRPr="00A134A7">
        <w:rPr>
          <w:rFonts w:cs="Arial"/>
          <w:lang w:val="en-AU"/>
        </w:rPr>
        <w:t xml:space="preserve">A long-term commitment is required to achieve complex waterway health outcomes (e.g. to complete project planning, on-ground works and follow up monitoring and maintenance to ensure outcomes are being achieved) and the necessity to provide funding over multi-tranche timescales. </w:t>
      </w:r>
      <w:r w:rsidRPr="00A134A7">
        <w:rPr>
          <w:rFonts w:cs="Arial"/>
          <w:lang w:val="en-AU"/>
        </w:rPr>
        <w:t>Stable, ongoing funding allows for CMAs as organisations to continue their program work, and also to continue to build their capacity and knowledge as organisations, and to serve Victoria’s regional communities</w:t>
      </w:r>
      <w:r w:rsidR="00631D93" w:rsidRPr="00A134A7">
        <w:rPr>
          <w:rFonts w:cs="Arial"/>
          <w:lang w:val="en-AU"/>
        </w:rPr>
        <w:t>. The o</w:t>
      </w:r>
      <w:r w:rsidRPr="00A134A7">
        <w:rPr>
          <w:rFonts w:cs="Arial"/>
          <w:lang w:val="en-AU"/>
        </w:rPr>
        <w:t xml:space="preserve">ngoing nature </w:t>
      </w:r>
      <w:r w:rsidR="00631D93" w:rsidRPr="00A134A7">
        <w:rPr>
          <w:rFonts w:cs="Arial"/>
          <w:lang w:val="en-AU"/>
        </w:rPr>
        <w:t xml:space="preserve">also </w:t>
      </w:r>
      <w:r w:rsidRPr="00A134A7">
        <w:rPr>
          <w:rFonts w:cs="Arial"/>
          <w:lang w:val="en-AU"/>
        </w:rPr>
        <w:t xml:space="preserve">allows for projects to be planned on the timelines necessary to implement meaningful change for waterway health, </w:t>
      </w:r>
      <w:r w:rsidR="00631D93" w:rsidRPr="00A134A7">
        <w:rPr>
          <w:rFonts w:cs="Arial"/>
          <w:lang w:val="en-AU"/>
        </w:rPr>
        <w:t xml:space="preserve">such as </w:t>
      </w:r>
      <w:r w:rsidRPr="00A134A7">
        <w:rPr>
          <w:rFonts w:cs="Arial"/>
          <w:lang w:val="en-AU"/>
        </w:rPr>
        <w:t>the 10-year flagships program.</w:t>
      </w:r>
      <w:r w:rsidR="00631D93" w:rsidRPr="00A134A7">
        <w:rPr>
          <w:rFonts w:cs="Arial"/>
          <w:lang w:val="en-AU"/>
        </w:rPr>
        <w:t xml:space="preserve"> </w:t>
      </w:r>
      <w:r w:rsidR="002C2293" w:rsidRPr="00A134A7">
        <w:rPr>
          <w:rFonts w:cs="Arial"/>
          <w:lang w:val="en-AU"/>
        </w:rPr>
        <w:t>For example, t</w:t>
      </w:r>
      <w:r w:rsidR="008D79EE" w:rsidRPr="00A134A7">
        <w:rPr>
          <w:rFonts w:cs="Arial"/>
          <w:lang w:val="en-AU"/>
        </w:rPr>
        <w:t>he Werribee fishway design and Moorabool investigation activities are well underway, but funding will be required for construction to deliver on-ground outcomes for fish passage and waterway improvement.</w:t>
      </w:r>
    </w:p>
    <w:p w14:paraId="1841AC0D" w14:textId="331BE013" w:rsidR="00BC7158" w:rsidRPr="005D74D1" w:rsidRDefault="00896BFE" w:rsidP="00FC4E10">
      <w:pPr>
        <w:pStyle w:val="BodyText"/>
        <w:rPr>
          <w:rFonts w:cs="Arial"/>
        </w:rPr>
      </w:pPr>
      <w:r w:rsidRPr="005D74D1">
        <w:rPr>
          <w:rFonts w:cs="Arial"/>
        </w:rPr>
        <w:t xml:space="preserve">Case </w:t>
      </w:r>
      <w:r w:rsidR="00440E59" w:rsidRPr="005D74D1">
        <w:rPr>
          <w:rFonts w:cs="Arial"/>
        </w:rPr>
        <w:t>Study</w:t>
      </w:r>
      <w:r w:rsidRPr="005D74D1">
        <w:rPr>
          <w:rFonts w:cs="Arial"/>
        </w:rPr>
        <w:t xml:space="preserve"> </w:t>
      </w:r>
      <w:r w:rsidR="00397548" w:rsidRPr="005D74D1">
        <w:rPr>
          <w:rFonts w:cs="Arial"/>
        </w:rPr>
        <w:t>6</w:t>
      </w:r>
      <w:r w:rsidRPr="005D74D1">
        <w:rPr>
          <w:rFonts w:cs="Arial"/>
        </w:rPr>
        <w:t xml:space="preserve"> demonstrates how the </w:t>
      </w:r>
      <w:r w:rsidR="005C5E62" w:rsidRPr="005D74D1">
        <w:rPr>
          <w:rFonts w:cs="Arial"/>
        </w:rPr>
        <w:t xml:space="preserve">ongoing Regional Water Monitoring Partnership supports </w:t>
      </w:r>
      <w:r w:rsidR="00786708" w:rsidRPr="005D74D1">
        <w:rPr>
          <w:rFonts w:cs="Arial"/>
        </w:rPr>
        <w:t>the availability of long-term information on Victoria’s water resources, informing planning, policy and decision</w:t>
      </w:r>
      <w:r w:rsidR="00A81B74" w:rsidRPr="005D74D1">
        <w:rPr>
          <w:rFonts w:cs="Arial"/>
        </w:rPr>
        <w:t>-</w:t>
      </w:r>
      <w:r w:rsidR="00786708" w:rsidRPr="005D74D1">
        <w:rPr>
          <w:rFonts w:cs="Arial"/>
        </w:rPr>
        <w:t>making.</w:t>
      </w:r>
    </w:p>
    <w:tbl>
      <w:tblPr>
        <w:tblStyle w:val="TableGridLight"/>
        <w:tblW w:w="5000" w:type="pct"/>
        <w:tblBorders>
          <w:top w:val="single" w:sz="4" w:space="0" w:color="E6E6E6" w:themeColor="background2"/>
          <w:left w:val="single" w:sz="4" w:space="0" w:color="E6E6E6" w:themeColor="background2"/>
          <w:bottom w:val="single" w:sz="4" w:space="0" w:color="E6E6E6" w:themeColor="background2"/>
          <w:right w:val="single" w:sz="4" w:space="0" w:color="E6E6E6" w:themeColor="background2"/>
          <w:insideH w:val="single" w:sz="4" w:space="0" w:color="E6E6E6" w:themeColor="background2"/>
          <w:insideV w:val="single" w:sz="4" w:space="0" w:color="E6E6E6" w:themeColor="background2"/>
        </w:tblBorders>
        <w:tblLook w:val="04A0" w:firstRow="1" w:lastRow="0" w:firstColumn="1" w:lastColumn="0" w:noHBand="0" w:noVBand="1"/>
      </w:tblPr>
      <w:tblGrid>
        <w:gridCol w:w="3291"/>
        <w:gridCol w:w="6337"/>
      </w:tblGrid>
      <w:tr w:rsidR="00BC7158" w:rsidRPr="005D74D1" w14:paraId="19DAA9AD" w14:textId="77777777" w:rsidTr="005301D6">
        <w:trPr>
          <w:tblHeader/>
        </w:trPr>
        <w:tc>
          <w:tcPr>
            <w:tcW w:w="5000" w:type="pct"/>
            <w:gridSpan w:val="2"/>
            <w:tcBorders>
              <w:top w:val="single" w:sz="4" w:space="0" w:color="231EDC" w:themeColor="accent1"/>
              <w:left w:val="single" w:sz="4" w:space="0" w:color="231EDC" w:themeColor="accent1"/>
              <w:bottom w:val="single" w:sz="4" w:space="0" w:color="231EDC" w:themeColor="accent1"/>
              <w:right w:val="single" w:sz="4" w:space="0" w:color="231EDC" w:themeColor="accent1"/>
            </w:tcBorders>
            <w:shd w:val="clear" w:color="auto" w:fill="231EDC" w:themeFill="accent1"/>
          </w:tcPr>
          <w:p w14:paraId="4FF58ACD" w14:textId="0B28A67E" w:rsidR="00BC7158" w:rsidRPr="00A134A7" w:rsidRDefault="00BC7158" w:rsidP="000C66AB">
            <w:pPr>
              <w:pStyle w:val="TableHeadingWhite"/>
              <w:rPr>
                <w:rFonts w:cs="Arial"/>
                <w:lang w:val="en-AU"/>
              </w:rPr>
            </w:pPr>
            <w:r w:rsidRPr="005D74D1">
              <w:rPr>
                <w:rFonts w:cs="Arial"/>
              </w:rPr>
              <w:lastRenderedPageBreak/>
              <w:t>Case Study 6: Victorian Regional Water Monitoring Partnership</w:t>
            </w:r>
          </w:p>
        </w:tc>
      </w:tr>
      <w:tr w:rsidR="00BC7158" w:rsidRPr="005D74D1" w14:paraId="3F391D7C" w14:textId="77777777" w:rsidTr="005301D6">
        <w:tc>
          <w:tcPr>
            <w:tcW w:w="1707" w:type="pct"/>
            <w:tcBorders>
              <w:top w:val="single" w:sz="4" w:space="0" w:color="231EDC" w:themeColor="accent1"/>
              <w:left w:val="single" w:sz="4" w:space="0" w:color="231EDC" w:themeColor="accent1"/>
              <w:bottom w:val="nil"/>
              <w:right w:val="nil"/>
            </w:tcBorders>
          </w:tcPr>
          <w:p w14:paraId="064C7337" w14:textId="1F4D8C4B" w:rsidR="00BC7158" w:rsidRPr="00A134A7" w:rsidRDefault="00BC7158" w:rsidP="00FC4E10">
            <w:pPr>
              <w:pStyle w:val="TableText"/>
              <w:keepNext/>
              <w:keepLines/>
              <w:rPr>
                <w:rFonts w:cs="Arial"/>
                <w:lang w:val="en-AU"/>
              </w:rPr>
            </w:pPr>
            <w:r w:rsidRPr="00A134A7">
              <w:rPr>
                <w:rFonts w:cs="Arial"/>
                <w:noProof/>
              </w:rPr>
              <w:drawing>
                <wp:inline distT="0" distB="0" distL="0" distR="0" wp14:anchorId="23D84D11" wp14:editId="3C500FAF">
                  <wp:extent cx="1952625" cy="2804957"/>
                  <wp:effectExtent l="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955852" cy="2809592"/>
                          </a:xfrm>
                          <a:prstGeom prst="rect">
                            <a:avLst/>
                          </a:prstGeom>
                          <a:noFill/>
                          <a:ln>
                            <a:noFill/>
                          </a:ln>
                        </pic:spPr>
                      </pic:pic>
                    </a:graphicData>
                  </a:graphic>
                </wp:inline>
              </w:drawing>
            </w:r>
          </w:p>
        </w:tc>
        <w:tc>
          <w:tcPr>
            <w:tcW w:w="3293" w:type="pct"/>
            <w:tcBorders>
              <w:top w:val="single" w:sz="4" w:space="0" w:color="231EDC" w:themeColor="accent1"/>
              <w:left w:val="nil"/>
              <w:bottom w:val="nil"/>
              <w:right w:val="single" w:sz="4" w:space="0" w:color="231EDC" w:themeColor="accent1"/>
            </w:tcBorders>
          </w:tcPr>
          <w:p w14:paraId="0459F0E9" w14:textId="77777777" w:rsidR="00A50E7D" w:rsidRPr="005D74D1" w:rsidRDefault="00BC7158" w:rsidP="00FC4E10">
            <w:pPr>
              <w:pStyle w:val="TableText"/>
              <w:keepNext/>
              <w:keepLines/>
              <w:rPr>
                <w:rStyle w:val="normaltextrun"/>
                <w:rFonts w:cs="Arial"/>
                <w:color w:val="000000"/>
                <w:shd w:val="clear" w:color="auto" w:fill="FFFFFF"/>
                <w:lang w:val="en-AU"/>
              </w:rPr>
            </w:pPr>
            <w:r w:rsidRPr="005D74D1">
              <w:rPr>
                <w:rFonts w:cs="Arial"/>
              </w:rPr>
              <w:t xml:space="preserve">Victoria’s Regional Water Monitoring Partnerships supports effective management of water through the provision of accurate, timely and consistent data on both the quality and quantity of Victorian water resources. </w:t>
            </w:r>
            <w:r w:rsidRPr="005D74D1">
              <w:rPr>
                <w:rStyle w:val="normaltextrun"/>
                <w:rFonts w:cs="Arial"/>
                <w:color w:val="000000"/>
                <w:shd w:val="clear" w:color="auto" w:fill="FFFFFF"/>
              </w:rPr>
              <w:t>This ongoing monitoring data from Victoria’s key gauging stations and groundwater observation bores provide vital input into a range of uses, including operational decisions by water corporations, compliance, and for the modelling and analysis that is required to develop an understanding of trends and water availability in Victoria’s water resources, providing the information to make informed water management decisions. It contributes to decision making throughout the Victorian water sector and the EC outcomes of water security, water efficiency, waterway and catchment health, inclusive management and water governance.</w:t>
            </w:r>
          </w:p>
          <w:p w14:paraId="3DECC472" w14:textId="4422C12F" w:rsidR="00BC7158" w:rsidRPr="00A134A7" w:rsidRDefault="00BC7158" w:rsidP="00FC4E10">
            <w:pPr>
              <w:pStyle w:val="TableText"/>
              <w:keepNext/>
              <w:keepLines/>
              <w:rPr>
                <w:rFonts w:cs="Arial"/>
                <w:lang w:val="en-AU"/>
              </w:rPr>
            </w:pPr>
            <w:r w:rsidRPr="005D74D1">
              <w:rPr>
                <w:rFonts w:cs="Arial"/>
              </w:rPr>
              <w:t xml:space="preserve">EC5 has funded DEECA’s contribution to operating and maintaining 950 surface water and 1,400 groundwater stations across Victoria. As part of the Regional Water Monitoring Partnership, DEECA pays </w:t>
            </w:r>
            <w:r w:rsidRPr="005D74D1">
              <w:rPr>
                <w:rStyle w:val="normaltextrun"/>
                <w:rFonts w:cs="Arial"/>
                <w:color w:val="000000" w:themeColor="text1"/>
                <w:shd w:val="clear" w:color="auto" w:fill="FFFFFF"/>
              </w:rPr>
              <w:t>approximately 30% of the costs for the surface water sites and</w:t>
            </w:r>
          </w:p>
        </w:tc>
      </w:tr>
      <w:tr w:rsidR="00BC7158" w:rsidRPr="005D74D1" w14:paraId="5D68765A" w14:textId="77777777" w:rsidTr="005301D6">
        <w:tc>
          <w:tcPr>
            <w:tcW w:w="5000" w:type="pct"/>
            <w:gridSpan w:val="2"/>
            <w:tcBorders>
              <w:top w:val="nil"/>
              <w:left w:val="single" w:sz="4" w:space="0" w:color="231EDC" w:themeColor="accent1"/>
              <w:bottom w:val="single" w:sz="4" w:space="0" w:color="231EDC" w:themeColor="accent1"/>
              <w:right w:val="single" w:sz="4" w:space="0" w:color="231EDC" w:themeColor="accent1"/>
            </w:tcBorders>
          </w:tcPr>
          <w:p w14:paraId="26360C0D" w14:textId="77777777" w:rsidR="00A50E7D" w:rsidRPr="00A134A7" w:rsidRDefault="00BC7158" w:rsidP="00FC4E10">
            <w:pPr>
              <w:pStyle w:val="TableText"/>
              <w:keepNext/>
              <w:keepLines/>
              <w:rPr>
                <w:rFonts w:cs="Arial"/>
                <w:lang w:val="en-AU"/>
              </w:rPr>
            </w:pPr>
            <w:r w:rsidRPr="005D74D1">
              <w:rPr>
                <w:rStyle w:val="normaltextrun"/>
                <w:rFonts w:cs="Arial"/>
                <w:color w:val="000000" w:themeColor="text1"/>
                <w:shd w:val="clear" w:color="auto" w:fill="FFFFFF"/>
              </w:rPr>
              <w:t>approximately 80% for the groundwater sites. All remaining costs are shared by 55 partner agencies including the Bureau of Meteorology, Murray-Darling Basin Authority, water corporations, catchment management authorities and local government associations.</w:t>
            </w:r>
            <w:r w:rsidRPr="005D74D1">
              <w:rPr>
                <w:rStyle w:val="normaltextrun"/>
                <w:rFonts w:cs="Arial"/>
                <w:color w:val="363534"/>
                <w:shd w:val="clear" w:color="auto" w:fill="FFFFFF"/>
              </w:rPr>
              <w:t xml:space="preserve"> </w:t>
            </w:r>
            <w:r w:rsidRPr="005D74D1">
              <w:rPr>
                <w:rFonts w:cs="Arial"/>
              </w:rPr>
              <w:t>DEECA manages monitoring on behalf of the</w:t>
            </w:r>
            <w:r w:rsidR="00212313" w:rsidRPr="005D74D1">
              <w:rPr>
                <w:rFonts w:cs="Arial"/>
              </w:rPr>
              <w:t> </w:t>
            </w:r>
            <w:r w:rsidRPr="005D74D1">
              <w:rPr>
                <w:rFonts w:cs="Arial"/>
              </w:rPr>
              <w:t xml:space="preserve">partners to ensure that data collected is both consistent and high quality. This data is curated and published via the publicly available </w:t>
            </w:r>
            <w:r w:rsidRPr="005D74D1" w:rsidDel="00896BFE">
              <w:rPr>
                <w:rFonts w:cs="Arial"/>
              </w:rPr>
              <w:t>Water Measurement Information System</w:t>
            </w:r>
            <w:r w:rsidRPr="005D74D1">
              <w:rPr>
                <w:rFonts w:cs="Arial"/>
              </w:rPr>
              <w:t xml:space="preserve"> and to any other related back-end data systems.</w:t>
            </w:r>
          </w:p>
          <w:p w14:paraId="52749441" w14:textId="5CA0F724" w:rsidR="00BC7158" w:rsidRPr="00A134A7" w:rsidRDefault="00BC7158" w:rsidP="00FC4E10">
            <w:pPr>
              <w:pStyle w:val="TableText"/>
              <w:keepNext/>
              <w:keepLines/>
              <w:rPr>
                <w:rFonts w:cs="Arial"/>
                <w:lang w:val="en-AU"/>
              </w:rPr>
            </w:pPr>
            <w:r w:rsidRPr="005D74D1">
              <w:rPr>
                <w:rFonts w:cs="Arial"/>
              </w:rPr>
              <w:t>Made possible by the tranches of EC funding, 248 surface water sites and 382 groundwater sites have accrued sufficient data to be classified as long-term sites. This critical information allows DEECA to</w:t>
            </w:r>
            <w:r w:rsidR="00212313" w:rsidRPr="005D74D1">
              <w:rPr>
                <w:rFonts w:cs="Arial"/>
              </w:rPr>
              <w:t> </w:t>
            </w:r>
            <w:r w:rsidRPr="005D74D1">
              <w:rPr>
                <w:rFonts w:cs="Arial"/>
              </w:rPr>
              <w:t>measure long-term trends, including the impacts of climate change, changing demand, and increasing</w:t>
            </w:r>
            <w:r w:rsidR="00212313" w:rsidRPr="005D74D1">
              <w:rPr>
                <w:rFonts w:cs="Arial"/>
              </w:rPr>
              <w:t> </w:t>
            </w:r>
            <w:r w:rsidRPr="005D74D1">
              <w:rPr>
                <w:rFonts w:cs="Arial"/>
              </w:rPr>
              <w:t>population.</w:t>
            </w:r>
          </w:p>
        </w:tc>
      </w:tr>
    </w:tbl>
    <w:p w14:paraId="5B16538E" w14:textId="6F45E47D" w:rsidR="00237B39" w:rsidRPr="00A134A7" w:rsidRDefault="00237B39">
      <w:pPr>
        <w:rPr>
          <w:rFonts w:eastAsiaTheme="majorEastAsia" w:cs="Arial"/>
          <w:b/>
          <w:sz w:val="28"/>
          <w:szCs w:val="26"/>
        </w:rPr>
      </w:pPr>
      <w:bookmarkStart w:id="440" w:name="_Toc147329342"/>
    </w:p>
    <w:p w14:paraId="68EF0E1C" w14:textId="42B9559E" w:rsidR="002279D9" w:rsidRPr="005D74D1" w:rsidRDefault="00F75575" w:rsidP="002279D9">
      <w:pPr>
        <w:pStyle w:val="Heading2"/>
        <w:rPr>
          <w:rFonts w:cs="Arial"/>
        </w:rPr>
      </w:pPr>
      <w:bookmarkStart w:id="441" w:name="_Toc183777374"/>
      <w:r w:rsidRPr="005D74D1">
        <w:rPr>
          <w:rFonts w:cs="Arial"/>
        </w:rPr>
        <w:t>U</w:t>
      </w:r>
      <w:r w:rsidR="002279D9" w:rsidRPr="005D74D1">
        <w:rPr>
          <w:rFonts w:cs="Arial"/>
        </w:rPr>
        <w:t>nintended outcomes</w:t>
      </w:r>
      <w:bookmarkEnd w:id="440"/>
      <w:bookmarkEnd w:id="441"/>
    </w:p>
    <w:p w14:paraId="08DE92EF" w14:textId="77777777" w:rsidR="00A50E7D" w:rsidRPr="005D74D1" w:rsidRDefault="00275253" w:rsidP="00B30071">
      <w:pPr>
        <w:pStyle w:val="BodyText"/>
        <w:rPr>
          <w:rFonts w:cs="Arial"/>
        </w:rPr>
      </w:pPr>
      <w:r w:rsidRPr="005D74D1">
        <w:rPr>
          <w:rFonts w:cs="Arial"/>
        </w:rPr>
        <w:t>Many</w:t>
      </w:r>
      <w:r w:rsidR="002279D9" w:rsidRPr="005D74D1">
        <w:rPr>
          <w:rFonts w:cs="Arial"/>
        </w:rPr>
        <w:t xml:space="preserve"> of the </w:t>
      </w:r>
      <w:r w:rsidR="00856D03" w:rsidRPr="005D74D1">
        <w:rPr>
          <w:rFonts w:cs="Arial"/>
        </w:rPr>
        <w:t>project</w:t>
      </w:r>
      <w:r w:rsidR="002279D9" w:rsidRPr="005D74D1">
        <w:rPr>
          <w:rFonts w:cs="Arial"/>
        </w:rPr>
        <w:t xml:space="preserve">s </w:t>
      </w:r>
      <w:r w:rsidRPr="005D74D1">
        <w:rPr>
          <w:rFonts w:cs="Arial"/>
        </w:rPr>
        <w:t xml:space="preserve">(67%) </w:t>
      </w:r>
      <w:r w:rsidR="002279D9" w:rsidRPr="005D74D1">
        <w:rPr>
          <w:rFonts w:cs="Arial"/>
        </w:rPr>
        <w:t xml:space="preserve">reported that unintended outcomes had arisen </w:t>
      </w:r>
      <w:r w:rsidR="005B40BD" w:rsidRPr="005D74D1">
        <w:rPr>
          <w:rFonts w:cs="Arial"/>
        </w:rPr>
        <w:t>during</w:t>
      </w:r>
      <w:r w:rsidR="002279D9" w:rsidRPr="005D74D1">
        <w:rPr>
          <w:rFonts w:cs="Arial"/>
        </w:rPr>
        <w:t xml:space="preserve"> EC5. The unintended outcomes were overwhelmingly positive, and the following key themes emerged from the responses:</w:t>
      </w:r>
    </w:p>
    <w:p w14:paraId="1067F7A5" w14:textId="5F4F8643" w:rsidR="002279D9" w:rsidRPr="005D74D1" w:rsidRDefault="002B6186" w:rsidP="00155026">
      <w:pPr>
        <w:pStyle w:val="BulletLevel1"/>
        <w:rPr>
          <w:rFonts w:cs="Arial"/>
          <w:lang w:val="en-AU"/>
        </w:rPr>
      </w:pPr>
      <w:r w:rsidRPr="005D74D1">
        <w:rPr>
          <w:rFonts w:cs="Arial"/>
          <w:lang w:val="en-AU"/>
        </w:rPr>
        <w:t xml:space="preserve">unexpected </w:t>
      </w:r>
      <w:r w:rsidR="002279D9" w:rsidRPr="005D74D1">
        <w:rPr>
          <w:rFonts w:cs="Arial"/>
          <w:lang w:val="en-AU"/>
        </w:rPr>
        <w:t>benefits of building relationships with organisations and groups outside DEECA</w:t>
      </w:r>
    </w:p>
    <w:p w14:paraId="7F942232" w14:textId="65C0F678" w:rsidR="002279D9" w:rsidRPr="005D74D1" w:rsidRDefault="002B6186" w:rsidP="00155026">
      <w:pPr>
        <w:pStyle w:val="BulletLevel1"/>
        <w:rPr>
          <w:rFonts w:cs="Arial"/>
          <w:lang w:val="en-AU"/>
        </w:rPr>
      </w:pPr>
      <w:r w:rsidRPr="005D74D1">
        <w:rPr>
          <w:rFonts w:cs="Arial"/>
          <w:lang w:val="en-AU"/>
        </w:rPr>
        <w:t xml:space="preserve">deeper </w:t>
      </w:r>
      <w:r w:rsidR="002279D9" w:rsidRPr="005D74D1">
        <w:rPr>
          <w:rFonts w:cs="Arial"/>
          <w:lang w:val="en-AU"/>
        </w:rPr>
        <w:t>partnerships and collaboration with Traditional Owners</w:t>
      </w:r>
    </w:p>
    <w:p w14:paraId="70F0CD46" w14:textId="1D2CF527" w:rsidR="002279D9" w:rsidRPr="00A134A7" w:rsidRDefault="002B6186" w:rsidP="00155026">
      <w:pPr>
        <w:pStyle w:val="BulletLevel1"/>
        <w:rPr>
          <w:rFonts w:eastAsia="Times New Roman" w:cs="Arial"/>
          <w:b/>
          <w:color w:val="000000"/>
          <w:lang w:val="en-AU"/>
        </w:rPr>
      </w:pPr>
      <w:r w:rsidRPr="005D74D1">
        <w:rPr>
          <w:rFonts w:cs="Arial"/>
          <w:lang w:val="en-AU"/>
        </w:rPr>
        <w:t xml:space="preserve">unintended </w:t>
      </w:r>
      <w:r w:rsidR="002279D9" w:rsidRPr="005D74D1">
        <w:rPr>
          <w:rFonts w:cs="Arial"/>
          <w:lang w:val="en-AU"/>
        </w:rPr>
        <w:t>benefits resulting from flexibility and changing policy directions</w:t>
      </w:r>
    </w:p>
    <w:p w14:paraId="59E291F1" w14:textId="77777777" w:rsidR="00A50E7D" w:rsidRPr="005D74D1" w:rsidRDefault="002279D9" w:rsidP="00B30071">
      <w:pPr>
        <w:pStyle w:val="BodyText"/>
        <w:rPr>
          <w:rFonts w:cs="Arial"/>
        </w:rPr>
      </w:pPr>
      <w:r w:rsidRPr="005D74D1">
        <w:rPr>
          <w:rFonts w:cs="Arial"/>
        </w:rPr>
        <w:t>Each of these is expanded on below</w:t>
      </w:r>
      <w:r w:rsidR="00401E36" w:rsidRPr="005D74D1">
        <w:rPr>
          <w:rFonts w:cs="Arial"/>
        </w:rPr>
        <w:t>.</w:t>
      </w:r>
    </w:p>
    <w:p w14:paraId="24FA7D56" w14:textId="77777777" w:rsidR="00A50E7D" w:rsidRPr="005D74D1" w:rsidRDefault="002279D9" w:rsidP="00DC6AC2">
      <w:pPr>
        <w:pStyle w:val="BodyText"/>
        <w:rPr>
          <w:rFonts w:cs="Arial"/>
          <w:b/>
          <w:bCs/>
        </w:rPr>
      </w:pPr>
      <w:r w:rsidRPr="005D74D1">
        <w:rPr>
          <w:rFonts w:cs="Arial"/>
          <w:b/>
          <w:bCs/>
        </w:rPr>
        <w:t>Benefits of building relationships with organisations and groups outside DEECA</w:t>
      </w:r>
    </w:p>
    <w:p w14:paraId="2D85103A" w14:textId="77777777" w:rsidR="00A50E7D" w:rsidRPr="005D74D1" w:rsidRDefault="002279D9" w:rsidP="00DC6AC2">
      <w:pPr>
        <w:pStyle w:val="BodyText"/>
        <w:rPr>
          <w:rFonts w:cs="Arial"/>
        </w:rPr>
      </w:pPr>
      <w:r w:rsidRPr="005D74D1">
        <w:rPr>
          <w:rFonts w:cs="Arial"/>
        </w:rPr>
        <w:t xml:space="preserve">Eleven </w:t>
      </w:r>
      <w:r w:rsidR="00856D03" w:rsidRPr="005D74D1">
        <w:rPr>
          <w:rFonts w:cs="Arial"/>
        </w:rPr>
        <w:t>project</w:t>
      </w:r>
      <w:r w:rsidRPr="005D74D1">
        <w:rPr>
          <w:rFonts w:cs="Arial"/>
        </w:rPr>
        <w:t xml:space="preserve">s pointed to unexpected outcomes regarding strengthened relationships with other groups, including other management authorities at Commonwealth and Regional levels, other jurisdictions, Traditional Owners and the </w:t>
      </w:r>
      <w:r w:rsidR="004E01CD" w:rsidRPr="005D74D1">
        <w:rPr>
          <w:rFonts w:cs="Arial"/>
        </w:rPr>
        <w:t>c</w:t>
      </w:r>
      <w:r w:rsidRPr="005D74D1">
        <w:rPr>
          <w:rFonts w:cs="Arial"/>
        </w:rPr>
        <w:t>ommunity. For example:</w:t>
      </w:r>
    </w:p>
    <w:p w14:paraId="6DE18535" w14:textId="77777777" w:rsidR="00A50E7D" w:rsidRPr="005D74D1" w:rsidRDefault="002279D9" w:rsidP="00155026">
      <w:pPr>
        <w:pStyle w:val="BulletLevel1"/>
        <w:rPr>
          <w:rFonts w:cs="Arial"/>
          <w:iCs/>
          <w:lang w:val="en-AU"/>
        </w:rPr>
      </w:pPr>
      <w:r w:rsidRPr="005D74D1">
        <w:rPr>
          <w:rFonts w:cs="Arial"/>
          <w:lang w:val="en-AU"/>
        </w:rPr>
        <w:t xml:space="preserve">The Water Market Transparency </w:t>
      </w:r>
      <w:r w:rsidR="00856D03" w:rsidRPr="005D74D1">
        <w:rPr>
          <w:rFonts w:cs="Arial"/>
          <w:lang w:val="en-AU"/>
        </w:rPr>
        <w:t>project</w:t>
      </w:r>
      <w:r w:rsidRPr="005D74D1">
        <w:rPr>
          <w:rFonts w:cs="Arial"/>
          <w:lang w:val="en-AU"/>
        </w:rPr>
        <w:t xml:space="preserve"> reported a positive unintended outcome of strengthening relationships between the Market Reform and Transparency team and water corporations and other government agencies including with the Commonwealth </w:t>
      </w:r>
      <w:r w:rsidR="00295127" w:rsidRPr="005D74D1">
        <w:rPr>
          <w:rFonts w:cs="Arial"/>
          <w:iCs/>
          <w:lang w:val="en-AU"/>
        </w:rPr>
        <w:t>Department of Climate Change, Energy, the Environment and Water.</w:t>
      </w:r>
    </w:p>
    <w:p w14:paraId="67EBC585" w14:textId="44B84FFD" w:rsidR="002279D9" w:rsidRPr="005D74D1" w:rsidRDefault="002279D9" w:rsidP="00155026">
      <w:pPr>
        <w:pStyle w:val="BulletLevel1"/>
        <w:rPr>
          <w:rFonts w:cs="Arial"/>
          <w:lang w:val="en-AU"/>
        </w:rPr>
      </w:pPr>
      <w:r w:rsidRPr="005D74D1">
        <w:rPr>
          <w:rFonts w:cs="Arial"/>
          <w:lang w:val="en-AU"/>
        </w:rPr>
        <w:lastRenderedPageBreak/>
        <w:t xml:space="preserve">The Understand and Apply Climate Science to Water </w:t>
      </w:r>
      <w:r w:rsidR="00856D03" w:rsidRPr="005D74D1">
        <w:rPr>
          <w:rFonts w:cs="Arial"/>
          <w:lang w:val="en-AU"/>
        </w:rPr>
        <w:t>project</w:t>
      </w:r>
      <w:r w:rsidRPr="005D74D1">
        <w:rPr>
          <w:rFonts w:cs="Arial"/>
          <w:lang w:val="en-AU"/>
        </w:rPr>
        <w:t xml:space="preserve"> reported much broader and deeper connections with scientific and stakeholder communities than anticipated, resulting in research being used and built upon by others, such as the Murray-Darling Basin Authority’s Water and Environment Research Program.</w:t>
      </w:r>
    </w:p>
    <w:p w14:paraId="5B056CB6" w14:textId="190963F4" w:rsidR="002279D9" w:rsidRPr="005D74D1" w:rsidRDefault="002279D9" w:rsidP="00155026">
      <w:pPr>
        <w:pStyle w:val="BulletLevel1"/>
        <w:rPr>
          <w:rFonts w:cs="Arial"/>
          <w:lang w:val="en-AU"/>
        </w:rPr>
      </w:pPr>
      <w:r w:rsidRPr="005D74D1">
        <w:rPr>
          <w:rFonts w:cs="Arial"/>
          <w:lang w:val="en-AU"/>
        </w:rPr>
        <w:t xml:space="preserve">The Resilient Water Markets, Regional Communities and Infrastructure </w:t>
      </w:r>
      <w:r w:rsidR="00856D03" w:rsidRPr="005D74D1">
        <w:rPr>
          <w:rFonts w:cs="Arial"/>
          <w:lang w:val="en-AU"/>
        </w:rPr>
        <w:t>project</w:t>
      </w:r>
      <w:r w:rsidRPr="005D74D1">
        <w:rPr>
          <w:rFonts w:cs="Arial"/>
          <w:lang w:val="en-AU"/>
        </w:rPr>
        <w:t xml:space="preserve"> reported that the development of relationships and connections with stakeholders across Victoria has established a foundation for future work across a range of program areas, particularly with Traditional Owner groups that will serve future collaboration and co-design well.</w:t>
      </w:r>
    </w:p>
    <w:p w14:paraId="7A286372" w14:textId="77777777" w:rsidR="002279D9" w:rsidRPr="005D74D1" w:rsidRDefault="002279D9" w:rsidP="00DC6AC2">
      <w:pPr>
        <w:pStyle w:val="BodyText"/>
        <w:rPr>
          <w:rFonts w:cs="Arial"/>
          <w:b/>
          <w:bCs/>
        </w:rPr>
      </w:pPr>
      <w:r w:rsidRPr="005D74D1">
        <w:rPr>
          <w:rFonts w:cs="Arial"/>
          <w:b/>
          <w:bCs/>
        </w:rPr>
        <w:t>Deeper partnerships and collaboration with Traditional Owners</w:t>
      </w:r>
    </w:p>
    <w:p w14:paraId="7A7C0ABD" w14:textId="19F8BDE9" w:rsidR="002279D9" w:rsidRPr="005D74D1" w:rsidRDefault="002279D9" w:rsidP="00DC6AC2">
      <w:pPr>
        <w:pStyle w:val="BodyText"/>
        <w:rPr>
          <w:rFonts w:cs="Arial"/>
        </w:rPr>
      </w:pPr>
      <w:r w:rsidRPr="005D74D1">
        <w:rPr>
          <w:rFonts w:cs="Arial"/>
        </w:rPr>
        <w:t xml:space="preserve">Several </w:t>
      </w:r>
      <w:r w:rsidR="00856D03" w:rsidRPr="005D74D1">
        <w:rPr>
          <w:rFonts w:cs="Arial"/>
        </w:rPr>
        <w:t>project</w:t>
      </w:r>
      <w:r w:rsidRPr="005D74D1">
        <w:rPr>
          <w:rFonts w:cs="Arial"/>
        </w:rPr>
        <w:t xml:space="preserve">s reported unintended benefits resulting from involvement and partnerships with Traditional Owner </w:t>
      </w:r>
      <w:r w:rsidR="00EB71FA" w:rsidRPr="005D74D1">
        <w:rPr>
          <w:rFonts w:cs="Arial"/>
        </w:rPr>
        <w:t>g</w:t>
      </w:r>
      <w:r w:rsidRPr="005D74D1">
        <w:rPr>
          <w:rFonts w:cs="Arial"/>
        </w:rPr>
        <w:t>roups, including:</w:t>
      </w:r>
    </w:p>
    <w:p w14:paraId="03B4FE75" w14:textId="49BE25CB" w:rsidR="002279D9" w:rsidRPr="005D74D1" w:rsidRDefault="002279D9" w:rsidP="00155026">
      <w:pPr>
        <w:pStyle w:val="BulletLevel1"/>
        <w:rPr>
          <w:rFonts w:cs="Arial"/>
          <w:lang w:val="en-AU"/>
        </w:rPr>
      </w:pPr>
      <w:r w:rsidRPr="005D74D1">
        <w:rPr>
          <w:rFonts w:cs="Arial"/>
          <w:lang w:val="en-AU"/>
        </w:rPr>
        <w:t xml:space="preserve">For the </w:t>
      </w:r>
      <w:r w:rsidRPr="005D74D1">
        <w:rPr>
          <w:rFonts w:cs="Arial"/>
          <w:iCs/>
          <w:lang w:val="en-AU"/>
        </w:rPr>
        <w:t xml:space="preserve">Recreational Values </w:t>
      </w:r>
      <w:r w:rsidR="004219D6" w:rsidRPr="005D74D1">
        <w:rPr>
          <w:rFonts w:cs="Arial"/>
          <w:iCs/>
          <w:lang w:val="en-AU"/>
        </w:rPr>
        <w:t>p</w:t>
      </w:r>
      <w:r w:rsidRPr="005D74D1">
        <w:rPr>
          <w:rFonts w:cs="Arial"/>
          <w:iCs/>
          <w:lang w:val="en-AU"/>
        </w:rPr>
        <w:t>rogram</w:t>
      </w:r>
      <w:r w:rsidRPr="005D74D1">
        <w:rPr>
          <w:rFonts w:cs="Arial"/>
          <w:lang w:val="en-AU"/>
        </w:rPr>
        <w:t xml:space="preserve">, the Greens Lake </w:t>
      </w:r>
      <w:r w:rsidR="7D292914" w:rsidRPr="005D74D1">
        <w:rPr>
          <w:rFonts w:cs="Arial"/>
          <w:lang w:val="en-AU"/>
        </w:rPr>
        <w:t xml:space="preserve">Action Plan development </w:t>
      </w:r>
      <w:r w:rsidRPr="005D74D1">
        <w:rPr>
          <w:rFonts w:cs="Arial"/>
          <w:lang w:val="en-AU"/>
        </w:rPr>
        <w:t xml:space="preserve">process represented a significant shift in how we can genuinely partner with Traditional Owners and others to understand shared objectives and establish new and effective ways of working together. The process of developing the draft Greens Lake Action Plan was initiated in response to community concern about lost recreation opportunities, but has led into much broader work, self-determined to achieve lasting change for the </w:t>
      </w:r>
      <w:r w:rsidR="08483BA7" w:rsidRPr="005D74D1">
        <w:rPr>
          <w:rFonts w:cs="Arial"/>
          <w:lang w:val="en-AU"/>
        </w:rPr>
        <w:t xml:space="preserve">wider </w:t>
      </w:r>
      <w:r w:rsidRPr="005D74D1">
        <w:rPr>
          <w:rFonts w:cs="Arial"/>
          <w:lang w:val="en-AU"/>
        </w:rPr>
        <w:t>Corop Wetlands Cultural</w:t>
      </w:r>
      <w:r w:rsidR="00BC5BC6" w:rsidRPr="005D74D1">
        <w:rPr>
          <w:rFonts w:cs="Arial"/>
          <w:lang w:val="en-AU"/>
        </w:rPr>
        <w:t> </w:t>
      </w:r>
      <w:r w:rsidRPr="005D74D1">
        <w:rPr>
          <w:rFonts w:cs="Arial"/>
          <w:lang w:val="en-AU"/>
        </w:rPr>
        <w:t>Landscape.</w:t>
      </w:r>
    </w:p>
    <w:p w14:paraId="5192837A" w14:textId="3890DA74" w:rsidR="002279D9" w:rsidRPr="005D74D1" w:rsidRDefault="002279D9" w:rsidP="00155026">
      <w:pPr>
        <w:pStyle w:val="BulletLevel1"/>
        <w:rPr>
          <w:rFonts w:cs="Arial"/>
          <w:lang w:val="en-AU"/>
        </w:rPr>
      </w:pPr>
      <w:r w:rsidRPr="005D74D1">
        <w:rPr>
          <w:rFonts w:cs="Arial"/>
          <w:lang w:val="en-AU"/>
        </w:rPr>
        <w:t xml:space="preserve">The </w:t>
      </w:r>
      <w:r w:rsidRPr="005D74D1">
        <w:rPr>
          <w:rFonts w:cs="Arial"/>
          <w:i/>
          <w:iCs/>
          <w:lang w:val="en-AU"/>
        </w:rPr>
        <w:t>Traditional Owner Partnership</w:t>
      </w:r>
      <w:r w:rsidRPr="005D74D1">
        <w:rPr>
          <w:rFonts w:cs="Arial"/>
          <w:lang w:val="en-AU"/>
        </w:rPr>
        <w:t xml:space="preserve">, which was established to support the development of the CGRSWS, have requested to continue through the implementation phase of the project, to support self-determination and address collective issues in a culturally safe way, indicating the broader usefulness and benefit of this group outside its originally intended purpose. </w:t>
      </w:r>
      <w:r w:rsidR="7C3BF234" w:rsidRPr="005D74D1">
        <w:rPr>
          <w:rFonts w:cs="Arial"/>
          <w:lang w:val="en-AU"/>
        </w:rPr>
        <w:t xml:space="preserve">Traditional Owner Partnership members see this forum as a </w:t>
      </w:r>
      <w:r w:rsidR="200FA3ED" w:rsidRPr="005D74D1">
        <w:rPr>
          <w:rFonts w:cs="Arial"/>
          <w:lang w:val="en-AU"/>
        </w:rPr>
        <w:t>keyway</w:t>
      </w:r>
      <w:r w:rsidR="7C3BF234" w:rsidRPr="005D74D1">
        <w:rPr>
          <w:rFonts w:cs="Arial"/>
          <w:lang w:val="en-AU"/>
        </w:rPr>
        <w:t xml:space="preserve"> to put forward a collective position</w:t>
      </w:r>
      <w:r w:rsidR="6083C3EA" w:rsidRPr="005D74D1">
        <w:rPr>
          <w:rFonts w:cs="Arial"/>
          <w:lang w:val="en-AU"/>
        </w:rPr>
        <w:t>,</w:t>
      </w:r>
      <w:r w:rsidR="7C3BF234" w:rsidRPr="005D74D1">
        <w:rPr>
          <w:rFonts w:cs="Arial"/>
          <w:lang w:val="en-AU"/>
        </w:rPr>
        <w:t xml:space="preserve"> </w:t>
      </w:r>
      <w:r w:rsidR="6083C3EA" w:rsidRPr="005D74D1">
        <w:rPr>
          <w:rFonts w:cs="Arial"/>
          <w:lang w:val="en-AU"/>
        </w:rPr>
        <w:t>coordinate implementation</w:t>
      </w:r>
      <w:r w:rsidR="7C3BF234" w:rsidRPr="005D74D1">
        <w:rPr>
          <w:rFonts w:cs="Arial"/>
          <w:lang w:val="en-AU"/>
        </w:rPr>
        <w:t xml:space="preserve"> and keep government accountable.</w:t>
      </w:r>
    </w:p>
    <w:p w14:paraId="7CCAC944" w14:textId="77777777" w:rsidR="002279D9" w:rsidRPr="005D74D1" w:rsidRDefault="002279D9" w:rsidP="00FC4E10">
      <w:pPr>
        <w:pStyle w:val="BodyText"/>
        <w:keepNext/>
        <w:keepLines/>
        <w:rPr>
          <w:rFonts w:cs="Arial"/>
          <w:b/>
          <w:bCs/>
        </w:rPr>
      </w:pPr>
      <w:r w:rsidRPr="005D74D1">
        <w:rPr>
          <w:rFonts w:cs="Arial"/>
          <w:b/>
          <w:bCs/>
        </w:rPr>
        <w:t>Unintended benefits resulting from flexibility and changing external environment</w:t>
      </w:r>
    </w:p>
    <w:p w14:paraId="31B9296D" w14:textId="77777777" w:rsidR="00A50E7D" w:rsidRPr="005D74D1" w:rsidRDefault="002279D9" w:rsidP="00FC4E10">
      <w:pPr>
        <w:pStyle w:val="BodyText"/>
        <w:keepNext/>
        <w:keepLines/>
        <w:rPr>
          <w:rFonts w:cs="Arial"/>
        </w:rPr>
      </w:pPr>
      <w:r w:rsidRPr="005D74D1">
        <w:rPr>
          <w:rFonts w:cs="Arial"/>
        </w:rPr>
        <w:t xml:space="preserve">There were several unintended benefits identified which were generated through </w:t>
      </w:r>
      <w:r w:rsidR="00856D03" w:rsidRPr="005D74D1">
        <w:rPr>
          <w:rFonts w:cs="Arial"/>
        </w:rPr>
        <w:t>project</w:t>
      </w:r>
      <w:r w:rsidRPr="005D74D1">
        <w:rPr>
          <w:rFonts w:cs="Arial"/>
        </w:rPr>
        <w:t>s taking a flexible approach and making changes based on new policy directions or stakeholder or community values. Examples of these include:</w:t>
      </w:r>
    </w:p>
    <w:p w14:paraId="0B6D21A3" w14:textId="7D25E46D" w:rsidR="002279D9" w:rsidRPr="005D74D1" w:rsidRDefault="002279D9" w:rsidP="00FC4E10">
      <w:pPr>
        <w:pStyle w:val="BulletLevel1"/>
        <w:keepNext/>
        <w:keepLines/>
        <w:rPr>
          <w:rFonts w:cs="Arial"/>
          <w:lang w:val="en-AU"/>
        </w:rPr>
      </w:pPr>
      <w:r w:rsidRPr="005D74D1">
        <w:rPr>
          <w:rFonts w:cs="Arial"/>
          <w:lang w:val="en-AU"/>
        </w:rPr>
        <w:t xml:space="preserve">The development of new software, models, and capability through the surface water modelling and assessment </w:t>
      </w:r>
      <w:r w:rsidR="00856D03" w:rsidRPr="005D74D1">
        <w:rPr>
          <w:rFonts w:cs="Arial"/>
          <w:lang w:val="en-AU"/>
        </w:rPr>
        <w:t>project</w:t>
      </w:r>
      <w:r w:rsidRPr="005D74D1">
        <w:rPr>
          <w:rFonts w:cs="Arial"/>
          <w:lang w:val="en-AU"/>
        </w:rPr>
        <w:t xml:space="preserve"> resulted in readiness to support unplanned complex water management activities including undertaking water recovery projects including </w:t>
      </w:r>
      <w:r w:rsidRPr="005D74D1" w:rsidDel="002279D9">
        <w:rPr>
          <w:rFonts w:cs="Arial"/>
          <w:lang w:val="en-AU"/>
        </w:rPr>
        <w:t>G</w:t>
      </w:r>
      <w:r w:rsidR="00FB55B8" w:rsidRPr="005D74D1">
        <w:rPr>
          <w:rFonts w:cs="Arial"/>
          <w:lang w:val="en-AU"/>
        </w:rPr>
        <w:t>oulburn-</w:t>
      </w:r>
      <w:r w:rsidRPr="005D74D1" w:rsidDel="002279D9">
        <w:rPr>
          <w:rFonts w:cs="Arial"/>
          <w:lang w:val="en-AU"/>
        </w:rPr>
        <w:t>M</w:t>
      </w:r>
      <w:r w:rsidR="00FB55B8" w:rsidRPr="005D74D1">
        <w:rPr>
          <w:rFonts w:cs="Arial"/>
          <w:lang w:val="en-AU"/>
        </w:rPr>
        <w:t xml:space="preserve">urray </w:t>
      </w:r>
      <w:r w:rsidRPr="005D74D1" w:rsidDel="002279D9">
        <w:rPr>
          <w:rFonts w:cs="Arial"/>
          <w:lang w:val="en-AU"/>
        </w:rPr>
        <w:t>W</w:t>
      </w:r>
      <w:r w:rsidR="00FB55B8" w:rsidRPr="005D74D1">
        <w:rPr>
          <w:rFonts w:cs="Arial"/>
          <w:lang w:val="en-AU"/>
        </w:rPr>
        <w:t>ater</w:t>
      </w:r>
      <w:r w:rsidRPr="005D74D1">
        <w:rPr>
          <w:rFonts w:cs="Arial"/>
          <w:lang w:val="en-AU"/>
        </w:rPr>
        <w:t xml:space="preserve"> Connections Project and scenario modelling to support </w:t>
      </w:r>
      <w:r w:rsidR="00B34069" w:rsidRPr="005D74D1">
        <w:rPr>
          <w:rFonts w:cs="Arial"/>
          <w:lang w:val="en-AU"/>
        </w:rPr>
        <w:t xml:space="preserve">the Murray Darling </w:t>
      </w:r>
      <w:r w:rsidRPr="005D74D1">
        <w:rPr>
          <w:rFonts w:cs="Arial"/>
          <w:lang w:val="en-AU"/>
        </w:rPr>
        <w:t>Basin Plan Implementation.</w:t>
      </w:r>
    </w:p>
    <w:p w14:paraId="75E5559E" w14:textId="77777777" w:rsidR="00A50E7D" w:rsidRPr="005D74D1" w:rsidRDefault="002279D9" w:rsidP="00155026">
      <w:pPr>
        <w:pStyle w:val="BulletLevel1"/>
        <w:rPr>
          <w:rFonts w:cs="Arial"/>
          <w:lang w:val="en-AU"/>
        </w:rPr>
      </w:pPr>
      <w:r w:rsidRPr="005D74D1">
        <w:rPr>
          <w:rFonts w:cs="Arial"/>
          <w:lang w:val="en-AU"/>
        </w:rPr>
        <w:t xml:space="preserve">As part of CGRSWS </w:t>
      </w:r>
      <w:r w:rsidR="009444BD" w:rsidRPr="00A134A7">
        <w:rPr>
          <w:rFonts w:eastAsia="Times New Roman" w:cs="Arial"/>
          <w:lang w:val="en-AU"/>
        </w:rPr>
        <w:t>Funding Stream 3 Waterway Health Complementary Measures and Catchment Management Improvement</w:t>
      </w:r>
      <w:r w:rsidRPr="00A134A7">
        <w:rPr>
          <w:rFonts w:eastAsia="Times New Roman" w:cs="Arial"/>
          <w:lang w:val="en-AU"/>
        </w:rPr>
        <w:t xml:space="preserve"> </w:t>
      </w:r>
      <w:r w:rsidR="004161AA" w:rsidRPr="005D74D1">
        <w:rPr>
          <w:rFonts w:cs="Arial"/>
          <w:lang w:val="en-AU"/>
        </w:rPr>
        <w:t xml:space="preserve">– </w:t>
      </w:r>
      <w:r w:rsidRPr="005D74D1">
        <w:rPr>
          <w:rFonts w:cs="Arial"/>
          <w:lang w:val="en-AU"/>
        </w:rPr>
        <w:t>an opportunity to re-design a traditional concrete vertical-slot fishway as a natural-style rock channel was taken, realizing reduced construction costs, providing fish-passage over a greater ranger of flows and requiring less maintenance.</w:t>
      </w:r>
    </w:p>
    <w:p w14:paraId="23504266" w14:textId="5379775F" w:rsidR="002279D9" w:rsidRPr="005D74D1" w:rsidRDefault="002279D9" w:rsidP="00155026">
      <w:pPr>
        <w:pStyle w:val="BulletLevel1"/>
        <w:rPr>
          <w:rFonts w:cs="Arial"/>
          <w:lang w:val="en-AU"/>
        </w:rPr>
      </w:pPr>
      <w:r w:rsidRPr="005D74D1">
        <w:rPr>
          <w:rFonts w:cs="Arial"/>
          <w:lang w:val="en-AU"/>
        </w:rPr>
        <w:t xml:space="preserve">The Recreational Values Program reported that the establishment of the Water Safety Taskforce, which was a follow on from </w:t>
      </w:r>
      <w:r w:rsidR="0047027F" w:rsidRPr="005D74D1">
        <w:rPr>
          <w:rFonts w:cs="Arial"/>
          <w:lang w:val="en-AU"/>
        </w:rPr>
        <w:t>COVID-19</w:t>
      </w:r>
      <w:r w:rsidRPr="005D74D1">
        <w:rPr>
          <w:rFonts w:cs="Arial"/>
          <w:lang w:val="en-AU"/>
        </w:rPr>
        <w:t>, has been hugely valuable in bringing together agencies involved in water safety to develop relationship and share strategies to tackle the ongoing challenge of balancing the benefits of water recreation with safety.</w:t>
      </w:r>
    </w:p>
    <w:p w14:paraId="590FFD1F" w14:textId="605165B3" w:rsidR="002279D9" w:rsidRPr="005D74D1" w:rsidRDefault="002279D9" w:rsidP="00155026">
      <w:pPr>
        <w:pStyle w:val="BulletLevel1"/>
        <w:rPr>
          <w:rFonts w:cs="Arial"/>
          <w:lang w:val="en-AU"/>
        </w:rPr>
      </w:pPr>
      <w:r w:rsidRPr="005D74D1">
        <w:rPr>
          <w:rFonts w:cs="Arial"/>
          <w:lang w:val="en-AU"/>
        </w:rPr>
        <w:t xml:space="preserve">Under the Surface Water and Groundwater Monitoring </w:t>
      </w:r>
      <w:r w:rsidR="00856D03" w:rsidRPr="005D74D1">
        <w:rPr>
          <w:rFonts w:cs="Arial"/>
          <w:lang w:val="en-AU"/>
        </w:rPr>
        <w:t>project</w:t>
      </w:r>
      <w:r w:rsidRPr="005D74D1">
        <w:rPr>
          <w:rFonts w:cs="Arial"/>
          <w:lang w:val="en-AU"/>
        </w:rPr>
        <w:t>, the extensive and persistent floods of 2022</w:t>
      </w:r>
      <w:r w:rsidR="009444BD" w:rsidRPr="005D74D1">
        <w:rPr>
          <w:rFonts w:cs="Arial"/>
          <w:lang w:val="en-AU"/>
        </w:rPr>
        <w:t>-</w:t>
      </w:r>
      <w:r w:rsidRPr="005D74D1">
        <w:rPr>
          <w:rFonts w:cs="Arial"/>
          <w:lang w:val="en-AU"/>
        </w:rPr>
        <w:t>23 allowed a large number of surface water gauging sites to have measurements undertaken at the high end of the rating table, improving the accuracy at the high end of the rating tables.</w:t>
      </w:r>
    </w:p>
    <w:p w14:paraId="76C5600E" w14:textId="77777777" w:rsidR="00E54508" w:rsidRPr="005D74D1" w:rsidRDefault="00E54508" w:rsidP="00896BFE">
      <w:pPr>
        <w:rPr>
          <w:rFonts w:cs="Arial"/>
        </w:rPr>
        <w:sectPr w:rsidR="00E54508" w:rsidRPr="005D74D1" w:rsidSect="00AF519B">
          <w:pgSz w:w="11906" w:h="16838" w:code="9"/>
          <w:pgMar w:top="1134" w:right="1134" w:bottom="567" w:left="1134" w:header="567" w:footer="0" w:gutter="0"/>
          <w:cols w:space="720"/>
          <w:docGrid w:linePitch="360"/>
        </w:sectPr>
      </w:pPr>
    </w:p>
    <w:p w14:paraId="3B92D0DF" w14:textId="77777777" w:rsidR="00E54508" w:rsidRPr="005D74D1" w:rsidRDefault="00E54508" w:rsidP="00896BFE">
      <w:pPr>
        <w:rPr>
          <w:rFonts w:cs="Arial"/>
        </w:rPr>
      </w:pPr>
    </w:p>
    <w:p w14:paraId="3ED9C9FC" w14:textId="522ED451" w:rsidR="00E54508" w:rsidRPr="00A134A7" w:rsidRDefault="00E54508" w:rsidP="00E54508">
      <w:pPr>
        <w:spacing w:before="100" w:beforeAutospacing="1" w:after="100" w:afterAutospacing="1"/>
        <w:rPr>
          <w:rFonts w:eastAsia="Times New Roman" w:cs="Arial"/>
          <w:sz w:val="24"/>
          <w:szCs w:val="24"/>
        </w:rPr>
      </w:pPr>
      <w:r w:rsidRPr="00A134A7">
        <w:rPr>
          <w:rFonts w:eastAsia="Times New Roman" w:cs="Arial"/>
          <w:noProof/>
          <w:sz w:val="24"/>
          <w:szCs w:val="24"/>
        </w:rPr>
        <w:drawing>
          <wp:anchor distT="0" distB="0" distL="114300" distR="114300" simplePos="0" relativeHeight="251654144" behindDoc="0" locked="0" layoutInCell="1" allowOverlap="1" wp14:anchorId="55D3F138" wp14:editId="48D2CC47">
            <wp:simplePos x="723900" y="1162050"/>
            <wp:positionH relativeFrom="page">
              <wp:align>left</wp:align>
            </wp:positionH>
            <wp:positionV relativeFrom="page">
              <wp:align>top</wp:align>
            </wp:positionV>
            <wp:extent cx="7562088" cy="10689336"/>
            <wp:effectExtent l="0" t="0" r="1270" b="0"/>
            <wp:wrapNone/>
            <wp:docPr id="9750730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7562088" cy="1068933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48881C" w14:textId="77777777" w:rsidR="00E54508" w:rsidRPr="005D74D1" w:rsidRDefault="00E54508" w:rsidP="00896BFE">
      <w:pPr>
        <w:rPr>
          <w:rFonts w:cs="Arial"/>
        </w:rPr>
      </w:pPr>
    </w:p>
    <w:p w14:paraId="77672880" w14:textId="77777777" w:rsidR="00E54508" w:rsidRPr="005D74D1" w:rsidRDefault="00E54508" w:rsidP="00896BFE">
      <w:pPr>
        <w:rPr>
          <w:rFonts w:cs="Arial"/>
        </w:rPr>
      </w:pPr>
    </w:p>
    <w:p w14:paraId="0D02EC41" w14:textId="77777777" w:rsidR="00E54508" w:rsidRPr="005D74D1" w:rsidRDefault="00E54508" w:rsidP="00896BFE">
      <w:pPr>
        <w:rPr>
          <w:rFonts w:cs="Arial"/>
        </w:rPr>
        <w:sectPr w:rsidR="00E54508" w:rsidRPr="005D74D1" w:rsidSect="00AF519B">
          <w:pgSz w:w="11906" w:h="16838" w:code="9"/>
          <w:pgMar w:top="1134" w:right="1134" w:bottom="567" w:left="1134" w:header="567" w:footer="0" w:gutter="0"/>
          <w:cols w:space="720"/>
          <w:docGrid w:linePitch="360"/>
        </w:sectPr>
      </w:pPr>
    </w:p>
    <w:p w14:paraId="549E778C" w14:textId="4D184F1C" w:rsidR="00875A29" w:rsidRPr="005D74D1" w:rsidRDefault="00952160" w:rsidP="00875A29">
      <w:pPr>
        <w:pStyle w:val="Heading1"/>
        <w:rPr>
          <w:rFonts w:cs="Arial"/>
        </w:rPr>
      </w:pPr>
      <w:bookmarkStart w:id="442" w:name="_Toc147341676"/>
      <w:bookmarkStart w:id="443" w:name="_Toc147329931"/>
      <w:bookmarkStart w:id="444" w:name="_Toc147330503"/>
      <w:bookmarkStart w:id="445" w:name="_Toc147331075"/>
      <w:bookmarkStart w:id="446" w:name="_Toc147331648"/>
      <w:bookmarkStart w:id="447" w:name="_Toc147335021"/>
      <w:bookmarkStart w:id="448" w:name="_Toc147337885"/>
      <w:bookmarkStart w:id="449" w:name="_Toc147338490"/>
      <w:bookmarkStart w:id="450" w:name="_Toc147342851"/>
      <w:bookmarkStart w:id="451" w:name="_Toc147352741"/>
      <w:bookmarkStart w:id="452" w:name="_Toc147341677"/>
      <w:bookmarkStart w:id="453" w:name="_Toc147329932"/>
      <w:bookmarkStart w:id="454" w:name="_Toc147330504"/>
      <w:bookmarkStart w:id="455" w:name="_Toc147331076"/>
      <w:bookmarkStart w:id="456" w:name="_Toc147331649"/>
      <w:bookmarkStart w:id="457" w:name="_Toc147335022"/>
      <w:bookmarkStart w:id="458" w:name="_Toc147337886"/>
      <w:bookmarkStart w:id="459" w:name="_Toc147338491"/>
      <w:bookmarkStart w:id="460" w:name="_Toc147342852"/>
      <w:bookmarkStart w:id="461" w:name="_Toc147352742"/>
      <w:bookmarkStart w:id="462" w:name="_Toc147341678"/>
      <w:bookmarkStart w:id="463" w:name="_Toc147329933"/>
      <w:bookmarkStart w:id="464" w:name="_Toc147330505"/>
      <w:bookmarkStart w:id="465" w:name="_Toc147331077"/>
      <w:bookmarkStart w:id="466" w:name="_Toc147331650"/>
      <w:bookmarkStart w:id="467" w:name="_Toc147335023"/>
      <w:bookmarkStart w:id="468" w:name="_Toc147337887"/>
      <w:bookmarkStart w:id="469" w:name="_Toc147338492"/>
      <w:bookmarkStart w:id="470" w:name="_Toc147342853"/>
      <w:bookmarkStart w:id="471" w:name="_Toc147352743"/>
      <w:bookmarkStart w:id="472" w:name="_Toc147341716"/>
      <w:bookmarkStart w:id="473" w:name="_Toc147329971"/>
      <w:bookmarkStart w:id="474" w:name="_Toc147330543"/>
      <w:bookmarkStart w:id="475" w:name="_Toc147331115"/>
      <w:bookmarkStart w:id="476" w:name="_Toc147331688"/>
      <w:bookmarkStart w:id="477" w:name="_Toc147335061"/>
      <w:bookmarkStart w:id="478" w:name="_Toc147337925"/>
      <w:bookmarkStart w:id="479" w:name="_Toc147338530"/>
      <w:bookmarkStart w:id="480" w:name="_Toc147342891"/>
      <w:bookmarkStart w:id="481" w:name="_Toc147352781"/>
      <w:bookmarkStart w:id="482" w:name="_Toc147329344"/>
      <w:bookmarkStart w:id="483" w:name="_Toc183777375"/>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r w:rsidRPr="00A134A7">
        <w:rPr>
          <w:rFonts w:cs="Arial"/>
          <w:b w:val="0"/>
          <w:noProof/>
          <w:sz w:val="24"/>
          <w:szCs w:val="24"/>
        </w:rPr>
        <w:lastRenderedPageBreak/>
        <mc:AlternateContent>
          <mc:Choice Requires="wps">
            <w:drawing>
              <wp:anchor distT="45720" distB="45720" distL="114300" distR="114300" simplePos="0" relativeHeight="251691008" behindDoc="0" locked="0" layoutInCell="1" allowOverlap="1" wp14:anchorId="4D60CD91" wp14:editId="3EC86FEA">
                <wp:simplePos x="0" y="0"/>
                <wp:positionH relativeFrom="margin">
                  <wp:align>right</wp:align>
                </wp:positionH>
                <wp:positionV relativeFrom="paragraph">
                  <wp:posOffset>508000</wp:posOffset>
                </wp:positionV>
                <wp:extent cx="6076950" cy="1404620"/>
                <wp:effectExtent l="0" t="0" r="19050" b="21590"/>
                <wp:wrapSquare wrapText="bothSides"/>
                <wp:docPr id="4838468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1404620"/>
                        </a:xfrm>
                        <a:prstGeom prst="rect">
                          <a:avLst/>
                        </a:prstGeom>
                        <a:solidFill>
                          <a:schemeClr val="bg1">
                            <a:lumMod val="95000"/>
                          </a:schemeClr>
                        </a:solidFill>
                        <a:ln w="9525">
                          <a:solidFill>
                            <a:srgbClr val="000000"/>
                          </a:solidFill>
                          <a:miter lim="800000"/>
                          <a:headEnd/>
                          <a:tailEnd/>
                        </a:ln>
                      </wps:spPr>
                      <wps:txbx>
                        <w:txbxContent>
                          <w:p w14:paraId="1AC08DE2" w14:textId="6870D8A6" w:rsidR="00952160" w:rsidRPr="00975B72" w:rsidRDefault="00952160" w:rsidP="00952160">
                            <w:pPr>
                              <w:pStyle w:val="BodyText"/>
                              <w:ind w:right="168"/>
                              <w:rPr>
                                <w:b/>
                                <w:sz w:val="24"/>
                                <w:szCs w:val="24"/>
                              </w:rPr>
                            </w:pPr>
                            <w:r w:rsidRPr="00975B72">
                              <w:rPr>
                                <w:b/>
                                <w:sz w:val="24"/>
                                <w:szCs w:val="24"/>
                              </w:rPr>
                              <w:t>Key findings</w:t>
                            </w:r>
                          </w:p>
                          <w:p w14:paraId="680FC7CE" w14:textId="77777777" w:rsidR="00952160" w:rsidRDefault="00952160" w:rsidP="00952160">
                            <w:pPr>
                              <w:pStyle w:val="BulletLevel1"/>
                              <w:rPr>
                                <w:lang w:val="en-AU"/>
                              </w:rPr>
                            </w:pPr>
                            <w:r w:rsidRPr="2BFD8756">
                              <w:rPr>
                                <w:b/>
                                <w:bCs/>
                                <w:lang w:val="en-AU"/>
                              </w:rPr>
                              <w:t>Delivery effectiveness:</w:t>
                            </w:r>
                            <w:r w:rsidRPr="2BFD8756">
                              <w:rPr>
                                <w:lang w:val="en-AU"/>
                              </w:rPr>
                              <w:t xml:space="preserve"> The EC has been designed effectively, with supportive governance structures and appropriate accountability and reporting requirements. Four-year funding cycles and flexibility in funding at the project level enabled teams to respond to changing contexts and to shift priorities as needed, however there are opportunities for embedding further flexibility and arrangements to promote planning of long-term projects with funding assurance. Complexities with aligning the timing and reporting requirements of multiple funding sources were discussed, and a need was identified to align the EC funding with other funding sources to assist in delivery efficiency and in best utilisation of sources outside EC funding. Many project evaluation reports described challenges with retaining key capabilities and staff turnover, and the need to ensure that corporate knowledge is retained throughout EC tranches, and that teams are supported. There is an opportunity to better articulate the benefits of the EC through economic and social values analyses, and/or narratives around how the benefits of delivered projects are passed on to Victorian communities, environments and industries.</w:t>
                            </w:r>
                          </w:p>
                          <w:p w14:paraId="606C2C4F" w14:textId="77777777" w:rsidR="00952160" w:rsidRDefault="00952160" w:rsidP="00952160">
                            <w:pPr>
                              <w:pStyle w:val="BulletLevel1"/>
                              <w:rPr>
                                <w:lang w:val="en-AU"/>
                              </w:rPr>
                            </w:pPr>
                            <w:r w:rsidRPr="09DD6C9B">
                              <w:rPr>
                                <w:b/>
                                <w:bCs/>
                                <w:lang w:val="en-AU"/>
                              </w:rPr>
                              <w:t>Adapting to changing contexts:</w:t>
                            </w:r>
                            <w:r w:rsidRPr="09DD6C9B">
                              <w:rPr>
                                <w:lang w:val="en-AU"/>
                              </w:rPr>
                              <w:t xml:space="preserve"> EC5 </w:t>
                            </w:r>
                            <w:r>
                              <w:rPr>
                                <w:lang w:val="en-AU"/>
                              </w:rPr>
                              <w:t>delivery demonstrated</w:t>
                            </w:r>
                            <w:r w:rsidRPr="09DD6C9B">
                              <w:rPr>
                                <w:lang w:val="en-AU"/>
                              </w:rPr>
                              <w:t xml:space="preserve"> a high level of adaptability and flexibility to manage the effects of external influences, including the COVID-19 pandemic and extreme weather events, specifically flooding and bushfires. </w:t>
                            </w:r>
                            <w:r w:rsidRPr="09DD6C9B">
                              <w:rPr>
                                <w:lang w:val="en-AU" w:eastAsia="en-AU"/>
                              </w:rPr>
                              <w:t xml:space="preserve">While some delays occurred due to the weather events and the COVID-19 pandemic (which particularly affected </w:t>
                            </w:r>
                            <w:r>
                              <w:rPr>
                                <w:lang w:val="en-AU" w:eastAsia="en-AU"/>
                              </w:rPr>
                              <w:t>on-ground</w:t>
                            </w:r>
                            <w:r w:rsidRPr="09DD6C9B">
                              <w:rPr>
                                <w:lang w:val="en-AU" w:eastAsia="en-AU"/>
                              </w:rPr>
                              <w:t xml:space="preserve"> works), the </w:t>
                            </w:r>
                            <w:r>
                              <w:rPr>
                                <w:lang w:val="en-AU" w:eastAsia="en-AU"/>
                              </w:rPr>
                              <w:t>department and delivery partners were</w:t>
                            </w:r>
                            <w:r w:rsidRPr="09DD6C9B">
                              <w:rPr>
                                <w:lang w:val="en-AU" w:eastAsia="en-AU"/>
                              </w:rPr>
                              <w:t xml:space="preserve"> able to adapt to work with changes. DEECA leadership outlined that support for flexible work throughout EC5 </w:t>
                            </w:r>
                            <w:r>
                              <w:rPr>
                                <w:lang w:val="en-AU" w:eastAsia="en-AU"/>
                              </w:rPr>
                              <w:t>–</w:t>
                            </w:r>
                            <w:r w:rsidRPr="09DD6C9B">
                              <w:rPr>
                                <w:lang w:val="en-AU" w:eastAsia="en-AU"/>
                              </w:rPr>
                              <w:t xml:space="preserve"> as a response to the COVID-19 pandemic </w:t>
                            </w:r>
                            <w:r>
                              <w:rPr>
                                <w:lang w:val="en-AU" w:eastAsia="en-AU"/>
                              </w:rPr>
                              <w:t xml:space="preserve">and other emergencies - </w:t>
                            </w:r>
                            <w:r w:rsidRPr="09DD6C9B">
                              <w:rPr>
                                <w:lang w:val="en-AU" w:eastAsia="en-AU"/>
                              </w:rPr>
                              <w:t xml:space="preserve">was good and should be continued in EC6. DEECA leaders also noted the opportunity to ensure that </w:t>
                            </w:r>
                            <w:r w:rsidRPr="09DD6C9B">
                              <w:rPr>
                                <w:lang w:val="en-AU"/>
                              </w:rPr>
                              <w:t>knowledge is retained and lessons learned are actioned from previous events, to enable preparedness for future unexpected / emergency events.</w:t>
                            </w:r>
                          </w:p>
                          <w:p w14:paraId="7F1F77A1" w14:textId="0E8A0846" w:rsidR="00952160" w:rsidRPr="00952160" w:rsidRDefault="00952160" w:rsidP="00952160">
                            <w:pPr>
                              <w:pStyle w:val="BulletLevel1"/>
                              <w:rPr>
                                <w:lang w:val="en-AU"/>
                              </w:rPr>
                            </w:pPr>
                            <w:r w:rsidRPr="00952160">
                              <w:rPr>
                                <w:b/>
                                <w:bCs/>
                              </w:rPr>
                              <w:t>Partnerships and collaboration:</w:t>
                            </w:r>
                            <w:r w:rsidRPr="09DD6C9B">
                              <w:t xml:space="preserve"> EC5 projects were highly collaborative and recognised the importance of partnerships in effective delivery. </w:t>
                            </w:r>
                            <w:r>
                              <w:t>Almost all (</w:t>
                            </w:r>
                            <w:r w:rsidRPr="09DD6C9B">
                              <w:t>95%</w:t>
                            </w:r>
                            <w:r>
                              <w:t>)</w:t>
                            </w:r>
                            <w:r w:rsidRPr="09DD6C9B">
                              <w:t xml:space="preserve"> of the projects reported that partnerships that were developed throughout tranche 5 were valuable in achieving the project outcomes. Project teams reported that over 1,300 partnerships were fostered throughout the 38 EC5 projects, with a broad range of stakeholders. The highest numbers of partnerships with local governments, Traditional Owners, and community organisations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60CD91" id="_x0000_s1027" type="#_x0000_t202" style="position:absolute;left:0;text-align:left;margin-left:427.3pt;margin-top:40pt;width:478.5pt;height:110.6pt;z-index:25169100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" fillcolor="#f2f2f2 [3052]">
                <v:textbox style="mso-fit-shape-to-text:t">
                  <w:txbxContent>
                    <w:p w14:paraId="1AC08DE2" w14:textId="6870D8A6" w:rsidR="00952160" w:rsidRPr="00975B72" w:rsidRDefault="00952160" w:rsidP="00952160">
                      <w:pPr>
                        <w:pStyle w:val="BodyText"/>
                        <w:ind w:right="168"/>
                        <w:rPr>
                          <w:b/>
                          <w:sz w:val="24"/>
                          <w:szCs w:val="24"/>
                        </w:rPr>
                      </w:pPr>
                      <w:r w:rsidRPr="00975B72">
                        <w:rPr>
                          <w:b/>
                          <w:sz w:val="24"/>
                          <w:szCs w:val="24"/>
                        </w:rPr>
                        <w:t>Key findings</w:t>
                      </w:r>
                    </w:p>
                    <w:p w14:paraId="680FC7CE" w14:textId="77777777" w:rsidR="00952160" w:rsidRDefault="00952160" w:rsidP="00952160">
                      <w:pPr>
                        <w:pStyle w:val="BulletLevel1"/>
                        <w:rPr>
                          <w:lang w:val="en-AU"/>
                        </w:rPr>
                      </w:pPr>
                      <w:r w:rsidRPr="2BFD8756">
                        <w:rPr>
                          <w:b/>
                          <w:bCs/>
                          <w:lang w:val="en-AU"/>
                        </w:rPr>
                        <w:t>Delivery effectiveness:</w:t>
                      </w:r>
                      <w:r w:rsidRPr="2BFD8756">
                        <w:rPr>
                          <w:lang w:val="en-AU"/>
                        </w:rPr>
                        <w:t xml:space="preserve"> The EC has been designed effectively, with supportive governance structures and appropriate accountability and reporting requirements. Four-year funding cycles and flexibility in funding at the project level enabled teams to respond to changing contexts and to shift priorities as needed, however there are opportunities for embedding further flexibility and arrangements to promote planning of long-term projects with funding assurance. Complexities with aligning the timing and reporting requirements of multiple funding sources were discussed, and a need was identified to align the EC funding with other funding sources to assist in delivery efficiency and in best utilisation of sources outside EC funding. Many project evaluation reports described challenges with retaining key capabilities and staff turnover, and the need to ensure that corporate knowledge is retained throughout EC tranches, and that teams are supported. There is an opportunity to better articulate the benefits of the EC through economic and social values analyses, and/or narratives around how the benefits of delivered projects are passed on to Victorian communities, environments and industries.</w:t>
                      </w:r>
                    </w:p>
                    <w:p w14:paraId="606C2C4F" w14:textId="77777777" w:rsidR="00952160" w:rsidRDefault="00952160" w:rsidP="00952160">
                      <w:pPr>
                        <w:pStyle w:val="BulletLevel1"/>
                        <w:rPr>
                          <w:lang w:val="en-AU"/>
                        </w:rPr>
                      </w:pPr>
                      <w:r w:rsidRPr="09DD6C9B">
                        <w:rPr>
                          <w:b/>
                          <w:bCs/>
                          <w:lang w:val="en-AU"/>
                        </w:rPr>
                        <w:t>Adapting to changing contexts:</w:t>
                      </w:r>
                      <w:r w:rsidRPr="09DD6C9B">
                        <w:rPr>
                          <w:lang w:val="en-AU"/>
                        </w:rPr>
                        <w:t xml:space="preserve"> EC5 </w:t>
                      </w:r>
                      <w:r>
                        <w:rPr>
                          <w:lang w:val="en-AU"/>
                        </w:rPr>
                        <w:t>delivery demonstrated</w:t>
                      </w:r>
                      <w:r w:rsidRPr="09DD6C9B">
                        <w:rPr>
                          <w:lang w:val="en-AU"/>
                        </w:rPr>
                        <w:t xml:space="preserve"> a high level of adaptability and flexibility to manage the effects of external influences, including the COVID-19 pandemic and extreme weather events, specifically flooding and bushfires. </w:t>
                      </w:r>
                      <w:r w:rsidRPr="09DD6C9B">
                        <w:rPr>
                          <w:lang w:val="en-AU" w:eastAsia="en-AU"/>
                        </w:rPr>
                        <w:t xml:space="preserve">While some delays occurred due to the weather events and the COVID-19 pandemic (which particularly affected </w:t>
                      </w:r>
                      <w:r>
                        <w:rPr>
                          <w:lang w:val="en-AU" w:eastAsia="en-AU"/>
                        </w:rPr>
                        <w:t>on-ground</w:t>
                      </w:r>
                      <w:r w:rsidRPr="09DD6C9B">
                        <w:rPr>
                          <w:lang w:val="en-AU" w:eastAsia="en-AU"/>
                        </w:rPr>
                        <w:t xml:space="preserve"> works), the </w:t>
                      </w:r>
                      <w:r>
                        <w:rPr>
                          <w:lang w:val="en-AU" w:eastAsia="en-AU"/>
                        </w:rPr>
                        <w:t>department and delivery partners were</w:t>
                      </w:r>
                      <w:r w:rsidRPr="09DD6C9B">
                        <w:rPr>
                          <w:lang w:val="en-AU" w:eastAsia="en-AU"/>
                        </w:rPr>
                        <w:t xml:space="preserve"> able to adapt to work with changes. DEECA leadership outlined that support for flexible work throughout EC5 </w:t>
                      </w:r>
                      <w:r>
                        <w:rPr>
                          <w:lang w:val="en-AU" w:eastAsia="en-AU"/>
                        </w:rPr>
                        <w:t>–</w:t>
                      </w:r>
                      <w:r w:rsidRPr="09DD6C9B">
                        <w:rPr>
                          <w:lang w:val="en-AU" w:eastAsia="en-AU"/>
                        </w:rPr>
                        <w:t xml:space="preserve"> as a response to the COVID-19 pandemic </w:t>
                      </w:r>
                      <w:r>
                        <w:rPr>
                          <w:lang w:val="en-AU" w:eastAsia="en-AU"/>
                        </w:rPr>
                        <w:t xml:space="preserve">and other emergencies - </w:t>
                      </w:r>
                      <w:r w:rsidRPr="09DD6C9B">
                        <w:rPr>
                          <w:lang w:val="en-AU" w:eastAsia="en-AU"/>
                        </w:rPr>
                        <w:t xml:space="preserve">was good and should be continued in EC6. DEECA leaders also noted the opportunity to ensure that </w:t>
                      </w:r>
                      <w:r w:rsidRPr="09DD6C9B">
                        <w:rPr>
                          <w:lang w:val="en-AU"/>
                        </w:rPr>
                        <w:t>knowledge is retained and lessons learned are actioned from previous events, to enable preparedness for future unexpected / emergency events.</w:t>
                      </w:r>
                    </w:p>
                    <w:p w14:paraId="7F1F77A1" w14:textId="0E8A0846" w:rsidR="00952160" w:rsidRPr="00952160" w:rsidRDefault="00952160" w:rsidP="00952160">
                      <w:pPr>
                        <w:pStyle w:val="BulletLevel1"/>
                        <w:rPr>
                          <w:lang w:val="en-AU"/>
                        </w:rPr>
                      </w:pPr>
                      <w:r w:rsidRPr="00952160">
                        <w:rPr>
                          <w:b/>
                          <w:bCs/>
                        </w:rPr>
                        <w:t>Partnerships and collaboration:</w:t>
                      </w:r>
                      <w:r w:rsidRPr="09DD6C9B">
                        <w:t xml:space="preserve"> EC5 projects were highly collaborative and recognised the importance of partnerships in effective delivery. </w:t>
                      </w:r>
                      <w:r>
                        <w:t>Almost all (</w:t>
                      </w:r>
                      <w:r w:rsidRPr="09DD6C9B">
                        <w:t>95%</w:t>
                      </w:r>
                      <w:r>
                        <w:t>)</w:t>
                      </w:r>
                      <w:r w:rsidRPr="09DD6C9B">
                        <w:t xml:space="preserve"> of the projects reported that partnerships that were developed throughout tranche 5 were valuable in achieving the project outcomes. Project teams reported that over 1,300 partnerships were fostered throughout the 38 EC5 projects, with a broad range of stakeholders. The highest numbers of partnerships with local governments, Traditional Owners, and community organisations</w:t>
                      </w:r>
                    </w:p>
                  </w:txbxContent>
                </v:textbox>
                <w10:wrap type="square" anchorx="margin"/>
              </v:shape>
            </w:pict>
          </mc:Fallback>
        </mc:AlternateContent>
      </w:r>
      <w:r w:rsidR="00196D99" w:rsidRPr="005D74D1">
        <w:rPr>
          <w:rFonts w:cs="Arial"/>
        </w:rPr>
        <w:t>E</w:t>
      </w:r>
      <w:r w:rsidR="00875A29" w:rsidRPr="005D74D1">
        <w:rPr>
          <w:rFonts w:cs="Arial"/>
        </w:rPr>
        <w:t xml:space="preserve">valuation of </w:t>
      </w:r>
      <w:bookmarkEnd w:id="482"/>
      <w:r w:rsidR="00E052A5" w:rsidRPr="005D74D1">
        <w:rPr>
          <w:rFonts w:cs="Arial"/>
        </w:rPr>
        <w:t>effectiveness</w:t>
      </w:r>
      <w:bookmarkEnd w:id="483"/>
    </w:p>
    <w:p w14:paraId="51753123" w14:textId="5200ACB8" w:rsidR="00653B24" w:rsidRPr="00A134A7" w:rsidRDefault="00653B24" w:rsidP="00952160">
      <w:pPr>
        <w:pStyle w:val="BulletLevel1"/>
        <w:numPr>
          <w:ilvl w:val="0"/>
          <w:numId w:val="0"/>
        </w:numPr>
        <w:rPr>
          <w:rFonts w:cs="Arial"/>
          <w:lang w:val="en-AU"/>
        </w:rPr>
      </w:pPr>
    </w:p>
    <w:p w14:paraId="42600C29" w14:textId="199781CF" w:rsidR="00875A29" w:rsidRPr="005D74D1" w:rsidRDefault="00875A29" w:rsidP="00875A29">
      <w:pPr>
        <w:pStyle w:val="Heading2"/>
        <w:rPr>
          <w:rFonts w:cs="Arial"/>
        </w:rPr>
      </w:pPr>
      <w:bookmarkStart w:id="484" w:name="_Toc147329345"/>
      <w:bookmarkStart w:id="485" w:name="_Toc183777376"/>
      <w:r w:rsidRPr="005D74D1">
        <w:rPr>
          <w:rFonts w:cs="Arial"/>
        </w:rPr>
        <w:t>Overview</w:t>
      </w:r>
      <w:bookmarkEnd w:id="484"/>
      <w:bookmarkEnd w:id="485"/>
    </w:p>
    <w:p w14:paraId="6E5B0BA3" w14:textId="77777777" w:rsidR="00A50E7D" w:rsidRPr="005D74D1" w:rsidRDefault="00C03550" w:rsidP="00C03550">
      <w:pPr>
        <w:pStyle w:val="BodyText"/>
        <w:rPr>
          <w:rFonts w:cs="Arial"/>
        </w:rPr>
      </w:pPr>
      <w:r w:rsidRPr="005D74D1">
        <w:rPr>
          <w:rFonts w:cs="Arial"/>
        </w:rPr>
        <w:t xml:space="preserve">The effectiveness of EC5 implementation to the </w:t>
      </w:r>
      <w:r w:rsidR="00015B66" w:rsidRPr="005D74D1">
        <w:rPr>
          <w:rFonts w:cs="Arial"/>
        </w:rPr>
        <w:t>E</w:t>
      </w:r>
      <w:r w:rsidRPr="005D74D1">
        <w:rPr>
          <w:rFonts w:cs="Arial"/>
        </w:rPr>
        <w:t>nd</w:t>
      </w:r>
      <w:r w:rsidR="00EF5CDD" w:rsidRPr="005D74D1">
        <w:rPr>
          <w:rFonts w:cs="Arial"/>
        </w:rPr>
        <w:t>-</w:t>
      </w:r>
      <w:r w:rsidRPr="005D74D1">
        <w:rPr>
          <w:rFonts w:cs="Arial"/>
        </w:rPr>
        <w:t>of</w:t>
      </w:r>
      <w:r w:rsidR="00EF5CDD" w:rsidRPr="005D74D1">
        <w:rPr>
          <w:rFonts w:cs="Arial"/>
        </w:rPr>
        <w:t>-</w:t>
      </w:r>
      <w:r w:rsidR="00015B66" w:rsidRPr="005D74D1">
        <w:rPr>
          <w:rFonts w:cs="Arial"/>
        </w:rPr>
        <w:t>T</w:t>
      </w:r>
      <w:r w:rsidRPr="005D74D1">
        <w:rPr>
          <w:rFonts w:cs="Arial"/>
        </w:rPr>
        <w:t xml:space="preserve">ranche </w:t>
      </w:r>
      <w:r w:rsidR="002075C2" w:rsidRPr="005D74D1">
        <w:rPr>
          <w:rFonts w:cs="Arial"/>
        </w:rPr>
        <w:t>was</w:t>
      </w:r>
      <w:r w:rsidRPr="005D74D1">
        <w:rPr>
          <w:rFonts w:cs="Arial"/>
        </w:rPr>
        <w:t xml:space="preserve"> assessed </w:t>
      </w:r>
      <w:r w:rsidR="000D22FF" w:rsidRPr="005D74D1">
        <w:rPr>
          <w:rFonts w:cs="Arial"/>
        </w:rPr>
        <w:t xml:space="preserve">through </w:t>
      </w:r>
      <w:r w:rsidR="00373A7A" w:rsidRPr="005D74D1">
        <w:rPr>
          <w:rFonts w:cs="Arial"/>
        </w:rPr>
        <w:t>the following</w:t>
      </w:r>
      <w:r w:rsidR="000D22FF" w:rsidRPr="005D74D1">
        <w:rPr>
          <w:rFonts w:cs="Arial"/>
        </w:rPr>
        <w:t xml:space="preserve"> </w:t>
      </w:r>
      <w:r w:rsidR="00D055B7" w:rsidRPr="005D74D1">
        <w:rPr>
          <w:rFonts w:cs="Arial"/>
        </w:rPr>
        <w:t>KEQs</w:t>
      </w:r>
      <w:r w:rsidRPr="005D74D1">
        <w:rPr>
          <w:rFonts w:cs="Arial"/>
        </w:rPr>
        <w:t>:</w:t>
      </w:r>
    </w:p>
    <w:p w14:paraId="2B76ED16" w14:textId="77777777" w:rsidR="00A50E7D" w:rsidRPr="005D74D1" w:rsidRDefault="00490D95" w:rsidP="00155026">
      <w:pPr>
        <w:pStyle w:val="BulletLevel1"/>
        <w:rPr>
          <w:rFonts w:cs="Arial"/>
          <w:lang w:val="en-AU"/>
        </w:rPr>
      </w:pPr>
      <w:r w:rsidRPr="005D74D1">
        <w:rPr>
          <w:rFonts w:cs="Arial"/>
          <w:lang w:val="en-AU"/>
        </w:rPr>
        <w:t>What worked well and did not work well about the way EC5 was delivered?</w:t>
      </w:r>
    </w:p>
    <w:p w14:paraId="558345CD" w14:textId="1307C0AA" w:rsidR="00490D95" w:rsidRPr="005D74D1" w:rsidRDefault="00490D95" w:rsidP="00155026">
      <w:pPr>
        <w:pStyle w:val="BulletLevel1"/>
        <w:rPr>
          <w:rFonts w:cs="Arial"/>
          <w:lang w:val="en-AU"/>
        </w:rPr>
      </w:pPr>
      <w:r w:rsidRPr="005D74D1">
        <w:rPr>
          <w:rFonts w:cs="Arial"/>
          <w:lang w:val="en-AU"/>
        </w:rPr>
        <w:t>To what extent did funding support the adaptation of projects in response to changing contexts</w:t>
      </w:r>
      <w:r w:rsidR="00D029A0" w:rsidRPr="005D74D1">
        <w:rPr>
          <w:rFonts w:cs="Arial"/>
          <w:lang w:val="en-AU"/>
        </w:rPr>
        <w:t xml:space="preserve"> / circumstances</w:t>
      </w:r>
      <w:r w:rsidRPr="005D74D1">
        <w:rPr>
          <w:rFonts w:cs="Arial"/>
          <w:lang w:val="en-AU"/>
        </w:rPr>
        <w:t>? (</w:t>
      </w:r>
      <w:r w:rsidR="00C33843" w:rsidRPr="005D74D1">
        <w:rPr>
          <w:rFonts w:cs="Arial"/>
          <w:lang w:val="en-AU"/>
        </w:rPr>
        <w:t>for example,</w:t>
      </w:r>
      <w:r w:rsidRPr="005D74D1">
        <w:rPr>
          <w:rFonts w:cs="Arial"/>
          <w:lang w:val="en-AU"/>
        </w:rPr>
        <w:t xml:space="preserve"> COVID</w:t>
      </w:r>
      <w:r w:rsidR="00566AA6" w:rsidRPr="005D74D1">
        <w:rPr>
          <w:rFonts w:cs="Arial"/>
          <w:lang w:val="en-AU"/>
        </w:rPr>
        <w:t>-19 pandemic</w:t>
      </w:r>
      <w:r w:rsidRPr="005D74D1">
        <w:rPr>
          <w:rFonts w:cs="Arial"/>
          <w:lang w:val="en-AU"/>
        </w:rPr>
        <w:t>, floods, bushfire)</w:t>
      </w:r>
    </w:p>
    <w:p w14:paraId="2819B55F" w14:textId="77777777" w:rsidR="00490D95" w:rsidRPr="005D74D1" w:rsidRDefault="00490D95" w:rsidP="00155026">
      <w:pPr>
        <w:pStyle w:val="BulletLevel1"/>
        <w:rPr>
          <w:rFonts w:cs="Arial"/>
          <w:lang w:val="en-AU"/>
        </w:rPr>
      </w:pPr>
      <w:r w:rsidRPr="005D74D1">
        <w:rPr>
          <w:rFonts w:cs="Arial"/>
          <w:lang w:val="en-AU"/>
        </w:rPr>
        <w:t>To what extent did projects develop and work in partnership with other parts of government, other organisations, and community?</w:t>
      </w:r>
    </w:p>
    <w:p w14:paraId="4E1D71F2" w14:textId="77777777" w:rsidR="00A50E7D" w:rsidRPr="005D74D1" w:rsidRDefault="00C03550" w:rsidP="00C03550">
      <w:pPr>
        <w:pStyle w:val="BodyText"/>
        <w:rPr>
          <w:rFonts w:cs="Arial"/>
        </w:rPr>
      </w:pPr>
      <w:r w:rsidRPr="005D74D1">
        <w:rPr>
          <w:rFonts w:cs="Arial"/>
        </w:rPr>
        <w:t xml:space="preserve">The findings for each of these are discussed in the sections below. The key sources of information in this analysis were the </w:t>
      </w:r>
      <w:r w:rsidR="00856D03" w:rsidRPr="005D74D1">
        <w:rPr>
          <w:rFonts w:cs="Arial"/>
        </w:rPr>
        <w:t>project</w:t>
      </w:r>
      <w:r w:rsidRPr="005D74D1">
        <w:rPr>
          <w:rFonts w:cs="Arial"/>
        </w:rPr>
        <w:t xml:space="preserve"> evaluation reports, </w:t>
      </w:r>
      <w:r w:rsidR="00373A7A" w:rsidRPr="005D74D1">
        <w:rPr>
          <w:rFonts w:cs="Arial"/>
        </w:rPr>
        <w:t xml:space="preserve">in which </w:t>
      </w:r>
      <w:r w:rsidR="00856D03" w:rsidRPr="005D74D1">
        <w:rPr>
          <w:rFonts w:cs="Arial"/>
        </w:rPr>
        <w:t>project</w:t>
      </w:r>
      <w:r w:rsidR="00373A7A" w:rsidRPr="005D74D1">
        <w:rPr>
          <w:rFonts w:cs="Arial"/>
        </w:rPr>
        <w:t xml:space="preserve"> leads reported on effectiveness </w:t>
      </w:r>
      <w:r w:rsidR="00373A7A" w:rsidRPr="005D74D1">
        <w:rPr>
          <w:rFonts w:cs="Arial"/>
        </w:rPr>
        <w:lastRenderedPageBreak/>
        <w:t xml:space="preserve">of their </w:t>
      </w:r>
      <w:r w:rsidR="00856D03" w:rsidRPr="005D74D1">
        <w:rPr>
          <w:rFonts w:cs="Arial"/>
        </w:rPr>
        <w:t>project</w:t>
      </w:r>
      <w:r w:rsidR="00475F32" w:rsidRPr="005D74D1">
        <w:rPr>
          <w:rFonts w:cs="Arial"/>
        </w:rPr>
        <w:t>s</w:t>
      </w:r>
      <w:r w:rsidRPr="005D74D1">
        <w:rPr>
          <w:rFonts w:cs="Arial"/>
        </w:rPr>
        <w:t xml:space="preserve">. </w:t>
      </w:r>
      <w:r w:rsidR="00C653CA" w:rsidRPr="005D74D1">
        <w:rPr>
          <w:rFonts w:cs="Arial"/>
        </w:rPr>
        <w:t>I</w:t>
      </w:r>
      <w:r w:rsidRPr="005D74D1">
        <w:rPr>
          <w:rFonts w:cs="Arial"/>
        </w:rPr>
        <w:t>nterviews with select</w:t>
      </w:r>
      <w:r w:rsidR="00104ADE" w:rsidRPr="005D74D1">
        <w:rPr>
          <w:rFonts w:cs="Arial"/>
        </w:rPr>
        <w:t>ed</w:t>
      </w:r>
      <w:r w:rsidRPr="005D74D1">
        <w:rPr>
          <w:rFonts w:cs="Arial"/>
        </w:rPr>
        <w:t xml:space="preserve"> </w:t>
      </w:r>
      <w:r w:rsidR="00856D03" w:rsidRPr="005D74D1">
        <w:rPr>
          <w:rFonts w:cs="Arial"/>
        </w:rPr>
        <w:t>project</w:t>
      </w:r>
      <w:r w:rsidRPr="005D74D1">
        <w:rPr>
          <w:rFonts w:cs="Arial"/>
        </w:rPr>
        <w:t xml:space="preserve"> teams and DEECA leadership provided </w:t>
      </w:r>
      <w:r w:rsidR="006E59FB" w:rsidRPr="005D74D1">
        <w:rPr>
          <w:rFonts w:cs="Arial"/>
        </w:rPr>
        <w:t>further</w:t>
      </w:r>
      <w:r w:rsidR="00FC4E10" w:rsidRPr="005D74D1">
        <w:rPr>
          <w:rFonts w:cs="Arial"/>
        </w:rPr>
        <w:t> </w:t>
      </w:r>
      <w:r w:rsidRPr="005D74D1">
        <w:rPr>
          <w:rFonts w:cs="Arial"/>
        </w:rPr>
        <w:t>insights.</w:t>
      </w:r>
    </w:p>
    <w:p w14:paraId="5FBAB6CD" w14:textId="6AB21D5D" w:rsidR="00A45CE9" w:rsidRPr="005D74D1" w:rsidRDefault="00A45CE9" w:rsidP="003F2B2B">
      <w:pPr>
        <w:pStyle w:val="Heading2"/>
        <w:rPr>
          <w:rFonts w:cs="Arial"/>
        </w:rPr>
      </w:pPr>
      <w:bookmarkStart w:id="486" w:name="_Toc147329346"/>
      <w:bookmarkStart w:id="487" w:name="_Toc183777377"/>
      <w:r w:rsidRPr="005D74D1">
        <w:rPr>
          <w:rFonts w:cs="Arial"/>
        </w:rPr>
        <w:t>What worked well and did not work well about the way EC5 was delivered?</w:t>
      </w:r>
      <w:bookmarkEnd w:id="486"/>
      <w:bookmarkEnd w:id="487"/>
    </w:p>
    <w:p w14:paraId="2F80BE14" w14:textId="4205DB26" w:rsidR="00027EC0" w:rsidRPr="005D74D1" w:rsidRDefault="000C036E" w:rsidP="00082B5C">
      <w:pPr>
        <w:pStyle w:val="BodyText"/>
        <w:rPr>
          <w:rFonts w:cs="Arial"/>
        </w:rPr>
      </w:pPr>
      <w:r w:rsidRPr="005D74D1">
        <w:rPr>
          <w:rFonts w:cs="Arial"/>
        </w:rPr>
        <w:t xml:space="preserve">The </w:t>
      </w:r>
      <w:r w:rsidR="009C1221" w:rsidRPr="005D74D1">
        <w:rPr>
          <w:rFonts w:cs="Arial"/>
        </w:rPr>
        <w:t xml:space="preserve">DEECA leadership and </w:t>
      </w:r>
      <w:r w:rsidR="00856D03" w:rsidRPr="005D74D1">
        <w:rPr>
          <w:rFonts w:cs="Arial"/>
        </w:rPr>
        <w:t>project</w:t>
      </w:r>
      <w:r w:rsidR="009C1221" w:rsidRPr="005D74D1">
        <w:rPr>
          <w:rFonts w:cs="Arial"/>
        </w:rPr>
        <w:t xml:space="preserve"> leads reported that EC5 </w:t>
      </w:r>
      <w:r w:rsidR="00856D03" w:rsidRPr="005D74D1">
        <w:rPr>
          <w:rFonts w:cs="Arial"/>
        </w:rPr>
        <w:t>project</w:t>
      </w:r>
      <w:r w:rsidRPr="005D74D1">
        <w:rPr>
          <w:rFonts w:cs="Arial"/>
        </w:rPr>
        <w:t>s were delivered effectively</w:t>
      </w:r>
      <w:r w:rsidR="009C1221" w:rsidRPr="005D74D1">
        <w:rPr>
          <w:rFonts w:cs="Arial"/>
        </w:rPr>
        <w:t xml:space="preserve">. </w:t>
      </w:r>
      <w:r w:rsidR="00BE61EC" w:rsidRPr="005D74D1">
        <w:rPr>
          <w:rFonts w:cs="Arial"/>
        </w:rPr>
        <w:t>Almost all (</w:t>
      </w:r>
      <w:r w:rsidR="00082B5C" w:rsidRPr="005D74D1">
        <w:rPr>
          <w:rFonts w:cs="Arial"/>
        </w:rPr>
        <w:t>89%</w:t>
      </w:r>
      <w:r w:rsidR="00BE61EC" w:rsidRPr="005D74D1">
        <w:rPr>
          <w:rFonts w:cs="Arial"/>
        </w:rPr>
        <w:t>)</w:t>
      </w:r>
      <w:r w:rsidR="00082B5C" w:rsidRPr="005D74D1">
        <w:rPr>
          <w:rFonts w:cs="Arial"/>
        </w:rPr>
        <w:t xml:space="preserve"> of </w:t>
      </w:r>
      <w:r w:rsidR="00856D03" w:rsidRPr="005D74D1">
        <w:rPr>
          <w:rFonts w:cs="Arial"/>
        </w:rPr>
        <w:t>project</w:t>
      </w:r>
      <w:r w:rsidR="009C1221" w:rsidRPr="005D74D1">
        <w:rPr>
          <w:rFonts w:cs="Arial"/>
        </w:rPr>
        <w:t xml:space="preserve"> evaluation</w:t>
      </w:r>
      <w:r w:rsidR="005A644B" w:rsidRPr="005D74D1">
        <w:rPr>
          <w:rFonts w:cs="Arial"/>
        </w:rPr>
        <w:t>s</w:t>
      </w:r>
      <w:r w:rsidR="00082B5C" w:rsidRPr="005D74D1">
        <w:rPr>
          <w:rFonts w:cs="Arial"/>
        </w:rPr>
        <w:t xml:space="preserve"> report</w:t>
      </w:r>
      <w:r w:rsidR="009C1221" w:rsidRPr="005D74D1">
        <w:rPr>
          <w:rFonts w:cs="Arial"/>
        </w:rPr>
        <w:t>ed</w:t>
      </w:r>
      <w:r w:rsidR="00082B5C" w:rsidRPr="005D74D1">
        <w:rPr>
          <w:rFonts w:cs="Arial"/>
        </w:rPr>
        <w:t xml:space="preserve"> </w:t>
      </w:r>
      <w:r w:rsidR="003E6A3D" w:rsidRPr="005D74D1">
        <w:rPr>
          <w:rFonts w:cs="Arial"/>
        </w:rPr>
        <w:t xml:space="preserve">that the </w:t>
      </w:r>
      <w:r w:rsidR="00856D03" w:rsidRPr="005D74D1">
        <w:rPr>
          <w:rFonts w:cs="Arial"/>
        </w:rPr>
        <w:t>project</w:t>
      </w:r>
      <w:r w:rsidR="003E6A3D" w:rsidRPr="005D74D1">
        <w:rPr>
          <w:rFonts w:cs="Arial"/>
        </w:rPr>
        <w:t xml:space="preserve"> management and delivery arrangements supported effective and efficient delivery</w:t>
      </w:r>
      <w:r w:rsidR="00104ADE" w:rsidRPr="005D74D1">
        <w:rPr>
          <w:rFonts w:cs="Arial"/>
        </w:rPr>
        <w:t>. K</w:t>
      </w:r>
      <w:r w:rsidR="005A644B" w:rsidRPr="005D74D1">
        <w:rPr>
          <w:rFonts w:cs="Arial"/>
        </w:rPr>
        <w:t xml:space="preserve">ey themes </w:t>
      </w:r>
      <w:r w:rsidR="00104ADE" w:rsidRPr="005D74D1">
        <w:rPr>
          <w:rFonts w:cs="Arial"/>
        </w:rPr>
        <w:t xml:space="preserve">are </w:t>
      </w:r>
      <w:r w:rsidR="005A644B" w:rsidRPr="005D74D1">
        <w:rPr>
          <w:rFonts w:cs="Arial"/>
        </w:rPr>
        <w:t xml:space="preserve">summarised </w:t>
      </w:r>
      <w:r w:rsidR="00C24C75" w:rsidRPr="005D74D1">
        <w:rPr>
          <w:rFonts w:cs="Arial"/>
        </w:rPr>
        <w:t xml:space="preserve">in </w:t>
      </w:r>
      <w:r w:rsidR="003F2630" w:rsidRPr="00A134A7">
        <w:rPr>
          <w:rFonts w:cs="Arial"/>
        </w:rPr>
        <w:fldChar w:fldCharType="begin"/>
      </w:r>
      <w:r w:rsidR="003F2630" w:rsidRPr="005D74D1">
        <w:rPr>
          <w:rFonts w:cs="Arial"/>
        </w:rPr>
        <w:instrText xml:space="preserve"> REF _Ref147408195 \h </w:instrText>
      </w:r>
      <w:r w:rsidR="005D74D1" w:rsidRPr="005D74D1">
        <w:rPr>
          <w:rFonts w:cs="Arial"/>
        </w:rPr>
        <w:instrText xml:space="preserve"> \* MERGEFORMAT </w:instrText>
      </w:r>
      <w:r w:rsidR="003F2630" w:rsidRPr="00A134A7">
        <w:rPr>
          <w:rFonts w:cs="Arial"/>
        </w:rPr>
      </w:r>
      <w:r w:rsidR="003F2630" w:rsidRPr="00A134A7">
        <w:rPr>
          <w:rFonts w:cs="Arial"/>
        </w:rPr>
        <w:fldChar w:fldCharType="separate"/>
      </w:r>
      <w:r w:rsidR="003870A0" w:rsidRPr="005D74D1">
        <w:rPr>
          <w:rFonts w:cs="Arial"/>
        </w:rPr>
        <w:t>Table </w:t>
      </w:r>
      <w:r w:rsidR="003870A0">
        <w:rPr>
          <w:rFonts w:cs="Arial"/>
        </w:rPr>
        <w:t>8</w:t>
      </w:r>
      <w:r w:rsidR="003F2630" w:rsidRPr="00A134A7">
        <w:rPr>
          <w:rFonts w:cs="Arial"/>
        </w:rPr>
        <w:fldChar w:fldCharType="end"/>
      </w:r>
      <w:r w:rsidR="00C24C75" w:rsidRPr="005D74D1">
        <w:rPr>
          <w:rFonts w:cs="Arial"/>
        </w:rPr>
        <w:t>.</w:t>
      </w:r>
    </w:p>
    <w:p w14:paraId="3187EF44" w14:textId="4F6FA29A" w:rsidR="00075D0A" w:rsidRPr="005D74D1" w:rsidRDefault="00386D46" w:rsidP="00312C92">
      <w:pPr>
        <w:pStyle w:val="TableCaption"/>
        <w:rPr>
          <w:rFonts w:cs="Arial"/>
        </w:rPr>
      </w:pPr>
      <w:bookmarkStart w:id="488" w:name="_Ref147408195"/>
      <w:bookmarkStart w:id="489" w:name="_Toc184904995"/>
      <w:r w:rsidRPr="005D74D1">
        <w:rPr>
          <w:rFonts w:cs="Arial"/>
        </w:rPr>
        <w:t>Table </w:t>
      </w:r>
      <w:r w:rsidRPr="00A134A7">
        <w:rPr>
          <w:rFonts w:cs="Arial"/>
        </w:rPr>
        <w:fldChar w:fldCharType="begin"/>
      </w:r>
      <w:r w:rsidRPr="005D74D1">
        <w:rPr>
          <w:rFonts w:cs="Arial"/>
        </w:rPr>
        <w:instrText>SEQ Table \* ARABIC</w:instrText>
      </w:r>
      <w:r w:rsidRPr="00A134A7">
        <w:rPr>
          <w:rFonts w:cs="Arial"/>
        </w:rPr>
        <w:fldChar w:fldCharType="separate"/>
      </w:r>
      <w:r w:rsidR="003870A0">
        <w:rPr>
          <w:rFonts w:cs="Arial"/>
          <w:noProof/>
        </w:rPr>
        <w:t>8</w:t>
      </w:r>
      <w:r w:rsidRPr="00A134A7">
        <w:rPr>
          <w:rFonts w:cs="Arial"/>
        </w:rPr>
        <w:fldChar w:fldCharType="end"/>
      </w:r>
      <w:bookmarkEnd w:id="488"/>
      <w:r w:rsidRPr="005D74D1">
        <w:rPr>
          <w:rFonts w:cs="Arial"/>
        </w:rPr>
        <w:t xml:space="preserve">. </w:t>
      </w:r>
      <w:r w:rsidR="00C866C6" w:rsidRPr="005D74D1">
        <w:rPr>
          <w:rFonts w:cs="Arial"/>
        </w:rPr>
        <w:t>Summary of what worked well and key areas for improvement for delivery of EC5</w:t>
      </w:r>
      <w:bookmarkEnd w:id="489"/>
    </w:p>
    <w:tbl>
      <w:tblPr>
        <w:tblStyle w:val="TableGridLight"/>
        <w:tblW w:w="5000" w:type="pct"/>
        <w:tblBorders>
          <w:top w:val="single" w:sz="4" w:space="0" w:color="231EDC" w:themeColor="accent1"/>
          <w:left w:val="single" w:sz="4" w:space="0" w:color="231EDC" w:themeColor="accent1"/>
          <w:bottom w:val="single" w:sz="4" w:space="0" w:color="231EDC" w:themeColor="accent1"/>
          <w:right w:val="single" w:sz="4" w:space="0" w:color="231EDC" w:themeColor="accent1"/>
          <w:insideH w:val="single" w:sz="4" w:space="0" w:color="231EDC" w:themeColor="accent1"/>
          <w:insideV w:val="single" w:sz="4" w:space="0" w:color="231EDC" w:themeColor="accent1"/>
        </w:tblBorders>
        <w:tblLook w:val="04A0" w:firstRow="1" w:lastRow="0" w:firstColumn="1" w:lastColumn="0" w:noHBand="0" w:noVBand="1"/>
      </w:tblPr>
      <w:tblGrid>
        <w:gridCol w:w="1525"/>
        <w:gridCol w:w="3420"/>
        <w:gridCol w:w="4683"/>
      </w:tblGrid>
      <w:tr w:rsidR="00075D0A" w:rsidRPr="005D74D1" w14:paraId="3CE471CA" w14:textId="77777777" w:rsidTr="004969BD">
        <w:trPr>
          <w:tblHeader/>
        </w:trPr>
        <w:tc>
          <w:tcPr>
            <w:tcW w:w="792" w:type="pct"/>
            <w:shd w:val="clear" w:color="auto" w:fill="231EDC" w:themeFill="accent1"/>
          </w:tcPr>
          <w:p w14:paraId="6806ED07" w14:textId="57270D94" w:rsidR="00075D0A" w:rsidRPr="005D74D1" w:rsidRDefault="00075D0A" w:rsidP="00155026">
            <w:pPr>
              <w:pStyle w:val="TableHeadingWhite"/>
              <w:rPr>
                <w:rFonts w:cs="Arial"/>
                <w:lang w:val="en-AU"/>
              </w:rPr>
            </w:pPr>
            <w:r w:rsidRPr="005D74D1">
              <w:rPr>
                <w:rFonts w:cs="Arial"/>
              </w:rPr>
              <w:t>Key theme</w:t>
            </w:r>
          </w:p>
        </w:tc>
        <w:tc>
          <w:tcPr>
            <w:tcW w:w="1776" w:type="pct"/>
            <w:shd w:val="clear" w:color="auto" w:fill="231EDC" w:themeFill="accent1"/>
          </w:tcPr>
          <w:p w14:paraId="6CC002D4" w14:textId="08BB69A0" w:rsidR="00075D0A" w:rsidRPr="005D74D1" w:rsidRDefault="00075D0A" w:rsidP="00155026">
            <w:pPr>
              <w:pStyle w:val="TableHeadingWhite"/>
              <w:rPr>
                <w:rFonts w:cs="Arial"/>
                <w:lang w:val="en-AU"/>
              </w:rPr>
            </w:pPr>
            <w:r w:rsidRPr="005D74D1">
              <w:rPr>
                <w:rFonts w:cs="Arial"/>
              </w:rPr>
              <w:t>What worked well</w:t>
            </w:r>
          </w:p>
        </w:tc>
        <w:tc>
          <w:tcPr>
            <w:tcW w:w="2432" w:type="pct"/>
            <w:shd w:val="clear" w:color="auto" w:fill="231EDC" w:themeFill="accent1"/>
          </w:tcPr>
          <w:p w14:paraId="1D395E54" w14:textId="2ADEDEC4" w:rsidR="00075D0A" w:rsidRPr="005D74D1" w:rsidRDefault="003D3947" w:rsidP="00155026">
            <w:pPr>
              <w:pStyle w:val="TableHeadingWhite"/>
              <w:rPr>
                <w:rFonts w:cs="Arial"/>
                <w:lang w:val="en-AU"/>
              </w:rPr>
            </w:pPr>
            <w:r w:rsidRPr="005D74D1">
              <w:rPr>
                <w:rFonts w:cs="Arial"/>
              </w:rPr>
              <w:t>Areas for improvement</w:t>
            </w:r>
          </w:p>
        </w:tc>
      </w:tr>
      <w:tr w:rsidR="00075D0A" w:rsidRPr="005D74D1" w14:paraId="2DB71FEC" w14:textId="77777777" w:rsidTr="004969BD">
        <w:tc>
          <w:tcPr>
            <w:tcW w:w="792" w:type="pct"/>
            <w:vAlign w:val="center"/>
          </w:tcPr>
          <w:p w14:paraId="22EE31D8" w14:textId="3673DE95" w:rsidR="00075D0A" w:rsidRPr="005D74D1" w:rsidRDefault="00075D0A" w:rsidP="004969BD">
            <w:pPr>
              <w:pStyle w:val="TableText"/>
              <w:rPr>
                <w:rFonts w:cs="Arial"/>
                <w:bCs/>
                <w:lang w:val="en-AU"/>
              </w:rPr>
            </w:pPr>
            <w:r w:rsidRPr="005D74D1">
              <w:rPr>
                <w:rFonts w:cs="Arial"/>
                <w:bCs/>
              </w:rPr>
              <w:t xml:space="preserve">Reporting and governance arrangements </w:t>
            </w:r>
          </w:p>
        </w:tc>
        <w:tc>
          <w:tcPr>
            <w:tcW w:w="1776" w:type="pct"/>
            <w:vAlign w:val="center"/>
          </w:tcPr>
          <w:p w14:paraId="67DB2581" w14:textId="77777777" w:rsidR="00075D0A" w:rsidRPr="00A134A7" w:rsidRDefault="3338081F" w:rsidP="004969BD">
            <w:pPr>
              <w:pStyle w:val="TableBullet"/>
              <w:rPr>
                <w:rFonts w:cs="Arial"/>
                <w:lang w:val="en-AU"/>
              </w:rPr>
            </w:pPr>
            <w:r w:rsidRPr="00A134A7">
              <w:rPr>
                <w:rFonts w:cs="Arial"/>
                <w:lang w:val="en-AU"/>
              </w:rPr>
              <w:t>Projects consistently included the establishment of working groups, steering committees, communities of practice and forums which provided systematic and inclusive project management. In many cases these arrangements were codesigned with DEECA and partners and these worked well to streamline administrative requirements.</w:t>
            </w:r>
          </w:p>
          <w:p w14:paraId="26FAEEAE" w14:textId="6518F5C4" w:rsidR="00FA1B18" w:rsidRPr="00A134A7" w:rsidRDefault="3338081F" w:rsidP="004969BD">
            <w:pPr>
              <w:pStyle w:val="TableBullet"/>
              <w:rPr>
                <w:rFonts w:cs="Arial"/>
                <w:lang w:val="en-AU"/>
              </w:rPr>
            </w:pPr>
            <w:r w:rsidRPr="00A134A7">
              <w:rPr>
                <w:rFonts w:cs="Arial"/>
                <w:lang w:val="en-AU"/>
              </w:rPr>
              <w:t>The annual work program process and a high level of accountability to the EC P</w:t>
            </w:r>
            <w:r w:rsidR="009342F4" w:rsidRPr="00A134A7">
              <w:rPr>
                <w:rFonts w:cs="Arial"/>
                <w:lang w:val="en-AU"/>
              </w:rPr>
              <w:t xml:space="preserve">roject </w:t>
            </w:r>
            <w:r w:rsidRPr="00A134A7">
              <w:rPr>
                <w:rFonts w:cs="Arial"/>
                <w:lang w:val="en-AU"/>
              </w:rPr>
              <w:t>C</w:t>
            </w:r>
            <w:r w:rsidR="009342F4" w:rsidRPr="00A134A7">
              <w:rPr>
                <w:rFonts w:cs="Arial"/>
                <w:lang w:val="en-AU"/>
              </w:rPr>
              <w:t xml:space="preserve">ontrol </w:t>
            </w:r>
            <w:r w:rsidRPr="00A134A7">
              <w:rPr>
                <w:rFonts w:cs="Arial"/>
                <w:lang w:val="en-AU"/>
              </w:rPr>
              <w:t>B</w:t>
            </w:r>
            <w:r w:rsidR="009342F4" w:rsidRPr="00A134A7">
              <w:rPr>
                <w:rFonts w:cs="Arial"/>
                <w:lang w:val="en-AU"/>
              </w:rPr>
              <w:t>oard</w:t>
            </w:r>
            <w:r w:rsidRPr="00A134A7">
              <w:rPr>
                <w:rFonts w:cs="Arial"/>
                <w:lang w:val="en-AU"/>
              </w:rPr>
              <w:t xml:space="preserve"> and to the Minister supported appropriate planning, reporting, transparency and change management.</w:t>
            </w:r>
          </w:p>
        </w:tc>
        <w:tc>
          <w:tcPr>
            <w:tcW w:w="2432" w:type="pct"/>
          </w:tcPr>
          <w:p w14:paraId="7467A32B" w14:textId="77777777" w:rsidR="00075D0A" w:rsidRPr="00A134A7" w:rsidRDefault="00075D0A" w:rsidP="00FC4E10">
            <w:pPr>
              <w:pStyle w:val="TableText"/>
              <w:rPr>
                <w:rFonts w:cs="Arial"/>
                <w:lang w:val="en-AU"/>
              </w:rPr>
            </w:pPr>
            <w:r w:rsidRPr="005D74D1">
              <w:rPr>
                <w:rFonts w:cs="Arial"/>
              </w:rPr>
              <w:t>DEECA leadership discussed the potential to further streamline the EC bid process, reporting frameworks, and evaluation process, through:</w:t>
            </w:r>
          </w:p>
          <w:p w14:paraId="46EBB137" w14:textId="376BA649" w:rsidR="00075D0A" w:rsidRPr="00A134A7" w:rsidRDefault="00B04DBB" w:rsidP="00FC4E10">
            <w:pPr>
              <w:pStyle w:val="TableBullet"/>
              <w:rPr>
                <w:rFonts w:cs="Arial"/>
                <w:lang w:val="en-AU"/>
              </w:rPr>
            </w:pPr>
            <w:r w:rsidRPr="00A134A7">
              <w:rPr>
                <w:rFonts w:cs="Arial"/>
                <w:lang w:val="en-AU"/>
              </w:rPr>
              <w:t xml:space="preserve">better </w:t>
            </w:r>
            <w:r w:rsidR="00075D0A" w:rsidRPr="00A134A7">
              <w:rPr>
                <w:rFonts w:cs="Arial"/>
                <w:lang w:val="en-AU"/>
              </w:rPr>
              <w:t>links between regular reporting and evaluation reporting, to reduce overall level of effort required, and to enable teams to spend a higher proportion of time on</w:t>
            </w:r>
            <w:r w:rsidR="00FC4E10" w:rsidRPr="00A134A7">
              <w:rPr>
                <w:rFonts w:cs="Arial"/>
                <w:lang w:val="en-AU"/>
              </w:rPr>
              <w:t> </w:t>
            </w:r>
            <w:r w:rsidR="00075D0A" w:rsidRPr="00A134A7">
              <w:rPr>
                <w:rFonts w:cs="Arial"/>
                <w:lang w:val="en-AU"/>
              </w:rPr>
              <w:t>delivery</w:t>
            </w:r>
          </w:p>
          <w:p w14:paraId="5AFA69EA" w14:textId="1E7184A3" w:rsidR="00075D0A" w:rsidRPr="00A134A7" w:rsidRDefault="00B04DBB" w:rsidP="00FC4E10">
            <w:pPr>
              <w:pStyle w:val="TableBullet"/>
              <w:rPr>
                <w:rFonts w:cs="Arial"/>
                <w:lang w:val="en-AU"/>
              </w:rPr>
            </w:pPr>
            <w:r w:rsidRPr="00A134A7">
              <w:rPr>
                <w:rFonts w:cs="Arial"/>
                <w:lang w:val="en-AU"/>
              </w:rPr>
              <w:t xml:space="preserve">streamlining </w:t>
            </w:r>
            <w:r w:rsidR="00075D0A" w:rsidRPr="00A134A7">
              <w:rPr>
                <w:rFonts w:cs="Arial"/>
                <w:lang w:val="en-AU"/>
              </w:rPr>
              <w:t xml:space="preserve">reporting between DEECA and </w:t>
            </w:r>
            <w:r w:rsidR="00C44C21" w:rsidRPr="00A134A7">
              <w:rPr>
                <w:rFonts w:cs="Arial"/>
                <w:lang w:val="en-AU"/>
              </w:rPr>
              <w:t>delivery partners</w:t>
            </w:r>
            <w:r w:rsidR="00D2661D" w:rsidRPr="00A134A7">
              <w:rPr>
                <w:rFonts w:cs="Arial"/>
                <w:lang w:val="en-AU"/>
              </w:rPr>
              <w:t xml:space="preserve"> </w:t>
            </w:r>
            <w:r w:rsidR="00075D0A" w:rsidRPr="00A134A7">
              <w:rPr>
                <w:rFonts w:cs="Arial"/>
                <w:lang w:val="en-AU"/>
              </w:rPr>
              <w:t>to avoid additional workload</w:t>
            </w:r>
          </w:p>
          <w:p w14:paraId="03A3606E" w14:textId="65B8242D" w:rsidR="00290913" w:rsidRPr="00A134A7" w:rsidRDefault="00B04DBB" w:rsidP="00FC4E10">
            <w:pPr>
              <w:pStyle w:val="TableBullet"/>
              <w:rPr>
                <w:rFonts w:cs="Arial"/>
                <w:lang w:val="en-AU"/>
              </w:rPr>
            </w:pPr>
            <w:r w:rsidRPr="00A134A7">
              <w:rPr>
                <w:rFonts w:cs="Arial"/>
                <w:lang w:val="en-AU"/>
              </w:rPr>
              <w:t xml:space="preserve">ensuring </w:t>
            </w:r>
            <w:r w:rsidR="00075D0A" w:rsidRPr="00A134A7">
              <w:rPr>
                <w:rFonts w:cs="Arial"/>
                <w:lang w:val="en-AU"/>
              </w:rPr>
              <w:t>there are strong procedures and processes around programs, especially where money is granted to third parties.</w:t>
            </w:r>
            <w:r w:rsidR="00301E30" w:rsidRPr="00A134A7">
              <w:rPr>
                <w:rFonts w:cs="Arial"/>
                <w:lang w:val="en-AU"/>
              </w:rPr>
              <w:t xml:space="preserve"> </w:t>
            </w:r>
            <w:r w:rsidR="00FA1B18" w:rsidRPr="00A134A7">
              <w:rPr>
                <w:rFonts w:cs="Arial"/>
                <w:lang w:val="en-AU"/>
              </w:rPr>
              <w:t xml:space="preserve">While this is already working well for </w:t>
            </w:r>
            <w:r w:rsidR="00F41762" w:rsidRPr="00A134A7">
              <w:rPr>
                <w:rFonts w:cs="Arial"/>
                <w:lang w:val="en-AU"/>
              </w:rPr>
              <w:t>some projects, there is the opportunity to further develop i</w:t>
            </w:r>
            <w:r w:rsidR="00FA1B18" w:rsidRPr="00A134A7">
              <w:rPr>
                <w:rFonts w:cs="Arial"/>
                <w:lang w:val="en-AU"/>
              </w:rPr>
              <w:t>nclusive governance models that actively engage Traditional Owners, local governments</w:t>
            </w:r>
            <w:r w:rsidR="00D70AC6" w:rsidRPr="00A134A7">
              <w:rPr>
                <w:rFonts w:cs="Arial"/>
                <w:lang w:val="en-AU"/>
              </w:rPr>
              <w:t>,</w:t>
            </w:r>
            <w:r w:rsidR="00FA1B18" w:rsidRPr="00A134A7">
              <w:rPr>
                <w:rFonts w:cs="Arial"/>
                <w:lang w:val="en-AU"/>
              </w:rPr>
              <w:t xml:space="preserve"> community representatives</w:t>
            </w:r>
            <w:r w:rsidR="00810DFB" w:rsidRPr="00A134A7">
              <w:rPr>
                <w:rFonts w:cs="Arial"/>
                <w:lang w:val="en-AU"/>
              </w:rPr>
              <w:t>, and other sectors,</w:t>
            </w:r>
            <w:r w:rsidR="00FA1B18" w:rsidRPr="00A134A7">
              <w:rPr>
                <w:rFonts w:cs="Arial"/>
                <w:lang w:val="en-AU"/>
              </w:rPr>
              <w:t xml:space="preserve"> </w:t>
            </w:r>
            <w:r w:rsidR="00F41762" w:rsidRPr="00A134A7">
              <w:rPr>
                <w:rFonts w:cs="Arial"/>
                <w:lang w:val="en-AU"/>
              </w:rPr>
              <w:t xml:space="preserve">to </w:t>
            </w:r>
            <w:r w:rsidR="00FA1B18" w:rsidRPr="00A134A7">
              <w:rPr>
                <w:rFonts w:cs="Arial"/>
                <w:lang w:val="en-AU"/>
              </w:rPr>
              <w:t>strengthen trust and build long-term buy-in.</w:t>
            </w:r>
          </w:p>
        </w:tc>
      </w:tr>
      <w:tr w:rsidR="008E264C" w:rsidRPr="005D74D1" w14:paraId="70A21E3E" w14:textId="77777777" w:rsidTr="004969BD">
        <w:tc>
          <w:tcPr>
            <w:tcW w:w="792" w:type="pct"/>
            <w:vAlign w:val="center"/>
          </w:tcPr>
          <w:p w14:paraId="3073D0B2" w14:textId="5C174004" w:rsidR="00B91CCF" w:rsidRPr="00A134A7" w:rsidRDefault="00B91CCF" w:rsidP="004969BD">
            <w:pPr>
              <w:pStyle w:val="TableText"/>
              <w:rPr>
                <w:rFonts w:cs="Arial"/>
                <w:bCs/>
                <w:lang w:val="en-AU"/>
              </w:rPr>
            </w:pPr>
            <w:r w:rsidRPr="005D74D1">
              <w:rPr>
                <w:rFonts w:cs="Arial"/>
                <w:bCs/>
              </w:rPr>
              <w:t>Delivery and administration</w:t>
            </w:r>
          </w:p>
        </w:tc>
        <w:tc>
          <w:tcPr>
            <w:tcW w:w="1776" w:type="pct"/>
            <w:vAlign w:val="center"/>
          </w:tcPr>
          <w:p w14:paraId="32E14FFD" w14:textId="77777777" w:rsidR="00A50E7D" w:rsidRPr="00A134A7" w:rsidRDefault="00C11E68" w:rsidP="004969BD">
            <w:pPr>
              <w:pStyle w:val="TableBullet"/>
              <w:rPr>
                <w:rFonts w:cs="Arial"/>
                <w:lang w:val="en-AU"/>
              </w:rPr>
            </w:pPr>
            <w:r w:rsidRPr="00A134A7">
              <w:rPr>
                <w:rFonts w:cs="Arial"/>
                <w:lang w:val="en-AU"/>
              </w:rPr>
              <w:t xml:space="preserve">Some projects outlined that a flexible approach </w:t>
            </w:r>
            <w:r w:rsidR="00667359" w:rsidRPr="00A134A7">
              <w:rPr>
                <w:rFonts w:cs="Arial"/>
                <w:lang w:val="en-AU"/>
              </w:rPr>
              <w:t xml:space="preserve">which enabled priorities to shift </w:t>
            </w:r>
            <w:r w:rsidR="00593DA0" w:rsidRPr="00A134A7">
              <w:rPr>
                <w:rFonts w:cs="Arial"/>
                <w:lang w:val="en-AU"/>
              </w:rPr>
              <w:t xml:space="preserve">as changes occurred throughout the EC </w:t>
            </w:r>
            <w:r w:rsidRPr="00A134A7">
              <w:rPr>
                <w:rFonts w:cs="Arial"/>
                <w:lang w:val="en-AU"/>
              </w:rPr>
              <w:t>benefited delivery</w:t>
            </w:r>
            <w:r w:rsidR="00667359" w:rsidRPr="00A134A7">
              <w:rPr>
                <w:rFonts w:cs="Arial"/>
                <w:lang w:val="en-AU"/>
              </w:rPr>
              <w:t xml:space="preserve"> and the ability for the EC to address</w:t>
            </w:r>
            <w:r w:rsidRPr="00A134A7">
              <w:rPr>
                <w:rFonts w:cs="Arial"/>
                <w:lang w:val="en-AU"/>
              </w:rPr>
              <w:t xml:space="preserve"> community needs</w:t>
            </w:r>
            <w:r w:rsidR="00593DA0" w:rsidRPr="00A134A7">
              <w:rPr>
                <w:rFonts w:cs="Arial"/>
                <w:lang w:val="en-AU"/>
              </w:rPr>
              <w:t>.</w:t>
            </w:r>
          </w:p>
          <w:p w14:paraId="6765B5CA" w14:textId="77777777" w:rsidR="00A50E7D" w:rsidRPr="00A134A7" w:rsidRDefault="00E42212" w:rsidP="004969BD">
            <w:pPr>
              <w:pStyle w:val="TableBullet"/>
              <w:rPr>
                <w:rFonts w:cs="Arial"/>
                <w:lang w:val="en-AU"/>
              </w:rPr>
            </w:pPr>
            <w:r w:rsidRPr="00A134A7">
              <w:rPr>
                <w:rFonts w:cs="Arial"/>
                <w:lang w:val="en-AU"/>
              </w:rPr>
              <w:t xml:space="preserve">Project community of practices/reference groups </w:t>
            </w:r>
            <w:r w:rsidR="009F2435" w:rsidRPr="00A134A7">
              <w:rPr>
                <w:rFonts w:cs="Arial"/>
                <w:lang w:val="en-AU"/>
              </w:rPr>
              <w:t xml:space="preserve">were </w:t>
            </w:r>
            <w:r w:rsidRPr="00A134A7">
              <w:rPr>
                <w:rFonts w:cs="Arial"/>
                <w:lang w:val="en-AU"/>
              </w:rPr>
              <w:t>highly effective in driving improvement and identifying risks/solution</w:t>
            </w:r>
            <w:r w:rsidR="001708F4" w:rsidRPr="00A134A7">
              <w:rPr>
                <w:rFonts w:cs="Arial"/>
                <w:lang w:val="en-AU"/>
              </w:rPr>
              <w:t>s at the project level.</w:t>
            </w:r>
          </w:p>
          <w:p w14:paraId="661A0A11" w14:textId="11363396" w:rsidR="00FE2237" w:rsidRPr="00A134A7" w:rsidRDefault="00FE2237" w:rsidP="004969BD">
            <w:pPr>
              <w:pStyle w:val="TableBullet"/>
              <w:rPr>
                <w:rFonts w:cs="Arial"/>
                <w:lang w:val="en-AU"/>
              </w:rPr>
            </w:pPr>
            <w:r w:rsidRPr="00A134A7">
              <w:rPr>
                <w:rFonts w:cs="Arial"/>
                <w:lang w:val="en-AU"/>
              </w:rPr>
              <w:t xml:space="preserve">Online delivery </w:t>
            </w:r>
            <w:r w:rsidR="001068FC" w:rsidRPr="00A134A7">
              <w:rPr>
                <w:rFonts w:cs="Arial"/>
                <w:lang w:val="en-AU"/>
              </w:rPr>
              <w:t>(</w:t>
            </w:r>
            <w:r w:rsidR="003D47AD" w:rsidRPr="00A134A7">
              <w:rPr>
                <w:rFonts w:cs="Arial"/>
                <w:lang w:val="en-AU"/>
              </w:rPr>
              <w:t xml:space="preserve">e.g., </w:t>
            </w:r>
            <w:r w:rsidR="001068FC" w:rsidRPr="00A134A7">
              <w:rPr>
                <w:rFonts w:cs="Arial"/>
                <w:lang w:val="en-AU"/>
              </w:rPr>
              <w:t xml:space="preserve">webinars, </w:t>
            </w:r>
            <w:r w:rsidR="00201B9B" w:rsidRPr="00A134A7">
              <w:rPr>
                <w:rFonts w:cs="Arial"/>
                <w:lang w:val="en-AU"/>
              </w:rPr>
              <w:t>video meetings)</w:t>
            </w:r>
            <w:r w:rsidR="003D47AD" w:rsidRPr="00A134A7">
              <w:rPr>
                <w:rFonts w:cs="Arial"/>
                <w:lang w:val="en-AU"/>
              </w:rPr>
              <w:t>,</w:t>
            </w:r>
            <w:r w:rsidR="00201B9B" w:rsidRPr="00A134A7">
              <w:rPr>
                <w:rFonts w:cs="Arial"/>
                <w:lang w:val="en-AU"/>
              </w:rPr>
              <w:t xml:space="preserve"> </w:t>
            </w:r>
            <w:r w:rsidR="00FE6A05" w:rsidRPr="00A134A7">
              <w:rPr>
                <w:rFonts w:cs="Arial"/>
                <w:lang w:val="en-AU"/>
              </w:rPr>
              <w:t>in addition to in-person interactions</w:t>
            </w:r>
            <w:r w:rsidR="003D47AD" w:rsidRPr="00A134A7">
              <w:rPr>
                <w:rFonts w:cs="Arial"/>
                <w:lang w:val="en-AU"/>
              </w:rPr>
              <w:t>,</w:t>
            </w:r>
            <w:r w:rsidR="00FE6A05" w:rsidRPr="00A134A7">
              <w:rPr>
                <w:rFonts w:cs="Arial"/>
                <w:lang w:val="en-AU"/>
              </w:rPr>
              <w:t xml:space="preserve"> has increased the reach and efficiency of projects.</w:t>
            </w:r>
          </w:p>
        </w:tc>
        <w:tc>
          <w:tcPr>
            <w:tcW w:w="2432" w:type="pct"/>
          </w:tcPr>
          <w:p w14:paraId="1A16163A" w14:textId="77777777" w:rsidR="00A50E7D" w:rsidRPr="00A134A7" w:rsidRDefault="00B91CCF" w:rsidP="00301E30">
            <w:pPr>
              <w:pStyle w:val="TableBullet"/>
              <w:rPr>
                <w:rFonts w:cs="Arial"/>
                <w:lang w:val="en-AU"/>
              </w:rPr>
            </w:pPr>
            <w:r w:rsidRPr="00A134A7">
              <w:rPr>
                <w:rFonts w:cs="Arial"/>
                <w:lang w:val="en-AU"/>
              </w:rPr>
              <w:t>T</w:t>
            </w:r>
            <w:r w:rsidR="00902B43" w:rsidRPr="00A134A7">
              <w:rPr>
                <w:rFonts w:cs="Arial"/>
                <w:lang w:val="en-AU"/>
              </w:rPr>
              <w:t>eams reported that there</w:t>
            </w:r>
            <w:r w:rsidRPr="00A134A7">
              <w:rPr>
                <w:rFonts w:cs="Arial"/>
                <w:lang w:val="en-AU"/>
              </w:rPr>
              <w:t xml:space="preserve"> is a high administrative burden associated with tracking multiple milestones across multiple projects, and a need to balance the requirement for milestones/progress reports with delivery</w:t>
            </w:r>
            <w:r w:rsidR="00902B43" w:rsidRPr="00A134A7">
              <w:rPr>
                <w:rFonts w:cs="Arial"/>
                <w:lang w:val="en-AU"/>
              </w:rPr>
              <w:t>.</w:t>
            </w:r>
            <w:r w:rsidR="009B3182" w:rsidRPr="00A134A7">
              <w:rPr>
                <w:rFonts w:cs="Arial"/>
                <w:lang w:val="en-AU"/>
              </w:rPr>
              <w:t xml:space="preserve"> Opportunities to </w:t>
            </w:r>
            <w:r w:rsidR="00BD71D8" w:rsidRPr="00A134A7">
              <w:rPr>
                <w:rFonts w:cs="Arial"/>
                <w:lang w:val="en-AU"/>
              </w:rPr>
              <w:t>streamlin</w:t>
            </w:r>
            <w:r w:rsidR="00526B4D" w:rsidRPr="00A134A7">
              <w:rPr>
                <w:rFonts w:cs="Arial"/>
                <w:lang w:val="en-AU"/>
              </w:rPr>
              <w:t>e</w:t>
            </w:r>
            <w:r w:rsidR="00BD71D8" w:rsidRPr="00A134A7">
              <w:rPr>
                <w:rFonts w:cs="Arial"/>
                <w:lang w:val="en-AU"/>
              </w:rPr>
              <w:t xml:space="preserve"> reporting and administration aspects </w:t>
            </w:r>
            <w:r w:rsidR="00526B4D" w:rsidRPr="00A134A7">
              <w:rPr>
                <w:rFonts w:cs="Arial"/>
                <w:lang w:val="en-AU"/>
              </w:rPr>
              <w:t>should be considered.</w:t>
            </w:r>
          </w:p>
          <w:p w14:paraId="10011102" w14:textId="3D3AF6AD" w:rsidR="00B91CCF" w:rsidRPr="00A134A7" w:rsidRDefault="00A6049E" w:rsidP="00301E30">
            <w:pPr>
              <w:pStyle w:val="TableBullet"/>
              <w:rPr>
                <w:rFonts w:cs="Arial"/>
                <w:lang w:val="en-AU"/>
              </w:rPr>
            </w:pPr>
            <w:r w:rsidRPr="00A134A7">
              <w:rPr>
                <w:rFonts w:cs="Arial"/>
                <w:lang w:val="en-AU"/>
              </w:rPr>
              <w:t>Internal procu</w:t>
            </w:r>
            <w:r w:rsidR="00BA2DEB" w:rsidRPr="00A134A7">
              <w:rPr>
                <w:rFonts w:cs="Arial"/>
                <w:lang w:val="en-AU"/>
              </w:rPr>
              <w:t xml:space="preserve">rement processes are complex to navigate and would benefit from </w:t>
            </w:r>
            <w:r w:rsidR="0051240F" w:rsidRPr="00A134A7">
              <w:rPr>
                <w:rFonts w:cs="Arial"/>
                <w:lang w:val="en-AU"/>
              </w:rPr>
              <w:t>streamlining and support</w:t>
            </w:r>
            <w:r w:rsidR="00D05E9A" w:rsidRPr="00A134A7">
              <w:rPr>
                <w:rFonts w:cs="Arial"/>
                <w:lang w:val="en-AU"/>
              </w:rPr>
              <w:t>.</w:t>
            </w:r>
          </w:p>
        </w:tc>
      </w:tr>
      <w:tr w:rsidR="00075D0A" w:rsidRPr="005D74D1" w14:paraId="72370E50" w14:textId="77777777" w:rsidTr="004969BD">
        <w:tc>
          <w:tcPr>
            <w:tcW w:w="792" w:type="pct"/>
            <w:vAlign w:val="center"/>
          </w:tcPr>
          <w:p w14:paraId="655070E8" w14:textId="62629DAE" w:rsidR="00075D0A" w:rsidRPr="005D74D1" w:rsidRDefault="00075D0A" w:rsidP="004969BD">
            <w:pPr>
              <w:pStyle w:val="TableText"/>
              <w:rPr>
                <w:rFonts w:cs="Arial"/>
                <w:bCs/>
                <w:lang w:val="en-AU"/>
              </w:rPr>
            </w:pPr>
            <w:r w:rsidRPr="005D74D1">
              <w:rPr>
                <w:rFonts w:cs="Arial"/>
                <w:bCs/>
              </w:rPr>
              <w:t xml:space="preserve">Funding </w:t>
            </w:r>
          </w:p>
        </w:tc>
        <w:tc>
          <w:tcPr>
            <w:tcW w:w="1776" w:type="pct"/>
            <w:vAlign w:val="center"/>
          </w:tcPr>
          <w:p w14:paraId="43E8B42B" w14:textId="77777777" w:rsidR="00A50E7D" w:rsidRPr="005D74D1" w:rsidRDefault="00075D0A" w:rsidP="004969BD">
            <w:pPr>
              <w:pStyle w:val="TableText"/>
              <w:rPr>
                <w:rFonts w:cs="Arial"/>
                <w:lang w:val="en-AU"/>
              </w:rPr>
            </w:pPr>
            <w:r w:rsidRPr="005D74D1">
              <w:rPr>
                <w:rFonts w:cs="Arial"/>
              </w:rPr>
              <w:t xml:space="preserve">Adequate flexibility in funding at the project level enabled project teams to respond to changing contexts and to shift priorities as needed, particularly in response to </w:t>
            </w:r>
            <w:r w:rsidRPr="005D74D1">
              <w:rPr>
                <w:rFonts w:cs="Arial"/>
              </w:rPr>
              <w:lastRenderedPageBreak/>
              <w:t xml:space="preserve">unexpected disruptions from </w:t>
            </w:r>
            <w:r w:rsidR="00613394" w:rsidRPr="005D74D1">
              <w:rPr>
                <w:rFonts w:cs="Arial"/>
              </w:rPr>
              <w:t>COVID-19</w:t>
            </w:r>
            <w:r w:rsidRPr="005D74D1">
              <w:rPr>
                <w:rFonts w:cs="Arial"/>
              </w:rPr>
              <w:t xml:space="preserve"> and extreme weather (</w:t>
            </w:r>
            <w:r w:rsidR="00911C1D" w:rsidRPr="005D74D1">
              <w:rPr>
                <w:rFonts w:cs="Arial"/>
              </w:rPr>
              <w:t xml:space="preserve">e.g., </w:t>
            </w:r>
            <w:r w:rsidRPr="005D74D1">
              <w:rPr>
                <w:rFonts w:cs="Arial"/>
              </w:rPr>
              <w:t>floods and bushfires). Examples included:</w:t>
            </w:r>
          </w:p>
          <w:p w14:paraId="3C7E3AD2" w14:textId="25CCFBE8" w:rsidR="00075D0A" w:rsidRPr="00A134A7" w:rsidRDefault="00075D0A" w:rsidP="004969BD">
            <w:pPr>
              <w:pStyle w:val="TableBullet"/>
              <w:rPr>
                <w:rFonts w:cs="Arial"/>
                <w:lang w:val="en-AU"/>
              </w:rPr>
            </w:pPr>
            <w:r w:rsidRPr="00A134A7">
              <w:rPr>
                <w:rFonts w:cs="Arial"/>
                <w:lang w:val="en-AU"/>
              </w:rPr>
              <w:t xml:space="preserve">The </w:t>
            </w:r>
            <w:r w:rsidR="009342F4" w:rsidRPr="00A134A7">
              <w:rPr>
                <w:rFonts w:cs="Arial"/>
                <w:lang w:val="en-AU"/>
              </w:rPr>
              <w:t xml:space="preserve">EC Project Control Board </w:t>
            </w:r>
            <w:r w:rsidRPr="00A134A7">
              <w:rPr>
                <w:rFonts w:cs="Arial"/>
                <w:lang w:val="en-AU"/>
              </w:rPr>
              <w:t>was able to realign funding throughout the tranche as needed to ensure the program was kept accountable to agreed objectives and also flexible to emerging needs</w:t>
            </w:r>
            <w:r w:rsidR="00234694" w:rsidRPr="00A134A7">
              <w:rPr>
                <w:rFonts w:cs="Arial"/>
                <w:lang w:val="en-AU"/>
              </w:rPr>
              <w:t>.</w:t>
            </w:r>
          </w:p>
          <w:p w14:paraId="38131822" w14:textId="77777777" w:rsidR="00A50E7D" w:rsidRPr="00A134A7" w:rsidRDefault="00075D0A" w:rsidP="004969BD">
            <w:pPr>
              <w:pStyle w:val="TableBullet"/>
              <w:rPr>
                <w:rFonts w:cs="Arial"/>
                <w:lang w:val="en-AU"/>
              </w:rPr>
            </w:pPr>
            <w:r w:rsidRPr="00A134A7">
              <w:rPr>
                <w:rFonts w:cs="Arial"/>
                <w:lang w:val="en-AU"/>
              </w:rPr>
              <w:t>At the start of EC5, a portion of funding was withheld to support new and emerging programs. This was beneficial as it allowed for teams to drive innovation, and to respond to emerging needs and changing priorities throughout the tranche.</w:t>
            </w:r>
          </w:p>
          <w:p w14:paraId="39322FC1" w14:textId="444221AF" w:rsidR="003E5F5C" w:rsidRPr="00A134A7" w:rsidRDefault="439C1187" w:rsidP="004969BD">
            <w:pPr>
              <w:pStyle w:val="TableBullet"/>
              <w:rPr>
                <w:rFonts w:cs="Arial"/>
                <w:lang w:val="en-AU"/>
              </w:rPr>
            </w:pPr>
            <w:r w:rsidRPr="00A134A7">
              <w:rPr>
                <w:rFonts w:cs="Arial"/>
                <w:lang w:val="en-AU"/>
              </w:rPr>
              <w:t xml:space="preserve">The </w:t>
            </w:r>
            <w:r w:rsidR="00F12BB9" w:rsidRPr="00A134A7">
              <w:rPr>
                <w:rFonts w:cs="Arial"/>
                <w:lang w:val="en-AU"/>
              </w:rPr>
              <w:t>four</w:t>
            </w:r>
            <w:r w:rsidRPr="00A134A7">
              <w:rPr>
                <w:rFonts w:cs="Arial"/>
                <w:lang w:val="en-AU"/>
              </w:rPr>
              <w:t>-year funding cycle allowed for funding of longer and larger projects with less administrative hurdles, as compared to annual funding</w:t>
            </w:r>
            <w:r w:rsidR="07D549B5" w:rsidRPr="00A134A7">
              <w:rPr>
                <w:rFonts w:cs="Arial"/>
                <w:lang w:val="en-AU"/>
              </w:rPr>
              <w:t>.</w:t>
            </w:r>
          </w:p>
          <w:p w14:paraId="5A085BC2" w14:textId="6E2DDB25" w:rsidR="00075D0A" w:rsidRPr="00A134A7" w:rsidRDefault="003609C9" w:rsidP="004969BD">
            <w:pPr>
              <w:pStyle w:val="TableBullet"/>
              <w:rPr>
                <w:rFonts w:cs="Arial"/>
                <w:lang w:val="en-AU"/>
              </w:rPr>
            </w:pPr>
            <w:r w:rsidRPr="00A134A7">
              <w:rPr>
                <w:rFonts w:cs="Arial"/>
                <w:lang w:val="en-AU"/>
              </w:rPr>
              <w:t xml:space="preserve">The ability for the EC to provide funding for </w:t>
            </w:r>
            <w:r w:rsidR="00F36B67" w:rsidRPr="00A134A7">
              <w:rPr>
                <w:rFonts w:cs="Arial"/>
                <w:lang w:val="en-AU"/>
              </w:rPr>
              <w:t>partner</w:t>
            </w:r>
            <w:r w:rsidR="009F74CB" w:rsidRPr="00A134A7">
              <w:rPr>
                <w:rFonts w:cs="Arial"/>
                <w:lang w:val="en-AU"/>
              </w:rPr>
              <w:t>s (such as</w:t>
            </w:r>
            <w:r w:rsidR="00F36B67" w:rsidRPr="00A134A7">
              <w:rPr>
                <w:rFonts w:cs="Arial"/>
                <w:lang w:val="en-AU"/>
              </w:rPr>
              <w:t xml:space="preserve"> </w:t>
            </w:r>
            <w:r w:rsidR="000B2A1F" w:rsidRPr="00A134A7">
              <w:rPr>
                <w:rFonts w:cs="Arial"/>
                <w:lang w:val="en-AU"/>
              </w:rPr>
              <w:t xml:space="preserve">CMAs and </w:t>
            </w:r>
            <w:r w:rsidR="00F36B67" w:rsidRPr="00A134A7">
              <w:rPr>
                <w:rFonts w:cs="Arial"/>
                <w:lang w:val="en-AU"/>
              </w:rPr>
              <w:t>water corporations</w:t>
            </w:r>
            <w:r w:rsidR="009F74CB" w:rsidRPr="00A134A7">
              <w:rPr>
                <w:rFonts w:cs="Arial"/>
                <w:lang w:val="en-AU"/>
              </w:rPr>
              <w:t>)</w:t>
            </w:r>
            <w:r w:rsidR="00F36B67" w:rsidRPr="00A134A7">
              <w:rPr>
                <w:rFonts w:cs="Arial"/>
                <w:lang w:val="en-AU"/>
              </w:rPr>
              <w:t xml:space="preserve"> to enable them to overcome </w:t>
            </w:r>
            <w:r w:rsidR="00A30230" w:rsidRPr="00A134A7">
              <w:rPr>
                <w:rFonts w:cs="Arial"/>
                <w:lang w:val="en-AU"/>
              </w:rPr>
              <w:t xml:space="preserve">resourcing challenges was </w:t>
            </w:r>
            <w:r w:rsidR="009F74CB" w:rsidRPr="00A134A7">
              <w:rPr>
                <w:rFonts w:cs="Arial"/>
                <w:lang w:val="en-AU"/>
              </w:rPr>
              <w:t xml:space="preserve">crucial in achieving timely project outcomes. </w:t>
            </w:r>
          </w:p>
        </w:tc>
        <w:tc>
          <w:tcPr>
            <w:tcW w:w="2432" w:type="pct"/>
          </w:tcPr>
          <w:p w14:paraId="7076023E" w14:textId="77777777" w:rsidR="00A50E7D" w:rsidRPr="00A134A7" w:rsidRDefault="20FCA4C0" w:rsidP="00435B79">
            <w:pPr>
              <w:pStyle w:val="TableBullet"/>
              <w:rPr>
                <w:rFonts w:cs="Arial"/>
                <w:lang w:val="en-AU"/>
              </w:rPr>
            </w:pPr>
            <w:r w:rsidRPr="00A134A7">
              <w:rPr>
                <w:rFonts w:cs="Arial"/>
                <w:lang w:val="en-AU"/>
              </w:rPr>
              <w:lastRenderedPageBreak/>
              <w:t>Some funding was delivered in increments throughout the tranche, impeding the ability of DEECA to make long</w:t>
            </w:r>
            <w:r w:rsidR="136AAA5A" w:rsidRPr="00A134A7">
              <w:rPr>
                <w:rFonts w:cs="Arial"/>
                <w:lang w:val="en-AU"/>
              </w:rPr>
              <w:t>-</w:t>
            </w:r>
            <w:r w:rsidRPr="00A134A7">
              <w:rPr>
                <w:rFonts w:cs="Arial"/>
                <w:lang w:val="en-AU"/>
              </w:rPr>
              <w:t xml:space="preserve">term strategic decisions due to funding uncertainty. This also created pressure to deliver projects quickly to utilise </w:t>
            </w:r>
            <w:r w:rsidRPr="00A134A7">
              <w:rPr>
                <w:rFonts w:cs="Arial"/>
                <w:lang w:val="en-AU"/>
              </w:rPr>
              <w:lastRenderedPageBreak/>
              <w:t>funds for a given financial year. This means that projects were often delivered based on funding availability when a stronger focus on needs and planning was</w:t>
            </w:r>
            <w:r w:rsidR="00E844B2" w:rsidRPr="00A134A7">
              <w:rPr>
                <w:rFonts w:cs="Arial"/>
                <w:lang w:val="en-AU"/>
              </w:rPr>
              <w:t> </w:t>
            </w:r>
            <w:r w:rsidRPr="00A134A7">
              <w:rPr>
                <w:rFonts w:cs="Arial"/>
                <w:lang w:val="en-AU"/>
              </w:rPr>
              <w:t>preferred.</w:t>
            </w:r>
          </w:p>
          <w:p w14:paraId="4B57401C" w14:textId="77777777" w:rsidR="00A50E7D" w:rsidRPr="00A134A7" w:rsidRDefault="20FCA4C0" w:rsidP="00435B79">
            <w:pPr>
              <w:pStyle w:val="TableBullet"/>
              <w:rPr>
                <w:rFonts w:cs="Arial"/>
                <w:lang w:val="en-AU"/>
              </w:rPr>
            </w:pPr>
            <w:r w:rsidRPr="00A134A7">
              <w:rPr>
                <w:rFonts w:cs="Arial"/>
                <w:lang w:val="en-AU"/>
              </w:rPr>
              <w:t xml:space="preserve">While the EC has become a major funding source for water programs, it is not able to fund the </w:t>
            </w:r>
            <w:r w:rsidR="008033DC" w:rsidRPr="00A134A7">
              <w:rPr>
                <w:rFonts w:cs="Arial"/>
                <w:lang w:val="en-AU"/>
              </w:rPr>
              <w:t xml:space="preserve">full </w:t>
            </w:r>
            <w:r w:rsidRPr="00A134A7">
              <w:rPr>
                <w:rFonts w:cs="Arial"/>
                <w:lang w:val="en-AU"/>
              </w:rPr>
              <w:t>implementation of large infrastructure programs. For EC funded strategies, plans and policies, alternative funding sources may be needed to implement long</w:t>
            </w:r>
            <w:r w:rsidR="136AAA5A" w:rsidRPr="00A134A7">
              <w:rPr>
                <w:rFonts w:cs="Arial"/>
                <w:lang w:val="en-AU"/>
              </w:rPr>
              <w:t>-</w:t>
            </w:r>
            <w:r w:rsidRPr="00A134A7">
              <w:rPr>
                <w:rFonts w:cs="Arial"/>
                <w:lang w:val="en-AU"/>
              </w:rPr>
              <w:t>term solutions</w:t>
            </w:r>
            <w:r w:rsidR="008033DC" w:rsidRPr="00A134A7">
              <w:rPr>
                <w:rFonts w:cs="Arial"/>
                <w:lang w:val="en-AU"/>
              </w:rPr>
              <w:t>,</w:t>
            </w:r>
            <w:r w:rsidRPr="00A134A7">
              <w:rPr>
                <w:rFonts w:cs="Arial"/>
                <w:lang w:val="en-AU"/>
              </w:rPr>
              <w:t xml:space="preserve"> including climate adaptation and mitigation work.</w:t>
            </w:r>
          </w:p>
          <w:p w14:paraId="789A613E" w14:textId="77777777" w:rsidR="00A50E7D" w:rsidRPr="00A134A7" w:rsidRDefault="20FCA4C0" w:rsidP="00435B79">
            <w:pPr>
              <w:pStyle w:val="TableBullet"/>
              <w:rPr>
                <w:rFonts w:cs="Arial"/>
                <w:lang w:val="en-AU"/>
              </w:rPr>
            </w:pPr>
            <w:r w:rsidRPr="00A134A7">
              <w:rPr>
                <w:rFonts w:cs="Arial"/>
                <w:lang w:val="en-AU"/>
              </w:rPr>
              <w:t>Many projects ut</w:t>
            </w:r>
            <w:r w:rsidR="6DAA86E3" w:rsidRPr="00A134A7">
              <w:rPr>
                <w:rFonts w:cs="Arial"/>
                <w:lang w:val="en-AU"/>
              </w:rPr>
              <w:t>i</w:t>
            </w:r>
            <w:r w:rsidRPr="00A134A7">
              <w:rPr>
                <w:rFonts w:cs="Arial"/>
                <w:lang w:val="en-AU"/>
              </w:rPr>
              <w:t>lised co-funding from other sources. Complexities with aligning the timing and reporting requirements of multiple funding sources were discussed, and a need was identified to align the EC funding with other funding sources to assist in delivery efficiency and in best utili</w:t>
            </w:r>
            <w:r w:rsidR="001A7649" w:rsidRPr="00A134A7">
              <w:rPr>
                <w:rFonts w:cs="Arial"/>
                <w:lang w:val="en-AU"/>
              </w:rPr>
              <w:t>s</w:t>
            </w:r>
            <w:r w:rsidRPr="00A134A7">
              <w:rPr>
                <w:rFonts w:cs="Arial"/>
                <w:lang w:val="en-AU"/>
              </w:rPr>
              <w:t>ation of sources outside EC funding.</w:t>
            </w:r>
          </w:p>
          <w:p w14:paraId="00256A8D" w14:textId="7C3AD8C1" w:rsidR="00075D0A" w:rsidRPr="00A134A7" w:rsidRDefault="20FCA4C0" w:rsidP="00435B79">
            <w:pPr>
              <w:pStyle w:val="TableBullet"/>
              <w:rPr>
                <w:rFonts w:cs="Arial"/>
                <w:lang w:val="en-AU"/>
              </w:rPr>
            </w:pPr>
            <w:r w:rsidRPr="00A134A7">
              <w:rPr>
                <w:rFonts w:cs="Arial"/>
                <w:lang w:val="en-AU"/>
              </w:rPr>
              <w:t xml:space="preserve">Even a </w:t>
            </w:r>
            <w:r w:rsidR="00F12BB9" w:rsidRPr="00A134A7">
              <w:rPr>
                <w:rFonts w:cs="Arial"/>
                <w:lang w:val="en-AU"/>
              </w:rPr>
              <w:t>four</w:t>
            </w:r>
            <w:r w:rsidRPr="00A134A7">
              <w:rPr>
                <w:rFonts w:cs="Arial"/>
                <w:lang w:val="en-AU"/>
              </w:rPr>
              <w:t xml:space="preserve">-year funding cycle is difficult for Traditional </w:t>
            </w:r>
            <w:r w:rsidR="11762709" w:rsidRPr="00A134A7">
              <w:rPr>
                <w:rFonts w:cs="Arial"/>
                <w:lang w:val="en-AU"/>
              </w:rPr>
              <w:t>Owner</w:t>
            </w:r>
            <w:r w:rsidR="3B24EE9C" w:rsidRPr="00A134A7">
              <w:rPr>
                <w:rFonts w:cs="Arial"/>
                <w:lang w:val="en-AU"/>
              </w:rPr>
              <w:t xml:space="preserve"> </w:t>
            </w:r>
            <w:r w:rsidR="00A579C3" w:rsidRPr="00A134A7">
              <w:rPr>
                <w:rFonts w:cs="Arial"/>
                <w:lang w:val="en-AU"/>
              </w:rPr>
              <w:t>o</w:t>
            </w:r>
            <w:r w:rsidR="3B24EE9C" w:rsidRPr="00A134A7">
              <w:rPr>
                <w:rFonts w:cs="Arial"/>
                <w:lang w:val="en-AU"/>
              </w:rPr>
              <w:t>rgani</w:t>
            </w:r>
            <w:r w:rsidR="00D2661D" w:rsidRPr="00A134A7">
              <w:rPr>
                <w:rFonts w:cs="Arial"/>
                <w:lang w:val="en-AU"/>
              </w:rPr>
              <w:t>s</w:t>
            </w:r>
            <w:r w:rsidR="3B24EE9C" w:rsidRPr="00A134A7">
              <w:rPr>
                <w:rFonts w:cs="Arial"/>
                <w:lang w:val="en-AU"/>
              </w:rPr>
              <w:t>ations</w:t>
            </w:r>
            <w:r w:rsidRPr="00A134A7">
              <w:rPr>
                <w:rFonts w:cs="Arial"/>
                <w:lang w:val="en-AU"/>
              </w:rPr>
              <w:t xml:space="preserve"> with complex organisational operations, barriers and resourcing constraints. The ability to carryover T</w:t>
            </w:r>
            <w:r w:rsidR="002A4202" w:rsidRPr="00A134A7">
              <w:rPr>
                <w:rFonts w:cs="Arial"/>
                <w:lang w:val="en-AU"/>
              </w:rPr>
              <w:t>raditional Owner</w:t>
            </w:r>
            <w:r w:rsidRPr="00A134A7">
              <w:rPr>
                <w:rFonts w:cs="Arial"/>
                <w:lang w:val="en-AU"/>
              </w:rPr>
              <w:t xml:space="preserve"> funding between tranches should be considered.</w:t>
            </w:r>
          </w:p>
          <w:p w14:paraId="0DB4F566" w14:textId="587C34B8" w:rsidR="008445D2" w:rsidRPr="00A134A7" w:rsidRDefault="008445D2" w:rsidP="00435B79">
            <w:pPr>
              <w:pStyle w:val="TableBullet"/>
              <w:rPr>
                <w:rFonts w:cs="Arial"/>
                <w:lang w:val="en-AU"/>
              </w:rPr>
            </w:pPr>
            <w:r w:rsidRPr="00A134A7">
              <w:rPr>
                <w:rFonts w:cs="Arial"/>
                <w:lang w:val="en-AU"/>
              </w:rPr>
              <w:t>Several grant projects encountered unforeseen challenges that affected timelines and budgets. Future grant programs could require a more structured approach to risk management during the application process, ensuring that applicants have identified common potential risks and developed mitigation strategies embedded within project submitted.</w:t>
            </w:r>
          </w:p>
        </w:tc>
      </w:tr>
      <w:tr w:rsidR="00075D0A" w:rsidRPr="005D74D1" w14:paraId="0C4589FB" w14:textId="77777777" w:rsidTr="004969BD">
        <w:tc>
          <w:tcPr>
            <w:tcW w:w="792" w:type="pct"/>
            <w:vAlign w:val="center"/>
          </w:tcPr>
          <w:p w14:paraId="2020B823" w14:textId="489BE292" w:rsidR="0013540C" w:rsidRPr="005D74D1" w:rsidRDefault="0013540C" w:rsidP="004969BD">
            <w:pPr>
              <w:pStyle w:val="TableText"/>
              <w:rPr>
                <w:rFonts w:cs="Arial"/>
                <w:bCs/>
                <w:lang w:val="en-AU"/>
              </w:rPr>
            </w:pPr>
            <w:r w:rsidRPr="005D74D1">
              <w:rPr>
                <w:rFonts w:cs="Arial"/>
                <w:bCs/>
              </w:rPr>
              <w:lastRenderedPageBreak/>
              <w:t>Team capability and capacity</w:t>
            </w:r>
            <w:r w:rsidR="00F65CBA" w:rsidRPr="005D74D1">
              <w:rPr>
                <w:rFonts w:cs="Arial"/>
                <w:bCs/>
              </w:rPr>
              <w:t>, and partnerships</w:t>
            </w:r>
          </w:p>
          <w:p w14:paraId="36F7B75C" w14:textId="77777777" w:rsidR="00075D0A" w:rsidRPr="005D74D1" w:rsidRDefault="00075D0A" w:rsidP="004969BD">
            <w:pPr>
              <w:pStyle w:val="TableText"/>
              <w:rPr>
                <w:rFonts w:cs="Arial"/>
                <w:bCs/>
                <w:lang w:val="en-AU"/>
              </w:rPr>
            </w:pPr>
          </w:p>
        </w:tc>
        <w:tc>
          <w:tcPr>
            <w:tcW w:w="1776" w:type="pct"/>
            <w:vAlign w:val="center"/>
          </w:tcPr>
          <w:p w14:paraId="58421BDD" w14:textId="22B6840B" w:rsidR="00075D0A" w:rsidRPr="00A134A7" w:rsidRDefault="00F65CBA" w:rsidP="004969BD">
            <w:pPr>
              <w:pStyle w:val="TableBullet"/>
              <w:rPr>
                <w:rFonts w:cs="Arial"/>
                <w:lang w:val="en-AU"/>
              </w:rPr>
            </w:pPr>
            <w:r w:rsidRPr="00A134A7">
              <w:rPr>
                <w:rFonts w:cs="Arial"/>
                <w:lang w:val="en-AU"/>
              </w:rPr>
              <w:t xml:space="preserve">Strong partnerships and consistent collaboration </w:t>
            </w:r>
            <w:r w:rsidR="00F52482" w:rsidRPr="00A134A7">
              <w:rPr>
                <w:rFonts w:cs="Arial"/>
                <w:lang w:val="en-AU"/>
              </w:rPr>
              <w:t xml:space="preserve">drove effective implementation. </w:t>
            </w:r>
            <w:r w:rsidR="00B84ADA" w:rsidRPr="00A134A7">
              <w:rPr>
                <w:rFonts w:cs="Arial"/>
                <w:lang w:val="en-AU"/>
              </w:rPr>
              <w:t xml:space="preserve">Fostering collaborative structures should remain a priority for future </w:t>
            </w:r>
            <w:r w:rsidR="00DC7DE1" w:rsidRPr="00A134A7">
              <w:rPr>
                <w:rFonts w:cs="Arial"/>
                <w:lang w:val="en-AU"/>
              </w:rPr>
              <w:t>tranches.</w:t>
            </w:r>
            <w:r w:rsidR="00B84ADA" w:rsidRPr="00A134A7">
              <w:rPr>
                <w:rFonts w:cs="Arial"/>
                <w:lang w:val="en-AU"/>
              </w:rPr>
              <w:t xml:space="preserve"> </w:t>
            </w:r>
          </w:p>
        </w:tc>
        <w:tc>
          <w:tcPr>
            <w:tcW w:w="2432" w:type="pct"/>
          </w:tcPr>
          <w:p w14:paraId="74A57F58" w14:textId="4EF47149" w:rsidR="006445AA" w:rsidRPr="00A134A7" w:rsidRDefault="3F1800D3" w:rsidP="00435B79">
            <w:pPr>
              <w:pStyle w:val="TableBullet"/>
              <w:rPr>
                <w:rFonts w:cs="Arial"/>
                <w:lang w:val="en-AU"/>
              </w:rPr>
            </w:pPr>
            <w:r w:rsidRPr="00A134A7">
              <w:rPr>
                <w:rFonts w:cs="Arial"/>
                <w:lang w:val="en-AU"/>
              </w:rPr>
              <w:t>There were</w:t>
            </w:r>
            <w:r w:rsidR="25AA3875" w:rsidRPr="00A134A7">
              <w:rPr>
                <w:rFonts w:cs="Arial"/>
                <w:lang w:val="en-AU"/>
              </w:rPr>
              <w:t xml:space="preserve"> challenges with retaining key capabilities </w:t>
            </w:r>
            <w:r w:rsidR="002C2419" w:rsidRPr="00A134A7">
              <w:rPr>
                <w:rFonts w:cs="Arial"/>
                <w:lang w:val="en-AU"/>
              </w:rPr>
              <w:t xml:space="preserve">due to </w:t>
            </w:r>
            <w:r w:rsidR="25AA3875" w:rsidRPr="00A134A7">
              <w:rPr>
                <w:rFonts w:cs="Arial"/>
                <w:lang w:val="en-AU"/>
              </w:rPr>
              <w:t>staff turnover, and the need to ensure that corporate knowledge is retained throughout EC tranches</w:t>
            </w:r>
            <w:r w:rsidR="3D3C3FBB" w:rsidRPr="00A134A7">
              <w:rPr>
                <w:rFonts w:cs="Arial"/>
                <w:lang w:val="en-AU"/>
              </w:rPr>
              <w:t>.</w:t>
            </w:r>
          </w:p>
          <w:p w14:paraId="09F5CF66" w14:textId="50D5093D" w:rsidR="00075D0A" w:rsidRPr="00A134A7" w:rsidRDefault="20FCA4C0" w:rsidP="00435B79">
            <w:pPr>
              <w:pStyle w:val="TableBullet"/>
              <w:rPr>
                <w:rFonts w:cs="Arial"/>
                <w:lang w:val="en-AU"/>
              </w:rPr>
            </w:pPr>
            <w:r w:rsidRPr="00A134A7">
              <w:rPr>
                <w:rFonts w:cs="Arial"/>
                <w:lang w:val="en-AU"/>
              </w:rPr>
              <w:t>This included the risk of over-committing to projects without the team capacity</w:t>
            </w:r>
            <w:r w:rsidR="002A4202" w:rsidRPr="00A134A7">
              <w:rPr>
                <w:rFonts w:cs="Arial"/>
                <w:lang w:val="en-AU"/>
              </w:rPr>
              <w:t xml:space="preserve"> and capability</w:t>
            </w:r>
            <w:r w:rsidRPr="00A134A7">
              <w:rPr>
                <w:rFonts w:cs="Arial"/>
                <w:lang w:val="en-AU"/>
              </w:rPr>
              <w:t xml:space="preserve"> to deliver, and ensuring that expectations are aligned with what can feasibly be delivered.</w:t>
            </w:r>
          </w:p>
          <w:p w14:paraId="7B33C626" w14:textId="1DC767F4" w:rsidR="00301AEA" w:rsidRPr="00A134A7" w:rsidRDefault="00845AFE" w:rsidP="00435B79">
            <w:pPr>
              <w:pStyle w:val="TableBullet"/>
              <w:rPr>
                <w:rFonts w:cs="Arial"/>
                <w:lang w:val="en-AU"/>
              </w:rPr>
            </w:pPr>
            <w:r w:rsidRPr="00A134A7">
              <w:rPr>
                <w:rFonts w:cs="Arial"/>
                <w:lang w:val="en-AU"/>
              </w:rPr>
              <w:t xml:space="preserve">Lack of </w:t>
            </w:r>
            <w:r w:rsidR="00F41CEE" w:rsidRPr="00A134A7">
              <w:rPr>
                <w:rFonts w:cs="Arial"/>
                <w:lang w:val="en-AU"/>
              </w:rPr>
              <w:t xml:space="preserve">a </w:t>
            </w:r>
            <w:r w:rsidR="0022708D" w:rsidRPr="00A134A7">
              <w:rPr>
                <w:rFonts w:cs="Arial"/>
                <w:lang w:val="en-AU"/>
              </w:rPr>
              <w:t>clear line of sight to the work of other teams</w:t>
            </w:r>
            <w:r w:rsidR="00C31A21" w:rsidRPr="00A134A7">
              <w:rPr>
                <w:rFonts w:cs="Arial"/>
                <w:lang w:val="en-AU"/>
              </w:rPr>
              <w:t>,</w:t>
            </w:r>
            <w:r w:rsidR="0022708D" w:rsidRPr="00A134A7">
              <w:rPr>
                <w:rFonts w:cs="Arial"/>
                <w:lang w:val="en-AU"/>
              </w:rPr>
              <w:t xml:space="preserve"> creat</w:t>
            </w:r>
            <w:r w:rsidR="00C31A21" w:rsidRPr="00A134A7">
              <w:rPr>
                <w:rFonts w:cs="Arial"/>
                <w:lang w:val="en-AU"/>
              </w:rPr>
              <w:t>ing</w:t>
            </w:r>
            <w:r w:rsidR="0022708D" w:rsidRPr="00A134A7">
              <w:rPr>
                <w:rFonts w:cs="Arial"/>
                <w:lang w:val="en-AU"/>
              </w:rPr>
              <w:t xml:space="preserve"> challenges in understanding the interactions between projects. This can also lead to duplicated efforts and inefficient use of resources.</w:t>
            </w:r>
          </w:p>
        </w:tc>
      </w:tr>
      <w:tr w:rsidR="00075D0A" w:rsidRPr="005D74D1" w14:paraId="4061B80D" w14:textId="77777777" w:rsidTr="004969BD">
        <w:tc>
          <w:tcPr>
            <w:tcW w:w="792" w:type="pct"/>
            <w:vAlign w:val="center"/>
          </w:tcPr>
          <w:p w14:paraId="7133D4FE" w14:textId="1A817C2D" w:rsidR="0013540C" w:rsidRPr="00A134A7" w:rsidRDefault="0013540C" w:rsidP="004969BD">
            <w:pPr>
              <w:pStyle w:val="TableText"/>
              <w:rPr>
                <w:rFonts w:cs="Arial"/>
                <w:bCs/>
                <w:lang w:val="en-AU"/>
              </w:rPr>
            </w:pPr>
            <w:r w:rsidRPr="005D74D1">
              <w:rPr>
                <w:rFonts w:cs="Arial"/>
                <w:bCs/>
              </w:rPr>
              <w:t>Articulating the impacts and benefits of the</w:t>
            </w:r>
            <w:r w:rsidR="00E844B2" w:rsidRPr="005D74D1">
              <w:rPr>
                <w:rFonts w:cs="Arial"/>
                <w:bCs/>
              </w:rPr>
              <w:t> </w:t>
            </w:r>
            <w:r w:rsidRPr="005D74D1">
              <w:rPr>
                <w:rFonts w:cs="Arial"/>
                <w:bCs/>
              </w:rPr>
              <w:t>EC</w:t>
            </w:r>
          </w:p>
          <w:p w14:paraId="62CB247E" w14:textId="77777777" w:rsidR="00075D0A" w:rsidRPr="00A134A7" w:rsidRDefault="00075D0A" w:rsidP="004969BD">
            <w:pPr>
              <w:pStyle w:val="TableText"/>
              <w:rPr>
                <w:rFonts w:cs="Arial"/>
                <w:bCs/>
                <w:lang w:val="en-AU"/>
              </w:rPr>
            </w:pPr>
          </w:p>
        </w:tc>
        <w:tc>
          <w:tcPr>
            <w:tcW w:w="1776" w:type="pct"/>
            <w:vAlign w:val="center"/>
          </w:tcPr>
          <w:p w14:paraId="2643EC76" w14:textId="04E55FDE" w:rsidR="00075D0A" w:rsidRPr="00A134A7" w:rsidRDefault="00AC0C47" w:rsidP="004969BD">
            <w:pPr>
              <w:pStyle w:val="TableText"/>
              <w:rPr>
                <w:rFonts w:cs="Arial"/>
                <w:bCs/>
                <w:lang w:val="en-AU"/>
              </w:rPr>
            </w:pPr>
            <w:r w:rsidRPr="005D74D1">
              <w:rPr>
                <w:rFonts w:cs="Arial"/>
                <w:bCs/>
              </w:rPr>
              <w:t>Monitoring and evaluation processes</w:t>
            </w:r>
            <w:r w:rsidR="00901501" w:rsidRPr="005D74D1">
              <w:rPr>
                <w:rFonts w:cs="Arial"/>
                <w:bCs/>
              </w:rPr>
              <w:t xml:space="preserve"> for continual improvement </w:t>
            </w:r>
            <w:r w:rsidR="00146C0B" w:rsidRPr="005D74D1">
              <w:rPr>
                <w:rFonts w:cs="Arial"/>
                <w:bCs/>
              </w:rPr>
              <w:t xml:space="preserve">were </w:t>
            </w:r>
            <w:r w:rsidR="008418AE" w:rsidRPr="005D74D1">
              <w:rPr>
                <w:rFonts w:cs="Arial"/>
                <w:bCs/>
              </w:rPr>
              <w:t>embedded in</w:t>
            </w:r>
            <w:r w:rsidR="00146C0B" w:rsidRPr="005D74D1">
              <w:rPr>
                <w:rFonts w:cs="Arial"/>
                <w:bCs/>
              </w:rPr>
              <w:t xml:space="preserve"> the EC5 projects</w:t>
            </w:r>
            <w:r w:rsidR="00901501" w:rsidRPr="005D74D1">
              <w:rPr>
                <w:rFonts w:cs="Arial"/>
                <w:bCs/>
              </w:rPr>
              <w:t xml:space="preserve"> as discussed in </w:t>
            </w:r>
            <w:r w:rsidR="00AE791B" w:rsidRPr="005D74D1">
              <w:rPr>
                <w:rFonts w:cs="Arial"/>
                <w:bCs/>
              </w:rPr>
              <w:t>section 6.3.</w:t>
            </w:r>
          </w:p>
        </w:tc>
        <w:tc>
          <w:tcPr>
            <w:tcW w:w="2432" w:type="pct"/>
          </w:tcPr>
          <w:p w14:paraId="647957FE" w14:textId="77777777" w:rsidR="00A50E7D" w:rsidRPr="00A134A7" w:rsidRDefault="20FCA4C0" w:rsidP="00435B79">
            <w:pPr>
              <w:pStyle w:val="TableBullet"/>
              <w:rPr>
                <w:rFonts w:cs="Arial"/>
                <w:lang w:val="en-AU"/>
              </w:rPr>
            </w:pPr>
            <w:r w:rsidRPr="00A134A7">
              <w:rPr>
                <w:rFonts w:cs="Arial"/>
                <w:lang w:val="en-AU"/>
              </w:rPr>
              <w:t xml:space="preserve">The EC relies on contributions raised from Victorian water </w:t>
            </w:r>
            <w:r w:rsidR="001E77B0" w:rsidRPr="00A134A7">
              <w:rPr>
                <w:rFonts w:cs="Arial"/>
                <w:lang w:val="en-AU"/>
              </w:rPr>
              <w:t>corporations</w:t>
            </w:r>
            <w:r w:rsidRPr="00A134A7">
              <w:rPr>
                <w:rFonts w:cs="Arial"/>
                <w:lang w:val="en-AU"/>
              </w:rPr>
              <w:t xml:space="preserve">, and there is a need to articulate the multiple environmental, social, economic and public benefits. DEECA leaders described challenges with articulating the benefits of some projects, particularly for </w:t>
            </w:r>
            <w:r w:rsidRPr="00A134A7">
              <w:rPr>
                <w:rFonts w:cs="Arial"/>
                <w:lang w:val="en-AU"/>
              </w:rPr>
              <w:lastRenderedPageBreak/>
              <w:t xml:space="preserve">ongoing </w:t>
            </w:r>
            <w:r w:rsidR="001643C6" w:rsidRPr="00A134A7">
              <w:rPr>
                <w:rFonts w:cs="Arial"/>
                <w:lang w:val="en-AU"/>
              </w:rPr>
              <w:t>business-as-usual</w:t>
            </w:r>
            <w:r w:rsidRPr="00A134A7">
              <w:rPr>
                <w:rFonts w:cs="Arial"/>
                <w:lang w:val="en-AU"/>
              </w:rPr>
              <w:t xml:space="preserve"> work, maintenance works, and broad policy or planning projects.</w:t>
            </w:r>
          </w:p>
          <w:p w14:paraId="16D339EB" w14:textId="1FAA5486" w:rsidR="006C5CA6" w:rsidRPr="00A134A7" w:rsidRDefault="006C5CA6" w:rsidP="00435B79">
            <w:pPr>
              <w:pStyle w:val="TableBullet"/>
              <w:rPr>
                <w:rFonts w:cs="Arial"/>
                <w:lang w:val="en-AU"/>
              </w:rPr>
            </w:pPr>
            <w:r w:rsidRPr="00A134A7">
              <w:rPr>
                <w:rFonts w:cs="Arial"/>
                <w:lang w:val="en-AU"/>
              </w:rPr>
              <w:t xml:space="preserve">There is an opportunity for the EC projects to improve their visibility and understanding within broader community contexts. Increasing community awareness of water management challenges and the benefits of </w:t>
            </w:r>
            <w:r w:rsidR="00DB0EB2" w:rsidRPr="00A134A7">
              <w:rPr>
                <w:rFonts w:cs="Arial"/>
                <w:lang w:val="en-AU"/>
              </w:rPr>
              <w:t>EC initiatives</w:t>
            </w:r>
            <w:r w:rsidRPr="00A134A7">
              <w:rPr>
                <w:rFonts w:cs="Arial"/>
                <w:lang w:val="en-AU"/>
              </w:rPr>
              <w:t xml:space="preserve"> will enhance community literacy and support.</w:t>
            </w:r>
          </w:p>
        </w:tc>
      </w:tr>
    </w:tbl>
    <w:p w14:paraId="1C53F167" w14:textId="77777777" w:rsidR="00BC05B6" w:rsidRPr="005D74D1" w:rsidRDefault="00BC05B6" w:rsidP="00140664">
      <w:pPr>
        <w:pStyle w:val="BodyText"/>
        <w:rPr>
          <w:rFonts w:cs="Arial"/>
        </w:rPr>
      </w:pPr>
      <w:bookmarkStart w:id="490" w:name="_Ref147150314"/>
    </w:p>
    <w:p w14:paraId="427231F1" w14:textId="3D951BB0" w:rsidR="00A45CE9" w:rsidRPr="00A134A7" w:rsidRDefault="007310DC" w:rsidP="007310DC">
      <w:pPr>
        <w:pStyle w:val="Heading3"/>
        <w:rPr>
          <w:rFonts w:ascii="Arial" w:hAnsi="Arial" w:cs="Arial"/>
        </w:rPr>
      </w:pPr>
      <w:r w:rsidRPr="00A134A7">
        <w:rPr>
          <w:rFonts w:ascii="Arial" w:hAnsi="Arial" w:cs="Arial"/>
        </w:rPr>
        <w:t>To what extent did funding support the adaptation of projects in response to changing contexts</w:t>
      </w:r>
      <w:r w:rsidR="00435B79" w:rsidRPr="00A134A7">
        <w:rPr>
          <w:rFonts w:ascii="Arial" w:hAnsi="Arial" w:cs="Arial"/>
        </w:rPr>
        <w:t>/circumstances</w:t>
      </w:r>
      <w:r w:rsidRPr="00A134A7">
        <w:rPr>
          <w:rFonts w:ascii="Arial" w:hAnsi="Arial" w:cs="Arial"/>
        </w:rPr>
        <w:t>? (e.g. COVID</w:t>
      </w:r>
      <w:r w:rsidR="00544B61" w:rsidRPr="00A134A7">
        <w:rPr>
          <w:rFonts w:ascii="Arial" w:hAnsi="Arial" w:cs="Arial"/>
        </w:rPr>
        <w:t>-19 pandemic</w:t>
      </w:r>
      <w:r w:rsidRPr="00A134A7">
        <w:rPr>
          <w:rFonts w:ascii="Arial" w:hAnsi="Arial" w:cs="Arial"/>
        </w:rPr>
        <w:t>, floods, bushfire)</w:t>
      </w:r>
      <w:bookmarkEnd w:id="490"/>
    </w:p>
    <w:p w14:paraId="65447FCE" w14:textId="77777777" w:rsidR="00A50E7D" w:rsidRPr="005D74D1" w:rsidRDefault="00BE61EC" w:rsidP="09DD6C9B">
      <w:pPr>
        <w:pStyle w:val="BodyText"/>
        <w:rPr>
          <w:rFonts w:cs="Arial"/>
        </w:rPr>
      </w:pPr>
      <w:r w:rsidRPr="005D74D1">
        <w:rPr>
          <w:rFonts w:cs="Arial"/>
        </w:rPr>
        <w:t>Almost all (</w:t>
      </w:r>
      <w:r w:rsidR="00AA3549" w:rsidRPr="005D74D1">
        <w:rPr>
          <w:rFonts w:cs="Arial"/>
        </w:rPr>
        <w:t>95%</w:t>
      </w:r>
      <w:r w:rsidRPr="005D74D1">
        <w:rPr>
          <w:rFonts w:cs="Arial"/>
        </w:rPr>
        <w:t>)</w:t>
      </w:r>
      <w:r w:rsidR="00AA3549" w:rsidRPr="005D74D1">
        <w:rPr>
          <w:rFonts w:cs="Arial"/>
        </w:rPr>
        <w:t xml:space="preserve"> of the</w:t>
      </w:r>
      <w:r w:rsidR="00C0487C" w:rsidRPr="005D74D1">
        <w:rPr>
          <w:rFonts w:cs="Arial"/>
        </w:rPr>
        <w:t xml:space="preserve"> </w:t>
      </w:r>
      <w:r w:rsidR="00856D03" w:rsidRPr="005D74D1">
        <w:rPr>
          <w:rFonts w:cs="Arial"/>
        </w:rPr>
        <w:t>project</w:t>
      </w:r>
      <w:r w:rsidR="00C0487C" w:rsidRPr="005D74D1">
        <w:rPr>
          <w:rFonts w:cs="Arial"/>
        </w:rPr>
        <w:t xml:space="preserve"> </w:t>
      </w:r>
      <w:r w:rsidR="00435B79" w:rsidRPr="005D74D1">
        <w:rPr>
          <w:rFonts w:cs="Arial"/>
        </w:rPr>
        <w:t>teams</w:t>
      </w:r>
      <w:r w:rsidR="00C0487C" w:rsidRPr="005D74D1">
        <w:rPr>
          <w:rFonts w:cs="Arial"/>
        </w:rPr>
        <w:t xml:space="preserve"> </w:t>
      </w:r>
      <w:r w:rsidR="004957FA" w:rsidRPr="005D74D1">
        <w:rPr>
          <w:rFonts w:cs="Arial"/>
        </w:rPr>
        <w:t xml:space="preserve">agreed that the effects of unexpected events were managed </w:t>
      </w:r>
      <w:r w:rsidR="00AA3549" w:rsidRPr="005D74D1">
        <w:rPr>
          <w:rFonts w:cs="Arial"/>
        </w:rPr>
        <w:t xml:space="preserve">adequately to reduce their impact on </w:t>
      </w:r>
      <w:r w:rsidR="00856D03" w:rsidRPr="005D74D1">
        <w:rPr>
          <w:rFonts w:cs="Arial"/>
        </w:rPr>
        <w:t>project</w:t>
      </w:r>
      <w:r w:rsidR="00AA3549" w:rsidRPr="005D74D1">
        <w:rPr>
          <w:rFonts w:cs="Arial"/>
        </w:rPr>
        <w:t xml:space="preserve"> outcomes. </w:t>
      </w:r>
      <w:r w:rsidR="004D1D1C" w:rsidRPr="005D74D1">
        <w:rPr>
          <w:rFonts w:cs="Arial"/>
        </w:rPr>
        <w:t xml:space="preserve">This shows a high level of adaptability and flexibility to </w:t>
      </w:r>
      <w:r w:rsidR="008D0186" w:rsidRPr="005D74D1">
        <w:rPr>
          <w:rFonts w:cs="Arial"/>
        </w:rPr>
        <w:t xml:space="preserve">manage the effects of external influences throughout the </w:t>
      </w:r>
      <w:r w:rsidR="00B715CB" w:rsidRPr="005D74D1">
        <w:rPr>
          <w:rFonts w:cs="Arial"/>
        </w:rPr>
        <w:t>tranche</w:t>
      </w:r>
      <w:r w:rsidR="00487BA4" w:rsidRPr="005D74D1">
        <w:rPr>
          <w:rFonts w:cs="Arial"/>
        </w:rPr>
        <w:t xml:space="preserve">. </w:t>
      </w:r>
      <w:r w:rsidR="0060745E" w:rsidRPr="005D74D1">
        <w:rPr>
          <w:rFonts w:cs="Arial"/>
        </w:rPr>
        <w:t xml:space="preserve">The key unexpected events </w:t>
      </w:r>
      <w:r w:rsidR="00B715CB" w:rsidRPr="005D74D1">
        <w:rPr>
          <w:rFonts w:cs="Arial"/>
        </w:rPr>
        <w:t>that occurred during EC5</w:t>
      </w:r>
      <w:r w:rsidR="0060745E" w:rsidRPr="005D74D1">
        <w:rPr>
          <w:rFonts w:cs="Arial"/>
        </w:rPr>
        <w:t xml:space="preserve"> were the COVID-19 pandemic and associated social/working shifts and </w:t>
      </w:r>
      <w:r w:rsidR="00B715CB" w:rsidRPr="005D74D1">
        <w:rPr>
          <w:rFonts w:cs="Arial"/>
        </w:rPr>
        <w:t xml:space="preserve">extreme </w:t>
      </w:r>
      <w:r w:rsidR="0060745E" w:rsidRPr="005D74D1">
        <w:rPr>
          <w:rFonts w:cs="Arial"/>
        </w:rPr>
        <w:t>weather events, specifically flooding and bushfires</w:t>
      </w:r>
      <w:r w:rsidR="00487BA4" w:rsidRPr="005D74D1">
        <w:rPr>
          <w:rFonts w:cs="Arial"/>
        </w:rPr>
        <w:t xml:space="preserve">. </w:t>
      </w:r>
      <w:r w:rsidR="009A301A" w:rsidRPr="005D74D1">
        <w:rPr>
          <w:rFonts w:cs="Arial"/>
        </w:rPr>
        <w:t xml:space="preserve">One </w:t>
      </w:r>
      <w:r w:rsidR="00856D03" w:rsidRPr="005D74D1">
        <w:rPr>
          <w:rFonts w:cs="Arial"/>
        </w:rPr>
        <w:t>project</w:t>
      </w:r>
      <w:r w:rsidR="009A301A" w:rsidRPr="005D74D1">
        <w:rPr>
          <w:rFonts w:cs="Arial"/>
        </w:rPr>
        <w:t xml:space="preserve"> evaluation report </w:t>
      </w:r>
      <w:r w:rsidR="00A6145A" w:rsidRPr="005D74D1">
        <w:rPr>
          <w:rFonts w:cs="Arial"/>
        </w:rPr>
        <w:t>described:</w:t>
      </w:r>
    </w:p>
    <w:p w14:paraId="18DC6BED" w14:textId="3E1C786B" w:rsidR="00A6145A" w:rsidRPr="005D74D1" w:rsidRDefault="00221156" w:rsidP="00FC4E10">
      <w:pPr>
        <w:pStyle w:val="BodyText"/>
        <w:rPr>
          <w:rFonts w:cs="Arial"/>
          <w:i/>
          <w:iCs/>
          <w:lang w:eastAsia="en-AU"/>
        </w:rPr>
      </w:pPr>
      <w:r w:rsidRPr="005D74D1">
        <w:rPr>
          <w:rFonts w:cs="Arial"/>
          <w:i/>
          <w:iCs/>
          <w:lang w:eastAsia="en-AU"/>
        </w:rPr>
        <w:t>‘</w:t>
      </w:r>
      <w:r w:rsidR="00A6145A" w:rsidRPr="005D74D1">
        <w:rPr>
          <w:rFonts w:cs="Arial"/>
          <w:i/>
          <w:iCs/>
          <w:lang w:eastAsia="en-AU"/>
        </w:rPr>
        <w:t xml:space="preserve">The combined impacts of COVID-19, extreme weather emergencies, supply chain uncertainties and inflationary pressures have made it complex and difficult to consistently plan and deliver multiple elements of the </w:t>
      </w:r>
      <w:r w:rsidR="00B715CB" w:rsidRPr="005D74D1">
        <w:rPr>
          <w:rFonts w:cs="Arial"/>
          <w:i/>
          <w:iCs/>
          <w:lang w:eastAsia="en-AU"/>
        </w:rPr>
        <w:t>[project]</w:t>
      </w:r>
      <w:r w:rsidR="00A6145A" w:rsidRPr="005D74D1">
        <w:rPr>
          <w:rFonts w:cs="Arial"/>
          <w:i/>
          <w:iCs/>
          <w:lang w:eastAsia="en-AU"/>
        </w:rPr>
        <w:t>. Project managers and stakeholders were faced with multiple reschedules of timelines, and a great deal of adaptive management was necessary</w:t>
      </w:r>
      <w:r w:rsidRPr="005D74D1">
        <w:rPr>
          <w:rFonts w:cs="Arial"/>
          <w:i/>
          <w:iCs/>
          <w:lang w:eastAsia="en-AU"/>
        </w:rPr>
        <w:t>’</w:t>
      </w:r>
      <w:r w:rsidR="00A6145A" w:rsidRPr="005D74D1">
        <w:rPr>
          <w:rFonts w:cs="Arial"/>
          <w:i/>
          <w:iCs/>
          <w:lang w:eastAsia="en-AU"/>
        </w:rPr>
        <w:t>.</w:t>
      </w:r>
    </w:p>
    <w:p w14:paraId="5F14EC60" w14:textId="77777777" w:rsidR="00A50E7D" w:rsidRPr="005D74D1" w:rsidRDefault="00E318A2" w:rsidP="00E318A2">
      <w:pPr>
        <w:pStyle w:val="BodyText"/>
        <w:rPr>
          <w:rFonts w:cs="Arial"/>
        </w:rPr>
      </w:pPr>
      <w:r w:rsidRPr="005D74D1">
        <w:rPr>
          <w:rFonts w:cs="Arial"/>
        </w:rPr>
        <w:t xml:space="preserve">Adapting </w:t>
      </w:r>
      <w:r w:rsidR="00FB5E8E" w:rsidRPr="005D74D1">
        <w:rPr>
          <w:rFonts w:cs="Arial"/>
        </w:rPr>
        <w:t>to changing contexts</w:t>
      </w:r>
      <w:r w:rsidRPr="005D74D1">
        <w:rPr>
          <w:rFonts w:cs="Arial"/>
        </w:rPr>
        <w:t>/circumstances</w:t>
      </w:r>
      <w:r w:rsidR="00FB5E8E" w:rsidRPr="005D74D1">
        <w:rPr>
          <w:rFonts w:cs="Arial"/>
        </w:rPr>
        <w:t xml:space="preserve"> </w:t>
      </w:r>
      <w:r w:rsidR="00EF58D5" w:rsidRPr="005D74D1">
        <w:rPr>
          <w:rFonts w:cs="Arial"/>
        </w:rPr>
        <w:t xml:space="preserve">throughout EC5 </w:t>
      </w:r>
      <w:r w:rsidR="00FB5E8E" w:rsidRPr="005D74D1">
        <w:rPr>
          <w:rFonts w:cs="Arial"/>
        </w:rPr>
        <w:t xml:space="preserve">was also a strong theme that emerged </w:t>
      </w:r>
      <w:r w:rsidR="00EF58D5" w:rsidRPr="005D74D1">
        <w:rPr>
          <w:rFonts w:cs="Arial"/>
        </w:rPr>
        <w:t>from interviews with</w:t>
      </w:r>
      <w:r w:rsidR="00FB5E8E" w:rsidRPr="005D74D1">
        <w:rPr>
          <w:rFonts w:cs="Arial"/>
        </w:rPr>
        <w:t xml:space="preserve"> DEECA leadership</w:t>
      </w:r>
      <w:r w:rsidR="00EF58D5" w:rsidRPr="005D74D1">
        <w:rPr>
          <w:rFonts w:cs="Arial"/>
        </w:rPr>
        <w:t>. They emphasised that w</w:t>
      </w:r>
      <w:r w:rsidR="00FB5E8E" w:rsidRPr="005D74D1">
        <w:rPr>
          <w:rFonts w:cs="Arial"/>
        </w:rPr>
        <w:t>hile some delays</w:t>
      </w:r>
      <w:r w:rsidR="00E22922" w:rsidRPr="005D74D1">
        <w:rPr>
          <w:rFonts w:cs="Arial"/>
        </w:rPr>
        <w:t xml:space="preserve"> occurred </w:t>
      </w:r>
      <w:r w:rsidR="00FB5E8E" w:rsidRPr="005D74D1">
        <w:rPr>
          <w:rFonts w:cs="Arial"/>
        </w:rPr>
        <w:t xml:space="preserve">due to </w:t>
      </w:r>
      <w:r w:rsidR="00EF58D5" w:rsidRPr="005D74D1">
        <w:rPr>
          <w:rFonts w:cs="Arial"/>
        </w:rPr>
        <w:t xml:space="preserve">the </w:t>
      </w:r>
      <w:r w:rsidRPr="005D74D1">
        <w:rPr>
          <w:rFonts w:cs="Arial"/>
        </w:rPr>
        <w:t xml:space="preserve">extreme </w:t>
      </w:r>
      <w:r w:rsidR="00FB5E8E" w:rsidRPr="005D74D1">
        <w:rPr>
          <w:rFonts w:cs="Arial"/>
        </w:rPr>
        <w:t xml:space="preserve">weather events and </w:t>
      </w:r>
      <w:r w:rsidR="00613394" w:rsidRPr="005D74D1">
        <w:rPr>
          <w:rFonts w:cs="Arial"/>
        </w:rPr>
        <w:t>COVID-19</w:t>
      </w:r>
      <w:r w:rsidR="00E22922" w:rsidRPr="005D74D1">
        <w:rPr>
          <w:rFonts w:cs="Arial"/>
        </w:rPr>
        <w:t xml:space="preserve"> (which particularly affected </w:t>
      </w:r>
      <w:r w:rsidR="005022D8" w:rsidRPr="005D74D1">
        <w:rPr>
          <w:rFonts w:cs="Arial"/>
        </w:rPr>
        <w:t>on-ground</w:t>
      </w:r>
      <w:r w:rsidR="00E22922" w:rsidRPr="005D74D1">
        <w:rPr>
          <w:rFonts w:cs="Arial"/>
        </w:rPr>
        <w:t xml:space="preserve"> works),</w:t>
      </w:r>
      <w:r w:rsidR="00FB5E8E" w:rsidRPr="005D74D1">
        <w:rPr>
          <w:rFonts w:cs="Arial"/>
        </w:rPr>
        <w:t xml:space="preserve"> the </w:t>
      </w:r>
      <w:r w:rsidR="00713DEB" w:rsidRPr="005D74D1">
        <w:rPr>
          <w:rFonts w:cs="Arial"/>
        </w:rPr>
        <w:t xml:space="preserve">EC </w:t>
      </w:r>
      <w:r w:rsidR="00FB5E8E" w:rsidRPr="005D74D1">
        <w:rPr>
          <w:rFonts w:cs="Arial"/>
        </w:rPr>
        <w:t xml:space="preserve">was able to adapt to </w:t>
      </w:r>
      <w:r w:rsidR="00CF7D82" w:rsidRPr="005D74D1">
        <w:rPr>
          <w:rFonts w:cs="Arial"/>
        </w:rPr>
        <w:t>these changing circumstances</w:t>
      </w:r>
      <w:r w:rsidR="00FB5E8E" w:rsidRPr="005D74D1">
        <w:rPr>
          <w:rFonts w:cs="Arial"/>
        </w:rPr>
        <w:t>.</w:t>
      </w:r>
      <w:r w:rsidR="00E22922" w:rsidRPr="005D74D1">
        <w:rPr>
          <w:rFonts w:cs="Arial"/>
        </w:rPr>
        <w:t xml:space="preserve"> DEECA leadership </w:t>
      </w:r>
      <w:r w:rsidR="00275BDD" w:rsidRPr="005D74D1">
        <w:rPr>
          <w:rFonts w:cs="Arial"/>
        </w:rPr>
        <w:t>outlined that s</w:t>
      </w:r>
      <w:r w:rsidR="00FB5E8E" w:rsidRPr="005D74D1">
        <w:rPr>
          <w:rFonts w:cs="Arial"/>
        </w:rPr>
        <w:t xml:space="preserve">upport for flexible work throughout EC5 as a response to the </w:t>
      </w:r>
      <w:r w:rsidR="00613394" w:rsidRPr="005D74D1">
        <w:rPr>
          <w:rFonts w:cs="Arial"/>
        </w:rPr>
        <w:t>COVID-19</w:t>
      </w:r>
      <w:r w:rsidR="00FB5E8E" w:rsidRPr="005D74D1">
        <w:rPr>
          <w:rFonts w:cs="Arial"/>
        </w:rPr>
        <w:t xml:space="preserve"> pandemic was </w:t>
      </w:r>
      <w:r w:rsidR="00CF7D82" w:rsidRPr="005D74D1">
        <w:rPr>
          <w:rFonts w:cs="Arial"/>
        </w:rPr>
        <w:t xml:space="preserve">positive </w:t>
      </w:r>
      <w:r w:rsidR="00FB5E8E" w:rsidRPr="005D74D1">
        <w:rPr>
          <w:rFonts w:cs="Arial"/>
        </w:rPr>
        <w:t>and should be continued in EC6.</w:t>
      </w:r>
      <w:r w:rsidR="007A634C" w:rsidRPr="005D74D1">
        <w:rPr>
          <w:rFonts w:cs="Arial"/>
        </w:rPr>
        <w:t xml:space="preserve"> DEECA leaders also noted the opportunity to ensure that </w:t>
      </w:r>
      <w:r w:rsidR="00217D74" w:rsidRPr="005D74D1">
        <w:rPr>
          <w:rFonts w:cs="Arial"/>
        </w:rPr>
        <w:t>knowledge is retained</w:t>
      </w:r>
      <w:r w:rsidR="00CF7D82" w:rsidRPr="005D74D1">
        <w:rPr>
          <w:rFonts w:cs="Arial"/>
        </w:rPr>
        <w:t>,</w:t>
      </w:r>
      <w:r w:rsidR="00217D74" w:rsidRPr="005D74D1">
        <w:rPr>
          <w:rFonts w:cs="Arial"/>
        </w:rPr>
        <w:t xml:space="preserve"> and lessons learn</w:t>
      </w:r>
      <w:r w:rsidR="002E7316" w:rsidRPr="005D74D1">
        <w:rPr>
          <w:rFonts w:cs="Arial"/>
        </w:rPr>
        <w:t>ed are</w:t>
      </w:r>
      <w:r w:rsidR="00217D74" w:rsidRPr="005D74D1">
        <w:rPr>
          <w:rFonts w:cs="Arial"/>
        </w:rPr>
        <w:t xml:space="preserve"> actioned</w:t>
      </w:r>
      <w:r w:rsidR="00CF7D82" w:rsidRPr="005D74D1">
        <w:rPr>
          <w:rFonts w:cs="Arial"/>
        </w:rPr>
        <w:t>,</w:t>
      </w:r>
      <w:r w:rsidR="00217D74" w:rsidRPr="005D74D1">
        <w:rPr>
          <w:rFonts w:cs="Arial"/>
        </w:rPr>
        <w:t xml:space="preserve"> from previous events</w:t>
      </w:r>
      <w:r w:rsidR="002E7316" w:rsidRPr="005D74D1">
        <w:rPr>
          <w:rFonts w:cs="Arial"/>
        </w:rPr>
        <w:t>, to enable preparedness for future unexpected / emergency events.</w:t>
      </w:r>
    </w:p>
    <w:p w14:paraId="4BCE5E1D" w14:textId="5348CD90" w:rsidR="00071674" w:rsidRPr="005D74D1" w:rsidRDefault="00936AC7" w:rsidP="00C619BA">
      <w:pPr>
        <w:pStyle w:val="BodyText"/>
        <w:rPr>
          <w:rFonts w:cs="Arial"/>
        </w:rPr>
      </w:pPr>
      <w:r w:rsidRPr="005D74D1">
        <w:rPr>
          <w:rFonts w:cs="Arial"/>
        </w:rPr>
        <w:t xml:space="preserve">However, project teams noted </w:t>
      </w:r>
      <w:r w:rsidR="009D01D8" w:rsidRPr="005D74D1">
        <w:rPr>
          <w:rFonts w:cs="Arial"/>
        </w:rPr>
        <w:t xml:space="preserve">a need to </w:t>
      </w:r>
      <w:r w:rsidR="00A52563" w:rsidRPr="005D74D1">
        <w:rPr>
          <w:rFonts w:cs="Arial"/>
        </w:rPr>
        <w:t>reduce ad</w:t>
      </w:r>
      <w:r w:rsidR="00E40859" w:rsidRPr="005D74D1">
        <w:rPr>
          <w:rFonts w:cs="Arial"/>
        </w:rPr>
        <w:t xml:space="preserve">ministrative processes </w:t>
      </w:r>
      <w:r w:rsidR="00CD2F40" w:rsidRPr="005D74D1">
        <w:rPr>
          <w:rFonts w:cs="Arial"/>
        </w:rPr>
        <w:t xml:space="preserve">to </w:t>
      </w:r>
      <w:r w:rsidR="00CF7D82" w:rsidRPr="005D74D1">
        <w:rPr>
          <w:rFonts w:cs="Arial"/>
        </w:rPr>
        <w:t>adapt their projects</w:t>
      </w:r>
      <w:r w:rsidR="00581247" w:rsidRPr="005D74D1">
        <w:rPr>
          <w:rFonts w:cs="Arial"/>
        </w:rPr>
        <w:t xml:space="preserve"> as</w:t>
      </w:r>
      <w:r w:rsidR="00CD2F40" w:rsidRPr="005D74D1">
        <w:rPr>
          <w:rFonts w:cs="Arial"/>
        </w:rPr>
        <w:t xml:space="preserve"> </w:t>
      </w:r>
      <w:r w:rsidR="002F0AC8" w:rsidRPr="005D74D1">
        <w:rPr>
          <w:rFonts w:cs="Arial"/>
        </w:rPr>
        <w:t>c</w:t>
      </w:r>
      <w:r w:rsidR="00875B96" w:rsidRPr="005D74D1">
        <w:rPr>
          <w:rFonts w:cs="Arial"/>
        </w:rPr>
        <w:t>hange</w:t>
      </w:r>
      <w:r w:rsidR="00581247" w:rsidRPr="005D74D1">
        <w:rPr>
          <w:rFonts w:cs="Arial"/>
        </w:rPr>
        <w:t>s occured</w:t>
      </w:r>
      <w:r w:rsidR="00875B96" w:rsidRPr="005D74D1">
        <w:rPr>
          <w:rFonts w:cs="Arial"/>
        </w:rPr>
        <w:t xml:space="preserve">, </w:t>
      </w:r>
      <w:r w:rsidR="002F0AC8" w:rsidRPr="005D74D1">
        <w:rPr>
          <w:rFonts w:cs="Arial"/>
        </w:rPr>
        <w:t>noting that</w:t>
      </w:r>
      <w:r w:rsidR="009D01D8" w:rsidRPr="005D74D1">
        <w:rPr>
          <w:rFonts w:cs="Arial"/>
        </w:rPr>
        <w:t xml:space="preserve"> </w:t>
      </w:r>
      <w:r w:rsidR="00F97C64" w:rsidRPr="005D74D1">
        <w:rPr>
          <w:rFonts w:cs="Arial"/>
        </w:rPr>
        <w:t>when there</w:t>
      </w:r>
      <w:r w:rsidR="00307141" w:rsidRPr="005D74D1">
        <w:rPr>
          <w:rFonts w:cs="Arial"/>
        </w:rPr>
        <w:t xml:space="preserve"> were </w:t>
      </w:r>
      <w:r w:rsidR="00F15279" w:rsidRPr="005D74D1">
        <w:rPr>
          <w:rFonts w:cs="Arial"/>
        </w:rPr>
        <w:t>changes</w:t>
      </w:r>
      <w:r w:rsidR="00C351D6" w:rsidRPr="005D74D1">
        <w:rPr>
          <w:rFonts w:cs="Arial"/>
        </w:rPr>
        <w:t xml:space="preserve"> to do with</w:t>
      </w:r>
      <w:r w:rsidR="00F15279" w:rsidRPr="005D74D1">
        <w:rPr>
          <w:rFonts w:cs="Arial"/>
        </w:rPr>
        <w:t xml:space="preserve"> personnel</w:t>
      </w:r>
      <w:r w:rsidR="00197864" w:rsidRPr="005D74D1">
        <w:rPr>
          <w:rFonts w:cs="Arial"/>
        </w:rPr>
        <w:t xml:space="preserve">, policy direction and team structure </w:t>
      </w:r>
      <w:r w:rsidR="00C351D6" w:rsidRPr="005D74D1">
        <w:rPr>
          <w:rFonts w:cs="Arial"/>
        </w:rPr>
        <w:t xml:space="preserve">that affected project direction and outcomes, </w:t>
      </w:r>
      <w:r w:rsidR="00F06DD2" w:rsidRPr="005D74D1">
        <w:rPr>
          <w:rFonts w:cs="Arial"/>
        </w:rPr>
        <w:t xml:space="preserve">there was a significant amount of work required to update EC5 budgets and reporting to reflect the changes. </w:t>
      </w:r>
      <w:r w:rsidR="00581247" w:rsidRPr="005D74D1">
        <w:rPr>
          <w:rFonts w:cs="Arial"/>
        </w:rPr>
        <w:t>A summary of the types and impacts from changing contexts/circumstances</w:t>
      </w:r>
      <w:r w:rsidR="00487BA4" w:rsidRPr="005D74D1">
        <w:rPr>
          <w:rFonts w:cs="Arial"/>
        </w:rPr>
        <w:t xml:space="preserve"> and adaptive </w:t>
      </w:r>
      <w:r w:rsidR="00B20B33" w:rsidRPr="005D74D1">
        <w:rPr>
          <w:rFonts w:cs="Arial"/>
        </w:rPr>
        <w:t>responses</w:t>
      </w:r>
      <w:r w:rsidR="00487BA4" w:rsidRPr="005D74D1">
        <w:rPr>
          <w:rFonts w:cs="Arial"/>
        </w:rPr>
        <w:t xml:space="preserve"> </w:t>
      </w:r>
      <w:r w:rsidR="00581247" w:rsidRPr="005D74D1">
        <w:rPr>
          <w:rFonts w:cs="Arial"/>
        </w:rPr>
        <w:t>is provided</w:t>
      </w:r>
      <w:r w:rsidR="006651DC" w:rsidRPr="005D74D1">
        <w:rPr>
          <w:rFonts w:cs="Arial"/>
        </w:rPr>
        <w:t xml:space="preserve"> </w:t>
      </w:r>
      <w:r w:rsidR="00C24C75" w:rsidRPr="005D74D1">
        <w:rPr>
          <w:rFonts w:cs="Arial"/>
        </w:rPr>
        <w:t xml:space="preserve">in </w:t>
      </w:r>
      <w:r w:rsidR="00010FEF" w:rsidRPr="00A134A7">
        <w:rPr>
          <w:rFonts w:cs="Arial"/>
        </w:rPr>
        <w:fldChar w:fldCharType="begin"/>
      </w:r>
      <w:r w:rsidR="00010FEF" w:rsidRPr="005D74D1">
        <w:rPr>
          <w:rFonts w:cs="Arial"/>
        </w:rPr>
        <w:instrText xml:space="preserve"> REF _Ref146886375 \h </w:instrText>
      </w:r>
      <w:r w:rsidR="00FC4E10" w:rsidRPr="005D74D1">
        <w:rPr>
          <w:rFonts w:cs="Arial"/>
        </w:rPr>
        <w:instrText xml:space="preserve"> \* MERGEFORMAT </w:instrText>
      </w:r>
      <w:r w:rsidR="00010FEF" w:rsidRPr="00A134A7">
        <w:rPr>
          <w:rFonts w:cs="Arial"/>
        </w:rPr>
      </w:r>
      <w:r w:rsidR="00010FEF" w:rsidRPr="00A134A7">
        <w:rPr>
          <w:rFonts w:cs="Arial"/>
        </w:rPr>
        <w:fldChar w:fldCharType="separate"/>
      </w:r>
      <w:r w:rsidR="003870A0" w:rsidRPr="005D74D1">
        <w:rPr>
          <w:rFonts w:cs="Arial"/>
        </w:rPr>
        <w:t>Table </w:t>
      </w:r>
      <w:r w:rsidR="003870A0">
        <w:rPr>
          <w:rFonts w:cs="Arial"/>
        </w:rPr>
        <w:t>9</w:t>
      </w:r>
      <w:r w:rsidR="00010FEF" w:rsidRPr="00A134A7">
        <w:rPr>
          <w:rFonts w:cs="Arial"/>
        </w:rPr>
        <w:fldChar w:fldCharType="end"/>
      </w:r>
      <w:r w:rsidR="00010FEF" w:rsidRPr="005D74D1">
        <w:rPr>
          <w:rFonts w:cs="Arial"/>
        </w:rPr>
        <w:t>.</w:t>
      </w:r>
    </w:p>
    <w:p w14:paraId="62E7D521" w14:textId="33532E91" w:rsidR="006651DC" w:rsidRPr="005D74D1" w:rsidRDefault="00487BA4" w:rsidP="00312C92">
      <w:pPr>
        <w:pStyle w:val="TableCaption"/>
        <w:rPr>
          <w:rFonts w:cs="Arial"/>
          <w:bCs/>
        </w:rPr>
      </w:pPr>
      <w:bookmarkStart w:id="491" w:name="_Ref146886375"/>
      <w:bookmarkStart w:id="492" w:name="_Toc184904996"/>
      <w:r w:rsidRPr="005D74D1">
        <w:rPr>
          <w:rFonts w:cs="Arial"/>
        </w:rPr>
        <w:lastRenderedPageBreak/>
        <w:t>Table</w:t>
      </w:r>
      <w:r w:rsidR="00843B11" w:rsidRPr="005D74D1">
        <w:rPr>
          <w:rFonts w:cs="Arial"/>
        </w:rPr>
        <w:t> </w:t>
      </w:r>
      <w:r w:rsidRPr="00A134A7">
        <w:rPr>
          <w:rFonts w:cs="Arial"/>
        </w:rPr>
        <w:fldChar w:fldCharType="begin"/>
      </w:r>
      <w:r w:rsidRPr="005D74D1">
        <w:rPr>
          <w:rFonts w:cs="Arial"/>
        </w:rPr>
        <w:instrText>SEQ Table \* ARABIC</w:instrText>
      </w:r>
      <w:r w:rsidRPr="00A134A7">
        <w:rPr>
          <w:rFonts w:cs="Arial"/>
        </w:rPr>
        <w:fldChar w:fldCharType="separate"/>
      </w:r>
      <w:r w:rsidR="003870A0">
        <w:rPr>
          <w:rFonts w:cs="Arial"/>
          <w:noProof/>
        </w:rPr>
        <w:t>9</w:t>
      </w:r>
      <w:r w:rsidRPr="00A134A7">
        <w:rPr>
          <w:rFonts w:cs="Arial"/>
        </w:rPr>
        <w:fldChar w:fldCharType="end"/>
      </w:r>
      <w:bookmarkEnd w:id="491"/>
      <w:r w:rsidR="00843B11" w:rsidRPr="005D74D1">
        <w:rPr>
          <w:rFonts w:cs="Arial"/>
        </w:rPr>
        <w:t>.</w:t>
      </w:r>
      <w:r w:rsidRPr="005D74D1">
        <w:rPr>
          <w:rFonts w:cs="Arial"/>
        </w:rPr>
        <w:t xml:space="preserve"> Impacts and adaptive responses from unexpected events</w:t>
      </w:r>
      <w:bookmarkEnd w:id="492"/>
    </w:p>
    <w:tbl>
      <w:tblPr>
        <w:tblStyle w:val="TableGridLight"/>
        <w:tblW w:w="5000" w:type="pct"/>
        <w:tblBorders>
          <w:top w:val="single" w:sz="4" w:space="0" w:color="231EDC" w:themeColor="accent1"/>
          <w:left w:val="single" w:sz="4" w:space="0" w:color="231EDC" w:themeColor="accent1"/>
          <w:bottom w:val="single" w:sz="4" w:space="0" w:color="231EDC" w:themeColor="accent1"/>
          <w:right w:val="single" w:sz="4" w:space="0" w:color="231EDC" w:themeColor="accent1"/>
          <w:insideH w:val="single" w:sz="4" w:space="0" w:color="231EDC" w:themeColor="accent1"/>
          <w:insideV w:val="single" w:sz="4" w:space="0" w:color="231EDC" w:themeColor="accent1"/>
        </w:tblBorders>
        <w:tblLook w:val="04A0" w:firstRow="1" w:lastRow="0" w:firstColumn="1" w:lastColumn="0" w:noHBand="0" w:noVBand="1"/>
      </w:tblPr>
      <w:tblGrid>
        <w:gridCol w:w="1885"/>
        <w:gridCol w:w="7743"/>
      </w:tblGrid>
      <w:tr w:rsidR="00190B1A" w:rsidRPr="005D74D1" w14:paraId="7CEE777D" w14:textId="77777777" w:rsidTr="00BC05B6">
        <w:trPr>
          <w:tblHeader/>
        </w:trPr>
        <w:tc>
          <w:tcPr>
            <w:tcW w:w="979" w:type="pct"/>
            <w:shd w:val="clear" w:color="auto" w:fill="231EDC" w:themeFill="accent1"/>
          </w:tcPr>
          <w:p w14:paraId="02106818" w14:textId="2AC8A351" w:rsidR="00190B1A" w:rsidRPr="00A134A7" w:rsidRDefault="00190B1A" w:rsidP="00FC4E10">
            <w:pPr>
              <w:pStyle w:val="TableHeadingWhite"/>
              <w:keepLines/>
              <w:rPr>
                <w:rFonts w:cs="Arial"/>
                <w:lang w:val="en-AU"/>
              </w:rPr>
            </w:pPr>
            <w:r w:rsidRPr="005D74D1">
              <w:rPr>
                <w:rFonts w:cs="Arial"/>
              </w:rPr>
              <w:t>Unexpected event</w:t>
            </w:r>
          </w:p>
        </w:tc>
        <w:tc>
          <w:tcPr>
            <w:tcW w:w="4021" w:type="pct"/>
            <w:shd w:val="clear" w:color="auto" w:fill="231EDC" w:themeFill="accent1"/>
          </w:tcPr>
          <w:p w14:paraId="4A761F82" w14:textId="7C5C1A51" w:rsidR="00190B1A" w:rsidRPr="00A134A7" w:rsidRDefault="00190B1A" w:rsidP="00FC4E10">
            <w:pPr>
              <w:pStyle w:val="TableHeadingWhite"/>
              <w:keepLines/>
              <w:rPr>
                <w:rFonts w:cs="Arial"/>
                <w:lang w:val="en-AU"/>
              </w:rPr>
            </w:pPr>
            <w:r w:rsidRPr="005D74D1">
              <w:rPr>
                <w:rFonts w:cs="Arial"/>
              </w:rPr>
              <w:t xml:space="preserve">Key </w:t>
            </w:r>
            <w:r w:rsidR="0092042D" w:rsidRPr="005D74D1">
              <w:rPr>
                <w:rFonts w:cs="Arial"/>
              </w:rPr>
              <w:t xml:space="preserve">impacts </w:t>
            </w:r>
            <w:r w:rsidRPr="005D74D1">
              <w:rPr>
                <w:rFonts w:cs="Arial"/>
              </w:rPr>
              <w:t xml:space="preserve">and </w:t>
            </w:r>
            <w:r w:rsidR="0092042D" w:rsidRPr="005D74D1">
              <w:rPr>
                <w:rFonts w:cs="Arial"/>
              </w:rPr>
              <w:t xml:space="preserve">management </w:t>
            </w:r>
            <w:r w:rsidRPr="005D74D1">
              <w:rPr>
                <w:rFonts w:cs="Arial"/>
              </w:rPr>
              <w:t xml:space="preserve">/ </w:t>
            </w:r>
            <w:r w:rsidR="0092042D" w:rsidRPr="005D74D1">
              <w:rPr>
                <w:rFonts w:cs="Arial"/>
              </w:rPr>
              <w:t>adaptation responses</w:t>
            </w:r>
          </w:p>
        </w:tc>
      </w:tr>
      <w:tr w:rsidR="00190B1A" w:rsidRPr="005D74D1" w14:paraId="72B3F2F6" w14:textId="77777777" w:rsidTr="00BC05B6">
        <w:tc>
          <w:tcPr>
            <w:tcW w:w="979" w:type="pct"/>
          </w:tcPr>
          <w:p w14:paraId="636AEEAB" w14:textId="196AFF80" w:rsidR="00190B1A" w:rsidRPr="005D74D1" w:rsidRDefault="00190B1A" w:rsidP="00FC4E10">
            <w:pPr>
              <w:pStyle w:val="TableText"/>
              <w:keepNext/>
              <w:keepLines/>
              <w:rPr>
                <w:rFonts w:cs="Arial"/>
                <w:bCs/>
                <w:lang w:val="en-AU"/>
              </w:rPr>
            </w:pPr>
            <w:r w:rsidRPr="005D74D1">
              <w:rPr>
                <w:rFonts w:cs="Arial"/>
                <w:bCs/>
              </w:rPr>
              <w:t>COVID</w:t>
            </w:r>
            <w:r w:rsidR="00D363DB" w:rsidRPr="005D74D1">
              <w:rPr>
                <w:rFonts w:cs="Arial"/>
                <w:bCs/>
              </w:rPr>
              <w:t>-19 pandemic</w:t>
            </w:r>
          </w:p>
        </w:tc>
        <w:tc>
          <w:tcPr>
            <w:tcW w:w="4021" w:type="pct"/>
          </w:tcPr>
          <w:p w14:paraId="11988B24" w14:textId="77777777" w:rsidR="00A50E7D" w:rsidRPr="005D74D1" w:rsidRDefault="004E54AE" w:rsidP="00FC4E10">
            <w:pPr>
              <w:pStyle w:val="TableText"/>
              <w:keepNext/>
              <w:keepLines/>
              <w:rPr>
                <w:rFonts w:cs="Arial"/>
                <w:lang w:val="en-AU"/>
              </w:rPr>
            </w:pPr>
            <w:r w:rsidRPr="005D74D1">
              <w:rPr>
                <w:rFonts w:cs="Arial"/>
              </w:rPr>
              <w:t>COVID</w:t>
            </w:r>
            <w:r w:rsidR="00613394" w:rsidRPr="005D74D1">
              <w:rPr>
                <w:rFonts w:cs="Arial"/>
              </w:rPr>
              <w:t>-19</w:t>
            </w:r>
            <w:r w:rsidRPr="005D74D1">
              <w:rPr>
                <w:rFonts w:cs="Arial"/>
              </w:rPr>
              <w:t xml:space="preserve"> primarily affected the </w:t>
            </w:r>
            <w:r w:rsidR="00856D03" w:rsidRPr="005D74D1">
              <w:rPr>
                <w:rFonts w:cs="Arial"/>
              </w:rPr>
              <w:t>project</w:t>
            </w:r>
            <w:r w:rsidRPr="005D74D1">
              <w:rPr>
                <w:rFonts w:cs="Arial"/>
              </w:rPr>
              <w:t xml:space="preserve">s through </w:t>
            </w:r>
            <w:r w:rsidR="00581247" w:rsidRPr="005D74D1">
              <w:rPr>
                <w:rFonts w:cs="Arial"/>
              </w:rPr>
              <w:t>disruption to</w:t>
            </w:r>
            <w:r w:rsidRPr="005D74D1">
              <w:rPr>
                <w:rFonts w:cs="Arial"/>
              </w:rPr>
              <w:t xml:space="preserve"> in person</w:t>
            </w:r>
            <w:r w:rsidR="00581247" w:rsidRPr="005D74D1">
              <w:rPr>
                <w:rFonts w:cs="Arial"/>
              </w:rPr>
              <w:t xml:space="preserve"> engagement</w:t>
            </w:r>
            <w:r w:rsidRPr="005D74D1">
              <w:rPr>
                <w:rFonts w:cs="Arial"/>
              </w:rPr>
              <w:t xml:space="preserve"> and travel to </w:t>
            </w:r>
            <w:r w:rsidR="002228A1" w:rsidRPr="005D74D1">
              <w:rPr>
                <w:rFonts w:cs="Arial"/>
              </w:rPr>
              <w:t xml:space="preserve">attend </w:t>
            </w:r>
            <w:r w:rsidRPr="005D74D1">
              <w:rPr>
                <w:rFonts w:cs="Arial"/>
              </w:rPr>
              <w:t xml:space="preserve">work sites. </w:t>
            </w:r>
            <w:r w:rsidR="00190B1A" w:rsidRPr="005D74D1">
              <w:rPr>
                <w:rFonts w:cs="Arial"/>
              </w:rPr>
              <w:t xml:space="preserve">DEECA managed to pivot engagement and meetings to hybrid on many occasions for both staff and community events. Where work needed to be re-prioritised, this was undertaken actively in consultation with the Executive and to ensure that time-critical outcomes were still achieved. </w:t>
            </w:r>
            <w:r w:rsidR="00856D03" w:rsidRPr="005D74D1">
              <w:rPr>
                <w:rFonts w:cs="Arial"/>
              </w:rPr>
              <w:t>Project</w:t>
            </w:r>
            <w:r w:rsidR="00190B1A" w:rsidRPr="005D74D1">
              <w:rPr>
                <w:rFonts w:cs="Arial"/>
              </w:rPr>
              <w:t>s reported that the presence of existing working groups and steering committees enabled agile problem solving to mitigate project risks.</w:t>
            </w:r>
          </w:p>
          <w:p w14:paraId="714DE7E1" w14:textId="77777777" w:rsidR="00A50E7D" w:rsidRPr="005D74D1" w:rsidRDefault="00492EA4" w:rsidP="00FC4E10">
            <w:pPr>
              <w:pStyle w:val="TableText"/>
              <w:keepNext/>
              <w:keepLines/>
              <w:rPr>
                <w:rFonts w:cs="Arial"/>
                <w:lang w:val="en-AU"/>
              </w:rPr>
            </w:pPr>
            <w:r w:rsidRPr="005D74D1">
              <w:rPr>
                <w:rFonts w:cs="Arial"/>
              </w:rPr>
              <w:t>T</w:t>
            </w:r>
            <w:r w:rsidR="00010FEF" w:rsidRPr="005D74D1">
              <w:rPr>
                <w:rFonts w:cs="Arial"/>
              </w:rPr>
              <w:t>hree</w:t>
            </w:r>
            <w:r w:rsidRPr="005D74D1">
              <w:rPr>
                <w:rFonts w:cs="Arial"/>
              </w:rPr>
              <w:t xml:space="preserve"> examples of adaptive responses include:</w:t>
            </w:r>
          </w:p>
          <w:p w14:paraId="140FDB44" w14:textId="71374B3A" w:rsidR="00492EA4" w:rsidRPr="00A134A7" w:rsidRDefault="49F27980" w:rsidP="00FC4E10">
            <w:pPr>
              <w:pStyle w:val="TableBullet"/>
              <w:keepNext/>
              <w:keepLines/>
              <w:rPr>
                <w:rFonts w:cs="Arial"/>
                <w:lang w:val="en-AU"/>
              </w:rPr>
            </w:pPr>
            <w:r w:rsidRPr="00A134A7">
              <w:rPr>
                <w:rFonts w:cs="Arial"/>
                <w:lang w:val="en-AU"/>
              </w:rPr>
              <w:t xml:space="preserve">Onsite </w:t>
            </w:r>
            <w:r w:rsidR="00503015" w:rsidRPr="00A134A7">
              <w:rPr>
                <w:rFonts w:cs="Arial"/>
                <w:lang w:val="en-AU"/>
              </w:rPr>
              <w:t>w</w:t>
            </w:r>
            <w:r w:rsidRPr="00A134A7">
              <w:rPr>
                <w:rFonts w:cs="Arial"/>
                <w:lang w:val="en-AU"/>
              </w:rPr>
              <w:t xml:space="preserve">astewater </w:t>
            </w:r>
            <w:r w:rsidR="00503015" w:rsidRPr="00A134A7">
              <w:rPr>
                <w:rFonts w:cs="Arial"/>
                <w:lang w:val="en-AU"/>
              </w:rPr>
              <w:t>m</w:t>
            </w:r>
            <w:r w:rsidRPr="00A134A7">
              <w:rPr>
                <w:rFonts w:cs="Arial"/>
                <w:lang w:val="en-AU"/>
              </w:rPr>
              <w:t xml:space="preserve">anagement </w:t>
            </w:r>
            <w:r w:rsidR="00503015" w:rsidRPr="00A134A7">
              <w:rPr>
                <w:rFonts w:cs="Arial"/>
                <w:lang w:val="en-AU"/>
              </w:rPr>
              <w:t>s</w:t>
            </w:r>
            <w:r w:rsidRPr="00A134A7">
              <w:rPr>
                <w:rFonts w:cs="Arial"/>
                <w:lang w:val="en-AU"/>
              </w:rPr>
              <w:t xml:space="preserve">ystems (OWMS): </w:t>
            </w:r>
            <w:r w:rsidR="00010FEF" w:rsidRPr="00A134A7">
              <w:rPr>
                <w:rFonts w:cs="Arial"/>
                <w:lang w:val="en-AU"/>
              </w:rPr>
              <w:t>Local c</w:t>
            </w:r>
            <w:r w:rsidRPr="00A134A7">
              <w:rPr>
                <w:rFonts w:cs="Arial"/>
                <w:lang w:val="en-AU"/>
              </w:rPr>
              <w:t xml:space="preserve">ouncils that were impacted by floods and </w:t>
            </w:r>
            <w:r w:rsidR="0CA66BBC" w:rsidRPr="00A134A7">
              <w:rPr>
                <w:rFonts w:cs="Arial"/>
                <w:lang w:val="en-AU"/>
              </w:rPr>
              <w:t>COVID-19</w:t>
            </w:r>
            <w:r w:rsidRPr="00A134A7">
              <w:rPr>
                <w:rFonts w:cs="Arial"/>
                <w:lang w:val="en-AU"/>
              </w:rPr>
              <w:t xml:space="preserve"> were offered a second grants program and additional time to apply for funding. This increased the uptake from 57% to 83% of councils undertaking OWMS related projects.</w:t>
            </w:r>
          </w:p>
          <w:p w14:paraId="7E02E3A1" w14:textId="77777777" w:rsidR="00583ED1" w:rsidRPr="00A134A7" w:rsidRDefault="49F27980" w:rsidP="00FC4E10">
            <w:pPr>
              <w:pStyle w:val="TableBullet"/>
              <w:keepNext/>
              <w:keepLines/>
              <w:rPr>
                <w:rFonts w:cs="Arial"/>
                <w:lang w:val="en-AU"/>
              </w:rPr>
            </w:pPr>
            <w:r w:rsidRPr="00A134A7">
              <w:rPr>
                <w:rFonts w:cs="Arial"/>
                <w:lang w:val="en-AU"/>
              </w:rPr>
              <w:t>The State Observation Bore Network site works required re-</w:t>
            </w:r>
            <w:r w:rsidR="00B9354F" w:rsidRPr="00A134A7">
              <w:rPr>
                <w:rFonts w:cs="Arial"/>
                <w:lang w:val="en-AU"/>
              </w:rPr>
              <w:t>p</w:t>
            </w:r>
            <w:r w:rsidRPr="00A134A7">
              <w:rPr>
                <w:rFonts w:cs="Arial"/>
                <w:lang w:val="en-AU"/>
              </w:rPr>
              <w:t xml:space="preserve">rioritising as </w:t>
            </w:r>
            <w:r w:rsidR="0CA66BBC" w:rsidRPr="00A134A7">
              <w:rPr>
                <w:rFonts w:cs="Arial"/>
                <w:lang w:val="en-AU"/>
              </w:rPr>
              <w:t>COVID-19</w:t>
            </w:r>
            <w:r w:rsidRPr="00A134A7">
              <w:rPr>
                <w:rFonts w:cs="Arial"/>
                <w:lang w:val="en-AU"/>
              </w:rPr>
              <w:t xml:space="preserve"> affected the scheduling of works, and regional flooding affected site access</w:t>
            </w:r>
            <w:r w:rsidR="13A57895" w:rsidRPr="00A134A7">
              <w:rPr>
                <w:rFonts w:cs="Arial"/>
                <w:lang w:val="en-AU"/>
              </w:rPr>
              <w:t>.</w:t>
            </w:r>
          </w:p>
          <w:p w14:paraId="1853047E" w14:textId="00034A6B" w:rsidR="00290815" w:rsidRPr="005D74D1" w:rsidRDefault="00290815" w:rsidP="00FC4E10">
            <w:pPr>
              <w:pStyle w:val="TableBullet"/>
              <w:keepNext/>
              <w:keepLines/>
              <w:rPr>
                <w:rFonts w:cs="Arial"/>
                <w:lang w:val="en-AU"/>
              </w:rPr>
            </w:pPr>
            <w:r w:rsidRPr="00A134A7">
              <w:rPr>
                <w:rFonts w:cs="Arial"/>
                <w:lang w:val="en-AU"/>
              </w:rPr>
              <w:t xml:space="preserve">IWM </w:t>
            </w:r>
            <w:r w:rsidR="00C533AE" w:rsidRPr="00A134A7">
              <w:rPr>
                <w:rFonts w:cs="Arial"/>
                <w:lang w:val="en-AU"/>
              </w:rPr>
              <w:t>F</w:t>
            </w:r>
            <w:r w:rsidRPr="00A134A7">
              <w:rPr>
                <w:rFonts w:cs="Arial"/>
                <w:lang w:val="en-AU"/>
              </w:rPr>
              <w:t xml:space="preserve">orums: Online meetings and digital platforms, while not perfect, were essential in maintaining momentum and should be considered as integral parts of future program </w:t>
            </w:r>
            <w:r w:rsidR="006A126F" w:rsidRPr="00A134A7">
              <w:rPr>
                <w:rFonts w:cs="Arial"/>
                <w:lang w:val="en-AU"/>
              </w:rPr>
              <w:t>delivery</w:t>
            </w:r>
            <w:r w:rsidRPr="00A134A7">
              <w:rPr>
                <w:rFonts w:cs="Arial"/>
                <w:lang w:val="en-AU"/>
              </w:rPr>
              <w:t>.</w:t>
            </w:r>
          </w:p>
        </w:tc>
      </w:tr>
      <w:tr w:rsidR="00190B1A" w:rsidRPr="005D74D1" w14:paraId="7031ECD5" w14:textId="77777777" w:rsidTr="00BC05B6">
        <w:tc>
          <w:tcPr>
            <w:tcW w:w="979" w:type="pct"/>
          </w:tcPr>
          <w:p w14:paraId="7C7CB3A3" w14:textId="196CE570" w:rsidR="00190B1A" w:rsidRPr="005D74D1" w:rsidRDefault="00190B1A" w:rsidP="00FC4E10">
            <w:pPr>
              <w:pStyle w:val="TableText"/>
              <w:rPr>
                <w:rFonts w:cs="Arial"/>
                <w:bCs/>
                <w:lang w:val="en-AU"/>
              </w:rPr>
            </w:pPr>
            <w:r w:rsidRPr="005D74D1">
              <w:rPr>
                <w:rFonts w:cs="Arial"/>
                <w:bCs/>
              </w:rPr>
              <w:t>Flooding</w:t>
            </w:r>
          </w:p>
        </w:tc>
        <w:tc>
          <w:tcPr>
            <w:tcW w:w="4021" w:type="pct"/>
          </w:tcPr>
          <w:p w14:paraId="13CEBD37" w14:textId="194AA937" w:rsidR="00190B1A" w:rsidRPr="005D74D1" w:rsidRDefault="6DBE0E86" w:rsidP="00FC4E10">
            <w:pPr>
              <w:pStyle w:val="TableText"/>
              <w:rPr>
                <w:rFonts w:cs="Arial"/>
                <w:lang w:val="en-AU"/>
              </w:rPr>
            </w:pPr>
            <w:r w:rsidRPr="005D74D1">
              <w:rPr>
                <w:rFonts w:cs="Arial"/>
              </w:rPr>
              <w:t xml:space="preserve">In </w:t>
            </w:r>
            <w:r w:rsidR="73FC78A8" w:rsidRPr="005D74D1">
              <w:rPr>
                <w:rFonts w:cs="Arial"/>
              </w:rPr>
              <w:t>s</w:t>
            </w:r>
            <w:r w:rsidRPr="005D74D1">
              <w:rPr>
                <w:rFonts w:cs="Arial"/>
              </w:rPr>
              <w:t>pring 2022</w:t>
            </w:r>
            <w:r w:rsidR="0280CC78" w:rsidRPr="005D74D1">
              <w:rPr>
                <w:rFonts w:cs="Arial"/>
              </w:rPr>
              <w:t>,</w:t>
            </w:r>
            <w:r w:rsidRPr="005D74D1">
              <w:rPr>
                <w:rFonts w:cs="Arial"/>
              </w:rPr>
              <w:t xml:space="preserve"> </w:t>
            </w:r>
            <w:r w:rsidR="003B6941" w:rsidRPr="005D74D1">
              <w:rPr>
                <w:rFonts w:cs="Arial"/>
              </w:rPr>
              <w:t>major</w:t>
            </w:r>
            <w:r w:rsidRPr="005D74D1">
              <w:rPr>
                <w:rFonts w:cs="Arial"/>
              </w:rPr>
              <w:t xml:space="preserve"> flooding occurred in northern Victoria, causing significant damage to many of Victoria’s rivers, infrastructure in towns, and other natural assets. The floods had a significant impact on the capacity of key delivery partners and stakeholders</w:t>
            </w:r>
            <w:r w:rsidR="0280CC78" w:rsidRPr="005D74D1">
              <w:rPr>
                <w:rFonts w:cs="Arial"/>
              </w:rPr>
              <w:t>,</w:t>
            </w:r>
            <w:r w:rsidRPr="005D74D1">
              <w:rPr>
                <w:rFonts w:cs="Arial"/>
              </w:rPr>
              <w:t xml:space="preserve"> including </w:t>
            </w:r>
            <w:r w:rsidR="50395BA8" w:rsidRPr="005D74D1">
              <w:rPr>
                <w:rFonts w:cs="Arial"/>
              </w:rPr>
              <w:t>rural water corporations</w:t>
            </w:r>
            <w:r w:rsidRPr="005D74D1">
              <w:rPr>
                <w:rFonts w:cs="Arial"/>
              </w:rPr>
              <w:t>/</w:t>
            </w:r>
            <w:r w:rsidR="6BDF0032" w:rsidRPr="005D74D1">
              <w:rPr>
                <w:rFonts w:cs="Arial"/>
              </w:rPr>
              <w:t>licensing authorities,</w:t>
            </w:r>
            <w:r w:rsidRPr="005D74D1">
              <w:rPr>
                <w:rFonts w:cs="Arial"/>
              </w:rPr>
              <w:t xml:space="preserve"> which resulted </w:t>
            </w:r>
            <w:r w:rsidR="3B847B83" w:rsidRPr="005D74D1">
              <w:rPr>
                <w:rFonts w:cs="Arial"/>
              </w:rPr>
              <w:t>in</w:t>
            </w:r>
            <w:r w:rsidRPr="005D74D1">
              <w:rPr>
                <w:rFonts w:cs="Arial"/>
              </w:rPr>
              <w:t xml:space="preserve"> changes </w:t>
            </w:r>
            <w:r w:rsidR="71B845C4" w:rsidRPr="005D74D1">
              <w:rPr>
                <w:rFonts w:cs="Arial"/>
              </w:rPr>
              <w:t>to</w:t>
            </w:r>
            <w:r w:rsidRPr="005D74D1">
              <w:rPr>
                <w:rFonts w:cs="Arial"/>
              </w:rPr>
              <w:t xml:space="preserve"> timelines, especially where grants were provided, </w:t>
            </w:r>
            <w:r w:rsidR="00EA5FBA" w:rsidRPr="005D74D1">
              <w:rPr>
                <w:rFonts w:cs="Arial"/>
              </w:rPr>
              <w:t>and to</w:t>
            </w:r>
            <w:r w:rsidRPr="005D74D1">
              <w:rPr>
                <w:rFonts w:cs="Arial"/>
              </w:rPr>
              <w:t xml:space="preserve"> project approaches. Resources from DEECA and partner organisations were diverted from planned EC5 </w:t>
            </w:r>
            <w:r w:rsidR="3B325E92" w:rsidRPr="005D74D1">
              <w:rPr>
                <w:rFonts w:cs="Arial"/>
              </w:rPr>
              <w:t>project</w:t>
            </w:r>
            <w:r w:rsidRPr="005D74D1">
              <w:rPr>
                <w:rFonts w:cs="Arial"/>
              </w:rPr>
              <w:t>s to focus on flood response priorities, affecting delivery timeframes.</w:t>
            </w:r>
            <w:r w:rsidR="49F27980" w:rsidRPr="005D74D1">
              <w:rPr>
                <w:rFonts w:cs="Arial"/>
              </w:rPr>
              <w:t xml:space="preserve"> </w:t>
            </w:r>
            <w:r w:rsidRPr="005D74D1">
              <w:rPr>
                <w:rFonts w:cs="Arial"/>
              </w:rPr>
              <w:t>Access to work sites was also restricted for long periods due to dangerous conditions.</w:t>
            </w:r>
          </w:p>
          <w:p w14:paraId="2DD936A7" w14:textId="77777777" w:rsidR="00492EA4" w:rsidRPr="005D74D1" w:rsidRDefault="00190B1A" w:rsidP="00FC4E10">
            <w:pPr>
              <w:pStyle w:val="TableText"/>
              <w:rPr>
                <w:rFonts w:cs="Arial"/>
                <w:lang w:val="en-AU"/>
              </w:rPr>
            </w:pPr>
            <w:r w:rsidRPr="005D74D1">
              <w:rPr>
                <w:rFonts w:cs="Arial"/>
              </w:rPr>
              <w:t>Flooding events spotlighted the capacity of existing DEECA systems to respond. New systems were implemented in response, diverting resources to emergency management.</w:t>
            </w:r>
          </w:p>
          <w:p w14:paraId="4396229D" w14:textId="77777777" w:rsidR="00A50E7D" w:rsidRPr="005D74D1" w:rsidRDefault="49F27980" w:rsidP="00FC4E10">
            <w:pPr>
              <w:pStyle w:val="TableText"/>
              <w:rPr>
                <w:rFonts w:cs="Arial"/>
                <w:lang w:val="en-AU"/>
              </w:rPr>
            </w:pPr>
            <w:r w:rsidRPr="005D74D1">
              <w:rPr>
                <w:rFonts w:cs="Arial"/>
              </w:rPr>
              <w:t xml:space="preserve">The </w:t>
            </w:r>
            <w:r w:rsidR="6DBE0E86" w:rsidRPr="005D74D1">
              <w:rPr>
                <w:rFonts w:cs="Arial"/>
              </w:rPr>
              <w:t xml:space="preserve">DEECA Bulk Entitlements and Systems </w:t>
            </w:r>
            <w:r w:rsidR="003C00B8" w:rsidRPr="005D74D1">
              <w:rPr>
                <w:rFonts w:cs="Arial"/>
              </w:rPr>
              <w:t xml:space="preserve">(BES) </w:t>
            </w:r>
            <w:r w:rsidR="6DBE0E86" w:rsidRPr="005D74D1">
              <w:rPr>
                <w:rFonts w:cs="Arial"/>
              </w:rPr>
              <w:t xml:space="preserve">team has contributed to </w:t>
            </w:r>
            <w:r w:rsidR="55407345" w:rsidRPr="005D74D1">
              <w:rPr>
                <w:rFonts w:cs="Arial"/>
              </w:rPr>
              <w:t xml:space="preserve">the </w:t>
            </w:r>
            <w:r w:rsidR="6DBE0E86" w:rsidRPr="005D74D1">
              <w:rPr>
                <w:rFonts w:cs="Arial"/>
              </w:rPr>
              <w:t>government’s response to increased public scrutiny on storage manager functions following the Oct</w:t>
            </w:r>
            <w:r w:rsidR="00CE0DF6" w:rsidRPr="005D74D1">
              <w:rPr>
                <w:rFonts w:cs="Arial"/>
              </w:rPr>
              <w:t>ober</w:t>
            </w:r>
            <w:r w:rsidR="6DBE0E86" w:rsidRPr="005D74D1">
              <w:rPr>
                <w:rFonts w:cs="Arial"/>
              </w:rPr>
              <w:t xml:space="preserve"> 2022 floods, and has contributed to reviews into storage operations and infrastructure and inquiries into Victoria’s preparedness for the 2022 flood event. This has resulted in impacts on the remainder of the work program due to the need to reallocate resources for these functions</w:t>
            </w:r>
            <w:r w:rsidR="00FF75B7" w:rsidRPr="005D74D1">
              <w:rPr>
                <w:rFonts w:cs="Arial"/>
              </w:rPr>
              <w:t xml:space="preserve">. </w:t>
            </w:r>
            <w:r w:rsidR="00596B09" w:rsidRPr="005D74D1">
              <w:rPr>
                <w:rFonts w:cs="Arial"/>
              </w:rPr>
              <w:t>Some lessons from this experience include:</w:t>
            </w:r>
          </w:p>
          <w:p w14:paraId="04A026D9" w14:textId="3F01D005" w:rsidR="00596B09" w:rsidRPr="00A134A7" w:rsidRDefault="00966B98" w:rsidP="00FC4E10">
            <w:pPr>
              <w:pStyle w:val="TableBullet"/>
              <w:rPr>
                <w:rFonts w:cs="Arial"/>
                <w:lang w:val="en-AU"/>
              </w:rPr>
            </w:pPr>
            <w:r w:rsidRPr="00A134A7">
              <w:rPr>
                <w:rFonts w:cs="Arial"/>
                <w:lang w:val="en-AU"/>
              </w:rPr>
              <w:t>t</w:t>
            </w:r>
            <w:r w:rsidR="005D7430" w:rsidRPr="00A134A7">
              <w:rPr>
                <w:rFonts w:cs="Arial"/>
                <w:lang w:val="en-AU"/>
              </w:rPr>
              <w:t xml:space="preserve">he need to build time into work plans to respond to unforeseen events such as those resulting from </w:t>
            </w:r>
            <w:r w:rsidR="00CE0DF6" w:rsidRPr="00A134A7">
              <w:rPr>
                <w:rFonts w:cs="Arial"/>
                <w:lang w:val="en-AU"/>
              </w:rPr>
              <w:t>extreme weather events</w:t>
            </w:r>
          </w:p>
          <w:p w14:paraId="5704602F" w14:textId="26C6D131" w:rsidR="005D7430" w:rsidRPr="00A134A7" w:rsidRDefault="00966B98" w:rsidP="00FC4E10">
            <w:pPr>
              <w:pStyle w:val="TableBullet"/>
              <w:rPr>
                <w:rFonts w:cs="Arial"/>
                <w:lang w:val="en-AU"/>
              </w:rPr>
            </w:pPr>
            <w:r w:rsidRPr="00A134A7">
              <w:rPr>
                <w:rFonts w:cs="Arial"/>
                <w:lang w:val="en-AU"/>
              </w:rPr>
              <w:t>i</w:t>
            </w:r>
            <w:r w:rsidR="00132C86" w:rsidRPr="00A134A7">
              <w:rPr>
                <w:rFonts w:cs="Arial"/>
                <w:lang w:val="en-AU"/>
              </w:rPr>
              <w:t xml:space="preserve">n response to the floods, the BES team were asked to respond to community enquiries, which required a specialised skill set outside of BES team’s prior experience. </w:t>
            </w:r>
            <w:r w:rsidR="00821807" w:rsidRPr="00A134A7">
              <w:rPr>
                <w:rFonts w:cs="Arial"/>
                <w:lang w:val="en-AU"/>
              </w:rPr>
              <w:t>Th</w:t>
            </w:r>
            <w:r w:rsidR="00132C86" w:rsidRPr="00A134A7">
              <w:rPr>
                <w:rFonts w:cs="Arial"/>
                <w:lang w:val="en-AU"/>
              </w:rPr>
              <w:t xml:space="preserve">is highlighted </w:t>
            </w:r>
            <w:r w:rsidR="007E468B" w:rsidRPr="00A134A7">
              <w:rPr>
                <w:rFonts w:cs="Arial"/>
                <w:lang w:val="en-AU"/>
              </w:rPr>
              <w:t>the</w:t>
            </w:r>
            <w:r w:rsidR="00821807" w:rsidRPr="00A134A7">
              <w:rPr>
                <w:rFonts w:cs="Arial"/>
                <w:lang w:val="en-AU"/>
              </w:rPr>
              <w:t xml:space="preserve"> </w:t>
            </w:r>
            <w:r w:rsidR="002E1D8F" w:rsidRPr="00A134A7">
              <w:rPr>
                <w:rFonts w:cs="Arial"/>
                <w:lang w:val="en-AU"/>
              </w:rPr>
              <w:t>importance of recognising when</w:t>
            </w:r>
            <w:r w:rsidR="00A02C0D" w:rsidRPr="00A134A7">
              <w:rPr>
                <w:rFonts w:cs="Arial"/>
                <w:lang w:val="en-AU"/>
              </w:rPr>
              <w:t xml:space="preserve"> unforeseen events lead to roles outside a team’s </w:t>
            </w:r>
            <w:r w:rsidR="00DB53C1" w:rsidRPr="00A134A7">
              <w:rPr>
                <w:rFonts w:cs="Arial"/>
                <w:lang w:val="en-AU"/>
              </w:rPr>
              <w:t>scope of experience</w:t>
            </w:r>
            <w:r w:rsidR="00040598" w:rsidRPr="00A134A7">
              <w:rPr>
                <w:rFonts w:cs="Arial"/>
                <w:lang w:val="en-AU"/>
              </w:rPr>
              <w:t xml:space="preserve">, which require new training or </w:t>
            </w:r>
            <w:r w:rsidR="00E97596" w:rsidRPr="00A134A7">
              <w:rPr>
                <w:rFonts w:cs="Arial"/>
                <w:lang w:val="en-AU"/>
              </w:rPr>
              <w:t>involving</w:t>
            </w:r>
            <w:r w:rsidR="00036D9F" w:rsidRPr="00A134A7">
              <w:rPr>
                <w:rFonts w:cs="Arial"/>
                <w:lang w:val="en-AU"/>
              </w:rPr>
              <w:t xml:space="preserve"> appropriate specialists</w:t>
            </w:r>
            <w:r w:rsidR="00DB53C1" w:rsidRPr="00A134A7">
              <w:rPr>
                <w:rFonts w:cs="Arial"/>
                <w:lang w:val="en-AU"/>
              </w:rPr>
              <w:t xml:space="preserve">. </w:t>
            </w:r>
          </w:p>
        </w:tc>
      </w:tr>
      <w:tr w:rsidR="00190B1A" w:rsidRPr="005D74D1" w14:paraId="77F333A2" w14:textId="77777777" w:rsidTr="00BC05B6">
        <w:tc>
          <w:tcPr>
            <w:tcW w:w="979" w:type="pct"/>
          </w:tcPr>
          <w:p w14:paraId="465791A1" w14:textId="1C534AD5" w:rsidR="00190B1A" w:rsidRPr="005D74D1" w:rsidRDefault="00190B1A" w:rsidP="00FC4E10">
            <w:pPr>
              <w:pStyle w:val="TableText"/>
              <w:rPr>
                <w:rFonts w:cs="Arial"/>
                <w:bCs/>
                <w:lang w:val="en-AU"/>
              </w:rPr>
            </w:pPr>
            <w:r w:rsidRPr="005D74D1">
              <w:rPr>
                <w:rFonts w:cs="Arial"/>
                <w:bCs/>
              </w:rPr>
              <w:t>Bushfire</w:t>
            </w:r>
          </w:p>
        </w:tc>
        <w:tc>
          <w:tcPr>
            <w:tcW w:w="4021" w:type="pct"/>
          </w:tcPr>
          <w:p w14:paraId="287A96D8" w14:textId="34540504" w:rsidR="00190B1A" w:rsidRPr="005D74D1" w:rsidRDefault="6DBE0E86" w:rsidP="00FC4E10">
            <w:pPr>
              <w:pStyle w:val="TableText"/>
              <w:rPr>
                <w:rFonts w:cs="Arial"/>
                <w:b/>
                <w:bCs/>
                <w:lang w:val="en-AU"/>
              </w:rPr>
            </w:pPr>
            <w:r w:rsidRPr="005D74D1">
              <w:rPr>
                <w:rFonts w:cs="Arial"/>
              </w:rPr>
              <w:t>Major bushfires occurred in Victoria in 2019</w:t>
            </w:r>
            <w:r w:rsidR="1A8405F2" w:rsidRPr="005D74D1">
              <w:rPr>
                <w:rFonts w:cs="Arial"/>
              </w:rPr>
              <w:t>–</w:t>
            </w:r>
            <w:r w:rsidRPr="005D74D1">
              <w:rPr>
                <w:rFonts w:cs="Arial"/>
              </w:rPr>
              <w:t>20 causing major damage to the Victorian landscape and having significant impacts on access to communities in rural and regional areas.</w:t>
            </w:r>
          </w:p>
        </w:tc>
      </w:tr>
    </w:tbl>
    <w:p w14:paraId="2EDE35F1" w14:textId="1CFACF76" w:rsidR="00544D90" w:rsidRPr="00A134A7" w:rsidRDefault="00544D90">
      <w:pPr>
        <w:rPr>
          <w:rFonts w:eastAsiaTheme="majorEastAsia" w:cs="Arial"/>
          <w:b/>
          <w:sz w:val="26"/>
          <w:szCs w:val="24"/>
        </w:rPr>
      </w:pPr>
    </w:p>
    <w:p w14:paraId="2FB48C56" w14:textId="33A3D2E4" w:rsidR="007310DC" w:rsidRPr="00A134A7" w:rsidRDefault="007310DC" w:rsidP="007310DC">
      <w:pPr>
        <w:pStyle w:val="Heading3"/>
        <w:rPr>
          <w:rFonts w:ascii="Arial" w:hAnsi="Arial" w:cs="Arial"/>
        </w:rPr>
      </w:pPr>
      <w:r w:rsidRPr="00A134A7">
        <w:rPr>
          <w:rFonts w:ascii="Arial" w:hAnsi="Arial" w:cs="Arial"/>
        </w:rPr>
        <w:lastRenderedPageBreak/>
        <w:t>To what extent did projects develop and work in partnership with other parts of government, other organisations, and community?</w:t>
      </w:r>
    </w:p>
    <w:p w14:paraId="34706C0F" w14:textId="2A6A163F" w:rsidR="00460FED" w:rsidRPr="005D74D1" w:rsidRDefault="3EAF9ABB" w:rsidP="00460FED">
      <w:pPr>
        <w:pStyle w:val="BodyText"/>
        <w:rPr>
          <w:rFonts w:cs="Arial"/>
        </w:rPr>
      </w:pPr>
      <w:r w:rsidRPr="005D74D1">
        <w:rPr>
          <w:rFonts w:cs="Arial"/>
        </w:rPr>
        <w:t xml:space="preserve">The EC5 </w:t>
      </w:r>
      <w:r w:rsidR="3B325E92" w:rsidRPr="005D74D1">
        <w:rPr>
          <w:rFonts w:cs="Arial"/>
        </w:rPr>
        <w:t>project</w:t>
      </w:r>
      <w:r w:rsidRPr="005D74D1">
        <w:rPr>
          <w:rFonts w:cs="Arial"/>
        </w:rPr>
        <w:t xml:space="preserve">s were highly collaborative and recognised the importance of partnerships in effective delivery. </w:t>
      </w:r>
      <w:r w:rsidR="00BE61EC" w:rsidRPr="005D74D1">
        <w:rPr>
          <w:rFonts w:cs="Arial"/>
        </w:rPr>
        <w:t xml:space="preserve">Partnerships were valuable, with </w:t>
      </w:r>
      <w:r w:rsidR="7F0D3493" w:rsidRPr="005D74D1">
        <w:rPr>
          <w:rFonts w:cs="Arial"/>
        </w:rPr>
        <w:t>95</w:t>
      </w:r>
      <w:r w:rsidR="7F9F8942" w:rsidRPr="005D74D1">
        <w:rPr>
          <w:rFonts w:cs="Arial"/>
        </w:rPr>
        <w:t xml:space="preserve">% of the </w:t>
      </w:r>
      <w:r w:rsidR="3B325E92" w:rsidRPr="005D74D1">
        <w:rPr>
          <w:rFonts w:cs="Arial"/>
        </w:rPr>
        <w:t>project</w:t>
      </w:r>
      <w:r w:rsidR="7F9F8942" w:rsidRPr="005D74D1">
        <w:rPr>
          <w:rFonts w:cs="Arial"/>
        </w:rPr>
        <w:t xml:space="preserve">s </w:t>
      </w:r>
      <w:r w:rsidR="6938D1BC" w:rsidRPr="005D74D1">
        <w:rPr>
          <w:rFonts w:cs="Arial"/>
        </w:rPr>
        <w:t xml:space="preserve">reported that partnerships developed </w:t>
      </w:r>
      <w:r w:rsidR="0066028B" w:rsidRPr="005D74D1">
        <w:rPr>
          <w:rFonts w:cs="Arial"/>
        </w:rPr>
        <w:t>during EC5</w:t>
      </w:r>
      <w:r w:rsidR="6938D1BC" w:rsidRPr="005D74D1">
        <w:rPr>
          <w:rFonts w:cs="Arial"/>
        </w:rPr>
        <w:t xml:space="preserve"> were valuable in achieving </w:t>
      </w:r>
      <w:r w:rsidR="3B325E92" w:rsidRPr="005D74D1">
        <w:rPr>
          <w:rFonts w:cs="Arial"/>
        </w:rPr>
        <w:t>project</w:t>
      </w:r>
      <w:r w:rsidR="6938D1BC" w:rsidRPr="005D74D1">
        <w:rPr>
          <w:rFonts w:cs="Arial"/>
        </w:rPr>
        <w:t xml:space="preserve"> outcomes.</w:t>
      </w:r>
      <w:r w:rsidR="21AA7D1A" w:rsidRPr="005D74D1">
        <w:rPr>
          <w:rFonts w:cs="Arial"/>
        </w:rPr>
        <w:t xml:space="preserve"> </w:t>
      </w:r>
      <w:r w:rsidR="3B325E92" w:rsidRPr="005D74D1">
        <w:rPr>
          <w:rFonts w:cs="Arial"/>
        </w:rPr>
        <w:t>Project</w:t>
      </w:r>
      <w:r w:rsidR="09D707AB" w:rsidRPr="005D74D1">
        <w:rPr>
          <w:rFonts w:cs="Arial"/>
        </w:rPr>
        <w:t xml:space="preserve"> teams reported </w:t>
      </w:r>
      <w:r w:rsidR="3C6C7972" w:rsidRPr="005D74D1">
        <w:rPr>
          <w:rFonts w:cs="Arial"/>
        </w:rPr>
        <w:t xml:space="preserve">that </w:t>
      </w:r>
      <w:r w:rsidR="09D707AB" w:rsidRPr="005D74D1">
        <w:rPr>
          <w:rFonts w:cs="Arial"/>
        </w:rPr>
        <w:t>over 1</w:t>
      </w:r>
      <w:r w:rsidR="004A09AD" w:rsidRPr="005D74D1">
        <w:rPr>
          <w:rFonts w:cs="Arial"/>
        </w:rPr>
        <w:t>,</w:t>
      </w:r>
      <w:r w:rsidR="09D707AB" w:rsidRPr="005D74D1">
        <w:rPr>
          <w:rFonts w:cs="Arial"/>
        </w:rPr>
        <w:t xml:space="preserve">300 partnerships </w:t>
      </w:r>
      <w:r w:rsidR="3C6C7972" w:rsidRPr="005D74D1">
        <w:rPr>
          <w:rFonts w:cs="Arial"/>
        </w:rPr>
        <w:t xml:space="preserve">were </w:t>
      </w:r>
      <w:r w:rsidR="09D707AB" w:rsidRPr="005D74D1">
        <w:rPr>
          <w:rFonts w:cs="Arial"/>
        </w:rPr>
        <w:t xml:space="preserve">fostered throughout </w:t>
      </w:r>
      <w:r w:rsidR="1B8F2239" w:rsidRPr="005D74D1">
        <w:rPr>
          <w:rFonts w:cs="Arial"/>
        </w:rPr>
        <w:t xml:space="preserve">the 38 </w:t>
      </w:r>
      <w:r w:rsidR="09D707AB" w:rsidRPr="005D74D1">
        <w:rPr>
          <w:rFonts w:cs="Arial"/>
        </w:rPr>
        <w:t>EC5</w:t>
      </w:r>
      <w:r w:rsidR="3C6C7972" w:rsidRPr="005D74D1">
        <w:rPr>
          <w:rFonts w:cs="Arial"/>
        </w:rPr>
        <w:t xml:space="preserve"> </w:t>
      </w:r>
      <w:r w:rsidR="3B325E92" w:rsidRPr="005D74D1">
        <w:rPr>
          <w:rFonts w:cs="Arial"/>
        </w:rPr>
        <w:t>project</w:t>
      </w:r>
      <w:r w:rsidR="03C2745A" w:rsidRPr="005D74D1">
        <w:rPr>
          <w:rFonts w:cs="Arial"/>
        </w:rPr>
        <w:t>s</w:t>
      </w:r>
      <w:r w:rsidR="1B8F2239" w:rsidRPr="005D74D1">
        <w:rPr>
          <w:rFonts w:cs="Arial"/>
        </w:rPr>
        <w:t xml:space="preserve">, </w:t>
      </w:r>
      <w:r w:rsidR="03C2745A" w:rsidRPr="005D74D1">
        <w:rPr>
          <w:rFonts w:cs="Arial"/>
        </w:rPr>
        <w:t>with</w:t>
      </w:r>
      <w:r w:rsidR="3C6C7972" w:rsidRPr="005D74D1">
        <w:rPr>
          <w:rFonts w:cs="Arial"/>
        </w:rPr>
        <w:t xml:space="preserve"> a </w:t>
      </w:r>
      <w:r w:rsidR="03C2745A" w:rsidRPr="005D74D1">
        <w:rPr>
          <w:rFonts w:cs="Arial"/>
        </w:rPr>
        <w:t xml:space="preserve">broad </w:t>
      </w:r>
      <w:r w:rsidR="3C6C7972" w:rsidRPr="005D74D1">
        <w:rPr>
          <w:rFonts w:cs="Arial"/>
        </w:rPr>
        <w:t xml:space="preserve">range of </w:t>
      </w:r>
      <w:r w:rsidR="1B8F2239" w:rsidRPr="005D74D1">
        <w:rPr>
          <w:rFonts w:cs="Arial"/>
        </w:rPr>
        <w:t>stakeholders</w:t>
      </w:r>
      <w:r w:rsidR="03C2745A" w:rsidRPr="005D74D1">
        <w:rPr>
          <w:rFonts w:cs="Arial"/>
        </w:rPr>
        <w:t>. T</w:t>
      </w:r>
      <w:r w:rsidR="064F98D5" w:rsidRPr="005D74D1">
        <w:rPr>
          <w:rFonts w:cs="Arial"/>
        </w:rPr>
        <w:t>he highest numbers of partn</w:t>
      </w:r>
      <w:r w:rsidR="46450582" w:rsidRPr="005D74D1">
        <w:rPr>
          <w:rFonts w:cs="Arial"/>
        </w:rPr>
        <w:t xml:space="preserve">erships </w:t>
      </w:r>
      <w:r w:rsidR="67479C18" w:rsidRPr="005D74D1">
        <w:rPr>
          <w:rFonts w:cs="Arial"/>
        </w:rPr>
        <w:t>were</w:t>
      </w:r>
      <w:r w:rsidR="46450582" w:rsidRPr="005D74D1">
        <w:rPr>
          <w:rFonts w:cs="Arial"/>
        </w:rPr>
        <w:t xml:space="preserve"> </w:t>
      </w:r>
      <w:r w:rsidR="5F6FDC77" w:rsidRPr="005D74D1">
        <w:rPr>
          <w:rFonts w:cs="Arial"/>
        </w:rPr>
        <w:t xml:space="preserve">with </w:t>
      </w:r>
      <w:r w:rsidR="58BF8A14" w:rsidRPr="005D74D1">
        <w:rPr>
          <w:rFonts w:cs="Arial"/>
        </w:rPr>
        <w:t>l</w:t>
      </w:r>
      <w:r w:rsidR="5F6FDC77" w:rsidRPr="005D74D1">
        <w:rPr>
          <w:rFonts w:cs="Arial"/>
        </w:rPr>
        <w:t xml:space="preserve">ocal </w:t>
      </w:r>
      <w:r w:rsidR="2606C13F" w:rsidRPr="005D74D1">
        <w:rPr>
          <w:rFonts w:cs="Arial"/>
        </w:rPr>
        <w:t>g</w:t>
      </w:r>
      <w:r w:rsidR="5F6FDC77" w:rsidRPr="005D74D1">
        <w:rPr>
          <w:rFonts w:cs="Arial"/>
        </w:rPr>
        <w:t>overnment, Traditional Owners</w:t>
      </w:r>
      <w:r w:rsidR="0B616EBA" w:rsidRPr="005D74D1">
        <w:rPr>
          <w:rFonts w:cs="Arial"/>
        </w:rPr>
        <w:t>,</w:t>
      </w:r>
      <w:r w:rsidR="5F6FDC77" w:rsidRPr="005D74D1">
        <w:rPr>
          <w:rFonts w:cs="Arial"/>
        </w:rPr>
        <w:t xml:space="preserve"> and </w:t>
      </w:r>
      <w:r w:rsidR="782B7D5D" w:rsidRPr="005D74D1">
        <w:rPr>
          <w:rFonts w:cs="Arial"/>
        </w:rPr>
        <w:t>c</w:t>
      </w:r>
      <w:r w:rsidR="5F6FDC77" w:rsidRPr="005D74D1">
        <w:rPr>
          <w:rFonts w:cs="Arial"/>
        </w:rPr>
        <w:t xml:space="preserve">ommunity </w:t>
      </w:r>
      <w:r w:rsidR="44229E2C" w:rsidRPr="005D74D1">
        <w:rPr>
          <w:rFonts w:cs="Arial"/>
        </w:rPr>
        <w:t>o</w:t>
      </w:r>
      <w:r w:rsidR="5F6FDC77" w:rsidRPr="005D74D1">
        <w:rPr>
          <w:rFonts w:cs="Arial"/>
        </w:rPr>
        <w:t>rganisation</w:t>
      </w:r>
      <w:r w:rsidR="3C6C7972" w:rsidRPr="005D74D1">
        <w:rPr>
          <w:rFonts w:cs="Arial"/>
        </w:rPr>
        <w:t xml:space="preserve">s, as shown </w:t>
      </w:r>
      <w:r w:rsidR="00C24C75" w:rsidRPr="005D74D1">
        <w:rPr>
          <w:rFonts w:cs="Arial"/>
        </w:rPr>
        <w:t xml:space="preserve">in </w:t>
      </w:r>
      <w:r w:rsidR="00925BCE" w:rsidRPr="00A134A7">
        <w:rPr>
          <w:rFonts w:cs="Arial"/>
        </w:rPr>
        <w:fldChar w:fldCharType="begin"/>
      </w:r>
      <w:r w:rsidR="00925BCE" w:rsidRPr="005D74D1">
        <w:rPr>
          <w:rFonts w:cs="Arial"/>
        </w:rPr>
        <w:instrText xml:space="preserve"> REF _Ref183452496 \h </w:instrText>
      </w:r>
      <w:r w:rsidR="005D74D1" w:rsidRPr="005D74D1">
        <w:rPr>
          <w:rFonts w:cs="Arial"/>
        </w:rPr>
        <w:instrText xml:space="preserve"> \* MERGEFORMAT </w:instrText>
      </w:r>
      <w:r w:rsidR="00925BCE" w:rsidRPr="00A134A7">
        <w:rPr>
          <w:rFonts w:cs="Arial"/>
        </w:rPr>
      </w:r>
      <w:r w:rsidR="00925BCE" w:rsidRPr="00A134A7">
        <w:rPr>
          <w:rFonts w:cs="Arial"/>
        </w:rPr>
        <w:fldChar w:fldCharType="separate"/>
      </w:r>
      <w:r w:rsidR="003870A0" w:rsidRPr="005D74D1">
        <w:rPr>
          <w:rFonts w:cs="Arial"/>
        </w:rPr>
        <w:t xml:space="preserve">Figure </w:t>
      </w:r>
      <w:r w:rsidR="003870A0">
        <w:rPr>
          <w:rFonts w:cs="Arial"/>
        </w:rPr>
        <w:t>4</w:t>
      </w:r>
      <w:r w:rsidR="00925BCE" w:rsidRPr="00A134A7">
        <w:rPr>
          <w:rFonts w:cs="Arial"/>
        </w:rPr>
        <w:fldChar w:fldCharType="end"/>
      </w:r>
      <w:r w:rsidR="00C24C75" w:rsidRPr="005D74D1">
        <w:rPr>
          <w:rFonts w:cs="Arial"/>
        </w:rPr>
        <w:t>.</w:t>
      </w:r>
    </w:p>
    <w:p w14:paraId="1D163213" w14:textId="4AC71AF0" w:rsidR="00015304" w:rsidRPr="005D74D1" w:rsidRDefault="00DD5EE7" w:rsidP="00460FED">
      <w:pPr>
        <w:pStyle w:val="BodyText"/>
        <w:rPr>
          <w:rFonts w:cs="Arial"/>
        </w:rPr>
      </w:pPr>
      <w:r w:rsidRPr="00A134A7">
        <w:rPr>
          <w:rFonts w:cs="Arial"/>
          <w:noProof/>
        </w:rPr>
        <w:drawing>
          <wp:inline distT="0" distB="0" distL="0" distR="0" wp14:anchorId="14E72F46" wp14:editId="1715D099">
            <wp:extent cx="6102221" cy="3482164"/>
            <wp:effectExtent l="0" t="0" r="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119530" cy="3492041"/>
                    </a:xfrm>
                    <a:prstGeom prst="rect">
                      <a:avLst/>
                    </a:prstGeom>
                    <a:noFill/>
                  </pic:spPr>
                </pic:pic>
              </a:graphicData>
            </a:graphic>
          </wp:inline>
        </w:drawing>
      </w:r>
    </w:p>
    <w:p w14:paraId="7D0817AF" w14:textId="7A12EEEC" w:rsidR="00144971" w:rsidRPr="005D74D1" w:rsidRDefault="00AE7900" w:rsidP="00FA2930">
      <w:pPr>
        <w:pStyle w:val="FigureCaption"/>
        <w:rPr>
          <w:rFonts w:cs="Arial"/>
        </w:rPr>
      </w:pPr>
      <w:bookmarkStart w:id="493" w:name="_Ref183452496"/>
      <w:bookmarkStart w:id="494" w:name="_Toc183776654"/>
      <w:r w:rsidRPr="005D74D1">
        <w:rPr>
          <w:rFonts w:cs="Arial"/>
        </w:rPr>
        <w:t xml:space="preserve">Figure </w:t>
      </w:r>
      <w:r w:rsidRPr="00A134A7">
        <w:rPr>
          <w:rFonts w:cs="Arial"/>
        </w:rPr>
        <w:fldChar w:fldCharType="begin"/>
      </w:r>
      <w:r w:rsidRPr="005D74D1">
        <w:rPr>
          <w:rFonts w:cs="Arial"/>
        </w:rPr>
        <w:instrText xml:space="preserve"> SEQ Figure \* ARABIC </w:instrText>
      </w:r>
      <w:r w:rsidRPr="00A134A7">
        <w:rPr>
          <w:rFonts w:cs="Arial"/>
        </w:rPr>
        <w:fldChar w:fldCharType="separate"/>
      </w:r>
      <w:r w:rsidR="003870A0">
        <w:rPr>
          <w:rFonts w:cs="Arial"/>
          <w:noProof/>
        </w:rPr>
        <w:t>4</w:t>
      </w:r>
      <w:r w:rsidRPr="00A134A7">
        <w:rPr>
          <w:rFonts w:cs="Arial"/>
        </w:rPr>
        <w:fldChar w:fldCharType="end"/>
      </w:r>
      <w:bookmarkEnd w:id="493"/>
      <w:r w:rsidR="00E70B66" w:rsidRPr="005D74D1">
        <w:rPr>
          <w:rFonts w:cs="Arial"/>
        </w:rPr>
        <w:t>.</w:t>
      </w:r>
      <w:r w:rsidR="00BD2ACD" w:rsidRPr="005D74D1">
        <w:rPr>
          <w:rFonts w:cs="Arial"/>
        </w:rPr>
        <w:t xml:space="preserve"> Numbers of partnerships developed with various stakeholders throughout the EC5</w:t>
      </w:r>
      <w:bookmarkEnd w:id="494"/>
    </w:p>
    <w:p w14:paraId="12A2B40B" w14:textId="77777777" w:rsidR="00A50E7D" w:rsidRPr="005D74D1" w:rsidRDefault="00F20DD8" w:rsidP="7952BA11">
      <w:pPr>
        <w:pStyle w:val="BodyText"/>
        <w:rPr>
          <w:rFonts w:cs="Arial"/>
        </w:rPr>
      </w:pPr>
      <w:r w:rsidRPr="005D74D1">
        <w:rPr>
          <w:rFonts w:cs="Arial"/>
        </w:rPr>
        <w:t xml:space="preserve">Some examples of the value </w:t>
      </w:r>
      <w:r w:rsidR="002A211F" w:rsidRPr="005D74D1">
        <w:rPr>
          <w:rFonts w:cs="Arial"/>
        </w:rPr>
        <w:t>that</w:t>
      </w:r>
      <w:r w:rsidRPr="005D74D1">
        <w:rPr>
          <w:rFonts w:cs="Arial"/>
        </w:rPr>
        <w:t xml:space="preserve"> partnership approaches</w:t>
      </w:r>
      <w:r w:rsidR="00DB3E34" w:rsidRPr="005D74D1">
        <w:rPr>
          <w:rFonts w:cs="Arial"/>
        </w:rPr>
        <w:t xml:space="preserve"> </w:t>
      </w:r>
      <w:r w:rsidR="002A211F" w:rsidRPr="005D74D1">
        <w:rPr>
          <w:rFonts w:cs="Arial"/>
        </w:rPr>
        <w:t xml:space="preserve">provided to the projects </w:t>
      </w:r>
      <w:r w:rsidR="00DB3E34" w:rsidRPr="005D74D1">
        <w:rPr>
          <w:rFonts w:cs="Arial"/>
        </w:rPr>
        <w:t>include:</w:t>
      </w:r>
    </w:p>
    <w:p w14:paraId="52EB3965" w14:textId="77777777" w:rsidR="00A50E7D" w:rsidRPr="00A134A7" w:rsidRDefault="00BF735B" w:rsidP="002A211F">
      <w:pPr>
        <w:pStyle w:val="BulletLevel1"/>
        <w:rPr>
          <w:rFonts w:cs="Arial"/>
          <w:lang w:val="en-AU"/>
        </w:rPr>
      </w:pPr>
      <w:r w:rsidRPr="00A134A7">
        <w:rPr>
          <w:rFonts w:cs="Arial"/>
          <w:lang w:val="en-AU"/>
        </w:rPr>
        <w:t>T</w:t>
      </w:r>
      <w:r w:rsidR="000E4F78" w:rsidRPr="00A134A7">
        <w:rPr>
          <w:rFonts w:cs="Arial"/>
          <w:lang w:val="en-AU"/>
        </w:rPr>
        <w:t xml:space="preserve">he development </w:t>
      </w:r>
      <w:r w:rsidR="00016A30" w:rsidRPr="00A134A7">
        <w:rPr>
          <w:rFonts w:cs="Arial"/>
          <w:lang w:val="en-AU"/>
        </w:rPr>
        <w:t>and implementation of the Lower Werribee Waterway Amenity Action Plan (LWWAAP) and Kitjarra-dja-bul bullarto langi-ut (formerly Barwon River Parklands Masterplan). This approach support</w:t>
      </w:r>
      <w:r w:rsidR="003B1DD5" w:rsidRPr="00A134A7">
        <w:rPr>
          <w:rFonts w:cs="Arial"/>
          <w:lang w:val="en-AU"/>
        </w:rPr>
        <w:t>ed</w:t>
      </w:r>
      <w:r w:rsidR="00016A30" w:rsidRPr="00A134A7">
        <w:rPr>
          <w:rFonts w:cs="Arial"/>
          <w:lang w:val="en-AU"/>
        </w:rPr>
        <w:t xml:space="preserve"> planning for and managing waterways as connected and living entities across land tenures and agency responsibilities, with buy-in from a range of stakeholders at both a development and delivery level. In bringing together </w:t>
      </w:r>
      <w:r w:rsidR="00BF77A2" w:rsidRPr="00A134A7">
        <w:rPr>
          <w:rFonts w:cs="Arial"/>
          <w:lang w:val="en-AU"/>
        </w:rPr>
        <w:t>s</w:t>
      </w:r>
      <w:r w:rsidR="00016A30" w:rsidRPr="00A134A7">
        <w:rPr>
          <w:rFonts w:cs="Arial"/>
          <w:lang w:val="en-AU"/>
        </w:rPr>
        <w:t xml:space="preserve">tate </w:t>
      </w:r>
      <w:r w:rsidR="00BF77A2" w:rsidRPr="00A134A7">
        <w:rPr>
          <w:rFonts w:cs="Arial"/>
          <w:lang w:val="en-AU"/>
        </w:rPr>
        <w:t>g</w:t>
      </w:r>
      <w:r w:rsidR="00016A30" w:rsidRPr="00A134A7">
        <w:rPr>
          <w:rFonts w:cs="Arial"/>
          <w:lang w:val="en-AU"/>
        </w:rPr>
        <w:t xml:space="preserve">overnment departments and statutory agencies, </w:t>
      </w:r>
      <w:r w:rsidR="00BF77A2" w:rsidRPr="00A134A7">
        <w:rPr>
          <w:rFonts w:cs="Arial"/>
          <w:lang w:val="en-AU"/>
        </w:rPr>
        <w:t>l</w:t>
      </w:r>
      <w:r w:rsidR="00016A30" w:rsidRPr="00A134A7">
        <w:rPr>
          <w:rFonts w:cs="Arial"/>
          <w:lang w:val="en-AU"/>
        </w:rPr>
        <w:t xml:space="preserve">ocal </w:t>
      </w:r>
      <w:r w:rsidR="00BF77A2" w:rsidRPr="00A134A7">
        <w:rPr>
          <w:rFonts w:cs="Arial"/>
          <w:lang w:val="en-AU"/>
        </w:rPr>
        <w:t>g</w:t>
      </w:r>
      <w:r w:rsidR="00016A30" w:rsidRPr="00A134A7">
        <w:rPr>
          <w:rFonts w:cs="Arial"/>
          <w:lang w:val="en-AU"/>
        </w:rPr>
        <w:t xml:space="preserve">overnment, Traditional Owners and community groups from the start of the process, a plan </w:t>
      </w:r>
      <w:r w:rsidR="003B1DD5" w:rsidRPr="00A134A7">
        <w:rPr>
          <w:rFonts w:cs="Arial"/>
          <w:lang w:val="en-AU"/>
        </w:rPr>
        <w:t>wa</w:t>
      </w:r>
      <w:r w:rsidR="00016A30" w:rsidRPr="00A134A7">
        <w:rPr>
          <w:rFonts w:cs="Arial"/>
          <w:lang w:val="en-AU"/>
        </w:rPr>
        <w:t>s developed that represent</w:t>
      </w:r>
      <w:r w:rsidR="003B1DD5" w:rsidRPr="00A134A7">
        <w:rPr>
          <w:rFonts w:cs="Arial"/>
          <w:lang w:val="en-AU"/>
        </w:rPr>
        <w:t>ed</w:t>
      </w:r>
      <w:r w:rsidR="00016A30" w:rsidRPr="00A134A7">
        <w:rPr>
          <w:rFonts w:cs="Arial"/>
          <w:lang w:val="en-AU"/>
        </w:rPr>
        <w:t xml:space="preserve"> diverse values and outcomes.</w:t>
      </w:r>
    </w:p>
    <w:p w14:paraId="36292A69" w14:textId="77777777" w:rsidR="00A50E7D" w:rsidRPr="00A134A7" w:rsidRDefault="007C3871" w:rsidP="002A211F">
      <w:pPr>
        <w:pStyle w:val="BulletLevel1"/>
        <w:rPr>
          <w:rFonts w:cs="Arial"/>
          <w:lang w:val="en-AU"/>
        </w:rPr>
      </w:pPr>
      <w:r w:rsidRPr="00A134A7">
        <w:rPr>
          <w:rFonts w:cs="Arial"/>
          <w:lang w:val="en-AU"/>
        </w:rPr>
        <w:t xml:space="preserve">The </w:t>
      </w:r>
      <w:r w:rsidR="00206FAA" w:rsidRPr="00A134A7">
        <w:rPr>
          <w:rFonts w:cs="Arial"/>
          <w:lang w:val="en-AU"/>
        </w:rPr>
        <w:t xml:space="preserve">partnership </w:t>
      </w:r>
      <w:r w:rsidR="008E1CA3" w:rsidRPr="00A134A7">
        <w:rPr>
          <w:rFonts w:cs="Arial"/>
          <w:lang w:val="en-AU"/>
        </w:rPr>
        <w:t>between DEECA and</w:t>
      </w:r>
      <w:r w:rsidR="00206FAA" w:rsidRPr="00A134A7">
        <w:rPr>
          <w:rFonts w:cs="Arial"/>
          <w:lang w:val="en-AU"/>
        </w:rPr>
        <w:t xml:space="preserve"> the</w:t>
      </w:r>
      <w:r w:rsidR="00DB3E34" w:rsidRPr="00A134A7">
        <w:rPr>
          <w:rFonts w:cs="Arial"/>
          <w:lang w:val="en-AU"/>
        </w:rPr>
        <w:t xml:space="preserve"> Department of Education </w:t>
      </w:r>
      <w:r w:rsidR="008E1CA3" w:rsidRPr="00A134A7">
        <w:rPr>
          <w:rFonts w:cs="Arial"/>
          <w:lang w:val="en-AU"/>
        </w:rPr>
        <w:t xml:space="preserve">in SWEP </w:t>
      </w:r>
      <w:r w:rsidR="00591F89" w:rsidRPr="00A134A7">
        <w:rPr>
          <w:rFonts w:cs="Arial"/>
          <w:lang w:val="en-AU"/>
        </w:rPr>
        <w:t>proved to be</w:t>
      </w:r>
      <w:r w:rsidR="00653B24" w:rsidRPr="00A134A7">
        <w:rPr>
          <w:rFonts w:cs="Arial"/>
          <w:lang w:val="en-AU"/>
        </w:rPr>
        <w:t> </w:t>
      </w:r>
      <w:r w:rsidR="00591F89" w:rsidRPr="00A134A7">
        <w:rPr>
          <w:rFonts w:cs="Arial"/>
          <w:lang w:val="en-AU"/>
        </w:rPr>
        <w:t>extremely valuable when a</w:t>
      </w:r>
      <w:r w:rsidR="00DB3E34" w:rsidRPr="00A134A7">
        <w:rPr>
          <w:rFonts w:cs="Arial"/>
          <w:lang w:val="en-AU"/>
        </w:rPr>
        <w:t xml:space="preserve"> single email from the Department of Education resulted in the</w:t>
      </w:r>
      <w:r w:rsidR="00653B24" w:rsidRPr="00A134A7">
        <w:rPr>
          <w:rFonts w:cs="Arial"/>
          <w:lang w:val="en-AU"/>
        </w:rPr>
        <w:t> </w:t>
      </w:r>
      <w:r w:rsidR="00DB3E34" w:rsidRPr="00A134A7">
        <w:rPr>
          <w:rFonts w:cs="Arial"/>
          <w:lang w:val="en-AU"/>
        </w:rPr>
        <w:t xml:space="preserve">same number of new registrations as 600 direct calls to schools over a </w:t>
      </w:r>
      <w:r w:rsidR="000E07BA" w:rsidRPr="00A134A7">
        <w:rPr>
          <w:rFonts w:cs="Arial"/>
          <w:lang w:val="en-AU"/>
        </w:rPr>
        <w:t>4</w:t>
      </w:r>
      <w:r w:rsidR="00DB3E34" w:rsidRPr="00A134A7">
        <w:rPr>
          <w:rFonts w:cs="Arial"/>
          <w:lang w:val="en-AU"/>
        </w:rPr>
        <w:t>-week period from the</w:t>
      </w:r>
      <w:r w:rsidR="00653B24" w:rsidRPr="00A134A7">
        <w:rPr>
          <w:rFonts w:cs="Arial"/>
          <w:lang w:val="en-AU"/>
        </w:rPr>
        <w:t> </w:t>
      </w:r>
      <w:r w:rsidR="00DB3E34" w:rsidRPr="00A134A7">
        <w:rPr>
          <w:rFonts w:cs="Arial"/>
          <w:lang w:val="en-AU"/>
        </w:rPr>
        <w:t>SWEP</w:t>
      </w:r>
      <w:r w:rsidR="00653B24" w:rsidRPr="00A134A7">
        <w:rPr>
          <w:rFonts w:cs="Arial"/>
          <w:lang w:val="en-AU"/>
        </w:rPr>
        <w:t> </w:t>
      </w:r>
      <w:r w:rsidR="00DB3E34" w:rsidRPr="00A134A7">
        <w:rPr>
          <w:rFonts w:cs="Arial"/>
          <w:lang w:val="en-AU"/>
        </w:rPr>
        <w:t>team.</w:t>
      </w:r>
    </w:p>
    <w:p w14:paraId="71D870B8" w14:textId="77777777" w:rsidR="00A50E7D" w:rsidRPr="00A134A7" w:rsidRDefault="007C3871" w:rsidP="007D4F0D">
      <w:pPr>
        <w:pStyle w:val="BulletLevel1"/>
        <w:keepNext/>
        <w:keepLines/>
        <w:ind w:left="360" w:hanging="360"/>
        <w:rPr>
          <w:rFonts w:cs="Arial"/>
          <w:lang w:val="en-AU"/>
        </w:rPr>
      </w:pPr>
      <w:r w:rsidRPr="00A134A7">
        <w:rPr>
          <w:rFonts w:cs="Arial"/>
          <w:lang w:val="en-AU"/>
        </w:rPr>
        <w:lastRenderedPageBreak/>
        <w:t>In</w:t>
      </w:r>
      <w:r w:rsidR="009D0824" w:rsidRPr="00A134A7">
        <w:rPr>
          <w:rFonts w:cs="Arial"/>
          <w:lang w:val="en-AU"/>
        </w:rPr>
        <w:t xml:space="preserve"> the Waterway Health </w:t>
      </w:r>
      <w:r w:rsidR="00B40D0F" w:rsidRPr="00A134A7">
        <w:rPr>
          <w:rFonts w:cs="Arial"/>
          <w:lang w:val="en-AU"/>
        </w:rPr>
        <w:t>project,</w:t>
      </w:r>
      <w:r w:rsidR="00F84983" w:rsidRPr="00A134A7">
        <w:rPr>
          <w:rFonts w:cs="Arial"/>
          <w:lang w:val="en-AU"/>
        </w:rPr>
        <w:t xml:space="preserve"> e</w:t>
      </w:r>
      <w:r w:rsidR="005F1AD8" w:rsidRPr="00A134A7">
        <w:rPr>
          <w:rFonts w:cs="Arial"/>
          <w:lang w:val="en-AU"/>
        </w:rPr>
        <w:t xml:space="preserve">arly engagement </w:t>
      </w:r>
      <w:r w:rsidR="00F84983" w:rsidRPr="00A134A7">
        <w:rPr>
          <w:rFonts w:cs="Arial"/>
          <w:lang w:val="en-AU"/>
        </w:rPr>
        <w:t xml:space="preserve">and a partnership approach </w:t>
      </w:r>
      <w:r w:rsidR="00495951" w:rsidRPr="00A134A7">
        <w:rPr>
          <w:rFonts w:cs="Arial"/>
          <w:lang w:val="en-AU"/>
        </w:rPr>
        <w:t xml:space="preserve">with </w:t>
      </w:r>
      <w:r w:rsidR="00F84983" w:rsidRPr="00A134A7">
        <w:rPr>
          <w:rFonts w:cs="Arial"/>
          <w:lang w:val="en-AU"/>
        </w:rPr>
        <w:t>s</w:t>
      </w:r>
      <w:r w:rsidR="005F1AD8" w:rsidRPr="00A134A7">
        <w:rPr>
          <w:rFonts w:cs="Arial"/>
          <w:lang w:val="en-AU"/>
        </w:rPr>
        <w:t xml:space="preserve">takeholders </w:t>
      </w:r>
      <w:r w:rsidR="00D96D0A" w:rsidRPr="00A134A7">
        <w:rPr>
          <w:rFonts w:cs="Arial"/>
          <w:lang w:val="en-AU"/>
        </w:rPr>
        <w:t>enabled</w:t>
      </w:r>
      <w:r w:rsidR="005F1AD8" w:rsidRPr="00A134A7">
        <w:rPr>
          <w:rFonts w:cs="Arial"/>
          <w:lang w:val="en-AU"/>
        </w:rPr>
        <w:t xml:space="preserve"> risk</w:t>
      </w:r>
      <w:r w:rsidR="00D96D0A" w:rsidRPr="00A134A7">
        <w:rPr>
          <w:rFonts w:cs="Arial"/>
          <w:lang w:val="en-AU"/>
        </w:rPr>
        <w:t>s</w:t>
      </w:r>
      <w:r w:rsidR="005F1AD8" w:rsidRPr="00A134A7">
        <w:rPr>
          <w:rFonts w:cs="Arial"/>
          <w:lang w:val="en-AU"/>
        </w:rPr>
        <w:t xml:space="preserve"> to be identified and mitigated, as well as provided opportunities for increasing </w:t>
      </w:r>
      <w:r w:rsidR="00F84983" w:rsidRPr="00A134A7">
        <w:rPr>
          <w:rFonts w:cs="Arial"/>
          <w:lang w:val="en-AU"/>
        </w:rPr>
        <w:t>project</w:t>
      </w:r>
      <w:r w:rsidR="005F1AD8" w:rsidRPr="00A134A7">
        <w:rPr>
          <w:rFonts w:cs="Arial"/>
          <w:lang w:val="en-AU"/>
        </w:rPr>
        <w:t xml:space="preserve"> efficiency. For example, for the Lower Werribee Diversion Weir fish project, </w:t>
      </w:r>
      <w:r w:rsidR="00D96D0A" w:rsidRPr="00A134A7">
        <w:rPr>
          <w:rFonts w:cs="Arial"/>
          <w:lang w:val="en-AU"/>
        </w:rPr>
        <w:t>DEECA</w:t>
      </w:r>
      <w:r w:rsidR="002848A1" w:rsidRPr="00A134A7">
        <w:rPr>
          <w:rFonts w:cs="Arial"/>
          <w:lang w:val="en-AU"/>
        </w:rPr>
        <w:t xml:space="preserve"> </w:t>
      </w:r>
      <w:r w:rsidR="00E6257B" w:rsidRPr="00A134A7">
        <w:rPr>
          <w:rFonts w:cs="Arial"/>
          <w:lang w:val="en-AU"/>
        </w:rPr>
        <w:t xml:space="preserve">regularly </w:t>
      </w:r>
      <w:r w:rsidR="005F1AD8" w:rsidRPr="00A134A7">
        <w:rPr>
          <w:rFonts w:cs="Arial"/>
          <w:lang w:val="en-AU"/>
        </w:rPr>
        <w:t xml:space="preserve">met with Melbourne Water and Southern Rural Water. During this process, the possibility of working with the proposed Werribee Regional Park was </w:t>
      </w:r>
      <w:r w:rsidR="002848A1" w:rsidRPr="00A134A7">
        <w:rPr>
          <w:rFonts w:cs="Arial"/>
          <w:lang w:val="en-AU"/>
        </w:rPr>
        <w:t>identified</w:t>
      </w:r>
      <w:r w:rsidR="005F1AD8" w:rsidRPr="00A134A7">
        <w:rPr>
          <w:rFonts w:cs="Arial"/>
          <w:lang w:val="en-AU"/>
        </w:rPr>
        <w:t>, and subsequent discussions with Parks Victoria have resulted in adding a cheaper, more effective option for the design phase</w:t>
      </w:r>
      <w:r w:rsidR="00E6257B" w:rsidRPr="00A134A7">
        <w:rPr>
          <w:rFonts w:cs="Arial"/>
          <w:lang w:val="en-AU"/>
        </w:rPr>
        <w:t>.</w:t>
      </w:r>
    </w:p>
    <w:p w14:paraId="5FDFFAC4" w14:textId="4B54088A" w:rsidR="00F8180C" w:rsidRPr="005D74D1" w:rsidRDefault="00F8180C" w:rsidP="7952BA11">
      <w:pPr>
        <w:pStyle w:val="BodyText"/>
        <w:rPr>
          <w:rFonts w:cs="Arial"/>
        </w:rPr>
      </w:pPr>
      <w:r w:rsidRPr="005D74D1">
        <w:rPr>
          <w:rFonts w:cs="Arial"/>
        </w:rPr>
        <w:t>Pr</w:t>
      </w:r>
      <w:r w:rsidR="006E1809" w:rsidRPr="005D74D1">
        <w:rPr>
          <w:rFonts w:cs="Arial"/>
        </w:rPr>
        <w:t xml:space="preserve">oject reports </w:t>
      </w:r>
      <w:r w:rsidR="00313009" w:rsidRPr="005D74D1">
        <w:rPr>
          <w:rFonts w:cs="Arial"/>
        </w:rPr>
        <w:t xml:space="preserve">also </w:t>
      </w:r>
      <w:r w:rsidR="006E1809" w:rsidRPr="005D74D1">
        <w:rPr>
          <w:rFonts w:cs="Arial"/>
        </w:rPr>
        <w:t>highlighted that w</w:t>
      </w:r>
      <w:r w:rsidRPr="005D74D1">
        <w:rPr>
          <w:rFonts w:cs="Arial"/>
        </w:rPr>
        <w:t>here sub</w:t>
      </w:r>
      <w:r w:rsidR="002848A1" w:rsidRPr="005D74D1">
        <w:rPr>
          <w:rFonts w:cs="Arial"/>
        </w:rPr>
        <w:t>-</w:t>
      </w:r>
      <w:r w:rsidRPr="005D74D1">
        <w:rPr>
          <w:rFonts w:cs="Arial"/>
        </w:rPr>
        <w:t xml:space="preserve">projects </w:t>
      </w:r>
      <w:r w:rsidR="002848A1" w:rsidRPr="005D74D1">
        <w:rPr>
          <w:rFonts w:cs="Arial"/>
        </w:rPr>
        <w:t>we</w:t>
      </w:r>
      <w:r w:rsidRPr="005D74D1">
        <w:rPr>
          <w:rFonts w:cs="Arial"/>
        </w:rPr>
        <w:t>re designed and delivered in partnership with other organisations</w:t>
      </w:r>
      <w:r w:rsidR="006E1809" w:rsidRPr="005D74D1">
        <w:rPr>
          <w:rFonts w:cs="Arial"/>
        </w:rPr>
        <w:t>,</w:t>
      </w:r>
      <w:r w:rsidRPr="005D74D1">
        <w:rPr>
          <w:rFonts w:cs="Arial"/>
        </w:rPr>
        <w:t xml:space="preserve"> strong project management practices/contract management is required to ensure outputs are delivered on time/budget</w:t>
      </w:r>
      <w:r w:rsidR="006E1809" w:rsidRPr="005D74D1">
        <w:rPr>
          <w:rFonts w:cs="Arial"/>
        </w:rPr>
        <w:t>.</w:t>
      </w:r>
    </w:p>
    <w:p w14:paraId="3CFD51AC" w14:textId="77777777" w:rsidR="00A50E7D" w:rsidRPr="005D74D1" w:rsidRDefault="0E152F66" w:rsidP="00E12BD0">
      <w:pPr>
        <w:pStyle w:val="BodyText"/>
        <w:rPr>
          <w:rFonts w:cs="Arial"/>
        </w:rPr>
      </w:pPr>
      <w:r w:rsidRPr="005D74D1">
        <w:rPr>
          <w:rFonts w:cs="Arial"/>
        </w:rPr>
        <w:t xml:space="preserve">Although EC5 has </w:t>
      </w:r>
      <w:r w:rsidR="00F45BA6" w:rsidRPr="005D74D1">
        <w:rPr>
          <w:rFonts w:cs="Arial"/>
        </w:rPr>
        <w:t xml:space="preserve">been characterised by a </w:t>
      </w:r>
      <w:r w:rsidRPr="005D74D1">
        <w:rPr>
          <w:rFonts w:cs="Arial"/>
        </w:rPr>
        <w:t>high</w:t>
      </w:r>
      <w:r w:rsidR="00F45BA6" w:rsidRPr="005D74D1">
        <w:rPr>
          <w:rFonts w:cs="Arial"/>
        </w:rPr>
        <w:t xml:space="preserve"> degree of</w:t>
      </w:r>
      <w:r w:rsidRPr="005D74D1">
        <w:rPr>
          <w:rFonts w:cs="Arial"/>
        </w:rPr>
        <w:t xml:space="preserve"> collaborati</w:t>
      </w:r>
      <w:r w:rsidR="00F45BA6" w:rsidRPr="005D74D1">
        <w:rPr>
          <w:rFonts w:cs="Arial"/>
        </w:rPr>
        <w:t>on</w:t>
      </w:r>
      <w:r w:rsidRPr="005D74D1">
        <w:rPr>
          <w:rFonts w:cs="Arial"/>
        </w:rPr>
        <w:t xml:space="preserve">, DEECA leaders discussed the opportunities for more collaboration with partners to jointly manage resources at every level of governance. This could include better integrated governance when working with CMAs and other regional bodies, </w:t>
      </w:r>
      <w:r w:rsidR="240B06D2" w:rsidRPr="005D74D1">
        <w:rPr>
          <w:rFonts w:cs="Arial"/>
        </w:rPr>
        <w:t>as well as</w:t>
      </w:r>
      <w:r w:rsidRPr="005D74D1">
        <w:rPr>
          <w:rFonts w:cs="Arial"/>
        </w:rPr>
        <w:t xml:space="preserve"> building and strengthening existing </w:t>
      </w:r>
      <w:r w:rsidR="0884A3E1" w:rsidRPr="005D74D1">
        <w:rPr>
          <w:rFonts w:cs="Arial"/>
        </w:rPr>
        <w:t>f</w:t>
      </w:r>
      <w:r w:rsidRPr="005D74D1">
        <w:rPr>
          <w:rFonts w:cs="Arial"/>
        </w:rPr>
        <w:t>orums such as the</w:t>
      </w:r>
      <w:r w:rsidR="0039604F" w:rsidRPr="005D74D1">
        <w:rPr>
          <w:rFonts w:cs="Arial"/>
        </w:rPr>
        <w:t> </w:t>
      </w:r>
      <w:r w:rsidRPr="005D74D1">
        <w:rPr>
          <w:rFonts w:cs="Arial"/>
        </w:rPr>
        <w:t>Victorian Waterways Managers Forum, IWM Forums and the Regional Investment Coordinator</w:t>
      </w:r>
      <w:r w:rsidR="0039604F" w:rsidRPr="005D74D1">
        <w:rPr>
          <w:rFonts w:cs="Arial"/>
        </w:rPr>
        <w:t> </w:t>
      </w:r>
      <w:r w:rsidRPr="005D74D1">
        <w:rPr>
          <w:rFonts w:cs="Arial"/>
        </w:rPr>
        <w:t>Forum.</w:t>
      </w:r>
    </w:p>
    <w:p w14:paraId="3945BD20" w14:textId="3E18157E" w:rsidR="0086663C" w:rsidRPr="005D74D1" w:rsidRDefault="0E152F66" w:rsidP="007D4F0D">
      <w:pPr>
        <w:pStyle w:val="BodyText"/>
        <w:rPr>
          <w:rFonts w:cs="Arial"/>
        </w:rPr>
      </w:pPr>
      <w:r w:rsidRPr="005D74D1">
        <w:rPr>
          <w:rFonts w:cs="Arial"/>
        </w:rPr>
        <w:t xml:space="preserve">DEECA leaders also </w:t>
      </w:r>
      <w:r w:rsidR="6DAA86E3" w:rsidRPr="005D74D1">
        <w:rPr>
          <w:rFonts w:cs="Arial"/>
        </w:rPr>
        <w:t>emphasised</w:t>
      </w:r>
      <w:r w:rsidRPr="005D74D1">
        <w:rPr>
          <w:rFonts w:cs="Arial"/>
        </w:rPr>
        <w:t xml:space="preserve"> the need to create structures that support self-determination and collaboration with Traditional Owner groups. </w:t>
      </w:r>
      <w:r w:rsidR="009476F6" w:rsidRPr="005D74D1">
        <w:rPr>
          <w:rFonts w:cs="Arial"/>
        </w:rPr>
        <w:t xml:space="preserve">Case Study </w:t>
      </w:r>
      <w:r w:rsidR="00F0056D" w:rsidRPr="005D74D1">
        <w:rPr>
          <w:rFonts w:cs="Arial"/>
        </w:rPr>
        <w:t>7</w:t>
      </w:r>
      <w:r w:rsidR="00AA1963" w:rsidRPr="005D74D1">
        <w:rPr>
          <w:rFonts w:cs="Arial"/>
        </w:rPr>
        <w:t xml:space="preserve"> below provides an example of </w:t>
      </w:r>
      <w:r w:rsidR="00A36178" w:rsidRPr="005D74D1">
        <w:rPr>
          <w:rFonts w:cs="Arial"/>
        </w:rPr>
        <w:t xml:space="preserve">collaboration and partnership as a foundation </w:t>
      </w:r>
      <w:r w:rsidR="00F03A76" w:rsidRPr="005D74D1">
        <w:rPr>
          <w:rFonts w:cs="Arial"/>
        </w:rPr>
        <w:t>for</w:t>
      </w:r>
      <w:r w:rsidR="00A36178" w:rsidRPr="005D74D1">
        <w:rPr>
          <w:rFonts w:cs="Arial"/>
        </w:rPr>
        <w:t xml:space="preserve"> build</w:t>
      </w:r>
      <w:r w:rsidR="00F03A76" w:rsidRPr="005D74D1">
        <w:rPr>
          <w:rFonts w:cs="Arial"/>
        </w:rPr>
        <w:t>ing</w:t>
      </w:r>
      <w:r w:rsidR="00A36178" w:rsidRPr="005D74D1">
        <w:rPr>
          <w:rFonts w:cs="Arial"/>
        </w:rPr>
        <w:t xml:space="preserve"> capability</w:t>
      </w:r>
      <w:r w:rsidR="00923B40" w:rsidRPr="005D74D1">
        <w:rPr>
          <w:rFonts w:cs="Arial"/>
        </w:rPr>
        <w:t xml:space="preserve"> and capacity</w:t>
      </w:r>
      <w:r w:rsidR="00A36178" w:rsidRPr="005D74D1">
        <w:rPr>
          <w:rFonts w:cs="Arial"/>
        </w:rPr>
        <w:t xml:space="preserve"> in IWM</w:t>
      </w:r>
      <w:r w:rsidR="00923B40" w:rsidRPr="005D74D1">
        <w:rPr>
          <w:rFonts w:cs="Arial"/>
        </w:rPr>
        <w:t xml:space="preserve">, and </w:t>
      </w:r>
      <w:r w:rsidR="00F430CC" w:rsidRPr="005D74D1">
        <w:rPr>
          <w:rFonts w:cs="Arial"/>
        </w:rPr>
        <w:t xml:space="preserve">to </w:t>
      </w:r>
      <w:r w:rsidR="00923B40" w:rsidRPr="005D74D1">
        <w:rPr>
          <w:rFonts w:cs="Arial"/>
        </w:rPr>
        <w:t xml:space="preserve">drive implementation. </w:t>
      </w:r>
      <w:r w:rsidR="00A619F9" w:rsidRPr="005D74D1">
        <w:rPr>
          <w:rFonts w:cs="Arial"/>
        </w:rPr>
        <w:t xml:space="preserve">The IWM </w:t>
      </w:r>
      <w:r w:rsidR="00E12BD0" w:rsidRPr="005D74D1">
        <w:rPr>
          <w:rFonts w:cs="Arial"/>
        </w:rPr>
        <w:t xml:space="preserve">Forums project team reported that strong relationships and consistent collaboration between stakeholders was vital to the success of the </w:t>
      </w:r>
      <w:r w:rsidR="00554186" w:rsidRPr="005D74D1">
        <w:rPr>
          <w:rFonts w:cs="Arial"/>
        </w:rPr>
        <w:t>f</w:t>
      </w:r>
      <w:r w:rsidR="00E12BD0" w:rsidRPr="005D74D1">
        <w:rPr>
          <w:rFonts w:cs="Arial"/>
        </w:rPr>
        <w:t xml:space="preserve">orums, </w:t>
      </w:r>
      <w:r w:rsidR="00155309" w:rsidRPr="005D74D1">
        <w:rPr>
          <w:rFonts w:cs="Arial"/>
        </w:rPr>
        <w:t>emphasising the importance of</w:t>
      </w:r>
      <w:r w:rsidR="00E12BD0" w:rsidRPr="005D74D1">
        <w:rPr>
          <w:rFonts w:cs="Arial"/>
        </w:rPr>
        <w:t xml:space="preserve"> network</w:t>
      </w:r>
      <w:r w:rsidR="00155309" w:rsidRPr="005D74D1">
        <w:rPr>
          <w:rFonts w:cs="Arial"/>
        </w:rPr>
        <w:t>ing</w:t>
      </w:r>
      <w:r w:rsidR="00E12BD0" w:rsidRPr="005D74D1">
        <w:rPr>
          <w:rFonts w:cs="Arial"/>
        </w:rPr>
        <w:t xml:space="preserve"> and shar</w:t>
      </w:r>
      <w:r w:rsidR="00155309" w:rsidRPr="005D74D1">
        <w:rPr>
          <w:rFonts w:cs="Arial"/>
        </w:rPr>
        <w:t>ing</w:t>
      </w:r>
      <w:r w:rsidR="00E12BD0" w:rsidRPr="005D74D1">
        <w:rPr>
          <w:rFonts w:cs="Arial"/>
        </w:rPr>
        <w:t xml:space="preserve"> knowledge, </w:t>
      </w:r>
      <w:r w:rsidR="00155309" w:rsidRPr="005D74D1">
        <w:rPr>
          <w:rFonts w:cs="Arial"/>
        </w:rPr>
        <w:t>in</w:t>
      </w:r>
      <w:r w:rsidR="00E12BD0" w:rsidRPr="005D74D1">
        <w:rPr>
          <w:rFonts w:cs="Arial"/>
        </w:rPr>
        <w:t xml:space="preserve"> driv</w:t>
      </w:r>
      <w:r w:rsidR="00155309" w:rsidRPr="005D74D1">
        <w:rPr>
          <w:rFonts w:cs="Arial"/>
        </w:rPr>
        <w:t>ing</w:t>
      </w:r>
      <w:r w:rsidR="00E12BD0" w:rsidRPr="005D74D1">
        <w:rPr>
          <w:rFonts w:cs="Arial"/>
        </w:rPr>
        <w:t xml:space="preserve"> more effective implementation. </w:t>
      </w:r>
      <w:r w:rsidR="002F62B1" w:rsidRPr="005D74D1">
        <w:rPr>
          <w:rFonts w:cs="Arial"/>
        </w:rPr>
        <w:t>They also discussed the need for</w:t>
      </w:r>
      <w:r w:rsidR="00E12BD0" w:rsidRPr="005D74D1">
        <w:rPr>
          <w:rFonts w:cs="Arial"/>
        </w:rPr>
        <w:t xml:space="preserve"> inclusive decision-making that incorporates diverse perspectives</w:t>
      </w:r>
      <w:r w:rsidR="00FA1B18" w:rsidRPr="005D74D1">
        <w:rPr>
          <w:rFonts w:cs="Arial"/>
        </w:rPr>
        <w:t xml:space="preserve"> to drive</w:t>
      </w:r>
      <w:r w:rsidR="00E12BD0" w:rsidRPr="005D74D1">
        <w:rPr>
          <w:rFonts w:cs="Arial"/>
        </w:rPr>
        <w:t xml:space="preserve"> more equitable and sustainable outcomes. </w:t>
      </w:r>
    </w:p>
    <w:p w14:paraId="0402C1A1" w14:textId="2EE96395" w:rsidR="00BC05B6" w:rsidRPr="005D74D1" w:rsidRDefault="00BC05B6">
      <w:pPr>
        <w:rPr>
          <w:rFonts w:cs="Arial"/>
          <w:sz w:val="22"/>
        </w:rPr>
      </w:pPr>
      <w:r w:rsidRPr="005D74D1">
        <w:rPr>
          <w:rFonts w:cs="Arial"/>
        </w:rPr>
        <w:br w:type="page"/>
      </w:r>
    </w:p>
    <w:tbl>
      <w:tblPr>
        <w:tblStyle w:val="TableGridLight"/>
        <w:tblW w:w="5000" w:type="pct"/>
        <w:tblBorders>
          <w:top w:val="single" w:sz="4" w:space="0" w:color="231EDC" w:themeColor="accent1"/>
          <w:left w:val="single" w:sz="4" w:space="0" w:color="231EDC" w:themeColor="accent1"/>
          <w:bottom w:val="single" w:sz="4" w:space="0" w:color="231EDC" w:themeColor="accent1"/>
          <w:right w:val="single" w:sz="4" w:space="0" w:color="231EDC" w:themeColor="accent1"/>
          <w:insideH w:val="single" w:sz="4" w:space="0" w:color="E6E6E6" w:themeColor="background2"/>
          <w:insideV w:val="single" w:sz="4" w:space="0" w:color="E6E6E6" w:themeColor="background2"/>
        </w:tblBorders>
        <w:tblLook w:val="04A0" w:firstRow="1" w:lastRow="0" w:firstColumn="1" w:lastColumn="0" w:noHBand="0" w:noVBand="1"/>
      </w:tblPr>
      <w:tblGrid>
        <w:gridCol w:w="9628"/>
      </w:tblGrid>
      <w:tr w:rsidR="0086663C" w:rsidRPr="005D74D1" w14:paraId="586A4138" w14:textId="77777777" w:rsidTr="00BC05B6">
        <w:trPr>
          <w:tblHeader/>
        </w:trPr>
        <w:tc>
          <w:tcPr>
            <w:tcW w:w="5000" w:type="pct"/>
            <w:shd w:val="clear" w:color="auto" w:fill="231EDC" w:themeFill="accent1"/>
          </w:tcPr>
          <w:p w14:paraId="28E79C77" w14:textId="5200374C" w:rsidR="0086663C" w:rsidRPr="00A134A7" w:rsidRDefault="0086663C" w:rsidP="0065316E">
            <w:pPr>
              <w:pStyle w:val="TableHeadingWhite"/>
              <w:rPr>
                <w:rFonts w:cs="Arial"/>
                <w:lang w:val="en-AU"/>
              </w:rPr>
            </w:pPr>
            <w:r w:rsidRPr="005D74D1">
              <w:rPr>
                <w:rFonts w:cs="Arial"/>
              </w:rPr>
              <w:lastRenderedPageBreak/>
              <w:t xml:space="preserve">Case Study 7: Integrated Water Management </w:t>
            </w:r>
            <w:r w:rsidR="006A1205" w:rsidRPr="005D74D1">
              <w:rPr>
                <w:rFonts w:cs="Arial"/>
              </w:rPr>
              <w:t xml:space="preserve">(IWM) </w:t>
            </w:r>
            <w:r w:rsidRPr="005D74D1">
              <w:rPr>
                <w:rFonts w:cs="Arial"/>
              </w:rPr>
              <w:t>Forums</w:t>
            </w:r>
          </w:p>
        </w:tc>
      </w:tr>
      <w:tr w:rsidR="0086663C" w:rsidRPr="005D74D1" w14:paraId="464AA82A" w14:textId="77777777" w:rsidTr="00BC05B6">
        <w:trPr>
          <w:trHeight w:val="870"/>
        </w:trPr>
        <w:tc>
          <w:tcPr>
            <w:tcW w:w="5000" w:type="pct"/>
          </w:tcPr>
          <w:p w14:paraId="2DD54200" w14:textId="77777777" w:rsidR="00A50E7D" w:rsidRPr="00A134A7" w:rsidRDefault="0086663C" w:rsidP="0086663C">
            <w:pPr>
              <w:pStyle w:val="BodyText"/>
              <w:rPr>
                <w:rFonts w:cs="Arial"/>
                <w:sz w:val="20"/>
                <w:lang w:val="en-AU"/>
              </w:rPr>
            </w:pPr>
            <w:r w:rsidRPr="00BC0967">
              <w:rPr>
                <w:rFonts w:cs="Arial"/>
                <w:sz w:val="20"/>
              </w:rPr>
              <w:t xml:space="preserve">IWM Forums act as a collaborative platform to facilitate the identification, assessment, and implementation of IWM solutions. They directly address water cycle management challenges presented by climate change and urban development in a place-based way. There are currently 15 established IWM Forums that create collaboration </w:t>
            </w:r>
            <w:r w:rsidR="004924BE" w:rsidRPr="00BC0967">
              <w:rPr>
                <w:rFonts w:cs="Arial"/>
                <w:sz w:val="20"/>
              </w:rPr>
              <w:t xml:space="preserve">across </w:t>
            </w:r>
            <w:r w:rsidRPr="00BC0967">
              <w:rPr>
                <w:rFonts w:cs="Arial"/>
                <w:sz w:val="20"/>
              </w:rPr>
              <w:t xml:space="preserve">all stages of the water cycle with over 125 partner organisations, including local governments, Traditional Owners, water corporations, </w:t>
            </w:r>
            <w:r w:rsidR="00623674" w:rsidRPr="00BC0967">
              <w:rPr>
                <w:rFonts w:cs="Arial"/>
                <w:sz w:val="20"/>
              </w:rPr>
              <w:t>CMAs</w:t>
            </w:r>
            <w:r w:rsidRPr="00BC0967">
              <w:rPr>
                <w:rFonts w:cs="Arial"/>
                <w:sz w:val="20"/>
              </w:rPr>
              <w:t>, and the State Government. This program represents the first time that a systematic application of IWM has been designed and implemented at a state-wide scale in</w:t>
            </w:r>
            <w:r w:rsidR="0065316E" w:rsidRPr="00BC0967">
              <w:rPr>
                <w:rFonts w:cs="Arial"/>
                <w:sz w:val="20"/>
              </w:rPr>
              <w:t> </w:t>
            </w:r>
            <w:r w:rsidRPr="00BC0967">
              <w:rPr>
                <w:rFonts w:cs="Arial"/>
                <w:sz w:val="20"/>
              </w:rPr>
              <w:t>Australia.</w:t>
            </w:r>
          </w:p>
          <w:p w14:paraId="60206CAE" w14:textId="13B3FD42" w:rsidR="00A50E7D" w:rsidRPr="00A134A7" w:rsidRDefault="0086663C" w:rsidP="0086663C">
            <w:pPr>
              <w:pStyle w:val="BodyText"/>
              <w:rPr>
                <w:rFonts w:cs="Arial"/>
                <w:sz w:val="20"/>
              </w:rPr>
            </w:pPr>
            <w:r w:rsidRPr="00BC0967">
              <w:rPr>
                <w:rFonts w:cs="Arial"/>
                <w:sz w:val="20"/>
              </w:rPr>
              <w:t xml:space="preserve">Each IWM Forum has identified a priority list of actions to address seven key broad strategic outcomes (below) included in the </w:t>
            </w:r>
            <w:r w:rsidR="00623674" w:rsidRPr="00BC0967">
              <w:rPr>
                <w:rFonts w:cs="Arial"/>
                <w:sz w:val="20"/>
              </w:rPr>
              <w:t>respective F</w:t>
            </w:r>
            <w:r w:rsidRPr="00BC0967">
              <w:rPr>
                <w:rFonts w:cs="Arial"/>
                <w:sz w:val="20"/>
              </w:rPr>
              <w:t xml:space="preserve">orum Strategic Direction Statement. </w:t>
            </w:r>
            <w:r w:rsidRPr="00BC0967">
              <w:rPr>
                <w:rStyle w:val="normaltextrun"/>
                <w:rFonts w:cs="Arial"/>
                <w:sz w:val="20"/>
              </w:rPr>
              <w:t xml:space="preserve">The IWM Forums have been responsible for identifying and accelerating many projects and policy developments across the water cycle. This includes opportunity identification, plan development, project design and project delivery. </w:t>
            </w:r>
            <w:r w:rsidRPr="00BC0967">
              <w:rPr>
                <w:rFonts w:cs="Arial"/>
                <w:sz w:val="20"/>
              </w:rPr>
              <w:t>Between 2021 and 2024, the IWM Forums stimulated the progression of more than 68 IWM projects. Projects vary in scale and scope, addressing different combinations of the strategic outcomes</w:t>
            </w:r>
            <w:r w:rsidR="00623674" w:rsidRPr="00BC0967">
              <w:rPr>
                <w:rFonts w:cs="Arial"/>
                <w:sz w:val="20"/>
              </w:rPr>
              <w:t xml:space="preserve">. </w:t>
            </w:r>
            <w:r w:rsidRPr="00BC0967">
              <w:rPr>
                <w:rFonts w:cs="Arial"/>
                <w:sz w:val="20"/>
              </w:rPr>
              <w:t>Focus</w:t>
            </w:r>
            <w:r w:rsidR="00623674" w:rsidRPr="00BC0967">
              <w:rPr>
                <w:rFonts w:cs="Arial"/>
                <w:sz w:val="20"/>
              </w:rPr>
              <w:t xml:space="preserve"> area</w:t>
            </w:r>
            <w:r w:rsidRPr="00BC0967">
              <w:rPr>
                <w:rFonts w:cs="Arial"/>
                <w:sz w:val="20"/>
              </w:rPr>
              <w:t xml:space="preserve">s include water supply and waterway health, healthy urban landscapes and opportunities for economic development. This includes </w:t>
            </w:r>
            <w:r w:rsidRPr="00BC0967">
              <w:rPr>
                <w:rStyle w:val="normaltextrun"/>
                <w:rFonts w:cs="Arial"/>
                <w:sz w:val="20"/>
              </w:rPr>
              <w:t>capital works for stormwater harvesting systems, recycled water schemes and rainwater harvesting systems, naturalisation of waterways and place-based plans and designs as well as Traditional Owner led projects.</w:t>
            </w:r>
            <w:r w:rsidRPr="00BC0967">
              <w:rPr>
                <w:rFonts w:cs="Arial"/>
                <w:sz w:val="20"/>
              </w:rPr>
              <w:br/>
              <w:t xml:space="preserve">The IWM </w:t>
            </w:r>
            <w:r w:rsidR="00364FB4" w:rsidRPr="00BC0967">
              <w:rPr>
                <w:rFonts w:cs="Arial"/>
                <w:sz w:val="20"/>
              </w:rPr>
              <w:t>F</w:t>
            </w:r>
            <w:r w:rsidRPr="00BC0967">
              <w:rPr>
                <w:rFonts w:cs="Arial"/>
                <w:sz w:val="20"/>
              </w:rPr>
              <w:t>orums represent a change management program that aims to mainstream IWM thinking</w:t>
            </w:r>
            <w:r w:rsidR="00364FB4" w:rsidRPr="00BC0967">
              <w:rPr>
                <w:rFonts w:cs="Arial"/>
                <w:sz w:val="20"/>
              </w:rPr>
              <w:t xml:space="preserve"> and approaches</w:t>
            </w:r>
            <w:r w:rsidRPr="00BC0967">
              <w:rPr>
                <w:rFonts w:cs="Arial"/>
                <w:sz w:val="20"/>
              </w:rPr>
              <w:t xml:space="preserve"> for water management across the state, permeating through State Government and partner organisations. This is aligned with broader water industry changes that prioritise </w:t>
            </w:r>
            <w:r w:rsidR="00364FB4" w:rsidRPr="00BC0967">
              <w:rPr>
                <w:rFonts w:cs="Arial"/>
                <w:sz w:val="20"/>
              </w:rPr>
              <w:t xml:space="preserve">and </w:t>
            </w:r>
            <w:r w:rsidRPr="00BC0967">
              <w:rPr>
                <w:rFonts w:cs="Arial"/>
                <w:sz w:val="20"/>
              </w:rPr>
              <w:t>outcomes</w:t>
            </w:r>
            <w:r w:rsidR="00364FB4" w:rsidRPr="00BC0967">
              <w:rPr>
                <w:rFonts w:cs="Arial"/>
                <w:sz w:val="20"/>
              </w:rPr>
              <w:t>-based approach</w:t>
            </w:r>
            <w:r w:rsidRPr="00BC0967">
              <w:rPr>
                <w:rFonts w:cs="Arial"/>
                <w:sz w:val="20"/>
              </w:rPr>
              <w:t xml:space="preserve"> and community focus. This project is moving from establishment to acceleration phase, with larger results to be delivered throughout the next tranche</w:t>
            </w:r>
            <w:r w:rsidR="00364FB4" w:rsidRPr="00BC0967">
              <w:rPr>
                <w:rFonts w:cs="Arial"/>
                <w:sz w:val="20"/>
              </w:rPr>
              <w:t xml:space="preserve"> of the EC</w:t>
            </w:r>
            <w:r w:rsidRPr="00BC0967">
              <w:rPr>
                <w:rFonts w:cs="Arial"/>
                <w:sz w:val="20"/>
              </w:rPr>
              <w:t>.</w:t>
            </w:r>
          </w:p>
          <w:p w14:paraId="0CB31B7A" w14:textId="2EDC9A83" w:rsidR="0086663C" w:rsidRPr="00A134A7" w:rsidRDefault="0086663C" w:rsidP="0086663C">
            <w:pPr>
              <w:rPr>
                <w:rFonts w:cs="Arial"/>
                <w:lang w:val="en-AU"/>
              </w:rPr>
            </w:pPr>
            <w:r w:rsidRPr="00A134A7">
              <w:rPr>
                <w:rFonts w:cs="Arial"/>
                <w:noProof/>
              </w:rPr>
              <mc:AlternateContent>
                <mc:Choice Requires="wps">
                  <w:drawing>
                    <wp:anchor distT="0" distB="0" distL="114300" distR="114300" simplePos="0" relativeHeight="251610112" behindDoc="0" locked="0" layoutInCell="1" allowOverlap="1" wp14:anchorId="66914D8A" wp14:editId="6F58919A">
                      <wp:simplePos x="0" y="0"/>
                      <wp:positionH relativeFrom="column">
                        <wp:posOffset>4261485</wp:posOffset>
                      </wp:positionH>
                      <wp:positionV relativeFrom="paragraph">
                        <wp:posOffset>1130300</wp:posOffset>
                      </wp:positionV>
                      <wp:extent cx="1219200" cy="142240"/>
                      <wp:effectExtent l="0" t="0" r="19050" b="10160"/>
                      <wp:wrapNone/>
                      <wp:docPr id="12" name="Rectangle 12"/>
                      <wp:cNvGraphicFramePr/>
                      <a:graphic xmlns:a="http://schemas.openxmlformats.org/drawingml/2006/main">
                        <a:graphicData uri="http://schemas.microsoft.com/office/word/2010/wordprocessingShape">
                          <wps:wsp>
                            <wps:cNvSpPr/>
                            <wps:spPr>
                              <a:xfrm>
                                <a:off x="0" y="0"/>
                                <a:ext cx="1219200" cy="14224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3B3AB592" id="Rectangle 12" o:spid="_x0000_s1026" style="position:absolute;margin-left:335.55pt;margin-top:89pt;width:96pt;height:11.2pt;z-index:251610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" fillcolor="white [3201]" strokecolor="white [3212]" strokeweight="1pt"/>
                  </w:pict>
                </mc:Fallback>
              </mc:AlternateContent>
            </w:r>
            <w:r w:rsidRPr="00A134A7">
              <w:rPr>
                <w:rFonts w:cs="Arial"/>
                <w:noProof/>
              </w:rPr>
              <w:drawing>
                <wp:inline distT="0" distB="0" distL="0" distR="0" wp14:anchorId="33D6C56B" wp14:editId="2BAC2C3E">
                  <wp:extent cx="6120130" cy="1275715"/>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6120130" cy="1275715"/>
                          </a:xfrm>
                          <a:prstGeom prst="rect">
                            <a:avLst/>
                          </a:prstGeom>
                          <a:noFill/>
                          <a:ln>
                            <a:noFill/>
                          </a:ln>
                        </pic:spPr>
                      </pic:pic>
                    </a:graphicData>
                  </a:graphic>
                </wp:inline>
              </w:drawing>
            </w:r>
          </w:p>
          <w:p w14:paraId="1D64FD00" w14:textId="0B247922" w:rsidR="0086663C" w:rsidRPr="00A134A7" w:rsidRDefault="0086663C" w:rsidP="001B1802">
            <w:pPr>
              <w:pStyle w:val="BodyText1Number"/>
              <w:rPr>
                <w:rFonts w:cs="Arial"/>
                <w:i/>
                <w:iCs/>
                <w:lang w:val="en-AU"/>
              </w:rPr>
            </w:pPr>
            <w:r w:rsidRPr="00BC0967">
              <w:rPr>
                <w:rFonts w:cs="Arial"/>
                <w:i/>
                <w:iCs/>
              </w:rPr>
              <w:t>Seven broad strategic outcomes each IWM Forum is seeking to achieve</w:t>
            </w:r>
          </w:p>
        </w:tc>
      </w:tr>
    </w:tbl>
    <w:p w14:paraId="1EE60CDC" w14:textId="77777777" w:rsidR="00E54508" w:rsidRPr="005D74D1" w:rsidRDefault="00E54508" w:rsidP="00E54508">
      <w:pPr>
        <w:pStyle w:val="BodyText"/>
        <w:rPr>
          <w:rFonts w:cs="Arial"/>
        </w:rPr>
        <w:sectPr w:rsidR="00E54508" w:rsidRPr="005D74D1" w:rsidSect="00AF519B">
          <w:pgSz w:w="11906" w:h="16838" w:code="9"/>
          <w:pgMar w:top="1134" w:right="1134" w:bottom="567" w:left="1134" w:header="567" w:footer="0" w:gutter="0"/>
          <w:cols w:space="720"/>
          <w:docGrid w:linePitch="360"/>
        </w:sectPr>
      </w:pPr>
      <w:bookmarkStart w:id="495" w:name="_Toc147329347"/>
    </w:p>
    <w:p w14:paraId="7750329C" w14:textId="008E2BCB" w:rsidR="00E54508" w:rsidRPr="00A134A7" w:rsidRDefault="00E54508" w:rsidP="00E54508">
      <w:pPr>
        <w:spacing w:before="100" w:beforeAutospacing="1" w:after="100" w:afterAutospacing="1"/>
        <w:rPr>
          <w:rFonts w:eastAsia="Times New Roman" w:cs="Arial"/>
          <w:sz w:val="24"/>
          <w:szCs w:val="24"/>
        </w:rPr>
      </w:pPr>
      <w:r w:rsidRPr="00A134A7">
        <w:rPr>
          <w:rFonts w:eastAsia="Times New Roman" w:cs="Arial"/>
          <w:noProof/>
          <w:sz w:val="24"/>
          <w:szCs w:val="24"/>
        </w:rPr>
        <w:lastRenderedPageBreak/>
        <w:drawing>
          <wp:anchor distT="0" distB="0" distL="114300" distR="114300" simplePos="0" relativeHeight="251661312" behindDoc="0" locked="0" layoutInCell="1" allowOverlap="1" wp14:anchorId="4C8A78FC" wp14:editId="001BE2A7">
            <wp:simplePos x="723900" y="1304925"/>
            <wp:positionH relativeFrom="page">
              <wp:align>left</wp:align>
            </wp:positionH>
            <wp:positionV relativeFrom="page">
              <wp:align>top</wp:align>
            </wp:positionV>
            <wp:extent cx="7562088" cy="10689336"/>
            <wp:effectExtent l="0" t="0" r="1270" b="0"/>
            <wp:wrapNone/>
            <wp:docPr id="53133026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7562088" cy="1068933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DEE6A9" w14:textId="77777777" w:rsidR="00E54508" w:rsidRPr="005D74D1" w:rsidRDefault="00E54508" w:rsidP="00E54508">
      <w:pPr>
        <w:pStyle w:val="BodyText"/>
        <w:rPr>
          <w:rFonts w:cs="Arial"/>
        </w:rPr>
      </w:pPr>
    </w:p>
    <w:p w14:paraId="0572E9FC" w14:textId="77777777" w:rsidR="00E54508" w:rsidRPr="005D74D1" w:rsidRDefault="00E54508" w:rsidP="00E54508">
      <w:pPr>
        <w:pStyle w:val="BodyText"/>
        <w:rPr>
          <w:rFonts w:cs="Arial"/>
        </w:rPr>
      </w:pPr>
    </w:p>
    <w:p w14:paraId="24BE347D" w14:textId="77777777" w:rsidR="00E54508" w:rsidRPr="005D74D1" w:rsidRDefault="00E54508" w:rsidP="00E54508">
      <w:pPr>
        <w:pStyle w:val="BodyText"/>
        <w:rPr>
          <w:rFonts w:cs="Arial"/>
        </w:rPr>
        <w:sectPr w:rsidR="00E54508" w:rsidRPr="005D74D1" w:rsidSect="00AF519B">
          <w:pgSz w:w="11906" w:h="16838" w:code="9"/>
          <w:pgMar w:top="1134" w:right="1134" w:bottom="567" w:left="1134" w:header="567" w:footer="0" w:gutter="0"/>
          <w:cols w:space="720"/>
          <w:docGrid w:linePitch="360"/>
        </w:sectPr>
      </w:pPr>
    </w:p>
    <w:p w14:paraId="2BE3284E" w14:textId="27AC8EB5" w:rsidR="001B46EB" w:rsidRPr="005D74D1" w:rsidRDefault="003E1FF1" w:rsidP="001B46EB">
      <w:pPr>
        <w:pStyle w:val="Heading1"/>
        <w:rPr>
          <w:rFonts w:cs="Arial"/>
        </w:rPr>
      </w:pPr>
      <w:bookmarkStart w:id="496" w:name="_Toc183777378"/>
      <w:r w:rsidRPr="00A134A7">
        <w:rPr>
          <w:rFonts w:cs="Arial"/>
          <w:b w:val="0"/>
          <w:noProof/>
          <w:sz w:val="24"/>
          <w:szCs w:val="24"/>
        </w:rPr>
        <w:lastRenderedPageBreak/>
        <mc:AlternateContent>
          <mc:Choice Requires="wps">
            <w:drawing>
              <wp:anchor distT="45720" distB="45720" distL="114300" distR="114300" simplePos="0" relativeHeight="251698176" behindDoc="0" locked="0" layoutInCell="1" allowOverlap="1" wp14:anchorId="347BD936" wp14:editId="407E0E05">
                <wp:simplePos x="0" y="0"/>
                <wp:positionH relativeFrom="margin">
                  <wp:align>right</wp:align>
                </wp:positionH>
                <wp:positionV relativeFrom="paragraph">
                  <wp:posOffset>508000</wp:posOffset>
                </wp:positionV>
                <wp:extent cx="6019800" cy="1404620"/>
                <wp:effectExtent l="0" t="0" r="19050" b="22225"/>
                <wp:wrapSquare wrapText="bothSides"/>
                <wp:docPr id="9860268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1404620"/>
                        </a:xfrm>
                        <a:prstGeom prst="rect">
                          <a:avLst/>
                        </a:prstGeom>
                        <a:solidFill>
                          <a:schemeClr val="bg1">
                            <a:lumMod val="95000"/>
                          </a:schemeClr>
                        </a:solidFill>
                        <a:ln w="9525">
                          <a:solidFill>
                            <a:srgbClr val="000000"/>
                          </a:solidFill>
                          <a:miter lim="800000"/>
                          <a:headEnd/>
                          <a:tailEnd/>
                        </a:ln>
                      </wps:spPr>
                      <wps:txbx>
                        <w:txbxContent>
                          <w:p w14:paraId="582E15DC" w14:textId="57BDB50E" w:rsidR="003E1FF1" w:rsidRPr="00975B72" w:rsidRDefault="003E1FF1" w:rsidP="003E1FF1">
                            <w:pPr>
                              <w:pStyle w:val="BodyText"/>
                              <w:ind w:right="170"/>
                              <w:rPr>
                                <w:b/>
                                <w:sz w:val="24"/>
                                <w:szCs w:val="24"/>
                              </w:rPr>
                            </w:pPr>
                            <w:r w:rsidRPr="00975B72">
                              <w:rPr>
                                <w:b/>
                                <w:sz w:val="24"/>
                                <w:szCs w:val="24"/>
                              </w:rPr>
                              <w:t>Key findings</w:t>
                            </w:r>
                          </w:p>
                          <w:p w14:paraId="7B096B31" w14:textId="77777777" w:rsidR="003E1FF1" w:rsidRDefault="003E1FF1" w:rsidP="003E1FF1">
                            <w:pPr>
                              <w:pStyle w:val="BulletLevel1"/>
                              <w:rPr>
                                <w:lang w:val="en-AU"/>
                              </w:rPr>
                            </w:pPr>
                            <w:r w:rsidRPr="00975B72">
                              <w:rPr>
                                <w:b/>
                                <w:bCs/>
                                <w:lang w:val="en-AU"/>
                              </w:rPr>
                              <w:t>Alignment with the legislated objectives and key water management strategies:</w:t>
                            </w:r>
                            <w:r w:rsidRPr="00975B72">
                              <w:rPr>
                                <w:lang w:val="en-AU"/>
                              </w:rPr>
                              <w:t xml:space="preserve"> EC5 projects showed clear alignment with the legislated objectives with all EC5 projects reporting contributions to one or both legislated objectives of the EC. The projects were guided by key State Government strategies including </w:t>
                            </w:r>
                            <w:r w:rsidRPr="00FE768B">
                              <w:rPr>
                                <w:i/>
                                <w:iCs/>
                                <w:lang w:val="en-AU"/>
                              </w:rPr>
                              <w:t>Water for Victoria (2016),</w:t>
                            </w:r>
                            <w:r w:rsidRPr="00975B72">
                              <w:rPr>
                                <w:lang w:val="en-AU"/>
                              </w:rPr>
                              <w:t xml:space="preserve"> </w:t>
                            </w:r>
                            <w:r w:rsidRPr="00FE768B">
                              <w:rPr>
                                <w:i/>
                                <w:iCs/>
                                <w:lang w:val="en-AU"/>
                              </w:rPr>
                              <w:t>Water is Life</w:t>
                            </w:r>
                            <w:r w:rsidRPr="00975B72">
                              <w:rPr>
                                <w:lang w:val="en-AU"/>
                              </w:rPr>
                              <w:t xml:space="preserve">: </w:t>
                            </w:r>
                            <w:r w:rsidRPr="00FE768B">
                              <w:rPr>
                                <w:i/>
                                <w:iCs/>
                                <w:lang w:val="en-AU"/>
                              </w:rPr>
                              <w:t>Traditional Owner Access to Water Roadmap (2022)</w:t>
                            </w:r>
                            <w:r w:rsidRPr="00975B72">
                              <w:rPr>
                                <w:lang w:val="en-AU"/>
                              </w:rPr>
                              <w:t xml:space="preserve">, and the </w:t>
                            </w:r>
                            <w:r>
                              <w:rPr>
                                <w:lang w:val="en-AU"/>
                              </w:rPr>
                              <w:t>CGRSWS</w:t>
                            </w:r>
                            <w:r w:rsidRPr="00975B72">
                              <w:rPr>
                                <w:lang w:val="en-AU"/>
                              </w:rPr>
                              <w:t xml:space="preserve"> (2022). Many of the projects adapted as new State Government strategies were published, to ensure continued alignment with key strategic directions.</w:t>
                            </w:r>
                          </w:p>
                          <w:p w14:paraId="27CD8F66" w14:textId="4A66505D" w:rsidR="003E1FF1" w:rsidRDefault="003E1FF1" w:rsidP="003E1FF1">
                            <w:pPr>
                              <w:pStyle w:val="BulletLevel1"/>
                            </w:pPr>
                            <w:r w:rsidRPr="7952BA11">
                              <w:rPr>
                                <w:b/>
                                <w:bCs/>
                              </w:rPr>
                              <w:t>Monitoring, evaluation and improvement:</w:t>
                            </w:r>
                            <w:r w:rsidRPr="7952BA11">
                              <w:t xml:space="preserve"> These actions were integrated throughout EC5 to promote delivery effectiveness. </w:t>
                            </w:r>
                            <w:r>
                              <w:t>L</w:t>
                            </w:r>
                            <w:r w:rsidRPr="7952BA11">
                              <w:t>earning and improvement were effectively incorporated into the project to foster a culture of continual improvement</w:t>
                            </w:r>
                            <w:r>
                              <w:t>, as reported by 92% of the projects</w:t>
                            </w:r>
                            <w:r w:rsidRPr="7952BA11">
                              <w:t xml:space="preserve">. Some projects reported using independent evaluations, stakeholder feedback, and sharing of lessons to improve. </w:t>
                            </w:r>
                            <w:r w:rsidRPr="7952BA11">
                              <w:rPr>
                                <w:lang w:eastAsia="en-AU"/>
                              </w:rPr>
                              <w:t xml:space="preserve">The broader EC </w:t>
                            </w:r>
                            <w:r>
                              <w:rPr>
                                <w:lang w:eastAsia="en-AU"/>
                              </w:rPr>
                              <w:t>tranche</w:t>
                            </w:r>
                            <w:r w:rsidRPr="7952BA11">
                              <w:rPr>
                                <w:lang w:eastAsia="en-AU"/>
                              </w:rPr>
                              <w:t xml:space="preserve"> governance also supported continuous learning through the requirement for each project to develop an evaluation plan and evaluation report, which is used for whole-of-tranche evaluations, and to foster learning for future tranches. Investment in capacity building sessions for the EC5 project teams as part of the EC5 evaluation process has fostered improvement in the effectiveness of the evaluation plans and reports from EC4 to EC5.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7BD936" id="_x0000_s1028" type="#_x0000_t202" style="position:absolute;left:0;text-align:left;margin-left:422.8pt;margin-top:40pt;width:474pt;height:110.6pt;z-index:25169817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" fillcolor="#f2f2f2 [3052]">
                <v:textbox style="mso-fit-shape-to-text:t">
                  <w:txbxContent>
                    <w:p w14:paraId="582E15DC" w14:textId="57BDB50E" w:rsidR="003E1FF1" w:rsidRPr="00975B72" w:rsidRDefault="003E1FF1" w:rsidP="003E1FF1">
                      <w:pPr>
                        <w:pStyle w:val="BodyText"/>
                        <w:ind w:right="170"/>
                        <w:rPr>
                          <w:b/>
                          <w:sz w:val="24"/>
                          <w:szCs w:val="24"/>
                        </w:rPr>
                      </w:pPr>
                      <w:r w:rsidRPr="00975B72">
                        <w:rPr>
                          <w:b/>
                          <w:sz w:val="24"/>
                          <w:szCs w:val="24"/>
                        </w:rPr>
                        <w:t>Key findings</w:t>
                      </w:r>
                    </w:p>
                    <w:p w14:paraId="7B096B31" w14:textId="77777777" w:rsidR="003E1FF1" w:rsidRDefault="003E1FF1" w:rsidP="003E1FF1">
                      <w:pPr>
                        <w:pStyle w:val="BulletLevel1"/>
                        <w:rPr>
                          <w:lang w:val="en-AU"/>
                        </w:rPr>
                      </w:pPr>
                      <w:r w:rsidRPr="00975B72">
                        <w:rPr>
                          <w:b/>
                          <w:bCs/>
                          <w:lang w:val="en-AU"/>
                        </w:rPr>
                        <w:t>Alignment with the legislated objectives and key water management strategies:</w:t>
                      </w:r>
                      <w:r w:rsidRPr="00975B72">
                        <w:rPr>
                          <w:lang w:val="en-AU"/>
                        </w:rPr>
                        <w:t xml:space="preserve"> EC5 projects showed clear alignment with the legislated objectives with all EC5 projects reporting contributions to one or both legislated objectives of the EC. The projects were guided by key State Government strategies including </w:t>
                      </w:r>
                      <w:r w:rsidRPr="00FE768B">
                        <w:rPr>
                          <w:i/>
                          <w:iCs/>
                          <w:lang w:val="en-AU"/>
                        </w:rPr>
                        <w:t>Water for Victoria (2016),</w:t>
                      </w:r>
                      <w:r w:rsidRPr="00975B72">
                        <w:rPr>
                          <w:lang w:val="en-AU"/>
                        </w:rPr>
                        <w:t xml:space="preserve"> </w:t>
                      </w:r>
                      <w:r w:rsidRPr="00FE768B">
                        <w:rPr>
                          <w:i/>
                          <w:iCs/>
                          <w:lang w:val="en-AU"/>
                        </w:rPr>
                        <w:t>Water is Life</w:t>
                      </w:r>
                      <w:r w:rsidRPr="00975B72">
                        <w:rPr>
                          <w:lang w:val="en-AU"/>
                        </w:rPr>
                        <w:t xml:space="preserve">: </w:t>
                      </w:r>
                      <w:r w:rsidRPr="00FE768B">
                        <w:rPr>
                          <w:i/>
                          <w:iCs/>
                          <w:lang w:val="en-AU"/>
                        </w:rPr>
                        <w:t>Traditional Owner Access to Water Roadmap (2022)</w:t>
                      </w:r>
                      <w:r w:rsidRPr="00975B72">
                        <w:rPr>
                          <w:lang w:val="en-AU"/>
                        </w:rPr>
                        <w:t xml:space="preserve">, and the </w:t>
                      </w:r>
                      <w:r>
                        <w:rPr>
                          <w:lang w:val="en-AU"/>
                        </w:rPr>
                        <w:t>CGRSWS</w:t>
                      </w:r>
                      <w:r w:rsidRPr="00975B72">
                        <w:rPr>
                          <w:lang w:val="en-AU"/>
                        </w:rPr>
                        <w:t xml:space="preserve"> (2022). Many of the projects adapted as new State Government strategies were published, to ensure continued alignment with key strategic directions.</w:t>
                      </w:r>
                    </w:p>
                    <w:p w14:paraId="27CD8F66" w14:textId="4A66505D" w:rsidR="003E1FF1" w:rsidRDefault="003E1FF1" w:rsidP="003E1FF1">
                      <w:pPr>
                        <w:pStyle w:val="BulletLevel1"/>
                      </w:pPr>
                      <w:r w:rsidRPr="7952BA11">
                        <w:rPr>
                          <w:b/>
                          <w:bCs/>
                        </w:rPr>
                        <w:t>Monitoring, evaluation and improvement:</w:t>
                      </w:r>
                      <w:r w:rsidRPr="7952BA11">
                        <w:t xml:space="preserve"> These actions were integrated throughout EC5 to promote delivery effectiveness. </w:t>
                      </w:r>
                      <w:r>
                        <w:t>L</w:t>
                      </w:r>
                      <w:r w:rsidRPr="7952BA11">
                        <w:t>earning and improvement were effectively incorporated into the project to foster a culture of continual improvement</w:t>
                      </w:r>
                      <w:r>
                        <w:t>, as reported by 92% of the projects</w:t>
                      </w:r>
                      <w:r w:rsidRPr="7952BA11">
                        <w:t xml:space="preserve">. Some projects reported using independent evaluations, stakeholder feedback, and sharing of lessons to improve. </w:t>
                      </w:r>
                      <w:r w:rsidRPr="7952BA11">
                        <w:rPr>
                          <w:lang w:eastAsia="en-AU"/>
                        </w:rPr>
                        <w:t xml:space="preserve">The broader EC </w:t>
                      </w:r>
                      <w:r>
                        <w:rPr>
                          <w:lang w:eastAsia="en-AU"/>
                        </w:rPr>
                        <w:t>tranche</w:t>
                      </w:r>
                      <w:r w:rsidRPr="7952BA11">
                        <w:rPr>
                          <w:lang w:eastAsia="en-AU"/>
                        </w:rPr>
                        <w:t xml:space="preserve"> governance also supported continuous learning through the requirement for each project to develop an evaluation plan and evaluation report, which is used for whole-of-tranche evaluations, and to foster learning for future tranches. Investment in capacity building sessions for the EC5 project teams as part of the EC5 evaluation process has fostered improvement in the effectiveness of the evaluation plans and reports from EC4 to EC5.</w:t>
                      </w:r>
                    </w:p>
                  </w:txbxContent>
                </v:textbox>
                <w10:wrap type="square" anchorx="margin"/>
              </v:shape>
            </w:pict>
          </mc:Fallback>
        </mc:AlternateContent>
      </w:r>
      <w:r w:rsidR="001B46EB" w:rsidRPr="005D74D1">
        <w:rPr>
          <w:rFonts w:cs="Arial"/>
        </w:rPr>
        <w:t xml:space="preserve">Evaluation of </w:t>
      </w:r>
      <w:bookmarkEnd w:id="495"/>
      <w:r w:rsidR="00205E94" w:rsidRPr="005D74D1">
        <w:rPr>
          <w:rFonts w:cs="Arial"/>
        </w:rPr>
        <w:t>appropriateness</w:t>
      </w:r>
      <w:bookmarkEnd w:id="496"/>
    </w:p>
    <w:p w14:paraId="54DFA9A2" w14:textId="34F17AEE" w:rsidR="001B46EB" w:rsidRPr="005D74D1" w:rsidRDefault="001B46EB" w:rsidP="001B46EB">
      <w:pPr>
        <w:pStyle w:val="Heading2"/>
        <w:rPr>
          <w:rFonts w:cs="Arial"/>
        </w:rPr>
      </w:pPr>
      <w:bookmarkStart w:id="497" w:name="_Toc147329348"/>
      <w:bookmarkStart w:id="498" w:name="_Toc183777379"/>
      <w:r w:rsidRPr="005D74D1">
        <w:rPr>
          <w:rFonts w:cs="Arial"/>
        </w:rPr>
        <w:t>Overview</w:t>
      </w:r>
      <w:bookmarkEnd w:id="497"/>
      <w:bookmarkEnd w:id="498"/>
    </w:p>
    <w:p w14:paraId="28616CA1" w14:textId="77777777" w:rsidR="00A50E7D" w:rsidRPr="005D74D1" w:rsidRDefault="00C10128" w:rsidP="00C10128">
      <w:pPr>
        <w:pStyle w:val="BodyText"/>
        <w:rPr>
          <w:rFonts w:cs="Arial"/>
        </w:rPr>
      </w:pPr>
      <w:r w:rsidRPr="005D74D1">
        <w:rPr>
          <w:rFonts w:cs="Arial"/>
        </w:rPr>
        <w:t xml:space="preserve">The appropriateness of EC5 implementation to the </w:t>
      </w:r>
      <w:r w:rsidR="00615878" w:rsidRPr="005D74D1">
        <w:rPr>
          <w:rFonts w:cs="Arial"/>
        </w:rPr>
        <w:t>End-Of-Tranche</w:t>
      </w:r>
      <w:r w:rsidRPr="005D74D1">
        <w:rPr>
          <w:rFonts w:cs="Arial"/>
        </w:rPr>
        <w:t xml:space="preserve"> </w:t>
      </w:r>
      <w:r w:rsidR="002075C2" w:rsidRPr="005D74D1">
        <w:rPr>
          <w:rFonts w:cs="Arial"/>
        </w:rPr>
        <w:t>was</w:t>
      </w:r>
      <w:r w:rsidRPr="005D74D1">
        <w:rPr>
          <w:rFonts w:cs="Arial"/>
        </w:rPr>
        <w:t xml:space="preserve"> assessed through the following KEQs:</w:t>
      </w:r>
    </w:p>
    <w:p w14:paraId="48C5AFB6" w14:textId="24C15833" w:rsidR="00A362DF" w:rsidRPr="005D74D1" w:rsidRDefault="00A362DF" w:rsidP="00F0056D">
      <w:pPr>
        <w:pStyle w:val="BulletLevel1"/>
        <w:rPr>
          <w:rFonts w:cs="Arial"/>
          <w:lang w:val="en-AU"/>
        </w:rPr>
      </w:pPr>
      <w:r w:rsidRPr="005D74D1">
        <w:rPr>
          <w:rFonts w:cs="Arial"/>
          <w:lang w:val="en-AU"/>
        </w:rPr>
        <w:t>To what extent was funding allocated in line with the legislated objectives of the EC</w:t>
      </w:r>
      <w:r w:rsidR="00EF62AF" w:rsidRPr="005D74D1">
        <w:rPr>
          <w:rFonts w:cs="Arial"/>
          <w:lang w:val="en-AU"/>
        </w:rPr>
        <w:t xml:space="preserve"> and guided by key water management strategies</w:t>
      </w:r>
      <w:r w:rsidRPr="005D74D1">
        <w:rPr>
          <w:rFonts w:cs="Arial"/>
          <w:lang w:val="en-AU"/>
        </w:rPr>
        <w:t>?</w:t>
      </w:r>
    </w:p>
    <w:p w14:paraId="38A412DF" w14:textId="0ECD4B5A" w:rsidR="005F34AD" w:rsidRPr="005D74D1" w:rsidRDefault="005F34AD" w:rsidP="00F0056D">
      <w:pPr>
        <w:pStyle w:val="BulletLevel1"/>
        <w:rPr>
          <w:rFonts w:cs="Arial"/>
          <w:lang w:val="en-AU"/>
        </w:rPr>
      </w:pPr>
      <w:r w:rsidRPr="005D74D1">
        <w:rPr>
          <w:rFonts w:cs="Arial"/>
          <w:lang w:val="en-AU"/>
        </w:rPr>
        <w:t>To what extent did EC funded programs use monitoring and evaluation data to improve management (adaptive management)?</w:t>
      </w:r>
    </w:p>
    <w:p w14:paraId="3B986579" w14:textId="77777777" w:rsidR="00A50E7D" w:rsidRPr="005D74D1" w:rsidRDefault="00C10128" w:rsidP="00C10128">
      <w:pPr>
        <w:pStyle w:val="BodyText"/>
        <w:rPr>
          <w:rFonts w:cs="Arial"/>
        </w:rPr>
      </w:pPr>
      <w:r w:rsidRPr="005D74D1">
        <w:rPr>
          <w:rFonts w:cs="Arial"/>
        </w:rPr>
        <w:t xml:space="preserve">The findings for each of these are discussed in the sections below. The key sources of information used in this analysis were the </w:t>
      </w:r>
      <w:r w:rsidR="00856D03" w:rsidRPr="005D74D1">
        <w:rPr>
          <w:rFonts w:cs="Arial"/>
        </w:rPr>
        <w:t>project</w:t>
      </w:r>
      <w:r w:rsidRPr="005D74D1">
        <w:rPr>
          <w:rFonts w:cs="Arial"/>
        </w:rPr>
        <w:t xml:space="preserve"> evaluation reports, in which </w:t>
      </w:r>
      <w:r w:rsidR="00856D03" w:rsidRPr="005D74D1">
        <w:rPr>
          <w:rFonts w:cs="Arial"/>
        </w:rPr>
        <w:t>project</w:t>
      </w:r>
      <w:r w:rsidRPr="005D74D1">
        <w:rPr>
          <w:rFonts w:cs="Arial"/>
        </w:rPr>
        <w:t xml:space="preserve"> leads reported </w:t>
      </w:r>
      <w:r w:rsidR="00327B19" w:rsidRPr="005D74D1">
        <w:rPr>
          <w:rFonts w:cs="Arial"/>
        </w:rPr>
        <w:t xml:space="preserve">the appropriateness </w:t>
      </w:r>
      <w:r w:rsidRPr="005D74D1">
        <w:rPr>
          <w:rFonts w:cs="Arial"/>
        </w:rPr>
        <w:t xml:space="preserve">of their </w:t>
      </w:r>
      <w:r w:rsidR="00856D03" w:rsidRPr="005D74D1">
        <w:rPr>
          <w:rFonts w:cs="Arial"/>
        </w:rPr>
        <w:t>project</w:t>
      </w:r>
      <w:r w:rsidR="00475F32" w:rsidRPr="005D74D1">
        <w:rPr>
          <w:rFonts w:cs="Arial"/>
        </w:rPr>
        <w:t>s</w:t>
      </w:r>
      <w:r w:rsidRPr="005D74D1">
        <w:rPr>
          <w:rFonts w:cs="Arial"/>
        </w:rPr>
        <w:t>. Additionally, interviews with select</w:t>
      </w:r>
      <w:r w:rsidR="00C94AE3" w:rsidRPr="005D74D1">
        <w:rPr>
          <w:rFonts w:cs="Arial"/>
        </w:rPr>
        <w:t>ed</w:t>
      </w:r>
      <w:r w:rsidRPr="005D74D1">
        <w:rPr>
          <w:rFonts w:cs="Arial"/>
        </w:rPr>
        <w:t xml:space="preserve"> </w:t>
      </w:r>
      <w:r w:rsidR="00856D03" w:rsidRPr="005D74D1">
        <w:rPr>
          <w:rFonts w:cs="Arial"/>
        </w:rPr>
        <w:t>project</w:t>
      </w:r>
      <w:r w:rsidRPr="005D74D1">
        <w:rPr>
          <w:rFonts w:cs="Arial"/>
        </w:rPr>
        <w:t xml:space="preserve"> teams and DEECA leadership provided relevant insights.</w:t>
      </w:r>
    </w:p>
    <w:p w14:paraId="2AE552FC" w14:textId="0F474114" w:rsidR="001B46EB" w:rsidRPr="005D74D1" w:rsidRDefault="001B46EB" w:rsidP="001B46EB">
      <w:pPr>
        <w:pStyle w:val="Heading2"/>
        <w:rPr>
          <w:rFonts w:cs="Arial"/>
        </w:rPr>
      </w:pPr>
      <w:bookmarkStart w:id="499" w:name="_Toc147329349"/>
      <w:bookmarkStart w:id="500" w:name="_Toc183777380"/>
      <w:r w:rsidRPr="005D74D1">
        <w:rPr>
          <w:rFonts w:cs="Arial"/>
        </w:rPr>
        <w:t>To what extent was funding allocated in line with the legislated objectives of the EC</w:t>
      </w:r>
      <w:r w:rsidR="00AF5F13" w:rsidRPr="005D74D1">
        <w:rPr>
          <w:rFonts w:cs="Arial"/>
        </w:rPr>
        <w:t xml:space="preserve"> and guided by key </w:t>
      </w:r>
      <w:r w:rsidR="00015FE5" w:rsidRPr="005D74D1">
        <w:rPr>
          <w:rFonts w:cs="Arial"/>
        </w:rPr>
        <w:t>water management strategies</w:t>
      </w:r>
      <w:r w:rsidRPr="005D74D1">
        <w:rPr>
          <w:rFonts w:cs="Arial"/>
        </w:rPr>
        <w:t>?</w:t>
      </w:r>
      <w:bookmarkStart w:id="501" w:name="_Hlk147087009"/>
      <w:bookmarkEnd w:id="499"/>
      <w:bookmarkEnd w:id="500"/>
    </w:p>
    <w:bookmarkEnd w:id="501"/>
    <w:p w14:paraId="6CDA7323" w14:textId="1FADF5FB" w:rsidR="00A50E7D" w:rsidRPr="005D74D1" w:rsidRDefault="000404DA" w:rsidP="00D34D21">
      <w:pPr>
        <w:pStyle w:val="BodyText"/>
        <w:rPr>
          <w:rFonts w:cs="Arial"/>
        </w:rPr>
      </w:pPr>
      <w:r w:rsidRPr="005D74D1">
        <w:rPr>
          <w:rFonts w:cs="Arial"/>
        </w:rPr>
        <w:t xml:space="preserve">As discussed in </w:t>
      </w:r>
      <w:r w:rsidR="002A738B" w:rsidRPr="005D74D1">
        <w:rPr>
          <w:rFonts w:cs="Arial"/>
        </w:rPr>
        <w:t xml:space="preserve">Section </w:t>
      </w:r>
      <w:r w:rsidR="002A738B" w:rsidRPr="00A134A7">
        <w:rPr>
          <w:rFonts w:cs="Arial"/>
        </w:rPr>
        <w:fldChar w:fldCharType="begin"/>
      </w:r>
      <w:r w:rsidR="002A738B" w:rsidRPr="005D74D1">
        <w:rPr>
          <w:rFonts w:cs="Arial"/>
        </w:rPr>
        <w:instrText xml:space="preserve"> REF _Ref147390475 \r \h  \* MERGEFORMAT </w:instrText>
      </w:r>
      <w:r w:rsidR="002A738B" w:rsidRPr="00A134A7">
        <w:rPr>
          <w:rFonts w:cs="Arial"/>
        </w:rPr>
      </w:r>
      <w:r w:rsidR="002A738B" w:rsidRPr="00A134A7">
        <w:rPr>
          <w:rFonts w:cs="Arial"/>
        </w:rPr>
        <w:fldChar w:fldCharType="separate"/>
      </w:r>
      <w:r w:rsidR="003870A0">
        <w:rPr>
          <w:rFonts w:cs="Arial"/>
        </w:rPr>
        <w:t>1.1</w:t>
      </w:r>
      <w:r w:rsidR="002A738B" w:rsidRPr="00A134A7">
        <w:rPr>
          <w:rFonts w:cs="Arial"/>
        </w:rPr>
        <w:fldChar w:fldCharType="end"/>
      </w:r>
      <w:r w:rsidRPr="005D74D1">
        <w:rPr>
          <w:rFonts w:cs="Arial"/>
        </w:rPr>
        <w:t>, the objectives of the EC are legislated in Part 9 of the</w:t>
      </w:r>
      <w:r w:rsidR="00C94AE3" w:rsidRPr="005D74D1">
        <w:rPr>
          <w:rFonts w:cs="Arial"/>
        </w:rPr>
        <w:t xml:space="preserve"> Act</w:t>
      </w:r>
      <w:r w:rsidRPr="005D74D1">
        <w:rPr>
          <w:rFonts w:cs="Arial"/>
          <w:i/>
          <w:iCs/>
        </w:rPr>
        <w:t>.</w:t>
      </w:r>
      <w:r w:rsidRPr="005D74D1">
        <w:rPr>
          <w:rFonts w:cs="Arial"/>
        </w:rPr>
        <w:t xml:space="preserve"> </w:t>
      </w:r>
      <w:r w:rsidR="003C0D41" w:rsidRPr="005D74D1">
        <w:rPr>
          <w:rFonts w:cs="Arial"/>
        </w:rPr>
        <w:t xml:space="preserve">The </w:t>
      </w:r>
      <w:r w:rsidR="00856D03" w:rsidRPr="005D74D1">
        <w:rPr>
          <w:rFonts w:cs="Arial"/>
        </w:rPr>
        <w:t>project</w:t>
      </w:r>
      <w:r w:rsidR="001159E9" w:rsidRPr="005D74D1">
        <w:rPr>
          <w:rFonts w:cs="Arial"/>
        </w:rPr>
        <w:t>s</w:t>
      </w:r>
      <w:r w:rsidR="003C0D41" w:rsidRPr="005D74D1">
        <w:rPr>
          <w:rFonts w:cs="Arial"/>
        </w:rPr>
        <w:t xml:space="preserve"> showed clear alignment with </w:t>
      </w:r>
      <w:r w:rsidR="006F1B8A" w:rsidRPr="005D74D1">
        <w:rPr>
          <w:rFonts w:cs="Arial"/>
        </w:rPr>
        <w:t>the legislated objectives</w:t>
      </w:r>
      <w:r w:rsidR="00C94AE3" w:rsidRPr="005D74D1">
        <w:rPr>
          <w:rFonts w:cs="Arial"/>
        </w:rPr>
        <w:t>,</w:t>
      </w:r>
      <w:r w:rsidR="006F1B8A" w:rsidRPr="005D74D1">
        <w:rPr>
          <w:rFonts w:cs="Arial"/>
        </w:rPr>
        <w:t xml:space="preserve"> with a</w:t>
      </w:r>
      <w:r w:rsidR="005C477F" w:rsidRPr="005D74D1">
        <w:rPr>
          <w:rFonts w:cs="Arial"/>
        </w:rPr>
        <w:t xml:space="preserve">ll EC5 </w:t>
      </w:r>
      <w:r w:rsidR="00856D03" w:rsidRPr="005D74D1">
        <w:rPr>
          <w:rFonts w:cs="Arial"/>
        </w:rPr>
        <w:t>project</w:t>
      </w:r>
      <w:r w:rsidR="005C477F" w:rsidRPr="005D74D1">
        <w:rPr>
          <w:rFonts w:cs="Arial"/>
        </w:rPr>
        <w:t>s report</w:t>
      </w:r>
      <w:r w:rsidR="006F1B8A" w:rsidRPr="005D74D1">
        <w:rPr>
          <w:rFonts w:cs="Arial"/>
        </w:rPr>
        <w:t>ing</w:t>
      </w:r>
      <w:r w:rsidR="005C477F" w:rsidRPr="005D74D1">
        <w:rPr>
          <w:rFonts w:cs="Arial"/>
        </w:rPr>
        <w:t xml:space="preserve"> contribu</w:t>
      </w:r>
      <w:r w:rsidR="001159E9" w:rsidRPr="005D74D1">
        <w:rPr>
          <w:rFonts w:cs="Arial"/>
        </w:rPr>
        <w:t>tions</w:t>
      </w:r>
      <w:r w:rsidR="005C477F" w:rsidRPr="005D74D1">
        <w:rPr>
          <w:rFonts w:cs="Arial"/>
        </w:rPr>
        <w:t xml:space="preserve"> to one or both legislated objectives:</w:t>
      </w:r>
    </w:p>
    <w:p w14:paraId="323519AE" w14:textId="3330A944" w:rsidR="005C477F" w:rsidRPr="005D74D1" w:rsidRDefault="00146C6E" w:rsidP="7952BA11">
      <w:pPr>
        <w:pStyle w:val="BulletLevel1"/>
        <w:rPr>
          <w:rFonts w:cs="Arial"/>
          <w:lang w:val="en-AU"/>
        </w:rPr>
      </w:pPr>
      <w:r w:rsidRPr="005D74D1">
        <w:rPr>
          <w:rFonts w:cs="Arial"/>
          <w:lang w:val="en-AU"/>
        </w:rPr>
        <w:t>C</w:t>
      </w:r>
      <w:r w:rsidR="340A1597" w:rsidRPr="005D74D1">
        <w:rPr>
          <w:rFonts w:cs="Arial"/>
          <w:lang w:val="en-AU"/>
        </w:rPr>
        <w:t>ontributing to the promotion of sustainable management of water</w:t>
      </w:r>
      <w:r w:rsidRPr="005D74D1">
        <w:rPr>
          <w:rFonts w:cs="Arial"/>
          <w:lang w:val="en-AU"/>
        </w:rPr>
        <w:t xml:space="preserve"> (97%)</w:t>
      </w:r>
    </w:p>
    <w:p w14:paraId="7333387E" w14:textId="46376B57" w:rsidR="00D34D21" w:rsidRPr="005D74D1" w:rsidRDefault="00146C6E" w:rsidP="7952BA11">
      <w:pPr>
        <w:pStyle w:val="BulletLevel1"/>
        <w:rPr>
          <w:rFonts w:cs="Arial"/>
          <w:lang w:val="en-AU"/>
        </w:rPr>
      </w:pPr>
      <w:r w:rsidRPr="005D74D1">
        <w:rPr>
          <w:rFonts w:cs="Arial"/>
          <w:lang w:val="en-AU"/>
        </w:rPr>
        <w:t>Addressing</w:t>
      </w:r>
      <w:r w:rsidR="6AD3F83C" w:rsidRPr="005D74D1">
        <w:rPr>
          <w:rFonts w:cs="Arial"/>
          <w:lang w:val="en-AU"/>
        </w:rPr>
        <w:t xml:space="preserve"> water-related environmental impacts</w:t>
      </w:r>
      <w:r w:rsidRPr="005D74D1">
        <w:rPr>
          <w:rFonts w:cs="Arial"/>
          <w:lang w:val="en-AU"/>
        </w:rPr>
        <w:t xml:space="preserve"> (86%)</w:t>
      </w:r>
    </w:p>
    <w:p w14:paraId="625D211F" w14:textId="1A5D7572" w:rsidR="000404DA" w:rsidRPr="005D74D1" w:rsidRDefault="000404DA" w:rsidP="000404DA">
      <w:pPr>
        <w:pStyle w:val="BodyText"/>
        <w:rPr>
          <w:rFonts w:cs="Arial"/>
        </w:rPr>
      </w:pPr>
      <w:r w:rsidRPr="005D74D1">
        <w:rPr>
          <w:rFonts w:cs="Arial"/>
        </w:rPr>
        <w:t xml:space="preserve">The </w:t>
      </w:r>
      <w:r w:rsidR="00856D03" w:rsidRPr="005D74D1">
        <w:rPr>
          <w:rFonts w:cs="Arial"/>
        </w:rPr>
        <w:t>project</w:t>
      </w:r>
      <w:r w:rsidRPr="005D74D1">
        <w:rPr>
          <w:rFonts w:cs="Arial"/>
        </w:rPr>
        <w:t xml:space="preserve">s </w:t>
      </w:r>
      <w:r w:rsidR="001159E9" w:rsidRPr="005D74D1">
        <w:rPr>
          <w:rFonts w:cs="Arial"/>
        </w:rPr>
        <w:t>were</w:t>
      </w:r>
      <w:r w:rsidRPr="005D74D1">
        <w:rPr>
          <w:rFonts w:cs="Arial"/>
        </w:rPr>
        <w:t xml:space="preserve"> guided by </w:t>
      </w:r>
      <w:r w:rsidR="00AF5F13" w:rsidRPr="005D74D1">
        <w:rPr>
          <w:rFonts w:cs="Arial"/>
        </w:rPr>
        <w:t xml:space="preserve">the following key </w:t>
      </w:r>
      <w:r w:rsidRPr="005D74D1">
        <w:rPr>
          <w:rFonts w:cs="Arial"/>
        </w:rPr>
        <w:t>State Government water management strategies</w:t>
      </w:r>
      <w:r w:rsidR="00B211A6" w:rsidRPr="005D74D1">
        <w:rPr>
          <w:rFonts w:cs="Arial"/>
        </w:rPr>
        <w:t>:</w:t>
      </w:r>
    </w:p>
    <w:p w14:paraId="1AD46CC2" w14:textId="18F03669" w:rsidR="000404DA" w:rsidRPr="005D74D1" w:rsidRDefault="00AF5F13" w:rsidP="002333C7">
      <w:pPr>
        <w:pStyle w:val="BulletLevel1"/>
        <w:rPr>
          <w:rFonts w:cs="Arial"/>
          <w:i/>
          <w:iCs/>
          <w:lang w:val="en-AU"/>
        </w:rPr>
      </w:pPr>
      <w:r w:rsidRPr="005D74D1">
        <w:rPr>
          <w:rFonts w:cs="Arial"/>
          <w:i/>
          <w:iCs/>
          <w:lang w:val="en-AU"/>
        </w:rPr>
        <w:t>Water for Victoria (2016)</w:t>
      </w:r>
    </w:p>
    <w:p w14:paraId="6262EA54" w14:textId="2F11008F" w:rsidR="00AF5F13" w:rsidRPr="005D74D1" w:rsidRDefault="00AF5F13" w:rsidP="002333C7">
      <w:pPr>
        <w:pStyle w:val="BulletLevel1"/>
        <w:rPr>
          <w:rFonts w:cs="Arial"/>
          <w:i/>
          <w:iCs/>
          <w:lang w:val="en-AU"/>
        </w:rPr>
      </w:pPr>
      <w:r w:rsidRPr="005D74D1">
        <w:rPr>
          <w:rFonts w:cs="Arial"/>
          <w:i/>
          <w:iCs/>
          <w:lang w:val="en-AU"/>
        </w:rPr>
        <w:lastRenderedPageBreak/>
        <w:t>Water is Life: Traditional Owner Access to Water Roadmap (2022)</w:t>
      </w:r>
    </w:p>
    <w:p w14:paraId="0ECF7E91" w14:textId="224E7E5E" w:rsidR="00AF5F13" w:rsidRPr="005D74D1" w:rsidRDefault="00264D17" w:rsidP="7952BA11">
      <w:pPr>
        <w:pStyle w:val="BulletLevel1"/>
        <w:rPr>
          <w:rFonts w:cs="Arial"/>
          <w:i/>
          <w:iCs/>
          <w:lang w:val="en-AU"/>
        </w:rPr>
      </w:pPr>
      <w:r w:rsidRPr="005D74D1">
        <w:rPr>
          <w:rFonts w:cs="Arial"/>
          <w:i/>
          <w:iCs/>
          <w:lang w:val="en-AU"/>
        </w:rPr>
        <w:t xml:space="preserve">CGRSWS </w:t>
      </w:r>
      <w:r w:rsidR="3A351AE0" w:rsidRPr="005D74D1">
        <w:rPr>
          <w:rFonts w:cs="Arial"/>
          <w:i/>
          <w:iCs/>
          <w:lang w:val="en-AU"/>
        </w:rPr>
        <w:t>(2022)</w:t>
      </w:r>
      <w:r w:rsidR="38C0F638" w:rsidRPr="005D74D1">
        <w:rPr>
          <w:rFonts w:cs="Arial"/>
          <w:i/>
          <w:iCs/>
          <w:lang w:val="en-AU"/>
        </w:rPr>
        <w:t>.</w:t>
      </w:r>
    </w:p>
    <w:p w14:paraId="3B1F81AC" w14:textId="0420269B" w:rsidR="00A50E7D" w:rsidRPr="005D74D1" w:rsidRDefault="49DAD4CD" w:rsidP="00BE69C7">
      <w:pPr>
        <w:pStyle w:val="BodyText"/>
        <w:rPr>
          <w:rFonts w:cs="Arial"/>
        </w:rPr>
      </w:pPr>
      <w:r w:rsidRPr="005D74D1">
        <w:rPr>
          <w:rFonts w:cs="Arial"/>
        </w:rPr>
        <w:t>An analysis of</w:t>
      </w:r>
      <w:r w:rsidR="31D923A1" w:rsidRPr="005D74D1">
        <w:rPr>
          <w:rFonts w:cs="Arial"/>
        </w:rPr>
        <w:t xml:space="preserve"> alignment of the EC5 </w:t>
      </w:r>
      <w:r w:rsidR="3B325E92" w:rsidRPr="005D74D1">
        <w:rPr>
          <w:rFonts w:cs="Arial"/>
        </w:rPr>
        <w:t>project</w:t>
      </w:r>
      <w:r w:rsidR="31D923A1" w:rsidRPr="005D74D1">
        <w:rPr>
          <w:rFonts w:cs="Arial"/>
        </w:rPr>
        <w:t xml:space="preserve">s </w:t>
      </w:r>
      <w:r w:rsidR="43EE984F" w:rsidRPr="005D74D1">
        <w:rPr>
          <w:rFonts w:cs="Arial"/>
        </w:rPr>
        <w:t>with</w:t>
      </w:r>
      <w:r w:rsidRPr="005D74D1">
        <w:rPr>
          <w:rFonts w:cs="Arial"/>
        </w:rPr>
        <w:t xml:space="preserve"> </w:t>
      </w:r>
      <w:r w:rsidR="3A351AE0" w:rsidRPr="005D74D1">
        <w:rPr>
          <w:rFonts w:cs="Arial"/>
        </w:rPr>
        <w:t>each of the</w:t>
      </w:r>
      <w:r w:rsidR="00BE6FEC" w:rsidRPr="005D74D1">
        <w:rPr>
          <w:rFonts w:cs="Arial"/>
        </w:rPr>
        <w:t xml:space="preserve"> actions specified in each of these</w:t>
      </w:r>
      <w:r w:rsidR="3A351AE0" w:rsidRPr="005D74D1">
        <w:rPr>
          <w:rFonts w:cs="Arial"/>
        </w:rPr>
        <w:t xml:space="preserve"> strategies</w:t>
      </w:r>
      <w:r w:rsidR="1C77FB0B" w:rsidRPr="005D74D1">
        <w:rPr>
          <w:rFonts w:cs="Arial"/>
        </w:rPr>
        <w:t xml:space="preserve"> </w:t>
      </w:r>
      <w:r w:rsidR="17220277" w:rsidRPr="005D74D1">
        <w:rPr>
          <w:rFonts w:cs="Arial"/>
        </w:rPr>
        <w:t xml:space="preserve">is provided </w:t>
      </w:r>
      <w:r w:rsidR="38F966BC" w:rsidRPr="005D74D1">
        <w:rPr>
          <w:rFonts w:cs="Arial"/>
        </w:rPr>
        <w:t xml:space="preserve">in </w:t>
      </w:r>
      <w:r w:rsidR="002D3B90" w:rsidRPr="00A134A7">
        <w:rPr>
          <w:rFonts w:cs="Arial"/>
        </w:rPr>
        <w:fldChar w:fldCharType="begin"/>
      </w:r>
      <w:r w:rsidR="002D3B90" w:rsidRPr="005D74D1">
        <w:rPr>
          <w:rFonts w:cs="Arial"/>
        </w:rPr>
        <w:instrText xml:space="preserve"> REF _Ref147138105 \h </w:instrText>
      </w:r>
      <w:r w:rsidR="00C737B9" w:rsidRPr="005D74D1">
        <w:rPr>
          <w:rFonts w:cs="Arial"/>
        </w:rPr>
        <w:instrText xml:space="preserve"> \* MERGEFORMAT </w:instrText>
      </w:r>
      <w:r w:rsidR="002D3B90" w:rsidRPr="00A134A7">
        <w:rPr>
          <w:rFonts w:cs="Arial"/>
        </w:rPr>
      </w:r>
      <w:r w:rsidR="002D3B90" w:rsidRPr="00A134A7">
        <w:rPr>
          <w:rFonts w:cs="Arial"/>
        </w:rPr>
        <w:fldChar w:fldCharType="separate"/>
      </w:r>
      <w:r w:rsidR="003870A0" w:rsidRPr="005D74D1">
        <w:rPr>
          <w:rFonts w:cs="Arial"/>
        </w:rPr>
        <w:t>Table </w:t>
      </w:r>
      <w:r w:rsidR="003870A0">
        <w:rPr>
          <w:rFonts w:cs="Arial"/>
        </w:rPr>
        <w:t>10</w:t>
      </w:r>
      <w:r w:rsidR="002D3B90" w:rsidRPr="00A134A7">
        <w:rPr>
          <w:rFonts w:cs="Arial"/>
        </w:rPr>
        <w:fldChar w:fldCharType="end"/>
      </w:r>
      <w:r w:rsidR="00C24C75" w:rsidRPr="005D74D1">
        <w:rPr>
          <w:rFonts w:cs="Arial"/>
        </w:rPr>
        <w:t xml:space="preserve">, </w:t>
      </w:r>
      <w:r w:rsidR="15E65CC2" w:rsidRPr="005D74D1">
        <w:rPr>
          <w:rFonts w:cs="Arial"/>
        </w:rPr>
        <w:t xml:space="preserve">as reported in the </w:t>
      </w:r>
      <w:r w:rsidR="3B325E92" w:rsidRPr="005D74D1">
        <w:rPr>
          <w:rFonts w:cs="Arial"/>
        </w:rPr>
        <w:t>project</w:t>
      </w:r>
      <w:r w:rsidR="15E65CC2" w:rsidRPr="005D74D1">
        <w:rPr>
          <w:rFonts w:cs="Arial"/>
        </w:rPr>
        <w:t xml:space="preserve"> evaluation reports</w:t>
      </w:r>
      <w:r w:rsidR="17220277" w:rsidRPr="005D74D1">
        <w:rPr>
          <w:rFonts w:cs="Arial"/>
        </w:rPr>
        <w:t xml:space="preserve">. </w:t>
      </w:r>
      <w:r w:rsidR="1312D1FB" w:rsidRPr="005D74D1">
        <w:rPr>
          <w:rFonts w:cs="Arial"/>
        </w:rPr>
        <w:t xml:space="preserve">Many of the </w:t>
      </w:r>
      <w:r w:rsidR="3B325E92" w:rsidRPr="005D74D1">
        <w:rPr>
          <w:rFonts w:cs="Arial"/>
        </w:rPr>
        <w:t>project</w:t>
      </w:r>
      <w:r w:rsidR="1312D1FB" w:rsidRPr="005D74D1">
        <w:rPr>
          <w:rFonts w:cs="Arial"/>
        </w:rPr>
        <w:t xml:space="preserve">s also </w:t>
      </w:r>
      <w:r w:rsidR="6712947E" w:rsidRPr="005D74D1">
        <w:rPr>
          <w:rFonts w:cs="Arial"/>
        </w:rPr>
        <w:t xml:space="preserve">reported </w:t>
      </w:r>
      <w:r w:rsidR="1312D1FB" w:rsidRPr="005D74D1">
        <w:rPr>
          <w:rFonts w:cs="Arial"/>
        </w:rPr>
        <w:t>contribut</w:t>
      </w:r>
      <w:r w:rsidR="6712947E" w:rsidRPr="005D74D1">
        <w:rPr>
          <w:rFonts w:cs="Arial"/>
        </w:rPr>
        <w:t>ing</w:t>
      </w:r>
      <w:r w:rsidR="1312D1FB" w:rsidRPr="005D74D1">
        <w:rPr>
          <w:rFonts w:cs="Arial"/>
        </w:rPr>
        <w:t xml:space="preserve"> to other State or </w:t>
      </w:r>
      <w:r w:rsidR="002D3B90" w:rsidRPr="005D74D1">
        <w:rPr>
          <w:rFonts w:cs="Arial"/>
        </w:rPr>
        <w:t>Commonwealth</w:t>
      </w:r>
      <w:r w:rsidR="1312D1FB" w:rsidRPr="005D74D1">
        <w:rPr>
          <w:rFonts w:cs="Arial"/>
        </w:rPr>
        <w:t xml:space="preserve"> strategies</w:t>
      </w:r>
      <w:r w:rsidR="0087108A" w:rsidRPr="005D74D1">
        <w:rPr>
          <w:rFonts w:cs="Arial"/>
        </w:rPr>
        <w:t xml:space="preserve"> (see Appendix A for further information in the</w:t>
      </w:r>
      <w:r w:rsidR="16FB0BEF" w:rsidRPr="005D74D1">
        <w:rPr>
          <w:rFonts w:cs="Arial"/>
        </w:rPr>
        <w:t xml:space="preserve"> individual </w:t>
      </w:r>
      <w:r w:rsidR="0087108A" w:rsidRPr="005D74D1">
        <w:rPr>
          <w:rFonts w:cs="Arial"/>
        </w:rPr>
        <w:t xml:space="preserve">project </w:t>
      </w:r>
      <w:r w:rsidR="16FB0BEF" w:rsidRPr="005D74D1">
        <w:rPr>
          <w:rFonts w:cs="Arial"/>
        </w:rPr>
        <w:t>summaries</w:t>
      </w:r>
      <w:r w:rsidR="0087108A" w:rsidRPr="005D74D1">
        <w:rPr>
          <w:rFonts w:cs="Arial"/>
        </w:rPr>
        <w:t>)</w:t>
      </w:r>
      <w:r w:rsidR="16FB0BEF" w:rsidRPr="005D74D1">
        <w:rPr>
          <w:rFonts w:cs="Arial"/>
        </w:rPr>
        <w:t>.</w:t>
      </w:r>
    </w:p>
    <w:p w14:paraId="0B406C77" w14:textId="37BE953B" w:rsidR="009B422F" w:rsidRPr="005D74D1" w:rsidRDefault="00FA10C7" w:rsidP="00312C92">
      <w:pPr>
        <w:pStyle w:val="TableCaption"/>
        <w:rPr>
          <w:rFonts w:cs="Arial"/>
        </w:rPr>
      </w:pPr>
      <w:bookmarkStart w:id="502" w:name="_Ref147138105"/>
      <w:bookmarkStart w:id="503" w:name="_Toc184904997"/>
      <w:r w:rsidRPr="005D74D1">
        <w:rPr>
          <w:rFonts w:cs="Arial"/>
        </w:rPr>
        <w:t>Table</w:t>
      </w:r>
      <w:r w:rsidR="00832A3E" w:rsidRPr="005D74D1">
        <w:rPr>
          <w:rFonts w:cs="Arial"/>
        </w:rPr>
        <w:t> </w:t>
      </w:r>
      <w:r w:rsidRPr="00A134A7">
        <w:rPr>
          <w:rFonts w:cs="Arial"/>
        </w:rPr>
        <w:fldChar w:fldCharType="begin"/>
      </w:r>
      <w:r w:rsidRPr="005D74D1">
        <w:rPr>
          <w:rFonts w:cs="Arial"/>
        </w:rPr>
        <w:instrText>SEQ Table \* ARABIC</w:instrText>
      </w:r>
      <w:r w:rsidRPr="00A134A7">
        <w:rPr>
          <w:rFonts w:cs="Arial"/>
        </w:rPr>
        <w:fldChar w:fldCharType="separate"/>
      </w:r>
      <w:r w:rsidR="003870A0">
        <w:rPr>
          <w:rFonts w:cs="Arial"/>
          <w:noProof/>
        </w:rPr>
        <w:t>10</w:t>
      </w:r>
      <w:r w:rsidRPr="00A134A7">
        <w:rPr>
          <w:rFonts w:cs="Arial"/>
        </w:rPr>
        <w:fldChar w:fldCharType="end"/>
      </w:r>
      <w:bookmarkEnd w:id="502"/>
      <w:r w:rsidR="00832A3E" w:rsidRPr="005D74D1">
        <w:rPr>
          <w:rFonts w:cs="Arial"/>
        </w:rPr>
        <w:t>.</w:t>
      </w:r>
      <w:r w:rsidRPr="005D74D1">
        <w:rPr>
          <w:rFonts w:cs="Arial"/>
        </w:rPr>
        <w:t xml:space="preserve"> Alignment of EC5 with Key State Government Water Strategies</w:t>
      </w:r>
      <w:bookmarkEnd w:id="503"/>
    </w:p>
    <w:tbl>
      <w:tblPr>
        <w:tblW w:w="5000" w:type="pct"/>
        <w:tblBorders>
          <w:top w:val="single" w:sz="4" w:space="0" w:color="231EDC" w:themeColor="accent1"/>
          <w:left w:val="single" w:sz="4" w:space="0" w:color="231EDC" w:themeColor="accent1"/>
          <w:bottom w:val="single" w:sz="4" w:space="0" w:color="231EDC" w:themeColor="accent1"/>
          <w:right w:val="single" w:sz="4" w:space="0" w:color="231EDC" w:themeColor="accent1"/>
          <w:insideH w:val="single" w:sz="4" w:space="0" w:color="231EDC" w:themeColor="accent1"/>
          <w:insideV w:val="single" w:sz="4" w:space="0" w:color="231EDC" w:themeColor="accent1"/>
        </w:tblBorders>
        <w:tblLayout w:type="fixed"/>
        <w:tblLook w:val="04A0" w:firstRow="1" w:lastRow="0" w:firstColumn="1" w:lastColumn="0" w:noHBand="0" w:noVBand="1"/>
      </w:tblPr>
      <w:tblGrid>
        <w:gridCol w:w="3325"/>
        <w:gridCol w:w="2159"/>
        <w:gridCol w:w="1891"/>
        <w:gridCol w:w="2253"/>
      </w:tblGrid>
      <w:tr w:rsidR="009B2B36" w:rsidRPr="005D74D1" w14:paraId="4AB2E199" w14:textId="5391BF23" w:rsidTr="00AD3B2C">
        <w:trPr>
          <w:trHeight w:val="288"/>
        </w:trPr>
        <w:tc>
          <w:tcPr>
            <w:tcW w:w="1727" w:type="pct"/>
            <w:shd w:val="clear" w:color="auto" w:fill="231EDC" w:themeFill="accent1"/>
          </w:tcPr>
          <w:p w14:paraId="7D24BC7C" w14:textId="1B74D011" w:rsidR="0004562E" w:rsidRPr="005D74D1" w:rsidRDefault="0004562E" w:rsidP="009B2B36">
            <w:pPr>
              <w:pStyle w:val="TableHeading"/>
              <w:rPr>
                <w:rFonts w:cs="Arial"/>
              </w:rPr>
            </w:pPr>
            <w:r w:rsidRPr="005D74D1">
              <w:rPr>
                <w:rFonts w:cs="Arial"/>
              </w:rPr>
              <w:t xml:space="preserve">EC5 </w:t>
            </w:r>
            <w:r w:rsidR="00856D03" w:rsidRPr="005D74D1">
              <w:rPr>
                <w:rFonts w:cs="Arial"/>
              </w:rPr>
              <w:t>Project</w:t>
            </w:r>
            <w:r w:rsidRPr="005D74D1">
              <w:rPr>
                <w:rFonts w:cs="Arial"/>
              </w:rPr>
              <w:t>s</w:t>
            </w:r>
          </w:p>
        </w:tc>
        <w:tc>
          <w:tcPr>
            <w:tcW w:w="1121" w:type="pct"/>
            <w:shd w:val="clear" w:color="auto" w:fill="231EDC" w:themeFill="accent1"/>
          </w:tcPr>
          <w:p w14:paraId="055FE3CD" w14:textId="1B294B24" w:rsidR="0004562E" w:rsidRPr="005D74D1" w:rsidRDefault="0004562E" w:rsidP="009B2B36">
            <w:pPr>
              <w:pStyle w:val="TableHeading"/>
              <w:rPr>
                <w:rFonts w:cs="Arial"/>
              </w:rPr>
            </w:pPr>
            <w:r w:rsidRPr="005D74D1">
              <w:rPr>
                <w:rFonts w:cs="Arial"/>
              </w:rPr>
              <w:t>Water for Victoria</w:t>
            </w:r>
            <w:r w:rsidR="40B04E68" w:rsidRPr="005D74D1">
              <w:rPr>
                <w:rFonts w:cs="Arial"/>
              </w:rPr>
              <w:t xml:space="preserve"> (2016) </w:t>
            </w:r>
          </w:p>
        </w:tc>
        <w:tc>
          <w:tcPr>
            <w:tcW w:w="982" w:type="pct"/>
            <w:shd w:val="clear" w:color="auto" w:fill="231EDC" w:themeFill="accent1"/>
          </w:tcPr>
          <w:p w14:paraId="661A821C" w14:textId="205F2C28" w:rsidR="0004562E" w:rsidRPr="005D74D1" w:rsidRDefault="0004562E" w:rsidP="009B2B36">
            <w:pPr>
              <w:pStyle w:val="TableHeading"/>
              <w:rPr>
                <w:rFonts w:cs="Arial"/>
              </w:rPr>
            </w:pPr>
            <w:r w:rsidRPr="005D74D1">
              <w:rPr>
                <w:rFonts w:cs="Arial"/>
              </w:rPr>
              <w:t>Water is Life</w:t>
            </w:r>
            <w:r w:rsidR="24186D84" w:rsidRPr="005D74D1">
              <w:rPr>
                <w:rFonts w:cs="Arial"/>
              </w:rPr>
              <w:t xml:space="preserve"> (2022)</w:t>
            </w:r>
          </w:p>
        </w:tc>
        <w:tc>
          <w:tcPr>
            <w:tcW w:w="1170" w:type="pct"/>
            <w:shd w:val="clear" w:color="auto" w:fill="231EDC" w:themeFill="accent1"/>
          </w:tcPr>
          <w:p w14:paraId="02A8890D" w14:textId="56C72C05" w:rsidR="0004562E" w:rsidRPr="005D74D1" w:rsidRDefault="0004562E" w:rsidP="009B2B36">
            <w:pPr>
              <w:pStyle w:val="TableHeading"/>
              <w:rPr>
                <w:rFonts w:cs="Arial"/>
              </w:rPr>
            </w:pPr>
            <w:r w:rsidRPr="005D74D1">
              <w:rPr>
                <w:rFonts w:cs="Arial"/>
              </w:rPr>
              <w:t>CGRSWS</w:t>
            </w:r>
            <w:r w:rsidR="50C2846F" w:rsidRPr="005D74D1">
              <w:rPr>
                <w:rFonts w:cs="Arial"/>
              </w:rPr>
              <w:t xml:space="preserve"> (2022)</w:t>
            </w:r>
          </w:p>
        </w:tc>
      </w:tr>
      <w:tr w:rsidR="009B2B36" w:rsidRPr="005D74D1" w14:paraId="43E4DEB2" w14:textId="124D93CB" w:rsidTr="00AD3B2C">
        <w:trPr>
          <w:trHeight w:val="288"/>
        </w:trPr>
        <w:tc>
          <w:tcPr>
            <w:tcW w:w="1727" w:type="pct"/>
            <w:hideMark/>
          </w:tcPr>
          <w:p w14:paraId="4B859847" w14:textId="26DA424E" w:rsidR="00390CF7" w:rsidRPr="005D74D1" w:rsidRDefault="00390CF7" w:rsidP="009B2B36">
            <w:pPr>
              <w:pStyle w:val="TableText"/>
              <w:rPr>
                <w:rFonts w:cs="Arial"/>
              </w:rPr>
            </w:pPr>
            <w:r w:rsidRPr="005D74D1">
              <w:rPr>
                <w:rFonts w:cs="Arial"/>
              </w:rPr>
              <w:t>CWCT01: Integrated Water Management</w:t>
            </w:r>
          </w:p>
        </w:tc>
        <w:tc>
          <w:tcPr>
            <w:tcW w:w="1121" w:type="pct"/>
          </w:tcPr>
          <w:p w14:paraId="5F2FB2A2" w14:textId="25FD1123" w:rsidR="00390CF7" w:rsidRPr="005D74D1" w:rsidRDefault="00390CF7" w:rsidP="009B2B36">
            <w:pPr>
              <w:pStyle w:val="TableText"/>
              <w:rPr>
                <w:rFonts w:cs="Arial"/>
              </w:rPr>
            </w:pPr>
            <w:r w:rsidRPr="005D74D1">
              <w:rPr>
                <w:rFonts w:ascii="Segoe UI Symbol" w:hAnsi="Segoe UI Symbol" w:cs="Segoe UI Symbol"/>
              </w:rPr>
              <w:t>✓</w:t>
            </w:r>
            <w:r w:rsidRPr="005D74D1">
              <w:rPr>
                <w:rFonts w:cs="Arial"/>
              </w:rPr>
              <w:t xml:space="preserve"> A5.8</w:t>
            </w:r>
          </w:p>
        </w:tc>
        <w:tc>
          <w:tcPr>
            <w:tcW w:w="982" w:type="pct"/>
          </w:tcPr>
          <w:p w14:paraId="697A300E" w14:textId="25894891" w:rsidR="00390CF7" w:rsidRPr="005D74D1" w:rsidRDefault="00390CF7" w:rsidP="009B2B36">
            <w:pPr>
              <w:pStyle w:val="TableText"/>
              <w:rPr>
                <w:rFonts w:cs="Arial"/>
              </w:rPr>
            </w:pPr>
            <w:r w:rsidRPr="005D74D1">
              <w:rPr>
                <w:rFonts w:ascii="Segoe UI Symbol" w:hAnsi="Segoe UI Symbol" w:cs="Segoe UI Symbol"/>
              </w:rPr>
              <w:t>✓</w:t>
            </w:r>
          </w:p>
        </w:tc>
        <w:tc>
          <w:tcPr>
            <w:tcW w:w="1170" w:type="pct"/>
          </w:tcPr>
          <w:p w14:paraId="2E662997" w14:textId="4AD0BCD0" w:rsidR="00390CF7" w:rsidRPr="005D74D1" w:rsidRDefault="00390CF7" w:rsidP="009B2B36">
            <w:pPr>
              <w:pStyle w:val="TableText"/>
              <w:rPr>
                <w:rFonts w:cs="Arial"/>
              </w:rPr>
            </w:pPr>
            <w:r w:rsidRPr="005D74D1">
              <w:rPr>
                <w:rFonts w:ascii="Segoe UI Symbol" w:hAnsi="Segoe UI Symbol" w:cs="Segoe UI Symbol"/>
              </w:rPr>
              <w:t>✓</w:t>
            </w:r>
          </w:p>
        </w:tc>
      </w:tr>
      <w:tr w:rsidR="009B2B36" w:rsidRPr="005D74D1" w14:paraId="347A1F32" w14:textId="17007486" w:rsidTr="00AD3B2C">
        <w:trPr>
          <w:trHeight w:val="288"/>
        </w:trPr>
        <w:tc>
          <w:tcPr>
            <w:tcW w:w="1727" w:type="pct"/>
            <w:hideMark/>
          </w:tcPr>
          <w:p w14:paraId="3E403771" w14:textId="756CD3BD" w:rsidR="00390CF7" w:rsidRPr="005D74D1" w:rsidRDefault="00390CF7" w:rsidP="009B2B36">
            <w:pPr>
              <w:pStyle w:val="TableText"/>
              <w:rPr>
                <w:rFonts w:cs="Arial"/>
              </w:rPr>
            </w:pPr>
            <w:r w:rsidRPr="005D74D1">
              <w:rPr>
                <w:rFonts w:cs="Arial"/>
              </w:rPr>
              <w:t>CWCT02: Iconic Urban Waterways Program</w:t>
            </w:r>
          </w:p>
        </w:tc>
        <w:tc>
          <w:tcPr>
            <w:tcW w:w="1121" w:type="pct"/>
          </w:tcPr>
          <w:p w14:paraId="409BCFA7" w14:textId="1EB1BACB" w:rsidR="00390CF7" w:rsidRPr="005D74D1" w:rsidRDefault="00390CF7" w:rsidP="009B2B36">
            <w:pPr>
              <w:pStyle w:val="TableText"/>
              <w:rPr>
                <w:rFonts w:cs="Arial"/>
              </w:rPr>
            </w:pPr>
            <w:r w:rsidRPr="005D74D1">
              <w:rPr>
                <w:rFonts w:ascii="Segoe UI Symbol" w:hAnsi="Segoe UI Symbol" w:cs="Segoe UI Symbol"/>
              </w:rPr>
              <w:t>✓</w:t>
            </w:r>
          </w:p>
        </w:tc>
        <w:tc>
          <w:tcPr>
            <w:tcW w:w="982" w:type="pct"/>
          </w:tcPr>
          <w:p w14:paraId="693FCE31" w14:textId="79B78107" w:rsidR="00390CF7" w:rsidRPr="005D74D1" w:rsidRDefault="00390CF7" w:rsidP="009B2B36">
            <w:pPr>
              <w:pStyle w:val="TableText"/>
              <w:rPr>
                <w:rFonts w:cs="Arial"/>
              </w:rPr>
            </w:pPr>
            <w:r w:rsidRPr="005D74D1">
              <w:rPr>
                <w:rFonts w:ascii="Segoe UI Symbol" w:hAnsi="Segoe UI Symbol" w:cs="Segoe UI Symbol"/>
              </w:rPr>
              <w:t>✓</w:t>
            </w:r>
          </w:p>
        </w:tc>
        <w:tc>
          <w:tcPr>
            <w:tcW w:w="1170" w:type="pct"/>
          </w:tcPr>
          <w:p w14:paraId="0EB338A4" w14:textId="3BD5E948" w:rsidR="00390CF7" w:rsidRPr="005D74D1" w:rsidRDefault="00390CF7" w:rsidP="009B2B36">
            <w:pPr>
              <w:pStyle w:val="TableText"/>
              <w:rPr>
                <w:rFonts w:cs="Arial"/>
              </w:rPr>
            </w:pPr>
            <w:r w:rsidRPr="005D74D1">
              <w:rPr>
                <w:rFonts w:ascii="Segoe UI Symbol" w:hAnsi="Segoe UI Symbol" w:cs="Segoe UI Symbol"/>
              </w:rPr>
              <w:t>✓</w:t>
            </w:r>
          </w:p>
        </w:tc>
      </w:tr>
      <w:tr w:rsidR="009B2B36" w:rsidRPr="005D74D1" w14:paraId="6A740CC5" w14:textId="2C247E77" w:rsidTr="00AD3B2C">
        <w:trPr>
          <w:trHeight w:val="288"/>
        </w:trPr>
        <w:tc>
          <w:tcPr>
            <w:tcW w:w="1727" w:type="pct"/>
            <w:hideMark/>
          </w:tcPr>
          <w:p w14:paraId="4C0B9FB9" w14:textId="10705DA9" w:rsidR="00390CF7" w:rsidRPr="005D74D1" w:rsidRDefault="00390CF7" w:rsidP="009B2B36">
            <w:pPr>
              <w:pStyle w:val="TableText"/>
              <w:rPr>
                <w:rFonts w:cs="Arial"/>
              </w:rPr>
            </w:pPr>
            <w:r w:rsidRPr="005D74D1">
              <w:rPr>
                <w:rFonts w:cs="Arial"/>
              </w:rPr>
              <w:t>CWCT03: Recreational Values Program</w:t>
            </w:r>
          </w:p>
        </w:tc>
        <w:tc>
          <w:tcPr>
            <w:tcW w:w="1121" w:type="pct"/>
            <w:noWrap/>
          </w:tcPr>
          <w:p w14:paraId="74FB5EE2" w14:textId="30B66502" w:rsidR="00390CF7" w:rsidRPr="005D74D1" w:rsidRDefault="00390CF7" w:rsidP="009B2B36">
            <w:pPr>
              <w:pStyle w:val="TableText"/>
              <w:rPr>
                <w:rFonts w:cs="Arial"/>
              </w:rPr>
            </w:pPr>
            <w:r w:rsidRPr="005D74D1">
              <w:rPr>
                <w:rFonts w:ascii="Segoe UI Symbol" w:hAnsi="Segoe UI Symbol" w:cs="Segoe UI Symbol"/>
              </w:rPr>
              <w:t>✓</w:t>
            </w:r>
            <w:r w:rsidRPr="005D74D1">
              <w:rPr>
                <w:rFonts w:cs="Arial"/>
              </w:rPr>
              <w:t xml:space="preserve"> A7.1, 7.2, 7.3</w:t>
            </w:r>
          </w:p>
        </w:tc>
        <w:tc>
          <w:tcPr>
            <w:tcW w:w="982" w:type="pct"/>
          </w:tcPr>
          <w:p w14:paraId="08E29884" w14:textId="1A162B73" w:rsidR="00390CF7" w:rsidRPr="005D74D1" w:rsidRDefault="00390CF7" w:rsidP="009B2B36">
            <w:pPr>
              <w:pStyle w:val="TableText"/>
              <w:rPr>
                <w:rFonts w:cs="Arial"/>
              </w:rPr>
            </w:pPr>
            <w:r w:rsidRPr="005D74D1">
              <w:rPr>
                <w:rFonts w:cs="Arial"/>
              </w:rPr>
              <w:t>−</w:t>
            </w:r>
          </w:p>
        </w:tc>
        <w:tc>
          <w:tcPr>
            <w:tcW w:w="1170" w:type="pct"/>
          </w:tcPr>
          <w:p w14:paraId="4C49DD9F" w14:textId="5F8D8975" w:rsidR="00390CF7" w:rsidRPr="005D74D1" w:rsidRDefault="00390CF7" w:rsidP="009B2B36">
            <w:pPr>
              <w:pStyle w:val="TableText"/>
              <w:rPr>
                <w:rFonts w:cs="Arial"/>
              </w:rPr>
            </w:pPr>
            <w:r w:rsidRPr="005D74D1">
              <w:rPr>
                <w:rFonts w:cs="Arial"/>
              </w:rPr>
              <w:t>−</w:t>
            </w:r>
          </w:p>
        </w:tc>
      </w:tr>
      <w:tr w:rsidR="009B2B36" w:rsidRPr="005D74D1" w14:paraId="36C7A80A" w14:textId="26642862" w:rsidTr="00AD3B2C">
        <w:trPr>
          <w:trHeight w:val="288"/>
        </w:trPr>
        <w:tc>
          <w:tcPr>
            <w:tcW w:w="1727" w:type="pct"/>
            <w:hideMark/>
          </w:tcPr>
          <w:p w14:paraId="011AC766" w14:textId="2760A7B3" w:rsidR="00390CF7" w:rsidRPr="005D74D1" w:rsidRDefault="00390CF7" w:rsidP="009B2B36">
            <w:pPr>
              <w:pStyle w:val="TableText"/>
              <w:rPr>
                <w:rFonts w:cs="Arial"/>
              </w:rPr>
            </w:pPr>
            <w:r w:rsidRPr="005D74D1">
              <w:rPr>
                <w:rFonts w:cs="Arial"/>
              </w:rPr>
              <w:t xml:space="preserve">CWCT04: Recycled </w:t>
            </w:r>
            <w:r w:rsidR="0087108A" w:rsidRPr="005D74D1">
              <w:rPr>
                <w:rFonts w:cs="Arial"/>
              </w:rPr>
              <w:t>W</w:t>
            </w:r>
            <w:r w:rsidRPr="005D74D1">
              <w:rPr>
                <w:rFonts w:cs="Arial"/>
              </w:rPr>
              <w:t xml:space="preserve">ater, </w:t>
            </w:r>
            <w:r w:rsidR="0087108A" w:rsidRPr="005D74D1">
              <w:rPr>
                <w:rFonts w:cs="Arial"/>
              </w:rPr>
              <w:t>S</w:t>
            </w:r>
            <w:r w:rsidRPr="005D74D1">
              <w:rPr>
                <w:rFonts w:cs="Arial"/>
              </w:rPr>
              <w:t xml:space="preserve">tormwater and </w:t>
            </w:r>
            <w:r w:rsidR="0087108A" w:rsidRPr="005D74D1">
              <w:rPr>
                <w:rFonts w:cs="Arial"/>
              </w:rPr>
              <w:t>O</w:t>
            </w:r>
            <w:r w:rsidRPr="005D74D1">
              <w:rPr>
                <w:rFonts w:cs="Arial"/>
              </w:rPr>
              <w:t xml:space="preserve">nsite </w:t>
            </w:r>
            <w:r w:rsidR="0087108A" w:rsidRPr="005D74D1">
              <w:rPr>
                <w:rFonts w:cs="Arial"/>
              </w:rPr>
              <w:t>W</w:t>
            </w:r>
            <w:r w:rsidRPr="005D74D1">
              <w:rPr>
                <w:rFonts w:cs="Arial"/>
              </w:rPr>
              <w:t xml:space="preserve">astewater </w:t>
            </w:r>
            <w:r w:rsidR="0087108A" w:rsidRPr="005D74D1">
              <w:rPr>
                <w:rFonts w:cs="Arial"/>
              </w:rPr>
              <w:t>P</w:t>
            </w:r>
            <w:r w:rsidRPr="005D74D1">
              <w:rPr>
                <w:rFonts w:cs="Arial"/>
              </w:rPr>
              <w:t>olicy</w:t>
            </w:r>
          </w:p>
        </w:tc>
        <w:tc>
          <w:tcPr>
            <w:tcW w:w="1121" w:type="pct"/>
          </w:tcPr>
          <w:p w14:paraId="7B6041C2" w14:textId="0FDDD585" w:rsidR="00390CF7" w:rsidRPr="005D74D1" w:rsidRDefault="00390CF7" w:rsidP="009B2B36">
            <w:pPr>
              <w:pStyle w:val="TableText"/>
              <w:rPr>
                <w:rFonts w:cs="Arial"/>
              </w:rPr>
            </w:pPr>
            <w:r w:rsidRPr="005D74D1">
              <w:rPr>
                <w:rFonts w:ascii="Segoe UI Symbol" w:hAnsi="Segoe UI Symbol" w:cs="Segoe UI Symbol"/>
              </w:rPr>
              <w:t>✓</w:t>
            </w:r>
          </w:p>
        </w:tc>
        <w:tc>
          <w:tcPr>
            <w:tcW w:w="982" w:type="pct"/>
          </w:tcPr>
          <w:p w14:paraId="5FBBD110" w14:textId="72E3483A" w:rsidR="00390CF7" w:rsidRPr="005D74D1" w:rsidRDefault="00390CF7" w:rsidP="009B2B36">
            <w:pPr>
              <w:pStyle w:val="TableText"/>
              <w:rPr>
                <w:rFonts w:cs="Arial"/>
              </w:rPr>
            </w:pPr>
            <w:r w:rsidRPr="005D74D1">
              <w:rPr>
                <w:rFonts w:ascii="Segoe UI Symbol" w:hAnsi="Segoe UI Symbol" w:cs="Segoe UI Symbol"/>
              </w:rPr>
              <w:t>✓</w:t>
            </w:r>
          </w:p>
        </w:tc>
        <w:tc>
          <w:tcPr>
            <w:tcW w:w="1170" w:type="pct"/>
          </w:tcPr>
          <w:p w14:paraId="726AECCA" w14:textId="395C2345" w:rsidR="00390CF7" w:rsidRPr="005D74D1" w:rsidRDefault="00390CF7" w:rsidP="009B2B36">
            <w:pPr>
              <w:pStyle w:val="TableText"/>
              <w:rPr>
                <w:rFonts w:cs="Arial"/>
              </w:rPr>
            </w:pPr>
            <w:r w:rsidRPr="005D74D1">
              <w:rPr>
                <w:rFonts w:ascii="Segoe UI Symbol" w:hAnsi="Segoe UI Symbol" w:cs="Segoe UI Symbol"/>
              </w:rPr>
              <w:t>✓</w:t>
            </w:r>
          </w:p>
        </w:tc>
      </w:tr>
      <w:tr w:rsidR="009B2B36" w:rsidRPr="005D74D1" w14:paraId="51F7C25E" w14:textId="23F274BA" w:rsidTr="00AD3B2C">
        <w:trPr>
          <w:trHeight w:val="288"/>
        </w:trPr>
        <w:tc>
          <w:tcPr>
            <w:tcW w:w="1727" w:type="pct"/>
            <w:hideMark/>
          </w:tcPr>
          <w:p w14:paraId="248650B1" w14:textId="4BBEF7AD" w:rsidR="00390CF7" w:rsidRPr="005D74D1" w:rsidRDefault="00390CF7" w:rsidP="009B2B36">
            <w:pPr>
              <w:pStyle w:val="TableText"/>
              <w:rPr>
                <w:rFonts w:cs="Arial"/>
              </w:rPr>
            </w:pPr>
            <w:r w:rsidRPr="005D74D1">
              <w:rPr>
                <w:rFonts w:cs="Arial"/>
              </w:rPr>
              <w:t>WRS1: Retail Entitlements and Markets</w:t>
            </w:r>
          </w:p>
        </w:tc>
        <w:tc>
          <w:tcPr>
            <w:tcW w:w="1121" w:type="pct"/>
          </w:tcPr>
          <w:p w14:paraId="4FD24D99" w14:textId="3C109F13" w:rsidR="00390CF7" w:rsidRPr="005D74D1" w:rsidRDefault="00390CF7" w:rsidP="009B2B36">
            <w:pPr>
              <w:pStyle w:val="TableText"/>
              <w:rPr>
                <w:rFonts w:cs="Arial"/>
              </w:rPr>
            </w:pPr>
            <w:r w:rsidRPr="005D74D1">
              <w:rPr>
                <w:rFonts w:ascii="Segoe UI Symbol" w:hAnsi="Segoe UI Symbol" w:cs="Segoe UI Symbol"/>
              </w:rPr>
              <w:t>✓</w:t>
            </w:r>
            <w:r w:rsidRPr="005D74D1">
              <w:rPr>
                <w:rFonts w:cs="Arial"/>
              </w:rPr>
              <w:t xml:space="preserve"> A9.3, A9.4, A9.6</w:t>
            </w:r>
          </w:p>
        </w:tc>
        <w:tc>
          <w:tcPr>
            <w:tcW w:w="982" w:type="pct"/>
          </w:tcPr>
          <w:p w14:paraId="6BE5CAC4" w14:textId="3F25433F" w:rsidR="00390CF7" w:rsidRPr="005D74D1" w:rsidRDefault="00390CF7" w:rsidP="009B2B36">
            <w:pPr>
              <w:pStyle w:val="TableText"/>
              <w:rPr>
                <w:rFonts w:cs="Arial"/>
              </w:rPr>
            </w:pPr>
            <w:r w:rsidRPr="005D74D1">
              <w:rPr>
                <w:rFonts w:cs="Arial"/>
              </w:rPr>
              <w:t>−</w:t>
            </w:r>
          </w:p>
        </w:tc>
        <w:tc>
          <w:tcPr>
            <w:tcW w:w="1170" w:type="pct"/>
          </w:tcPr>
          <w:p w14:paraId="644C5B16" w14:textId="6533D496" w:rsidR="00390CF7" w:rsidRPr="005D74D1" w:rsidRDefault="00390CF7" w:rsidP="009B2B36">
            <w:pPr>
              <w:pStyle w:val="TableText"/>
              <w:rPr>
                <w:rFonts w:cs="Arial"/>
              </w:rPr>
            </w:pPr>
            <w:r w:rsidRPr="005D74D1">
              <w:rPr>
                <w:rFonts w:cs="Arial"/>
              </w:rPr>
              <w:t>−</w:t>
            </w:r>
          </w:p>
        </w:tc>
      </w:tr>
      <w:tr w:rsidR="009B2B36" w:rsidRPr="005D74D1" w14:paraId="7D1C82FA" w14:textId="064A9AA8" w:rsidTr="00AD3B2C">
        <w:trPr>
          <w:trHeight w:val="288"/>
        </w:trPr>
        <w:tc>
          <w:tcPr>
            <w:tcW w:w="1727" w:type="pct"/>
            <w:hideMark/>
          </w:tcPr>
          <w:p w14:paraId="28E87D8C" w14:textId="76931E20" w:rsidR="00390CF7" w:rsidRPr="005D74D1" w:rsidRDefault="00390CF7" w:rsidP="009B2B36">
            <w:pPr>
              <w:pStyle w:val="TableText"/>
              <w:rPr>
                <w:rFonts w:cs="Arial"/>
              </w:rPr>
            </w:pPr>
            <w:r w:rsidRPr="005D74D1">
              <w:rPr>
                <w:rFonts w:cs="Arial"/>
              </w:rPr>
              <w:t>WRS2: Water Grid Oversight</w:t>
            </w:r>
          </w:p>
        </w:tc>
        <w:tc>
          <w:tcPr>
            <w:tcW w:w="1121" w:type="pct"/>
            <w:noWrap/>
          </w:tcPr>
          <w:p w14:paraId="7A251ED3" w14:textId="658DA303" w:rsidR="00390CF7" w:rsidRPr="005D74D1" w:rsidRDefault="00390CF7" w:rsidP="009B2B36">
            <w:pPr>
              <w:pStyle w:val="TableText"/>
              <w:rPr>
                <w:rFonts w:cs="Arial"/>
              </w:rPr>
            </w:pPr>
            <w:r w:rsidRPr="005D74D1">
              <w:rPr>
                <w:rFonts w:ascii="Segoe UI Symbol" w:hAnsi="Segoe UI Symbol" w:cs="Segoe UI Symbol"/>
              </w:rPr>
              <w:t>✓</w:t>
            </w:r>
            <w:r w:rsidRPr="005D74D1">
              <w:rPr>
                <w:rFonts w:cs="Arial"/>
              </w:rPr>
              <w:t xml:space="preserve"> A9.1, A9.2</w:t>
            </w:r>
          </w:p>
        </w:tc>
        <w:tc>
          <w:tcPr>
            <w:tcW w:w="982" w:type="pct"/>
          </w:tcPr>
          <w:p w14:paraId="7BBB8BE2" w14:textId="69BAC378" w:rsidR="00390CF7" w:rsidRPr="005D74D1" w:rsidRDefault="00390CF7" w:rsidP="009B2B36">
            <w:pPr>
              <w:pStyle w:val="TableText"/>
              <w:rPr>
                <w:rFonts w:cs="Arial"/>
              </w:rPr>
            </w:pPr>
            <w:r w:rsidRPr="005D74D1">
              <w:rPr>
                <w:rFonts w:cs="Arial"/>
              </w:rPr>
              <w:t>−</w:t>
            </w:r>
          </w:p>
        </w:tc>
        <w:tc>
          <w:tcPr>
            <w:tcW w:w="1170" w:type="pct"/>
          </w:tcPr>
          <w:p w14:paraId="696756CD" w14:textId="7C8C161B" w:rsidR="00390CF7" w:rsidRPr="005D74D1" w:rsidRDefault="00390CF7" w:rsidP="009B2B36">
            <w:pPr>
              <w:pStyle w:val="TableText"/>
              <w:rPr>
                <w:rFonts w:cs="Arial"/>
              </w:rPr>
            </w:pPr>
            <w:r w:rsidRPr="005D74D1">
              <w:rPr>
                <w:rFonts w:ascii="Segoe UI Symbol" w:hAnsi="Segoe UI Symbol" w:cs="Segoe UI Symbol"/>
              </w:rPr>
              <w:t>✓</w:t>
            </w:r>
          </w:p>
        </w:tc>
      </w:tr>
      <w:tr w:rsidR="009B2B36" w:rsidRPr="005D74D1" w14:paraId="5E23CA75" w14:textId="0C1309A8" w:rsidTr="00AD3B2C">
        <w:trPr>
          <w:trHeight w:val="288"/>
        </w:trPr>
        <w:tc>
          <w:tcPr>
            <w:tcW w:w="1727" w:type="pct"/>
            <w:hideMark/>
          </w:tcPr>
          <w:p w14:paraId="49D9BA9D" w14:textId="2CC16B86" w:rsidR="00390CF7" w:rsidRPr="005D74D1" w:rsidRDefault="00390CF7" w:rsidP="009B2B36">
            <w:pPr>
              <w:pStyle w:val="TableText"/>
              <w:rPr>
                <w:rFonts w:cs="Arial"/>
              </w:rPr>
            </w:pPr>
            <w:r w:rsidRPr="005D74D1">
              <w:rPr>
                <w:rFonts w:cs="Arial"/>
              </w:rPr>
              <w:t>WRS3: Water Market Reform</w:t>
            </w:r>
          </w:p>
        </w:tc>
        <w:tc>
          <w:tcPr>
            <w:tcW w:w="1121" w:type="pct"/>
            <w:noWrap/>
          </w:tcPr>
          <w:p w14:paraId="40D8F45F" w14:textId="36F21EB4" w:rsidR="00390CF7" w:rsidRPr="005D74D1" w:rsidRDefault="00390CF7" w:rsidP="009B2B36">
            <w:pPr>
              <w:pStyle w:val="TableText"/>
              <w:rPr>
                <w:rFonts w:cs="Arial"/>
              </w:rPr>
            </w:pPr>
            <w:r w:rsidRPr="005D74D1">
              <w:rPr>
                <w:rFonts w:ascii="Segoe UI Symbol" w:hAnsi="Segoe UI Symbol" w:cs="Segoe UI Symbol"/>
              </w:rPr>
              <w:t>✓</w:t>
            </w:r>
            <w:r w:rsidRPr="005D74D1">
              <w:rPr>
                <w:rFonts w:cs="Arial"/>
              </w:rPr>
              <w:t xml:space="preserve"> A9.5, A9.7</w:t>
            </w:r>
          </w:p>
        </w:tc>
        <w:tc>
          <w:tcPr>
            <w:tcW w:w="982" w:type="pct"/>
          </w:tcPr>
          <w:p w14:paraId="5C9FE02B" w14:textId="6EF40062" w:rsidR="00390CF7" w:rsidRPr="005D74D1" w:rsidRDefault="00390CF7" w:rsidP="009B2B36">
            <w:pPr>
              <w:pStyle w:val="TableText"/>
              <w:rPr>
                <w:rFonts w:cs="Arial"/>
              </w:rPr>
            </w:pPr>
            <w:r w:rsidRPr="005D74D1">
              <w:rPr>
                <w:rFonts w:cs="Arial"/>
              </w:rPr>
              <w:t>−</w:t>
            </w:r>
          </w:p>
        </w:tc>
        <w:tc>
          <w:tcPr>
            <w:tcW w:w="1170" w:type="pct"/>
          </w:tcPr>
          <w:p w14:paraId="6307D88E" w14:textId="010090A8" w:rsidR="00390CF7" w:rsidRPr="005D74D1" w:rsidRDefault="00390CF7" w:rsidP="009B2B36">
            <w:pPr>
              <w:pStyle w:val="TableText"/>
              <w:rPr>
                <w:rFonts w:cs="Arial"/>
              </w:rPr>
            </w:pPr>
            <w:r w:rsidRPr="005D74D1">
              <w:rPr>
                <w:rFonts w:ascii="Segoe UI Symbol" w:hAnsi="Segoe UI Symbol" w:cs="Segoe UI Symbol"/>
              </w:rPr>
              <w:t>✓</w:t>
            </w:r>
          </w:p>
        </w:tc>
      </w:tr>
      <w:tr w:rsidR="009B2B36" w:rsidRPr="005D74D1" w14:paraId="2BBB8AF4" w14:textId="722FFAF4" w:rsidTr="00AD3B2C">
        <w:trPr>
          <w:trHeight w:val="288"/>
        </w:trPr>
        <w:tc>
          <w:tcPr>
            <w:tcW w:w="1727" w:type="pct"/>
            <w:hideMark/>
          </w:tcPr>
          <w:p w14:paraId="1E1AE491" w14:textId="1C10F278" w:rsidR="00390CF7" w:rsidRPr="005D74D1" w:rsidRDefault="00390CF7" w:rsidP="009B2B36">
            <w:pPr>
              <w:pStyle w:val="TableText"/>
              <w:rPr>
                <w:rFonts w:cs="Arial"/>
              </w:rPr>
            </w:pPr>
            <w:r w:rsidRPr="005D74D1">
              <w:rPr>
                <w:rFonts w:cs="Arial"/>
              </w:rPr>
              <w:t>WRS4: Water Market Transparency</w:t>
            </w:r>
          </w:p>
        </w:tc>
        <w:tc>
          <w:tcPr>
            <w:tcW w:w="1121" w:type="pct"/>
          </w:tcPr>
          <w:p w14:paraId="08BF3E09" w14:textId="5FC52F5C" w:rsidR="00390CF7" w:rsidRPr="005D74D1" w:rsidRDefault="00390CF7" w:rsidP="009B2B36">
            <w:pPr>
              <w:pStyle w:val="TableText"/>
              <w:rPr>
                <w:rFonts w:cs="Arial"/>
              </w:rPr>
            </w:pPr>
            <w:r w:rsidRPr="005D74D1">
              <w:rPr>
                <w:rFonts w:ascii="Segoe UI Symbol" w:hAnsi="Segoe UI Symbol" w:cs="Segoe UI Symbol"/>
              </w:rPr>
              <w:t>✓</w:t>
            </w:r>
            <w:r w:rsidRPr="005D74D1">
              <w:rPr>
                <w:rFonts w:cs="Arial"/>
              </w:rPr>
              <w:t xml:space="preserve"> A9.3, A9.4</w:t>
            </w:r>
          </w:p>
        </w:tc>
        <w:tc>
          <w:tcPr>
            <w:tcW w:w="982" w:type="pct"/>
          </w:tcPr>
          <w:p w14:paraId="12254E3C" w14:textId="3662D865" w:rsidR="00390CF7" w:rsidRPr="005D74D1" w:rsidRDefault="00390CF7" w:rsidP="009B2B36">
            <w:pPr>
              <w:pStyle w:val="TableText"/>
              <w:rPr>
                <w:rFonts w:cs="Arial"/>
              </w:rPr>
            </w:pPr>
            <w:r w:rsidRPr="005D74D1">
              <w:rPr>
                <w:rFonts w:cs="Arial"/>
              </w:rPr>
              <w:t>−</w:t>
            </w:r>
          </w:p>
        </w:tc>
        <w:tc>
          <w:tcPr>
            <w:tcW w:w="1170" w:type="pct"/>
          </w:tcPr>
          <w:p w14:paraId="24EA21EC" w14:textId="7F0483DC" w:rsidR="00390CF7" w:rsidRPr="005D74D1" w:rsidRDefault="00390CF7" w:rsidP="009B2B36">
            <w:pPr>
              <w:pStyle w:val="TableText"/>
              <w:rPr>
                <w:rFonts w:cs="Arial"/>
              </w:rPr>
            </w:pPr>
            <w:r w:rsidRPr="005D74D1">
              <w:rPr>
                <w:rFonts w:ascii="Segoe UI Symbol" w:hAnsi="Segoe UI Symbol" w:cs="Segoe UI Symbol"/>
              </w:rPr>
              <w:t>✓</w:t>
            </w:r>
          </w:p>
        </w:tc>
      </w:tr>
      <w:tr w:rsidR="009B2B36" w:rsidRPr="005D74D1" w14:paraId="4BE8BC3E" w14:textId="5E617AE8" w:rsidTr="00AD3B2C">
        <w:trPr>
          <w:trHeight w:val="288"/>
        </w:trPr>
        <w:tc>
          <w:tcPr>
            <w:tcW w:w="1727" w:type="pct"/>
            <w:hideMark/>
          </w:tcPr>
          <w:p w14:paraId="54CE8882" w14:textId="1E046F41" w:rsidR="00390CF7" w:rsidRPr="005D74D1" w:rsidRDefault="00390CF7" w:rsidP="009B2B36">
            <w:pPr>
              <w:pStyle w:val="TableText"/>
              <w:rPr>
                <w:rFonts w:cs="Arial"/>
              </w:rPr>
            </w:pPr>
            <w:r w:rsidRPr="005D74D1">
              <w:rPr>
                <w:rFonts w:cs="Arial"/>
              </w:rPr>
              <w:t>WRS5: Managing Victoria’s Water Sharing Framework</w:t>
            </w:r>
          </w:p>
        </w:tc>
        <w:tc>
          <w:tcPr>
            <w:tcW w:w="1121" w:type="pct"/>
          </w:tcPr>
          <w:p w14:paraId="1257C336" w14:textId="56AEE371" w:rsidR="00390CF7" w:rsidRPr="005D74D1" w:rsidRDefault="00390CF7" w:rsidP="009B2B36">
            <w:pPr>
              <w:pStyle w:val="TableText"/>
              <w:rPr>
                <w:rFonts w:cs="Arial"/>
              </w:rPr>
            </w:pPr>
            <w:r w:rsidRPr="005D74D1">
              <w:rPr>
                <w:rFonts w:ascii="Segoe UI Symbol" w:hAnsi="Segoe UI Symbol" w:cs="Segoe UI Symbol"/>
              </w:rPr>
              <w:t>✓</w:t>
            </w:r>
            <w:r w:rsidRPr="005D74D1">
              <w:rPr>
                <w:rFonts w:cs="Arial"/>
              </w:rPr>
              <w:t xml:space="preserve"> A8.1, A8.9</w:t>
            </w:r>
          </w:p>
        </w:tc>
        <w:tc>
          <w:tcPr>
            <w:tcW w:w="982" w:type="pct"/>
          </w:tcPr>
          <w:p w14:paraId="3A44967E" w14:textId="3DAFC332" w:rsidR="00390CF7" w:rsidRPr="005D74D1" w:rsidRDefault="00390CF7" w:rsidP="009B2B36">
            <w:pPr>
              <w:pStyle w:val="TableText"/>
              <w:rPr>
                <w:rFonts w:cs="Arial"/>
              </w:rPr>
            </w:pPr>
            <w:r w:rsidRPr="005D74D1">
              <w:rPr>
                <w:rFonts w:ascii="Segoe UI Symbol" w:hAnsi="Segoe UI Symbol" w:cs="Segoe UI Symbol"/>
              </w:rPr>
              <w:t>✓</w:t>
            </w:r>
            <w:r w:rsidRPr="005D74D1">
              <w:rPr>
                <w:rFonts w:cs="Arial"/>
              </w:rPr>
              <w:t xml:space="preserve"> O7</w:t>
            </w:r>
          </w:p>
        </w:tc>
        <w:tc>
          <w:tcPr>
            <w:tcW w:w="1170" w:type="pct"/>
          </w:tcPr>
          <w:p w14:paraId="197DB2A8" w14:textId="7EC4824D" w:rsidR="00390CF7" w:rsidRPr="005D74D1" w:rsidRDefault="00390CF7" w:rsidP="009B2B36">
            <w:pPr>
              <w:pStyle w:val="TableText"/>
              <w:rPr>
                <w:rFonts w:cs="Arial"/>
              </w:rPr>
            </w:pPr>
            <w:r w:rsidRPr="005D74D1">
              <w:rPr>
                <w:rFonts w:ascii="Segoe UI Symbol" w:hAnsi="Segoe UI Symbol" w:cs="Segoe UI Symbol"/>
              </w:rPr>
              <w:t>✓</w:t>
            </w:r>
            <w:r w:rsidRPr="005D74D1">
              <w:rPr>
                <w:rFonts w:cs="Arial"/>
              </w:rPr>
              <w:t xml:space="preserve"> A4-5, A4-4. A4-8,A4-10, A4-11, A9-3</w:t>
            </w:r>
          </w:p>
        </w:tc>
      </w:tr>
      <w:tr w:rsidR="009B2B36" w:rsidRPr="005D74D1" w14:paraId="492C7CD6" w14:textId="77068CC6" w:rsidTr="00AD3B2C">
        <w:trPr>
          <w:trHeight w:val="288"/>
        </w:trPr>
        <w:tc>
          <w:tcPr>
            <w:tcW w:w="1727" w:type="pct"/>
            <w:hideMark/>
          </w:tcPr>
          <w:p w14:paraId="3A8A7742" w14:textId="5F9B7FFC" w:rsidR="00390CF7" w:rsidRPr="005D74D1" w:rsidRDefault="00390CF7" w:rsidP="009B2B36">
            <w:pPr>
              <w:pStyle w:val="TableText"/>
              <w:rPr>
                <w:rFonts w:cs="Arial"/>
              </w:rPr>
            </w:pPr>
            <w:r w:rsidRPr="005D74D1">
              <w:rPr>
                <w:rFonts w:cs="Arial"/>
              </w:rPr>
              <w:t xml:space="preserve">WRS6: Licensing </w:t>
            </w:r>
            <w:r w:rsidR="0087108A" w:rsidRPr="005D74D1">
              <w:rPr>
                <w:rFonts w:cs="Arial"/>
              </w:rPr>
              <w:t>F</w:t>
            </w:r>
            <w:r w:rsidRPr="005D74D1">
              <w:rPr>
                <w:rFonts w:cs="Arial"/>
              </w:rPr>
              <w:t xml:space="preserve">ramework </w:t>
            </w:r>
            <w:r w:rsidR="0087108A" w:rsidRPr="005D74D1">
              <w:rPr>
                <w:rFonts w:cs="Arial"/>
              </w:rPr>
              <w:t>G</w:t>
            </w:r>
            <w:r w:rsidRPr="005D74D1">
              <w:rPr>
                <w:rFonts w:cs="Arial"/>
              </w:rPr>
              <w:t xml:space="preserve">roundwater and </w:t>
            </w:r>
            <w:r w:rsidR="0087108A" w:rsidRPr="005D74D1">
              <w:rPr>
                <w:rFonts w:cs="Arial"/>
              </w:rPr>
              <w:t>U</w:t>
            </w:r>
            <w:r w:rsidRPr="005D74D1">
              <w:rPr>
                <w:rFonts w:cs="Arial"/>
              </w:rPr>
              <w:t xml:space="preserve">nregulated </w:t>
            </w:r>
            <w:r w:rsidR="0087108A" w:rsidRPr="005D74D1">
              <w:rPr>
                <w:rFonts w:cs="Arial"/>
              </w:rPr>
              <w:t>S</w:t>
            </w:r>
            <w:r w:rsidRPr="005D74D1">
              <w:rPr>
                <w:rFonts w:cs="Arial"/>
              </w:rPr>
              <w:t>ystems</w:t>
            </w:r>
          </w:p>
        </w:tc>
        <w:tc>
          <w:tcPr>
            <w:tcW w:w="1121" w:type="pct"/>
          </w:tcPr>
          <w:p w14:paraId="6D0DE58E" w14:textId="73560B78" w:rsidR="00390CF7" w:rsidRPr="005D74D1" w:rsidRDefault="00390CF7" w:rsidP="009B2B36">
            <w:pPr>
              <w:pStyle w:val="TableText"/>
              <w:rPr>
                <w:rFonts w:cs="Arial"/>
              </w:rPr>
            </w:pPr>
            <w:r w:rsidRPr="005D74D1">
              <w:rPr>
                <w:rFonts w:ascii="Segoe UI Symbol" w:hAnsi="Segoe UI Symbol" w:cs="Segoe UI Symbol"/>
              </w:rPr>
              <w:t>✓</w:t>
            </w:r>
            <w:r w:rsidRPr="005D74D1">
              <w:rPr>
                <w:rFonts w:cs="Arial"/>
              </w:rPr>
              <w:t xml:space="preserve"> delivered A8.2, A8.3, A8.4, supported A10.1, A10.8, A10.6</w:t>
            </w:r>
          </w:p>
        </w:tc>
        <w:tc>
          <w:tcPr>
            <w:tcW w:w="982" w:type="pct"/>
          </w:tcPr>
          <w:p w14:paraId="5454B79D" w14:textId="42EEFA11" w:rsidR="00390CF7" w:rsidRPr="005D74D1" w:rsidRDefault="00390CF7" w:rsidP="009B2B36">
            <w:pPr>
              <w:pStyle w:val="TableText"/>
              <w:rPr>
                <w:rFonts w:cs="Arial"/>
              </w:rPr>
            </w:pPr>
            <w:r w:rsidRPr="005D74D1">
              <w:rPr>
                <w:rFonts w:ascii="Segoe UI Symbol" w:hAnsi="Segoe UI Symbol" w:cs="Segoe UI Symbol"/>
              </w:rPr>
              <w:t>✓</w:t>
            </w:r>
            <w:r w:rsidRPr="005D74D1">
              <w:rPr>
                <w:rFonts w:cs="Arial"/>
              </w:rPr>
              <w:t xml:space="preserve"> O7,O8,O11</w:t>
            </w:r>
          </w:p>
        </w:tc>
        <w:tc>
          <w:tcPr>
            <w:tcW w:w="1170" w:type="pct"/>
          </w:tcPr>
          <w:p w14:paraId="674801D5" w14:textId="191D55AA" w:rsidR="00390CF7" w:rsidRPr="005D74D1" w:rsidRDefault="00390CF7" w:rsidP="009B2B36">
            <w:pPr>
              <w:pStyle w:val="TableText"/>
              <w:rPr>
                <w:rFonts w:cs="Arial"/>
              </w:rPr>
            </w:pPr>
            <w:r w:rsidRPr="005D74D1">
              <w:rPr>
                <w:rFonts w:ascii="Segoe UI Symbol" w:hAnsi="Segoe UI Symbol" w:cs="Segoe UI Symbol"/>
              </w:rPr>
              <w:t>✓</w:t>
            </w:r>
            <w:r w:rsidRPr="005D74D1">
              <w:rPr>
                <w:rFonts w:cs="Arial"/>
              </w:rPr>
              <w:t xml:space="preserve"> A4-4,A4-9,A4-12,A4-13,A4-16,A6-4,A6-5,A6-8,A6-15</w:t>
            </w:r>
          </w:p>
        </w:tc>
      </w:tr>
      <w:tr w:rsidR="009B2B36" w:rsidRPr="005D74D1" w14:paraId="2946BC63" w14:textId="7C03BA46" w:rsidTr="00AD3B2C">
        <w:trPr>
          <w:trHeight w:val="288"/>
        </w:trPr>
        <w:tc>
          <w:tcPr>
            <w:tcW w:w="1727" w:type="pct"/>
            <w:hideMark/>
          </w:tcPr>
          <w:p w14:paraId="4ABDE825" w14:textId="211ECB30" w:rsidR="00390CF7" w:rsidRPr="005D74D1" w:rsidRDefault="00390CF7" w:rsidP="009B2B36">
            <w:pPr>
              <w:pStyle w:val="TableText"/>
              <w:rPr>
                <w:rFonts w:cs="Arial"/>
              </w:rPr>
            </w:pPr>
            <w:r w:rsidRPr="005D74D1">
              <w:rPr>
                <w:rFonts w:cs="Arial"/>
              </w:rPr>
              <w:t xml:space="preserve">WRS7: Water </w:t>
            </w:r>
            <w:r w:rsidR="0087108A" w:rsidRPr="005D74D1">
              <w:rPr>
                <w:rFonts w:cs="Arial"/>
              </w:rPr>
              <w:t>C</w:t>
            </w:r>
            <w:r w:rsidRPr="005D74D1">
              <w:rPr>
                <w:rFonts w:cs="Arial"/>
              </w:rPr>
              <w:t xml:space="preserve">ompliance </w:t>
            </w:r>
            <w:r w:rsidR="0087108A" w:rsidRPr="005D74D1">
              <w:rPr>
                <w:rFonts w:cs="Arial"/>
              </w:rPr>
              <w:t>R</w:t>
            </w:r>
            <w:r w:rsidRPr="005D74D1">
              <w:rPr>
                <w:rFonts w:cs="Arial"/>
              </w:rPr>
              <w:t xml:space="preserve">eform </w:t>
            </w:r>
          </w:p>
        </w:tc>
        <w:tc>
          <w:tcPr>
            <w:tcW w:w="1121" w:type="pct"/>
            <w:noWrap/>
          </w:tcPr>
          <w:p w14:paraId="727FBB70" w14:textId="1410398B" w:rsidR="00390CF7" w:rsidRPr="005D74D1" w:rsidRDefault="00390CF7" w:rsidP="009B2B36">
            <w:pPr>
              <w:pStyle w:val="TableText"/>
              <w:rPr>
                <w:rFonts w:cs="Arial"/>
              </w:rPr>
            </w:pPr>
            <w:r w:rsidRPr="005D74D1">
              <w:rPr>
                <w:rFonts w:ascii="Segoe UI Symbol" w:hAnsi="Segoe UI Symbol" w:cs="Segoe UI Symbol"/>
              </w:rPr>
              <w:t>✓</w:t>
            </w:r>
            <w:r w:rsidRPr="005D74D1">
              <w:rPr>
                <w:rFonts w:cs="Arial"/>
              </w:rPr>
              <w:t xml:space="preserve"> A8.5</w:t>
            </w:r>
          </w:p>
        </w:tc>
        <w:tc>
          <w:tcPr>
            <w:tcW w:w="982" w:type="pct"/>
          </w:tcPr>
          <w:p w14:paraId="3E43641E" w14:textId="5CD52B64" w:rsidR="00390CF7" w:rsidRPr="005D74D1" w:rsidRDefault="00390CF7" w:rsidP="009B2B36">
            <w:pPr>
              <w:pStyle w:val="TableText"/>
              <w:rPr>
                <w:rFonts w:cs="Arial"/>
              </w:rPr>
            </w:pPr>
            <w:r w:rsidRPr="005D74D1">
              <w:rPr>
                <w:rFonts w:cs="Arial"/>
              </w:rPr>
              <w:t>−</w:t>
            </w:r>
          </w:p>
        </w:tc>
        <w:tc>
          <w:tcPr>
            <w:tcW w:w="1170" w:type="pct"/>
          </w:tcPr>
          <w:p w14:paraId="6D9CC8F2" w14:textId="78EE8905" w:rsidR="00390CF7" w:rsidRPr="005D74D1" w:rsidRDefault="00390CF7" w:rsidP="009B2B36">
            <w:pPr>
              <w:pStyle w:val="TableText"/>
              <w:rPr>
                <w:rFonts w:cs="Arial"/>
              </w:rPr>
            </w:pPr>
            <w:r w:rsidRPr="005D74D1">
              <w:rPr>
                <w:rFonts w:cs="Arial"/>
              </w:rPr>
              <w:t>−</w:t>
            </w:r>
          </w:p>
        </w:tc>
      </w:tr>
      <w:tr w:rsidR="009B2B36" w:rsidRPr="005D74D1" w14:paraId="594E291C" w14:textId="7FA2C4A8" w:rsidTr="00AD3B2C">
        <w:trPr>
          <w:trHeight w:val="288"/>
        </w:trPr>
        <w:tc>
          <w:tcPr>
            <w:tcW w:w="1727" w:type="pct"/>
            <w:hideMark/>
          </w:tcPr>
          <w:p w14:paraId="19B5EFD1" w14:textId="1F0A4CF7" w:rsidR="00390CF7" w:rsidRPr="005D74D1" w:rsidRDefault="00390CF7" w:rsidP="009B2B36">
            <w:pPr>
              <w:pStyle w:val="TableText"/>
              <w:rPr>
                <w:rFonts w:cs="Arial"/>
              </w:rPr>
            </w:pPr>
            <w:r w:rsidRPr="005D74D1">
              <w:rPr>
                <w:rFonts w:cs="Arial"/>
              </w:rPr>
              <w:t>WRS8: Accounting for Water Recovery</w:t>
            </w:r>
          </w:p>
        </w:tc>
        <w:tc>
          <w:tcPr>
            <w:tcW w:w="1121" w:type="pct"/>
            <w:noWrap/>
          </w:tcPr>
          <w:p w14:paraId="73BDF432" w14:textId="1456D77A" w:rsidR="00390CF7" w:rsidRPr="005D74D1" w:rsidRDefault="00390CF7" w:rsidP="009B2B36">
            <w:pPr>
              <w:pStyle w:val="TableText"/>
              <w:rPr>
                <w:rFonts w:cs="Arial"/>
              </w:rPr>
            </w:pPr>
            <w:r w:rsidRPr="005D74D1">
              <w:rPr>
                <w:rFonts w:ascii="Segoe UI Symbol" w:hAnsi="Segoe UI Symbol" w:cs="Segoe UI Symbol"/>
              </w:rPr>
              <w:t>✓</w:t>
            </w:r>
            <w:r w:rsidRPr="005D74D1">
              <w:rPr>
                <w:rFonts w:cs="Arial"/>
              </w:rPr>
              <w:t>A4.5</w:t>
            </w:r>
          </w:p>
        </w:tc>
        <w:tc>
          <w:tcPr>
            <w:tcW w:w="982" w:type="pct"/>
          </w:tcPr>
          <w:p w14:paraId="7BCE84EE" w14:textId="10F14602" w:rsidR="00390CF7" w:rsidRPr="005D74D1" w:rsidRDefault="00390CF7" w:rsidP="009B2B36">
            <w:pPr>
              <w:pStyle w:val="TableText"/>
              <w:rPr>
                <w:rFonts w:cs="Arial"/>
              </w:rPr>
            </w:pPr>
            <w:r w:rsidRPr="005D74D1">
              <w:rPr>
                <w:rFonts w:ascii="Segoe UI Symbol" w:hAnsi="Segoe UI Symbol" w:cs="Segoe UI Symbol"/>
              </w:rPr>
              <w:t>✓</w:t>
            </w:r>
            <w:r w:rsidRPr="005D74D1">
              <w:rPr>
                <w:rFonts w:cs="Arial"/>
              </w:rPr>
              <w:t>O7</w:t>
            </w:r>
          </w:p>
        </w:tc>
        <w:tc>
          <w:tcPr>
            <w:tcW w:w="1170" w:type="pct"/>
          </w:tcPr>
          <w:p w14:paraId="6AAA0308" w14:textId="496ADAC3" w:rsidR="00390CF7" w:rsidRPr="005D74D1" w:rsidRDefault="00390CF7" w:rsidP="009B2B36">
            <w:pPr>
              <w:pStyle w:val="TableText"/>
              <w:rPr>
                <w:rFonts w:cs="Arial"/>
              </w:rPr>
            </w:pPr>
            <w:r w:rsidRPr="005D74D1">
              <w:rPr>
                <w:rFonts w:cs="Arial"/>
              </w:rPr>
              <w:t>-</w:t>
            </w:r>
          </w:p>
        </w:tc>
      </w:tr>
      <w:tr w:rsidR="009B2B36" w:rsidRPr="005D74D1" w14:paraId="7221F393" w14:textId="3AB5D6C5" w:rsidTr="00AD3B2C">
        <w:trPr>
          <w:trHeight w:val="288"/>
        </w:trPr>
        <w:tc>
          <w:tcPr>
            <w:tcW w:w="1727" w:type="pct"/>
            <w:hideMark/>
          </w:tcPr>
          <w:p w14:paraId="268BF642" w14:textId="0B184313" w:rsidR="00390CF7" w:rsidRPr="005D74D1" w:rsidRDefault="00390CF7" w:rsidP="009B2B36">
            <w:pPr>
              <w:pStyle w:val="TableText"/>
              <w:rPr>
                <w:rFonts w:cs="Arial"/>
              </w:rPr>
            </w:pPr>
            <w:r w:rsidRPr="005D74D1">
              <w:rPr>
                <w:rFonts w:cs="Arial"/>
              </w:rPr>
              <w:t>WRS9: Water Register Operations and Improvements</w:t>
            </w:r>
          </w:p>
        </w:tc>
        <w:tc>
          <w:tcPr>
            <w:tcW w:w="1121" w:type="pct"/>
          </w:tcPr>
          <w:p w14:paraId="627308B5" w14:textId="5F478654" w:rsidR="00390CF7" w:rsidRPr="005D74D1" w:rsidRDefault="00C33511" w:rsidP="009B2B36">
            <w:pPr>
              <w:pStyle w:val="TableText"/>
              <w:rPr>
                <w:rFonts w:cs="Arial"/>
              </w:rPr>
            </w:pPr>
            <w:r w:rsidRPr="005D74D1">
              <w:rPr>
                <w:rFonts w:ascii="Segoe UI Symbol" w:hAnsi="Segoe UI Symbol" w:cs="Segoe UI Symbol"/>
              </w:rPr>
              <w:t>✓</w:t>
            </w:r>
          </w:p>
        </w:tc>
        <w:tc>
          <w:tcPr>
            <w:tcW w:w="982" w:type="pct"/>
          </w:tcPr>
          <w:p w14:paraId="37E14400" w14:textId="55F93EDF" w:rsidR="00390CF7" w:rsidRPr="005D74D1" w:rsidRDefault="00C33511" w:rsidP="009B2B36">
            <w:pPr>
              <w:pStyle w:val="TableText"/>
              <w:rPr>
                <w:rFonts w:cs="Arial"/>
              </w:rPr>
            </w:pPr>
            <w:r w:rsidRPr="005D74D1">
              <w:rPr>
                <w:rFonts w:cs="Arial"/>
              </w:rPr>
              <w:t>-</w:t>
            </w:r>
          </w:p>
        </w:tc>
        <w:tc>
          <w:tcPr>
            <w:tcW w:w="1170" w:type="pct"/>
          </w:tcPr>
          <w:p w14:paraId="5E862810" w14:textId="55EDE29A" w:rsidR="00390CF7" w:rsidRPr="005D74D1" w:rsidRDefault="00C33511" w:rsidP="009B2B36">
            <w:pPr>
              <w:pStyle w:val="TableText"/>
              <w:rPr>
                <w:rFonts w:cs="Arial"/>
              </w:rPr>
            </w:pPr>
            <w:r w:rsidRPr="005D74D1">
              <w:rPr>
                <w:rFonts w:cs="Arial"/>
              </w:rPr>
              <w:t>-</w:t>
            </w:r>
          </w:p>
        </w:tc>
      </w:tr>
      <w:tr w:rsidR="009B2B36" w:rsidRPr="005D74D1" w14:paraId="30EE53FA" w14:textId="01F5FA94" w:rsidTr="00AD3B2C">
        <w:trPr>
          <w:trHeight w:val="288"/>
        </w:trPr>
        <w:tc>
          <w:tcPr>
            <w:tcW w:w="1727" w:type="pct"/>
            <w:hideMark/>
          </w:tcPr>
          <w:p w14:paraId="1B8A36DB" w14:textId="5CBEDE61" w:rsidR="00390CF7" w:rsidRPr="005D74D1" w:rsidRDefault="00390CF7" w:rsidP="009B2B36">
            <w:pPr>
              <w:pStyle w:val="TableText"/>
              <w:rPr>
                <w:rFonts w:cs="Arial"/>
              </w:rPr>
            </w:pPr>
            <w:r w:rsidRPr="005D74D1">
              <w:rPr>
                <w:rFonts w:cs="Arial"/>
              </w:rPr>
              <w:t>WRS10: Understand and Apply Climate Science to Water</w:t>
            </w:r>
          </w:p>
        </w:tc>
        <w:tc>
          <w:tcPr>
            <w:tcW w:w="1121" w:type="pct"/>
            <w:noWrap/>
          </w:tcPr>
          <w:p w14:paraId="20672B21" w14:textId="74BE6940" w:rsidR="00390CF7" w:rsidRPr="005D74D1" w:rsidRDefault="00E41942" w:rsidP="009B2B36">
            <w:pPr>
              <w:pStyle w:val="TableText"/>
              <w:rPr>
                <w:rFonts w:cs="Arial"/>
              </w:rPr>
            </w:pPr>
            <w:r w:rsidRPr="005D74D1">
              <w:rPr>
                <w:rFonts w:ascii="Segoe UI Symbol" w:hAnsi="Segoe UI Symbol" w:cs="Segoe UI Symbol"/>
              </w:rPr>
              <w:t>✓</w:t>
            </w:r>
            <w:r w:rsidRPr="005D74D1">
              <w:rPr>
                <w:rFonts w:cs="Arial"/>
              </w:rPr>
              <w:t>A2.2</w:t>
            </w:r>
          </w:p>
        </w:tc>
        <w:tc>
          <w:tcPr>
            <w:tcW w:w="982" w:type="pct"/>
          </w:tcPr>
          <w:p w14:paraId="0CEDE495" w14:textId="7BFC454C" w:rsidR="00390CF7" w:rsidRPr="005D74D1" w:rsidRDefault="004E2D95" w:rsidP="009B2B36">
            <w:pPr>
              <w:pStyle w:val="TableText"/>
              <w:rPr>
                <w:rFonts w:cs="Arial"/>
              </w:rPr>
            </w:pPr>
            <w:r w:rsidRPr="005D74D1">
              <w:rPr>
                <w:rFonts w:cs="Arial"/>
              </w:rPr>
              <w:t>-</w:t>
            </w:r>
          </w:p>
        </w:tc>
        <w:tc>
          <w:tcPr>
            <w:tcW w:w="1170" w:type="pct"/>
          </w:tcPr>
          <w:p w14:paraId="447DA202" w14:textId="17FB7EEE" w:rsidR="00390CF7" w:rsidRPr="005D74D1" w:rsidRDefault="004E2D95" w:rsidP="009B2B36">
            <w:pPr>
              <w:pStyle w:val="TableText"/>
              <w:rPr>
                <w:rFonts w:cs="Arial"/>
              </w:rPr>
            </w:pPr>
            <w:r w:rsidRPr="005D74D1">
              <w:rPr>
                <w:rFonts w:ascii="Segoe UI Symbol" w:hAnsi="Segoe UI Symbol" w:cs="Segoe UI Symbol"/>
              </w:rPr>
              <w:t>✓</w:t>
            </w:r>
          </w:p>
        </w:tc>
      </w:tr>
      <w:tr w:rsidR="009B2B36" w:rsidRPr="005D74D1" w14:paraId="1D1B63E6" w14:textId="5BB4C14E" w:rsidTr="00AD3B2C">
        <w:trPr>
          <w:trHeight w:val="288"/>
        </w:trPr>
        <w:tc>
          <w:tcPr>
            <w:tcW w:w="1727" w:type="pct"/>
            <w:hideMark/>
          </w:tcPr>
          <w:p w14:paraId="42186022" w14:textId="66E0C31C" w:rsidR="00390CF7" w:rsidRPr="005D74D1" w:rsidRDefault="00390CF7" w:rsidP="009B2B36">
            <w:pPr>
              <w:pStyle w:val="TableText"/>
              <w:rPr>
                <w:rFonts w:cs="Arial"/>
              </w:rPr>
            </w:pPr>
            <w:r w:rsidRPr="005D74D1">
              <w:rPr>
                <w:rFonts w:cs="Arial"/>
              </w:rPr>
              <w:t>WRS11: Surface Water Assessment and Modelling</w:t>
            </w:r>
          </w:p>
        </w:tc>
        <w:tc>
          <w:tcPr>
            <w:tcW w:w="1121" w:type="pct"/>
            <w:noWrap/>
          </w:tcPr>
          <w:p w14:paraId="3C2CC8AD" w14:textId="3DF9A134" w:rsidR="00390CF7" w:rsidRPr="005D74D1" w:rsidRDefault="00097FC0" w:rsidP="009B2B36">
            <w:pPr>
              <w:pStyle w:val="TableText"/>
              <w:rPr>
                <w:rFonts w:cs="Arial"/>
              </w:rPr>
            </w:pPr>
            <w:r w:rsidRPr="005D74D1">
              <w:rPr>
                <w:rFonts w:ascii="Segoe UI Symbol" w:hAnsi="Segoe UI Symbol" w:cs="Segoe UI Symbol"/>
              </w:rPr>
              <w:t>✓</w:t>
            </w:r>
            <w:r w:rsidRPr="005D74D1">
              <w:rPr>
                <w:rFonts w:cs="Arial"/>
              </w:rPr>
              <w:t xml:space="preserve"> A8.11</w:t>
            </w:r>
            <w:r w:rsidR="006620AB" w:rsidRPr="005D74D1">
              <w:rPr>
                <w:rFonts w:cs="Arial"/>
              </w:rPr>
              <w:t>, A3.3,A8.4,A8.6</w:t>
            </w:r>
          </w:p>
        </w:tc>
        <w:tc>
          <w:tcPr>
            <w:tcW w:w="982" w:type="pct"/>
          </w:tcPr>
          <w:p w14:paraId="6C7303B5" w14:textId="27989E3E" w:rsidR="00390CF7" w:rsidRPr="005D74D1" w:rsidRDefault="00457D7B" w:rsidP="009B2B36">
            <w:pPr>
              <w:pStyle w:val="TableText"/>
              <w:rPr>
                <w:rFonts w:cs="Arial"/>
              </w:rPr>
            </w:pPr>
            <w:r w:rsidRPr="005D74D1">
              <w:rPr>
                <w:rFonts w:ascii="Segoe UI Symbol" w:hAnsi="Segoe UI Symbol" w:cs="Segoe UI Symbol"/>
              </w:rPr>
              <w:t>✓</w:t>
            </w:r>
          </w:p>
        </w:tc>
        <w:tc>
          <w:tcPr>
            <w:tcW w:w="1170" w:type="pct"/>
          </w:tcPr>
          <w:p w14:paraId="3204D250" w14:textId="24FB8618" w:rsidR="00390CF7" w:rsidRPr="005D74D1" w:rsidRDefault="00457D7B" w:rsidP="009B2B36">
            <w:pPr>
              <w:pStyle w:val="TableText"/>
              <w:rPr>
                <w:rFonts w:cs="Arial"/>
              </w:rPr>
            </w:pPr>
            <w:r w:rsidRPr="005D74D1">
              <w:rPr>
                <w:rFonts w:ascii="Segoe UI Symbol" w:hAnsi="Segoe UI Symbol" w:cs="Segoe UI Symbol"/>
              </w:rPr>
              <w:t>✓</w:t>
            </w:r>
          </w:p>
        </w:tc>
      </w:tr>
      <w:tr w:rsidR="009B2B36" w:rsidRPr="005D74D1" w14:paraId="7652C7D6" w14:textId="23B0D4E7" w:rsidTr="00AD3B2C">
        <w:trPr>
          <w:trHeight w:val="288"/>
        </w:trPr>
        <w:tc>
          <w:tcPr>
            <w:tcW w:w="1727" w:type="pct"/>
            <w:hideMark/>
          </w:tcPr>
          <w:p w14:paraId="3ED43A3C" w14:textId="39EFE47B" w:rsidR="00390CF7" w:rsidRPr="005D74D1" w:rsidRDefault="00DE03B2" w:rsidP="009B2B36">
            <w:pPr>
              <w:pStyle w:val="TableText"/>
              <w:rPr>
                <w:rFonts w:cs="Arial"/>
              </w:rPr>
            </w:pPr>
            <w:r w:rsidRPr="005D74D1">
              <w:rPr>
                <w:rFonts w:cs="Arial"/>
              </w:rPr>
              <w:t xml:space="preserve">WRS12: Long-Term Water Resource Assessment and Addressing the </w:t>
            </w:r>
            <w:r w:rsidR="0087108A" w:rsidRPr="005D74D1">
              <w:rPr>
                <w:rFonts w:cs="Arial"/>
              </w:rPr>
              <w:t>I</w:t>
            </w:r>
            <w:r w:rsidRPr="005D74D1">
              <w:rPr>
                <w:rFonts w:cs="Arial"/>
              </w:rPr>
              <w:t xml:space="preserve">mpacts of </w:t>
            </w:r>
            <w:r w:rsidR="0087108A" w:rsidRPr="005D74D1">
              <w:rPr>
                <w:rFonts w:cs="Arial"/>
              </w:rPr>
              <w:t>M</w:t>
            </w:r>
            <w:r w:rsidRPr="005D74D1">
              <w:rPr>
                <w:rFonts w:cs="Arial"/>
              </w:rPr>
              <w:t xml:space="preserve">ining and </w:t>
            </w:r>
            <w:r w:rsidR="0087108A" w:rsidRPr="005D74D1">
              <w:rPr>
                <w:rFonts w:cs="Arial"/>
              </w:rPr>
              <w:t>E</w:t>
            </w:r>
            <w:r w:rsidRPr="005D74D1">
              <w:rPr>
                <w:rFonts w:cs="Arial"/>
              </w:rPr>
              <w:t xml:space="preserve">xtractive </w:t>
            </w:r>
            <w:r w:rsidR="0087108A" w:rsidRPr="005D74D1">
              <w:rPr>
                <w:rFonts w:cs="Arial"/>
              </w:rPr>
              <w:t>I</w:t>
            </w:r>
            <w:r w:rsidRPr="005D74D1">
              <w:rPr>
                <w:rFonts w:cs="Arial"/>
              </w:rPr>
              <w:t>ndustries</w:t>
            </w:r>
          </w:p>
        </w:tc>
        <w:tc>
          <w:tcPr>
            <w:tcW w:w="1121" w:type="pct"/>
          </w:tcPr>
          <w:p w14:paraId="6ECAD4CE" w14:textId="636129AF" w:rsidR="00390CF7" w:rsidRPr="005D74D1" w:rsidRDefault="00D17152" w:rsidP="009B2B36">
            <w:pPr>
              <w:pStyle w:val="TableText"/>
              <w:rPr>
                <w:rFonts w:cs="Arial"/>
              </w:rPr>
            </w:pPr>
            <w:r w:rsidRPr="005D74D1">
              <w:rPr>
                <w:rFonts w:ascii="Segoe UI Symbol" w:hAnsi="Segoe UI Symbol" w:cs="Segoe UI Symbol"/>
              </w:rPr>
              <w:t>✓</w:t>
            </w:r>
            <w:r w:rsidRPr="005D74D1">
              <w:rPr>
                <w:rFonts w:cs="Arial"/>
              </w:rPr>
              <w:t xml:space="preserve"> A8.8</w:t>
            </w:r>
          </w:p>
        </w:tc>
        <w:tc>
          <w:tcPr>
            <w:tcW w:w="982" w:type="pct"/>
          </w:tcPr>
          <w:p w14:paraId="5BC1B3B4" w14:textId="1C2C5771" w:rsidR="00390CF7" w:rsidRPr="005D74D1" w:rsidRDefault="00A63479" w:rsidP="009B2B36">
            <w:pPr>
              <w:pStyle w:val="TableText"/>
              <w:rPr>
                <w:rFonts w:cs="Arial"/>
              </w:rPr>
            </w:pPr>
            <w:r w:rsidRPr="005D74D1">
              <w:rPr>
                <w:rFonts w:cs="Arial"/>
              </w:rPr>
              <w:t>-</w:t>
            </w:r>
          </w:p>
        </w:tc>
        <w:tc>
          <w:tcPr>
            <w:tcW w:w="1170" w:type="pct"/>
          </w:tcPr>
          <w:p w14:paraId="3E575799" w14:textId="62952747" w:rsidR="00390CF7" w:rsidRPr="005D74D1" w:rsidRDefault="00A63479" w:rsidP="009B2B36">
            <w:pPr>
              <w:pStyle w:val="TableText"/>
              <w:rPr>
                <w:rFonts w:cs="Arial"/>
              </w:rPr>
            </w:pPr>
            <w:r w:rsidRPr="005D74D1">
              <w:rPr>
                <w:rFonts w:ascii="Segoe UI Symbol" w:hAnsi="Segoe UI Symbol" w:cs="Segoe UI Symbol"/>
              </w:rPr>
              <w:t>✓</w:t>
            </w:r>
            <w:r w:rsidR="003471F2" w:rsidRPr="005D74D1">
              <w:rPr>
                <w:rFonts w:cs="Arial"/>
              </w:rPr>
              <w:t>A9-6,</w:t>
            </w:r>
          </w:p>
        </w:tc>
      </w:tr>
      <w:tr w:rsidR="009B2B36" w:rsidRPr="005D74D1" w14:paraId="5336A110" w14:textId="675415DF" w:rsidTr="00AD3B2C">
        <w:trPr>
          <w:trHeight w:val="288"/>
        </w:trPr>
        <w:tc>
          <w:tcPr>
            <w:tcW w:w="1727" w:type="pct"/>
            <w:hideMark/>
          </w:tcPr>
          <w:p w14:paraId="60C95740" w14:textId="4D60A36C" w:rsidR="00390CF7" w:rsidRPr="005D74D1" w:rsidRDefault="00390CF7" w:rsidP="009B2B36">
            <w:pPr>
              <w:pStyle w:val="TableText"/>
              <w:rPr>
                <w:rFonts w:cs="Arial"/>
              </w:rPr>
            </w:pPr>
            <w:r w:rsidRPr="005D74D1">
              <w:rPr>
                <w:rFonts w:cs="Arial"/>
              </w:rPr>
              <w:t xml:space="preserve">WRS13: Groundwater </w:t>
            </w:r>
            <w:r w:rsidR="0087108A" w:rsidRPr="005D74D1">
              <w:rPr>
                <w:rFonts w:cs="Arial"/>
              </w:rPr>
              <w:t>A</w:t>
            </w:r>
            <w:r w:rsidRPr="005D74D1">
              <w:rPr>
                <w:rFonts w:cs="Arial"/>
              </w:rPr>
              <w:t xml:space="preserve">ssessment and </w:t>
            </w:r>
            <w:r w:rsidR="0087108A" w:rsidRPr="005D74D1">
              <w:rPr>
                <w:rFonts w:cs="Arial"/>
              </w:rPr>
              <w:t>M</w:t>
            </w:r>
            <w:r w:rsidRPr="005D74D1">
              <w:rPr>
                <w:rFonts w:cs="Arial"/>
              </w:rPr>
              <w:t>odelling</w:t>
            </w:r>
          </w:p>
        </w:tc>
        <w:tc>
          <w:tcPr>
            <w:tcW w:w="1121" w:type="pct"/>
          </w:tcPr>
          <w:p w14:paraId="27250B7E" w14:textId="31DCE0BA" w:rsidR="00390CF7" w:rsidRPr="005D74D1" w:rsidRDefault="00896A9F" w:rsidP="009B2B36">
            <w:pPr>
              <w:pStyle w:val="TableText"/>
              <w:rPr>
                <w:rFonts w:cs="Arial"/>
              </w:rPr>
            </w:pPr>
            <w:r w:rsidRPr="005D74D1">
              <w:rPr>
                <w:rFonts w:ascii="Segoe UI Symbol" w:hAnsi="Segoe UI Symbol" w:cs="Segoe UI Symbol"/>
              </w:rPr>
              <w:t>✓</w:t>
            </w:r>
            <w:r w:rsidRPr="005D74D1">
              <w:rPr>
                <w:rFonts w:cs="Arial"/>
              </w:rPr>
              <w:t xml:space="preserve"> A2.2</w:t>
            </w:r>
            <w:r w:rsidR="000E3C94" w:rsidRPr="005D74D1">
              <w:rPr>
                <w:rFonts w:cs="Arial"/>
              </w:rPr>
              <w:t>, A8.10, A8.11</w:t>
            </w:r>
          </w:p>
        </w:tc>
        <w:tc>
          <w:tcPr>
            <w:tcW w:w="982" w:type="pct"/>
          </w:tcPr>
          <w:p w14:paraId="44BD296D" w14:textId="371331D6" w:rsidR="00390CF7" w:rsidRPr="005D74D1" w:rsidRDefault="001709AB" w:rsidP="009B2B36">
            <w:pPr>
              <w:pStyle w:val="TableText"/>
              <w:rPr>
                <w:rFonts w:cs="Arial"/>
              </w:rPr>
            </w:pPr>
            <w:r w:rsidRPr="005D74D1">
              <w:rPr>
                <w:rFonts w:ascii="Segoe UI Symbol" w:hAnsi="Segoe UI Symbol" w:cs="Segoe UI Symbol"/>
              </w:rPr>
              <w:t>✓</w:t>
            </w:r>
          </w:p>
        </w:tc>
        <w:tc>
          <w:tcPr>
            <w:tcW w:w="1170" w:type="pct"/>
          </w:tcPr>
          <w:p w14:paraId="14206F58" w14:textId="49BA641A" w:rsidR="00390CF7" w:rsidRPr="005D74D1" w:rsidRDefault="001D3BAF" w:rsidP="009B2B36">
            <w:pPr>
              <w:pStyle w:val="TableText"/>
              <w:rPr>
                <w:rFonts w:cs="Arial"/>
              </w:rPr>
            </w:pPr>
            <w:r w:rsidRPr="005D74D1">
              <w:rPr>
                <w:rFonts w:ascii="Segoe UI Symbol" w:hAnsi="Segoe UI Symbol" w:cs="Segoe UI Symbol"/>
              </w:rPr>
              <w:t>✓</w:t>
            </w:r>
          </w:p>
        </w:tc>
      </w:tr>
      <w:tr w:rsidR="009B2B36" w:rsidRPr="005D74D1" w14:paraId="7EC9B385" w14:textId="75B9AAEB" w:rsidTr="00AD3B2C">
        <w:trPr>
          <w:trHeight w:val="288"/>
        </w:trPr>
        <w:tc>
          <w:tcPr>
            <w:tcW w:w="1727" w:type="pct"/>
            <w:hideMark/>
          </w:tcPr>
          <w:p w14:paraId="71CDB6CE" w14:textId="0D2C8ED4" w:rsidR="00390CF7" w:rsidRPr="005D74D1" w:rsidRDefault="00390CF7" w:rsidP="009B2B36">
            <w:pPr>
              <w:pStyle w:val="TableText"/>
              <w:rPr>
                <w:rFonts w:cs="Arial"/>
              </w:rPr>
            </w:pPr>
            <w:r w:rsidRPr="005D74D1">
              <w:rPr>
                <w:rFonts w:cs="Arial"/>
              </w:rPr>
              <w:t>WRS14: Surface Water and Ground Water Monitoring</w:t>
            </w:r>
          </w:p>
        </w:tc>
        <w:tc>
          <w:tcPr>
            <w:tcW w:w="1121" w:type="pct"/>
            <w:noWrap/>
          </w:tcPr>
          <w:p w14:paraId="7BEAEE6D" w14:textId="76C2CAFC" w:rsidR="00390CF7" w:rsidRPr="005D74D1" w:rsidRDefault="007F660F" w:rsidP="009B2B36">
            <w:pPr>
              <w:pStyle w:val="TableText"/>
              <w:rPr>
                <w:rFonts w:cs="Arial"/>
              </w:rPr>
            </w:pPr>
            <w:r w:rsidRPr="005D74D1">
              <w:rPr>
                <w:rFonts w:ascii="Segoe UI Symbol" w:hAnsi="Segoe UI Symbol" w:cs="Segoe UI Symbol"/>
              </w:rPr>
              <w:t>✓</w:t>
            </w:r>
            <w:r w:rsidRPr="005D74D1">
              <w:rPr>
                <w:rFonts w:cs="Arial"/>
              </w:rPr>
              <w:t xml:space="preserve"> A8.10, A8.11</w:t>
            </w:r>
          </w:p>
        </w:tc>
        <w:tc>
          <w:tcPr>
            <w:tcW w:w="982" w:type="pct"/>
          </w:tcPr>
          <w:p w14:paraId="7135CB18" w14:textId="12D2736B" w:rsidR="00390CF7" w:rsidRPr="005D74D1" w:rsidRDefault="00AA022F" w:rsidP="009B2B36">
            <w:pPr>
              <w:pStyle w:val="TableText"/>
              <w:rPr>
                <w:rFonts w:cs="Arial"/>
              </w:rPr>
            </w:pPr>
            <w:r w:rsidRPr="005D74D1">
              <w:rPr>
                <w:rFonts w:cs="Arial"/>
              </w:rPr>
              <w:t>-</w:t>
            </w:r>
          </w:p>
        </w:tc>
        <w:tc>
          <w:tcPr>
            <w:tcW w:w="1170" w:type="pct"/>
          </w:tcPr>
          <w:p w14:paraId="42B9CBA5" w14:textId="4DD5833D" w:rsidR="00390CF7" w:rsidRPr="005D74D1" w:rsidRDefault="00AA022F" w:rsidP="009B2B36">
            <w:pPr>
              <w:pStyle w:val="TableText"/>
              <w:rPr>
                <w:rFonts w:cs="Arial"/>
              </w:rPr>
            </w:pPr>
            <w:r w:rsidRPr="005D74D1">
              <w:rPr>
                <w:rFonts w:cs="Arial"/>
              </w:rPr>
              <w:t>-</w:t>
            </w:r>
          </w:p>
        </w:tc>
      </w:tr>
      <w:tr w:rsidR="009B2B36" w:rsidRPr="005D74D1" w14:paraId="4F0126AB" w14:textId="1E271335" w:rsidTr="00AD3B2C">
        <w:trPr>
          <w:trHeight w:val="288"/>
        </w:trPr>
        <w:tc>
          <w:tcPr>
            <w:tcW w:w="1727" w:type="pct"/>
            <w:hideMark/>
          </w:tcPr>
          <w:p w14:paraId="1AF8F320" w14:textId="45A06A26" w:rsidR="00390CF7" w:rsidRPr="005D74D1" w:rsidRDefault="00390CF7" w:rsidP="009B2B36">
            <w:pPr>
              <w:pStyle w:val="TableText"/>
              <w:rPr>
                <w:rFonts w:cs="Arial"/>
              </w:rPr>
            </w:pPr>
            <w:r w:rsidRPr="005D74D1">
              <w:rPr>
                <w:rFonts w:cs="Arial"/>
              </w:rPr>
              <w:t>WRS15: Water Accounting and Reporting</w:t>
            </w:r>
          </w:p>
        </w:tc>
        <w:tc>
          <w:tcPr>
            <w:tcW w:w="1121" w:type="pct"/>
          </w:tcPr>
          <w:p w14:paraId="5B93C533" w14:textId="3F474C11" w:rsidR="00390CF7" w:rsidRPr="005D74D1" w:rsidRDefault="00D6002D" w:rsidP="009B2B36">
            <w:pPr>
              <w:pStyle w:val="TableText"/>
              <w:rPr>
                <w:rFonts w:cs="Arial"/>
              </w:rPr>
            </w:pPr>
            <w:r w:rsidRPr="005D74D1">
              <w:rPr>
                <w:rFonts w:ascii="Segoe UI Symbol" w:hAnsi="Segoe UI Symbol" w:cs="Segoe UI Symbol"/>
              </w:rPr>
              <w:t>✓</w:t>
            </w:r>
            <w:r w:rsidR="00A20EA4" w:rsidRPr="005D74D1">
              <w:rPr>
                <w:rFonts w:cs="Arial"/>
              </w:rPr>
              <w:t>A</w:t>
            </w:r>
            <w:r w:rsidR="00A40F5E" w:rsidRPr="005D74D1">
              <w:rPr>
                <w:rFonts w:cs="Arial"/>
              </w:rPr>
              <w:t>8.10</w:t>
            </w:r>
          </w:p>
        </w:tc>
        <w:tc>
          <w:tcPr>
            <w:tcW w:w="982" w:type="pct"/>
          </w:tcPr>
          <w:p w14:paraId="1151014F" w14:textId="2D3DF08F" w:rsidR="00390CF7" w:rsidRPr="005D74D1" w:rsidRDefault="00A20EA4" w:rsidP="009B2B36">
            <w:pPr>
              <w:pStyle w:val="TableText"/>
              <w:rPr>
                <w:rFonts w:cs="Arial"/>
              </w:rPr>
            </w:pPr>
            <w:r w:rsidRPr="005D74D1">
              <w:rPr>
                <w:rFonts w:cs="Arial"/>
              </w:rPr>
              <w:t>-</w:t>
            </w:r>
          </w:p>
        </w:tc>
        <w:tc>
          <w:tcPr>
            <w:tcW w:w="1170" w:type="pct"/>
          </w:tcPr>
          <w:p w14:paraId="0DB2E2E9" w14:textId="3C426342" w:rsidR="00390CF7" w:rsidRPr="005D74D1" w:rsidRDefault="00A20EA4" w:rsidP="009B2B36">
            <w:pPr>
              <w:pStyle w:val="TableText"/>
              <w:rPr>
                <w:rFonts w:cs="Arial"/>
              </w:rPr>
            </w:pPr>
            <w:r w:rsidRPr="005D74D1">
              <w:rPr>
                <w:rFonts w:cs="Arial"/>
              </w:rPr>
              <w:t>-</w:t>
            </w:r>
          </w:p>
        </w:tc>
      </w:tr>
      <w:tr w:rsidR="009B2B36" w:rsidRPr="005D74D1" w14:paraId="4963677F" w14:textId="0A77D198" w:rsidTr="00AD3B2C">
        <w:trPr>
          <w:trHeight w:val="288"/>
        </w:trPr>
        <w:tc>
          <w:tcPr>
            <w:tcW w:w="1727" w:type="pct"/>
            <w:hideMark/>
          </w:tcPr>
          <w:p w14:paraId="7A355299" w14:textId="0F6A4685" w:rsidR="00390CF7" w:rsidRPr="005D74D1" w:rsidRDefault="00390CF7" w:rsidP="009B2B36">
            <w:pPr>
              <w:pStyle w:val="TableText"/>
              <w:rPr>
                <w:rFonts w:cs="Arial"/>
              </w:rPr>
            </w:pPr>
            <w:r w:rsidRPr="005D74D1">
              <w:rPr>
                <w:rFonts w:cs="Arial"/>
              </w:rPr>
              <w:lastRenderedPageBreak/>
              <w:t xml:space="preserve">WRS16: Knowledge and </w:t>
            </w:r>
            <w:r w:rsidR="0087108A" w:rsidRPr="005D74D1">
              <w:rPr>
                <w:rFonts w:cs="Arial"/>
              </w:rPr>
              <w:t>I</w:t>
            </w:r>
            <w:r w:rsidRPr="005D74D1">
              <w:rPr>
                <w:rFonts w:cs="Arial"/>
              </w:rPr>
              <w:t xml:space="preserve">nsights </w:t>
            </w:r>
          </w:p>
        </w:tc>
        <w:tc>
          <w:tcPr>
            <w:tcW w:w="1121" w:type="pct"/>
            <w:noWrap/>
          </w:tcPr>
          <w:p w14:paraId="6AAEA7AC" w14:textId="7D9C13D0" w:rsidR="00390CF7" w:rsidRPr="005D74D1" w:rsidRDefault="00716AEC" w:rsidP="009B2B36">
            <w:pPr>
              <w:pStyle w:val="TableText"/>
              <w:rPr>
                <w:rFonts w:cs="Arial"/>
              </w:rPr>
            </w:pPr>
            <w:r w:rsidRPr="005D74D1">
              <w:rPr>
                <w:rFonts w:ascii="Segoe UI Symbol" w:hAnsi="Segoe UI Symbol" w:cs="Segoe UI Symbol"/>
              </w:rPr>
              <w:t>✓</w:t>
            </w:r>
            <w:r w:rsidRPr="005D74D1">
              <w:rPr>
                <w:rFonts w:cs="Arial"/>
              </w:rPr>
              <w:t xml:space="preserve"> A8.10, A3.9, A</w:t>
            </w:r>
            <w:r w:rsidR="00231F93" w:rsidRPr="005D74D1">
              <w:rPr>
                <w:rFonts w:cs="Arial"/>
              </w:rPr>
              <w:t>8.11, A7.2</w:t>
            </w:r>
          </w:p>
        </w:tc>
        <w:tc>
          <w:tcPr>
            <w:tcW w:w="982" w:type="pct"/>
          </w:tcPr>
          <w:p w14:paraId="022D08FF" w14:textId="4E0CA58E" w:rsidR="00390CF7" w:rsidRPr="005D74D1" w:rsidRDefault="00231F93" w:rsidP="009B2B36">
            <w:pPr>
              <w:pStyle w:val="TableText"/>
              <w:rPr>
                <w:rFonts w:cs="Arial"/>
              </w:rPr>
            </w:pPr>
            <w:r w:rsidRPr="005D74D1">
              <w:rPr>
                <w:rFonts w:cs="Arial"/>
              </w:rPr>
              <w:t>-</w:t>
            </w:r>
          </w:p>
        </w:tc>
        <w:tc>
          <w:tcPr>
            <w:tcW w:w="1170" w:type="pct"/>
          </w:tcPr>
          <w:p w14:paraId="62242E4E" w14:textId="563809BB" w:rsidR="00390CF7" w:rsidRPr="005D74D1" w:rsidRDefault="00231F93" w:rsidP="009B2B36">
            <w:pPr>
              <w:pStyle w:val="TableText"/>
              <w:rPr>
                <w:rFonts w:cs="Arial"/>
              </w:rPr>
            </w:pPr>
            <w:r w:rsidRPr="005D74D1">
              <w:rPr>
                <w:rFonts w:cs="Arial"/>
              </w:rPr>
              <w:t>-</w:t>
            </w:r>
          </w:p>
        </w:tc>
      </w:tr>
      <w:tr w:rsidR="009B2B36" w:rsidRPr="005D74D1" w14:paraId="29755877" w14:textId="4DBCF824" w:rsidTr="00AD3B2C">
        <w:trPr>
          <w:trHeight w:val="288"/>
        </w:trPr>
        <w:tc>
          <w:tcPr>
            <w:tcW w:w="1727" w:type="pct"/>
            <w:noWrap/>
            <w:hideMark/>
          </w:tcPr>
          <w:p w14:paraId="05865034" w14:textId="2D227049" w:rsidR="00390CF7" w:rsidRPr="005D74D1" w:rsidRDefault="00390CF7" w:rsidP="009B2B36">
            <w:pPr>
              <w:pStyle w:val="TableText"/>
              <w:rPr>
                <w:rFonts w:cs="Arial"/>
              </w:rPr>
            </w:pPr>
            <w:r w:rsidRPr="005D74D1">
              <w:rPr>
                <w:rFonts w:cs="Arial"/>
              </w:rPr>
              <w:t>CWCT05: Water Efficiency Program</w:t>
            </w:r>
          </w:p>
        </w:tc>
        <w:tc>
          <w:tcPr>
            <w:tcW w:w="1121" w:type="pct"/>
            <w:noWrap/>
          </w:tcPr>
          <w:p w14:paraId="0CBF7EEF" w14:textId="0D3C820F" w:rsidR="00390CF7" w:rsidRPr="005D74D1" w:rsidRDefault="00390CF7" w:rsidP="009B2B36">
            <w:pPr>
              <w:pStyle w:val="TableText"/>
              <w:rPr>
                <w:rFonts w:cs="Arial"/>
              </w:rPr>
            </w:pPr>
            <w:r w:rsidRPr="005D74D1">
              <w:rPr>
                <w:rFonts w:ascii="Segoe UI Symbol" w:hAnsi="Segoe UI Symbol" w:cs="Segoe UI Symbol"/>
              </w:rPr>
              <w:t>✓</w:t>
            </w:r>
            <w:r w:rsidRPr="005D74D1">
              <w:rPr>
                <w:rFonts w:cs="Arial"/>
              </w:rPr>
              <w:t xml:space="preserve"> Ch5.3</w:t>
            </w:r>
          </w:p>
        </w:tc>
        <w:tc>
          <w:tcPr>
            <w:tcW w:w="982" w:type="pct"/>
          </w:tcPr>
          <w:p w14:paraId="550D869C" w14:textId="0F10C555" w:rsidR="00390CF7" w:rsidRPr="005D74D1" w:rsidRDefault="00390CF7" w:rsidP="009B2B36">
            <w:pPr>
              <w:pStyle w:val="TableText"/>
              <w:rPr>
                <w:rFonts w:cs="Arial"/>
              </w:rPr>
            </w:pPr>
            <w:r w:rsidRPr="005D74D1">
              <w:rPr>
                <w:rFonts w:cs="Arial"/>
              </w:rPr>
              <w:t>−</w:t>
            </w:r>
          </w:p>
        </w:tc>
        <w:tc>
          <w:tcPr>
            <w:tcW w:w="1170" w:type="pct"/>
          </w:tcPr>
          <w:p w14:paraId="6091718C" w14:textId="011AEBA3" w:rsidR="00390CF7" w:rsidRPr="005D74D1" w:rsidRDefault="00390CF7" w:rsidP="009B2B36">
            <w:pPr>
              <w:pStyle w:val="TableText"/>
              <w:rPr>
                <w:rFonts w:cs="Arial"/>
              </w:rPr>
            </w:pPr>
            <w:r w:rsidRPr="005D74D1">
              <w:rPr>
                <w:rFonts w:ascii="Segoe UI Symbol" w:hAnsi="Segoe UI Symbol" w:cs="Segoe UI Symbol"/>
              </w:rPr>
              <w:t>✓</w:t>
            </w:r>
            <w:r w:rsidR="002E7334" w:rsidRPr="005D74D1">
              <w:rPr>
                <w:rFonts w:cs="Arial"/>
              </w:rPr>
              <w:t xml:space="preserve"> Ch</w:t>
            </w:r>
            <w:r w:rsidR="008B61D0" w:rsidRPr="005D74D1">
              <w:rPr>
                <w:rFonts w:cs="Arial"/>
              </w:rPr>
              <w:t xml:space="preserve"> 2</w:t>
            </w:r>
            <w:r w:rsidR="004A240F" w:rsidRPr="005D74D1">
              <w:rPr>
                <w:rFonts w:cs="Arial"/>
              </w:rPr>
              <w:t xml:space="preserve">: </w:t>
            </w:r>
            <w:r w:rsidR="007832CA" w:rsidRPr="005D74D1">
              <w:rPr>
                <w:rFonts w:cs="Arial"/>
              </w:rPr>
              <w:t xml:space="preserve">2-1, 2-3, </w:t>
            </w:r>
            <w:r w:rsidR="00EB70AA" w:rsidRPr="005D74D1">
              <w:rPr>
                <w:rFonts w:cs="Arial"/>
              </w:rPr>
              <w:t>2-5, 2-6</w:t>
            </w:r>
          </w:p>
        </w:tc>
      </w:tr>
      <w:tr w:rsidR="009B2B36" w:rsidRPr="005D74D1" w14:paraId="10520D6E" w14:textId="5A6883C6" w:rsidTr="00AD3B2C">
        <w:trPr>
          <w:trHeight w:val="288"/>
        </w:trPr>
        <w:tc>
          <w:tcPr>
            <w:tcW w:w="1727" w:type="pct"/>
            <w:hideMark/>
          </w:tcPr>
          <w:p w14:paraId="15CF8534" w14:textId="4A521E97" w:rsidR="00390CF7" w:rsidRPr="005D74D1" w:rsidRDefault="00390CF7" w:rsidP="009B2B36">
            <w:pPr>
              <w:pStyle w:val="TableText"/>
              <w:rPr>
                <w:rFonts w:cs="Arial"/>
              </w:rPr>
            </w:pPr>
            <w:r w:rsidRPr="005D74D1">
              <w:rPr>
                <w:rFonts w:cs="Arial"/>
              </w:rPr>
              <w:t xml:space="preserve">SIRS1: Rural </w:t>
            </w:r>
            <w:r w:rsidR="0087108A" w:rsidRPr="005D74D1">
              <w:rPr>
                <w:rFonts w:cs="Arial"/>
              </w:rPr>
              <w:t>W</w:t>
            </w:r>
            <w:r w:rsidRPr="005D74D1">
              <w:rPr>
                <w:rFonts w:cs="Arial"/>
              </w:rPr>
              <w:t xml:space="preserve">ater </w:t>
            </w:r>
            <w:r w:rsidR="0087108A" w:rsidRPr="005D74D1">
              <w:rPr>
                <w:rFonts w:cs="Arial"/>
              </w:rPr>
              <w:t>I</w:t>
            </w:r>
            <w:r w:rsidRPr="005D74D1">
              <w:rPr>
                <w:rFonts w:cs="Arial"/>
              </w:rPr>
              <w:t xml:space="preserve">nfrastructure </w:t>
            </w:r>
            <w:r w:rsidR="0087108A" w:rsidRPr="005D74D1">
              <w:rPr>
                <w:rFonts w:cs="Arial"/>
              </w:rPr>
              <w:t>P</w:t>
            </w:r>
            <w:r w:rsidRPr="005D74D1">
              <w:rPr>
                <w:rFonts w:cs="Arial"/>
              </w:rPr>
              <w:t xml:space="preserve">roject </w:t>
            </w:r>
            <w:r w:rsidR="0087108A" w:rsidRPr="005D74D1">
              <w:rPr>
                <w:rFonts w:cs="Arial"/>
              </w:rPr>
              <w:t>O</w:t>
            </w:r>
            <w:r w:rsidRPr="005D74D1">
              <w:rPr>
                <w:rFonts w:cs="Arial"/>
              </w:rPr>
              <w:t xml:space="preserve">versight and </w:t>
            </w:r>
            <w:r w:rsidR="0087108A" w:rsidRPr="005D74D1">
              <w:rPr>
                <w:rFonts w:cs="Arial"/>
              </w:rPr>
              <w:t>G</w:t>
            </w:r>
            <w:r w:rsidRPr="005D74D1">
              <w:rPr>
                <w:rFonts w:cs="Arial"/>
              </w:rPr>
              <w:t>overnance</w:t>
            </w:r>
          </w:p>
        </w:tc>
        <w:tc>
          <w:tcPr>
            <w:tcW w:w="1121" w:type="pct"/>
          </w:tcPr>
          <w:p w14:paraId="5535E9AA" w14:textId="00E3D735" w:rsidR="00390CF7" w:rsidRPr="005D74D1" w:rsidRDefault="00DB1075" w:rsidP="009B2B36">
            <w:pPr>
              <w:pStyle w:val="TableText"/>
              <w:rPr>
                <w:rFonts w:cs="Arial"/>
              </w:rPr>
            </w:pPr>
            <w:r w:rsidRPr="005D74D1">
              <w:rPr>
                <w:rFonts w:ascii="Segoe UI Symbol" w:hAnsi="Segoe UI Symbol" w:cs="Segoe UI Symbol"/>
              </w:rPr>
              <w:t>✓</w:t>
            </w:r>
          </w:p>
        </w:tc>
        <w:tc>
          <w:tcPr>
            <w:tcW w:w="982" w:type="pct"/>
          </w:tcPr>
          <w:p w14:paraId="441D4636" w14:textId="592CEFEC" w:rsidR="00390CF7" w:rsidRPr="005D74D1" w:rsidRDefault="00DB1075" w:rsidP="009B2B36">
            <w:pPr>
              <w:pStyle w:val="TableText"/>
              <w:rPr>
                <w:rFonts w:cs="Arial"/>
              </w:rPr>
            </w:pPr>
            <w:r w:rsidRPr="005D74D1">
              <w:rPr>
                <w:rFonts w:ascii="Segoe UI Symbol" w:hAnsi="Segoe UI Symbol" w:cs="Segoe UI Symbol"/>
              </w:rPr>
              <w:t>✓</w:t>
            </w:r>
          </w:p>
        </w:tc>
        <w:tc>
          <w:tcPr>
            <w:tcW w:w="1170" w:type="pct"/>
          </w:tcPr>
          <w:p w14:paraId="43C35FCE" w14:textId="48AC334E" w:rsidR="00390CF7" w:rsidRPr="005D74D1" w:rsidRDefault="00C47317" w:rsidP="009B2B36">
            <w:pPr>
              <w:pStyle w:val="TableText"/>
              <w:rPr>
                <w:rFonts w:cs="Arial"/>
              </w:rPr>
            </w:pPr>
            <w:r w:rsidRPr="005D74D1">
              <w:rPr>
                <w:rFonts w:ascii="Segoe UI Symbol" w:hAnsi="Segoe UI Symbol" w:cs="Segoe UI Symbol"/>
              </w:rPr>
              <w:t>✓</w:t>
            </w:r>
          </w:p>
        </w:tc>
      </w:tr>
      <w:tr w:rsidR="009B2B36" w:rsidRPr="005D74D1" w14:paraId="58F8B6F5" w14:textId="3CFD11F7" w:rsidTr="00AD3B2C">
        <w:trPr>
          <w:trHeight w:val="386"/>
        </w:trPr>
        <w:tc>
          <w:tcPr>
            <w:tcW w:w="1727" w:type="pct"/>
            <w:hideMark/>
          </w:tcPr>
          <w:p w14:paraId="36D9F34D" w14:textId="6B885AE1" w:rsidR="00390CF7" w:rsidRPr="005D74D1" w:rsidRDefault="00390CF7" w:rsidP="009B2B36">
            <w:pPr>
              <w:pStyle w:val="TableText"/>
              <w:rPr>
                <w:rFonts w:cs="Arial"/>
              </w:rPr>
            </w:pPr>
            <w:r w:rsidRPr="005D74D1">
              <w:rPr>
                <w:rFonts w:cs="Arial"/>
              </w:rPr>
              <w:t>SIRS2: Sustainable Irrigation Program Implementation</w:t>
            </w:r>
          </w:p>
        </w:tc>
        <w:tc>
          <w:tcPr>
            <w:tcW w:w="1121" w:type="pct"/>
          </w:tcPr>
          <w:p w14:paraId="6257AF9B" w14:textId="47C3A701" w:rsidR="00390CF7" w:rsidRPr="005D74D1" w:rsidRDefault="00804F49" w:rsidP="009B2B36">
            <w:pPr>
              <w:pStyle w:val="TableText"/>
              <w:rPr>
                <w:rFonts w:cs="Arial"/>
              </w:rPr>
            </w:pPr>
            <w:r w:rsidRPr="005D74D1">
              <w:rPr>
                <w:rFonts w:ascii="Segoe UI Symbol" w:hAnsi="Segoe UI Symbol" w:cs="Segoe UI Symbol"/>
              </w:rPr>
              <w:t>✓</w:t>
            </w:r>
            <w:r w:rsidRPr="005D74D1">
              <w:rPr>
                <w:rFonts w:cs="Arial"/>
              </w:rPr>
              <w:t xml:space="preserve"> A4.6</w:t>
            </w:r>
          </w:p>
        </w:tc>
        <w:tc>
          <w:tcPr>
            <w:tcW w:w="982" w:type="pct"/>
          </w:tcPr>
          <w:p w14:paraId="3F7EAE4E" w14:textId="6ECC324C" w:rsidR="00390CF7" w:rsidRPr="005D74D1" w:rsidRDefault="00035A2E" w:rsidP="009B2B36">
            <w:pPr>
              <w:pStyle w:val="TableText"/>
              <w:rPr>
                <w:rFonts w:cs="Arial"/>
              </w:rPr>
            </w:pPr>
            <w:r w:rsidRPr="005D74D1">
              <w:rPr>
                <w:rFonts w:cs="Arial"/>
              </w:rPr>
              <w:t>-</w:t>
            </w:r>
          </w:p>
        </w:tc>
        <w:tc>
          <w:tcPr>
            <w:tcW w:w="1170" w:type="pct"/>
          </w:tcPr>
          <w:p w14:paraId="0283546A" w14:textId="2AB278D5" w:rsidR="00390CF7" w:rsidRPr="005D74D1" w:rsidRDefault="00035A2E" w:rsidP="009B2B36">
            <w:pPr>
              <w:pStyle w:val="TableText"/>
              <w:rPr>
                <w:rFonts w:cs="Arial"/>
              </w:rPr>
            </w:pPr>
            <w:r w:rsidRPr="005D74D1">
              <w:rPr>
                <w:rFonts w:ascii="Segoe UI Symbol" w:hAnsi="Segoe UI Symbol" w:cs="Segoe UI Symbol"/>
              </w:rPr>
              <w:t>✓</w:t>
            </w:r>
          </w:p>
        </w:tc>
      </w:tr>
      <w:tr w:rsidR="009B2B36" w:rsidRPr="005D74D1" w14:paraId="19D64A21" w14:textId="7CEA986C" w:rsidTr="00AD3B2C">
        <w:trPr>
          <w:trHeight w:val="288"/>
        </w:trPr>
        <w:tc>
          <w:tcPr>
            <w:tcW w:w="1727" w:type="pct"/>
            <w:hideMark/>
          </w:tcPr>
          <w:p w14:paraId="588FB330" w14:textId="256FFB5B" w:rsidR="00390CF7" w:rsidRPr="005D74D1" w:rsidRDefault="00390CF7" w:rsidP="009B2B36">
            <w:pPr>
              <w:pStyle w:val="TableText"/>
              <w:rPr>
                <w:rFonts w:cs="Arial"/>
              </w:rPr>
            </w:pPr>
            <w:r w:rsidRPr="005D74D1">
              <w:rPr>
                <w:rFonts w:cs="Arial"/>
              </w:rPr>
              <w:t>CWCT06: Aboriginal Water Program</w:t>
            </w:r>
          </w:p>
        </w:tc>
        <w:tc>
          <w:tcPr>
            <w:tcW w:w="1121" w:type="pct"/>
            <w:noWrap/>
          </w:tcPr>
          <w:p w14:paraId="1BDA1EA4" w14:textId="368DD270" w:rsidR="00390CF7" w:rsidRPr="005D74D1" w:rsidRDefault="00390CF7" w:rsidP="009B2B36">
            <w:pPr>
              <w:pStyle w:val="TableText"/>
              <w:rPr>
                <w:rFonts w:cs="Arial"/>
              </w:rPr>
            </w:pPr>
            <w:r w:rsidRPr="005D74D1">
              <w:rPr>
                <w:rFonts w:ascii="Segoe UI Symbol" w:hAnsi="Segoe UI Symbol" w:cs="Segoe UI Symbol"/>
              </w:rPr>
              <w:t>✓</w:t>
            </w:r>
            <w:r w:rsidRPr="005D74D1">
              <w:rPr>
                <w:rFonts w:cs="Arial"/>
              </w:rPr>
              <w:t xml:space="preserve"> A6.1-6.4, 10.4, 10.8, 10.9</w:t>
            </w:r>
          </w:p>
        </w:tc>
        <w:tc>
          <w:tcPr>
            <w:tcW w:w="982" w:type="pct"/>
          </w:tcPr>
          <w:p w14:paraId="0DE12B86" w14:textId="47EB57D6" w:rsidR="00390CF7" w:rsidRPr="005D74D1" w:rsidRDefault="00390CF7" w:rsidP="009B2B36">
            <w:pPr>
              <w:pStyle w:val="TableText"/>
              <w:rPr>
                <w:rFonts w:cs="Arial"/>
              </w:rPr>
            </w:pPr>
            <w:r w:rsidRPr="005D74D1">
              <w:rPr>
                <w:rFonts w:ascii="Segoe UI Symbol" w:hAnsi="Segoe UI Symbol" w:cs="Segoe UI Symbol"/>
              </w:rPr>
              <w:t>✓</w:t>
            </w:r>
          </w:p>
        </w:tc>
        <w:tc>
          <w:tcPr>
            <w:tcW w:w="1170" w:type="pct"/>
          </w:tcPr>
          <w:p w14:paraId="02EF46A8" w14:textId="735FF1B4" w:rsidR="00390CF7" w:rsidRPr="005D74D1" w:rsidRDefault="00390CF7" w:rsidP="009B2B36">
            <w:pPr>
              <w:pStyle w:val="TableText"/>
              <w:rPr>
                <w:rFonts w:cs="Arial"/>
              </w:rPr>
            </w:pPr>
            <w:r w:rsidRPr="005D74D1">
              <w:rPr>
                <w:rFonts w:ascii="Segoe UI Symbol" w:hAnsi="Segoe UI Symbol" w:cs="Segoe UI Symbol"/>
              </w:rPr>
              <w:t>✓</w:t>
            </w:r>
          </w:p>
        </w:tc>
      </w:tr>
      <w:tr w:rsidR="009B2B36" w:rsidRPr="005D74D1" w14:paraId="74C29B8B" w14:textId="1470ACA5" w:rsidTr="00AD3B2C">
        <w:trPr>
          <w:trHeight w:val="288"/>
        </w:trPr>
        <w:tc>
          <w:tcPr>
            <w:tcW w:w="1727" w:type="pct"/>
            <w:hideMark/>
          </w:tcPr>
          <w:p w14:paraId="4CE69194" w14:textId="363561F7" w:rsidR="00390CF7" w:rsidRPr="005D74D1" w:rsidRDefault="00390CF7" w:rsidP="009B2B36">
            <w:pPr>
              <w:pStyle w:val="TableText"/>
              <w:rPr>
                <w:rFonts w:cs="Arial"/>
              </w:rPr>
            </w:pPr>
            <w:r w:rsidRPr="005D74D1">
              <w:rPr>
                <w:rFonts w:cs="Arial"/>
              </w:rPr>
              <w:t>PSP1: Long-term Water Security</w:t>
            </w:r>
          </w:p>
        </w:tc>
        <w:tc>
          <w:tcPr>
            <w:tcW w:w="1121" w:type="pct"/>
            <w:noWrap/>
          </w:tcPr>
          <w:p w14:paraId="446BC072" w14:textId="58301B73" w:rsidR="00390CF7" w:rsidRPr="005D74D1" w:rsidRDefault="008025B1" w:rsidP="009B2B36">
            <w:pPr>
              <w:pStyle w:val="TableText"/>
              <w:rPr>
                <w:rFonts w:cs="Arial"/>
              </w:rPr>
            </w:pPr>
            <w:r w:rsidRPr="005D74D1">
              <w:rPr>
                <w:rFonts w:ascii="Segoe UI Symbol" w:hAnsi="Segoe UI Symbol" w:cs="Segoe UI Symbol"/>
              </w:rPr>
              <w:t>✓</w:t>
            </w:r>
            <w:r w:rsidRPr="005D74D1">
              <w:rPr>
                <w:rFonts w:cs="Arial"/>
              </w:rPr>
              <w:t xml:space="preserve"> A5.3,A5.4,A5.7</w:t>
            </w:r>
          </w:p>
        </w:tc>
        <w:tc>
          <w:tcPr>
            <w:tcW w:w="982" w:type="pct"/>
          </w:tcPr>
          <w:p w14:paraId="5F93AB24" w14:textId="52EC8A48" w:rsidR="00390CF7" w:rsidRPr="005D74D1" w:rsidRDefault="00E40F51" w:rsidP="009B2B36">
            <w:pPr>
              <w:pStyle w:val="TableText"/>
              <w:rPr>
                <w:rFonts w:cs="Arial"/>
              </w:rPr>
            </w:pPr>
            <w:r w:rsidRPr="005D74D1">
              <w:rPr>
                <w:rFonts w:cs="Arial"/>
              </w:rPr>
              <w:t>-</w:t>
            </w:r>
          </w:p>
        </w:tc>
        <w:tc>
          <w:tcPr>
            <w:tcW w:w="1170" w:type="pct"/>
          </w:tcPr>
          <w:p w14:paraId="027E4454" w14:textId="75A0F827" w:rsidR="00390CF7" w:rsidRPr="005D74D1" w:rsidRDefault="00E40F51" w:rsidP="009B2B36">
            <w:pPr>
              <w:pStyle w:val="TableText"/>
              <w:rPr>
                <w:rFonts w:cs="Arial"/>
              </w:rPr>
            </w:pPr>
            <w:r w:rsidRPr="005D74D1">
              <w:rPr>
                <w:rFonts w:ascii="Segoe UI Symbol" w:hAnsi="Segoe UI Symbol" w:cs="Segoe UI Symbol"/>
              </w:rPr>
              <w:t>✓</w:t>
            </w:r>
            <w:r w:rsidRPr="005D74D1">
              <w:rPr>
                <w:rFonts w:cs="Arial"/>
              </w:rPr>
              <w:t xml:space="preserve"> A9-5</w:t>
            </w:r>
          </w:p>
        </w:tc>
      </w:tr>
      <w:tr w:rsidR="009B2B36" w:rsidRPr="005D74D1" w14:paraId="5214EA69" w14:textId="260DFF19" w:rsidTr="00AD3B2C">
        <w:trPr>
          <w:trHeight w:val="288"/>
        </w:trPr>
        <w:tc>
          <w:tcPr>
            <w:tcW w:w="1727" w:type="pct"/>
            <w:hideMark/>
          </w:tcPr>
          <w:p w14:paraId="68D6244C" w14:textId="36EDEEBE" w:rsidR="00390CF7" w:rsidRPr="005D74D1" w:rsidRDefault="00390CF7" w:rsidP="009B2B36">
            <w:pPr>
              <w:pStyle w:val="TableText"/>
              <w:rPr>
                <w:rFonts w:cs="Arial"/>
              </w:rPr>
            </w:pPr>
            <w:r w:rsidRPr="005D74D1">
              <w:rPr>
                <w:rFonts w:cs="Arial"/>
              </w:rPr>
              <w:t>PSP2: Sustainable Water Strategies</w:t>
            </w:r>
          </w:p>
        </w:tc>
        <w:tc>
          <w:tcPr>
            <w:tcW w:w="1121" w:type="pct"/>
            <w:noWrap/>
          </w:tcPr>
          <w:p w14:paraId="7A3B5ABC" w14:textId="6C5FEDA9" w:rsidR="00390CF7" w:rsidRPr="005D74D1" w:rsidRDefault="00116697" w:rsidP="009B2B36">
            <w:pPr>
              <w:pStyle w:val="TableText"/>
              <w:rPr>
                <w:rFonts w:cs="Arial"/>
              </w:rPr>
            </w:pPr>
            <w:r w:rsidRPr="005D74D1">
              <w:rPr>
                <w:rFonts w:ascii="Segoe UI Symbol" w:hAnsi="Segoe UI Symbol" w:cs="Segoe UI Symbol"/>
              </w:rPr>
              <w:t>✓</w:t>
            </w:r>
          </w:p>
        </w:tc>
        <w:tc>
          <w:tcPr>
            <w:tcW w:w="982" w:type="pct"/>
          </w:tcPr>
          <w:p w14:paraId="58D6293A" w14:textId="6C47F179" w:rsidR="00390CF7" w:rsidRPr="005D74D1" w:rsidRDefault="00D2492D" w:rsidP="009B2B36">
            <w:pPr>
              <w:pStyle w:val="TableText"/>
              <w:rPr>
                <w:rFonts w:cs="Arial"/>
              </w:rPr>
            </w:pPr>
            <w:r w:rsidRPr="005D74D1">
              <w:rPr>
                <w:rFonts w:ascii="Segoe UI Symbol" w:hAnsi="Segoe UI Symbol" w:cs="Segoe UI Symbol"/>
              </w:rPr>
              <w:t>✓</w:t>
            </w:r>
          </w:p>
        </w:tc>
        <w:tc>
          <w:tcPr>
            <w:tcW w:w="1170" w:type="pct"/>
          </w:tcPr>
          <w:p w14:paraId="04806BB9" w14:textId="372D4DCD" w:rsidR="00390CF7" w:rsidRPr="005D74D1" w:rsidRDefault="00116697" w:rsidP="009B2B36">
            <w:pPr>
              <w:pStyle w:val="TableText"/>
              <w:rPr>
                <w:rFonts w:cs="Arial"/>
              </w:rPr>
            </w:pPr>
            <w:r w:rsidRPr="005D74D1">
              <w:rPr>
                <w:rFonts w:ascii="Segoe UI Symbol" w:hAnsi="Segoe UI Symbol" w:cs="Segoe UI Symbol"/>
              </w:rPr>
              <w:t>✓</w:t>
            </w:r>
          </w:p>
        </w:tc>
      </w:tr>
      <w:tr w:rsidR="009B2B36" w:rsidRPr="005D74D1" w14:paraId="0ADC3820" w14:textId="67AB5D58" w:rsidTr="00AD3B2C">
        <w:trPr>
          <w:trHeight w:val="386"/>
        </w:trPr>
        <w:tc>
          <w:tcPr>
            <w:tcW w:w="1727" w:type="pct"/>
            <w:hideMark/>
          </w:tcPr>
          <w:p w14:paraId="0771B1C3" w14:textId="57BC2E4C" w:rsidR="00390CF7" w:rsidRPr="005D74D1" w:rsidRDefault="00390CF7" w:rsidP="009B2B36">
            <w:pPr>
              <w:pStyle w:val="TableText"/>
              <w:rPr>
                <w:rFonts w:cs="Arial"/>
              </w:rPr>
            </w:pPr>
            <w:r w:rsidRPr="005D74D1">
              <w:rPr>
                <w:rFonts w:cs="Arial"/>
              </w:rPr>
              <w:t xml:space="preserve">PSP3: Mitigating the </w:t>
            </w:r>
            <w:r w:rsidR="0087108A" w:rsidRPr="005D74D1">
              <w:rPr>
                <w:rFonts w:cs="Arial"/>
              </w:rPr>
              <w:t>R</w:t>
            </w:r>
            <w:r w:rsidRPr="005D74D1">
              <w:rPr>
                <w:rFonts w:cs="Arial"/>
              </w:rPr>
              <w:t xml:space="preserve">isks of </w:t>
            </w:r>
            <w:r w:rsidR="0087108A" w:rsidRPr="005D74D1">
              <w:rPr>
                <w:rFonts w:cs="Arial"/>
              </w:rPr>
              <w:t>S</w:t>
            </w:r>
            <w:r w:rsidRPr="005D74D1">
              <w:rPr>
                <w:rFonts w:cs="Arial"/>
              </w:rPr>
              <w:t xml:space="preserve">mall </w:t>
            </w:r>
            <w:r w:rsidR="0087108A" w:rsidRPr="005D74D1">
              <w:rPr>
                <w:rFonts w:cs="Arial"/>
              </w:rPr>
              <w:t>D</w:t>
            </w:r>
            <w:r w:rsidRPr="005D74D1">
              <w:rPr>
                <w:rFonts w:cs="Arial"/>
              </w:rPr>
              <w:t>ams</w:t>
            </w:r>
          </w:p>
        </w:tc>
        <w:tc>
          <w:tcPr>
            <w:tcW w:w="1121" w:type="pct"/>
            <w:noWrap/>
          </w:tcPr>
          <w:p w14:paraId="2FBD43BB" w14:textId="6B0A63D4" w:rsidR="00390CF7" w:rsidRPr="005D74D1" w:rsidRDefault="005C7B92" w:rsidP="009B2B36">
            <w:pPr>
              <w:pStyle w:val="TableText"/>
              <w:rPr>
                <w:rFonts w:cs="Arial"/>
              </w:rPr>
            </w:pPr>
            <w:r w:rsidRPr="005D74D1">
              <w:rPr>
                <w:rFonts w:ascii="Segoe UI Symbol" w:hAnsi="Segoe UI Symbol" w:cs="Segoe UI Symbol"/>
              </w:rPr>
              <w:t>✓</w:t>
            </w:r>
            <w:r w:rsidRPr="005D74D1">
              <w:rPr>
                <w:rFonts w:cs="Arial"/>
              </w:rPr>
              <w:t xml:space="preserve"> A10.12</w:t>
            </w:r>
          </w:p>
        </w:tc>
        <w:tc>
          <w:tcPr>
            <w:tcW w:w="982" w:type="pct"/>
          </w:tcPr>
          <w:p w14:paraId="472D2089" w14:textId="44A3C92E" w:rsidR="00390CF7" w:rsidRPr="005D74D1" w:rsidRDefault="00586B47" w:rsidP="009B2B36">
            <w:pPr>
              <w:pStyle w:val="TableText"/>
              <w:rPr>
                <w:rFonts w:cs="Arial"/>
              </w:rPr>
            </w:pPr>
            <w:r w:rsidRPr="005D74D1">
              <w:rPr>
                <w:rFonts w:cs="Arial"/>
              </w:rPr>
              <w:t>-</w:t>
            </w:r>
          </w:p>
        </w:tc>
        <w:tc>
          <w:tcPr>
            <w:tcW w:w="1170" w:type="pct"/>
          </w:tcPr>
          <w:p w14:paraId="167D6FAE" w14:textId="5A69C93E" w:rsidR="00390CF7" w:rsidRPr="005D74D1" w:rsidRDefault="00586B47" w:rsidP="009B2B36">
            <w:pPr>
              <w:pStyle w:val="TableText"/>
              <w:rPr>
                <w:rFonts w:cs="Arial"/>
              </w:rPr>
            </w:pPr>
            <w:r w:rsidRPr="005D74D1">
              <w:rPr>
                <w:rFonts w:cs="Arial"/>
              </w:rPr>
              <w:t>-</w:t>
            </w:r>
          </w:p>
        </w:tc>
      </w:tr>
      <w:tr w:rsidR="009B2B36" w:rsidRPr="005D74D1" w14:paraId="3FD4A11E" w14:textId="21936795" w:rsidTr="00AD3B2C">
        <w:trPr>
          <w:trHeight w:val="586"/>
        </w:trPr>
        <w:tc>
          <w:tcPr>
            <w:tcW w:w="1727" w:type="pct"/>
          </w:tcPr>
          <w:p w14:paraId="3D61D946" w14:textId="154F8FA5" w:rsidR="00390CF7" w:rsidRPr="005D74D1" w:rsidRDefault="00390CF7" w:rsidP="009B2B36">
            <w:pPr>
              <w:pStyle w:val="TableText"/>
              <w:rPr>
                <w:rFonts w:cs="Arial"/>
              </w:rPr>
            </w:pPr>
            <w:r w:rsidRPr="005D74D1">
              <w:rPr>
                <w:rFonts w:cs="Arial"/>
              </w:rPr>
              <w:t xml:space="preserve">CWCT07: CGRSWS </w:t>
            </w:r>
            <w:r w:rsidR="00C90252" w:rsidRPr="005D74D1">
              <w:rPr>
                <w:rFonts w:cs="Arial"/>
              </w:rPr>
              <w:t>Funding Stream 2</w:t>
            </w:r>
            <w:r w:rsidRPr="005D74D1">
              <w:rPr>
                <w:rFonts w:cs="Arial"/>
              </w:rPr>
              <w:t xml:space="preserve"> Diversify </w:t>
            </w:r>
            <w:r w:rsidR="0087108A" w:rsidRPr="005D74D1">
              <w:rPr>
                <w:rFonts w:cs="Arial"/>
              </w:rPr>
              <w:t>W</w:t>
            </w:r>
            <w:r w:rsidRPr="005D74D1">
              <w:rPr>
                <w:rFonts w:cs="Arial"/>
              </w:rPr>
              <w:t xml:space="preserve">ater </w:t>
            </w:r>
            <w:r w:rsidR="0087108A" w:rsidRPr="005D74D1">
              <w:rPr>
                <w:rFonts w:cs="Arial"/>
              </w:rPr>
              <w:t>S</w:t>
            </w:r>
            <w:r w:rsidRPr="005D74D1">
              <w:rPr>
                <w:rFonts w:cs="Arial"/>
              </w:rPr>
              <w:t xml:space="preserve">ources and </w:t>
            </w:r>
            <w:r w:rsidR="0087108A" w:rsidRPr="005D74D1">
              <w:rPr>
                <w:rFonts w:cs="Arial"/>
              </w:rPr>
              <w:t>I</w:t>
            </w:r>
            <w:r w:rsidRPr="005D74D1">
              <w:rPr>
                <w:rFonts w:cs="Arial"/>
              </w:rPr>
              <w:t xml:space="preserve">ncrease </w:t>
            </w:r>
            <w:r w:rsidR="0087108A" w:rsidRPr="005D74D1">
              <w:rPr>
                <w:rFonts w:cs="Arial"/>
              </w:rPr>
              <w:t>W</w:t>
            </w:r>
            <w:r w:rsidRPr="005D74D1">
              <w:rPr>
                <w:rFonts w:cs="Arial"/>
              </w:rPr>
              <w:t xml:space="preserve">ater </w:t>
            </w:r>
            <w:r w:rsidR="0087108A" w:rsidRPr="005D74D1">
              <w:rPr>
                <w:rFonts w:cs="Arial"/>
              </w:rPr>
              <w:t>E</w:t>
            </w:r>
            <w:r w:rsidRPr="005D74D1">
              <w:rPr>
                <w:rFonts w:cs="Arial"/>
              </w:rPr>
              <w:t xml:space="preserve">fficiency </w:t>
            </w:r>
          </w:p>
        </w:tc>
        <w:tc>
          <w:tcPr>
            <w:tcW w:w="1121" w:type="pct"/>
          </w:tcPr>
          <w:p w14:paraId="6DD92E5D" w14:textId="08B9FFDD" w:rsidR="00390CF7" w:rsidRPr="005D74D1" w:rsidRDefault="00390CF7" w:rsidP="009B2B36">
            <w:pPr>
              <w:pStyle w:val="TableText"/>
              <w:rPr>
                <w:rFonts w:cs="Arial"/>
              </w:rPr>
            </w:pPr>
            <w:r w:rsidRPr="005D74D1">
              <w:rPr>
                <w:rFonts w:ascii="Segoe UI Symbol" w:hAnsi="Segoe UI Symbol" w:cs="Segoe UI Symbol"/>
              </w:rPr>
              <w:t>✓</w:t>
            </w:r>
          </w:p>
        </w:tc>
        <w:tc>
          <w:tcPr>
            <w:tcW w:w="982" w:type="pct"/>
          </w:tcPr>
          <w:p w14:paraId="30FD77ED" w14:textId="6204BA80" w:rsidR="00390CF7" w:rsidRPr="005D74D1" w:rsidRDefault="00390CF7" w:rsidP="009B2B36">
            <w:pPr>
              <w:pStyle w:val="TableText"/>
              <w:rPr>
                <w:rFonts w:cs="Arial"/>
              </w:rPr>
            </w:pPr>
            <w:r w:rsidRPr="005D74D1">
              <w:rPr>
                <w:rFonts w:cs="Arial"/>
              </w:rPr>
              <w:t>−</w:t>
            </w:r>
          </w:p>
        </w:tc>
        <w:tc>
          <w:tcPr>
            <w:tcW w:w="1170" w:type="pct"/>
          </w:tcPr>
          <w:p w14:paraId="7A8084FE" w14:textId="73015D75" w:rsidR="00390CF7" w:rsidRPr="005D74D1" w:rsidRDefault="00390CF7" w:rsidP="009B2B36">
            <w:pPr>
              <w:pStyle w:val="TableText"/>
              <w:rPr>
                <w:rFonts w:cs="Arial"/>
              </w:rPr>
            </w:pPr>
            <w:r w:rsidRPr="005D74D1">
              <w:rPr>
                <w:rFonts w:ascii="Segoe UI Symbol" w:hAnsi="Segoe UI Symbol" w:cs="Segoe UI Symbol"/>
              </w:rPr>
              <w:t>✓</w:t>
            </w:r>
            <w:r w:rsidRPr="005D74D1">
              <w:rPr>
                <w:rFonts w:cs="Arial"/>
              </w:rPr>
              <w:t xml:space="preserve"> A3</w:t>
            </w:r>
            <w:r w:rsidR="00087046" w:rsidRPr="005D74D1">
              <w:rPr>
                <w:rFonts w:cs="Arial"/>
              </w:rPr>
              <w:t>-</w:t>
            </w:r>
            <w:r w:rsidRPr="005D74D1">
              <w:rPr>
                <w:rFonts w:cs="Arial"/>
              </w:rPr>
              <w:t>4, 3</w:t>
            </w:r>
            <w:r w:rsidR="00087046" w:rsidRPr="005D74D1">
              <w:rPr>
                <w:rFonts w:cs="Arial"/>
              </w:rPr>
              <w:t>-</w:t>
            </w:r>
            <w:r w:rsidRPr="005D74D1">
              <w:rPr>
                <w:rFonts w:cs="Arial"/>
              </w:rPr>
              <w:t>5, 3</w:t>
            </w:r>
            <w:r w:rsidR="00087046" w:rsidRPr="005D74D1">
              <w:rPr>
                <w:rFonts w:cs="Arial"/>
              </w:rPr>
              <w:t>-</w:t>
            </w:r>
            <w:r w:rsidRPr="005D74D1">
              <w:rPr>
                <w:rFonts w:cs="Arial"/>
              </w:rPr>
              <w:t>8, 4</w:t>
            </w:r>
            <w:r w:rsidR="00087046" w:rsidRPr="005D74D1">
              <w:rPr>
                <w:rFonts w:cs="Arial"/>
              </w:rPr>
              <w:t>-</w:t>
            </w:r>
            <w:r w:rsidRPr="005D74D1">
              <w:rPr>
                <w:rFonts w:cs="Arial"/>
              </w:rPr>
              <w:t>10, 2</w:t>
            </w:r>
            <w:r w:rsidR="00087046" w:rsidRPr="005D74D1">
              <w:rPr>
                <w:rFonts w:cs="Arial"/>
              </w:rPr>
              <w:t>-</w:t>
            </w:r>
            <w:r w:rsidRPr="005D74D1">
              <w:rPr>
                <w:rFonts w:cs="Arial"/>
              </w:rPr>
              <w:t>1, 2</w:t>
            </w:r>
            <w:r w:rsidR="00087046" w:rsidRPr="005D74D1">
              <w:rPr>
                <w:rFonts w:cs="Arial"/>
              </w:rPr>
              <w:t>-</w:t>
            </w:r>
            <w:r w:rsidRPr="005D74D1">
              <w:rPr>
                <w:rFonts w:cs="Arial"/>
              </w:rPr>
              <w:t>7, 3</w:t>
            </w:r>
            <w:r w:rsidR="00087046" w:rsidRPr="005D74D1">
              <w:rPr>
                <w:rFonts w:cs="Arial"/>
              </w:rPr>
              <w:t>-</w:t>
            </w:r>
            <w:r w:rsidRPr="005D74D1">
              <w:rPr>
                <w:rFonts w:cs="Arial"/>
              </w:rPr>
              <w:t>8</w:t>
            </w:r>
          </w:p>
        </w:tc>
      </w:tr>
      <w:tr w:rsidR="009B2B36" w:rsidRPr="005D74D1" w14:paraId="68B59824" w14:textId="472106EF" w:rsidTr="00AD3B2C">
        <w:trPr>
          <w:trHeight w:val="288"/>
        </w:trPr>
        <w:tc>
          <w:tcPr>
            <w:tcW w:w="1727" w:type="pct"/>
            <w:hideMark/>
          </w:tcPr>
          <w:p w14:paraId="5B35D523" w14:textId="2D0A9D21" w:rsidR="00390CF7" w:rsidRPr="005D74D1" w:rsidRDefault="00390CF7" w:rsidP="009B2B36">
            <w:pPr>
              <w:pStyle w:val="TableText"/>
              <w:rPr>
                <w:rFonts w:cs="Arial"/>
              </w:rPr>
            </w:pPr>
            <w:r w:rsidRPr="005D74D1">
              <w:rPr>
                <w:rFonts w:cs="Arial"/>
              </w:rPr>
              <w:t xml:space="preserve">CWCT08: CGRSWS </w:t>
            </w:r>
            <w:r w:rsidR="00C90252" w:rsidRPr="005D74D1">
              <w:rPr>
                <w:rFonts w:cs="Arial"/>
              </w:rPr>
              <w:t xml:space="preserve">Funding Stream </w:t>
            </w:r>
            <w:r w:rsidR="004A3D97" w:rsidRPr="005D74D1">
              <w:rPr>
                <w:rFonts w:cs="Arial"/>
              </w:rPr>
              <w:t>3</w:t>
            </w:r>
            <w:r w:rsidR="00C90252" w:rsidRPr="005D74D1">
              <w:rPr>
                <w:rFonts w:cs="Arial"/>
              </w:rPr>
              <w:t xml:space="preserve"> </w:t>
            </w:r>
            <w:r w:rsidRPr="005D74D1">
              <w:rPr>
                <w:rFonts w:cs="Arial"/>
              </w:rPr>
              <w:t xml:space="preserve">Waterway Health </w:t>
            </w:r>
            <w:r w:rsidR="0087108A" w:rsidRPr="005D74D1">
              <w:rPr>
                <w:rFonts w:cs="Arial"/>
              </w:rPr>
              <w:t xml:space="preserve">Complementary Measures </w:t>
            </w:r>
            <w:r w:rsidRPr="005D74D1">
              <w:rPr>
                <w:rFonts w:cs="Arial"/>
              </w:rPr>
              <w:t xml:space="preserve">and </w:t>
            </w:r>
            <w:r w:rsidR="0087108A" w:rsidRPr="005D74D1">
              <w:rPr>
                <w:rFonts w:cs="Arial"/>
              </w:rPr>
              <w:t>C</w:t>
            </w:r>
            <w:r w:rsidRPr="005D74D1">
              <w:rPr>
                <w:rFonts w:cs="Arial"/>
              </w:rPr>
              <w:t xml:space="preserve">atchment </w:t>
            </w:r>
            <w:r w:rsidR="0087108A" w:rsidRPr="005D74D1">
              <w:rPr>
                <w:rFonts w:cs="Arial"/>
              </w:rPr>
              <w:t>M</w:t>
            </w:r>
            <w:r w:rsidRPr="005D74D1">
              <w:rPr>
                <w:rFonts w:cs="Arial"/>
              </w:rPr>
              <w:t xml:space="preserve">anagement </w:t>
            </w:r>
            <w:r w:rsidR="0087108A" w:rsidRPr="005D74D1">
              <w:rPr>
                <w:rFonts w:cs="Arial"/>
              </w:rPr>
              <w:t>I</w:t>
            </w:r>
            <w:r w:rsidRPr="005D74D1">
              <w:rPr>
                <w:rFonts w:cs="Arial"/>
              </w:rPr>
              <w:t xml:space="preserve">mprovement </w:t>
            </w:r>
          </w:p>
        </w:tc>
        <w:tc>
          <w:tcPr>
            <w:tcW w:w="1121" w:type="pct"/>
            <w:noWrap/>
          </w:tcPr>
          <w:p w14:paraId="3B3E865E" w14:textId="26D159F8" w:rsidR="00390CF7" w:rsidRPr="005D74D1" w:rsidRDefault="00390CF7" w:rsidP="009B2B36">
            <w:pPr>
              <w:pStyle w:val="TableText"/>
              <w:rPr>
                <w:rFonts w:cs="Arial"/>
              </w:rPr>
            </w:pPr>
            <w:r w:rsidRPr="005D74D1">
              <w:rPr>
                <w:rFonts w:ascii="Segoe UI Symbol" w:hAnsi="Segoe UI Symbol" w:cs="Segoe UI Symbol"/>
              </w:rPr>
              <w:t>✓</w:t>
            </w:r>
          </w:p>
        </w:tc>
        <w:tc>
          <w:tcPr>
            <w:tcW w:w="982" w:type="pct"/>
          </w:tcPr>
          <w:p w14:paraId="5294632E" w14:textId="50AC60A5" w:rsidR="00390CF7" w:rsidRPr="005D74D1" w:rsidRDefault="00390CF7" w:rsidP="009B2B36">
            <w:pPr>
              <w:pStyle w:val="TableText"/>
              <w:rPr>
                <w:rFonts w:cs="Arial"/>
              </w:rPr>
            </w:pPr>
            <w:r w:rsidRPr="005D74D1">
              <w:rPr>
                <w:rFonts w:ascii="Segoe UI Symbol" w:hAnsi="Segoe UI Symbol" w:cs="Segoe UI Symbol"/>
              </w:rPr>
              <w:t>✓</w:t>
            </w:r>
          </w:p>
        </w:tc>
        <w:tc>
          <w:tcPr>
            <w:tcW w:w="1170" w:type="pct"/>
          </w:tcPr>
          <w:p w14:paraId="4D9E7533" w14:textId="00047416" w:rsidR="00390CF7" w:rsidRPr="005D74D1" w:rsidRDefault="00390CF7" w:rsidP="009B2B36">
            <w:pPr>
              <w:pStyle w:val="TableText"/>
              <w:rPr>
                <w:rFonts w:cs="Arial"/>
              </w:rPr>
            </w:pPr>
            <w:r w:rsidRPr="005D74D1">
              <w:rPr>
                <w:rFonts w:ascii="Segoe UI Symbol" w:hAnsi="Segoe UI Symbol" w:cs="Segoe UI Symbol"/>
              </w:rPr>
              <w:t>✓</w:t>
            </w:r>
          </w:p>
        </w:tc>
      </w:tr>
      <w:tr w:rsidR="009B2B36" w:rsidRPr="005D74D1" w14:paraId="576D89BA" w14:textId="1000B6AA" w:rsidTr="00AD3B2C">
        <w:trPr>
          <w:trHeight w:val="288"/>
        </w:trPr>
        <w:tc>
          <w:tcPr>
            <w:tcW w:w="1727" w:type="pct"/>
            <w:hideMark/>
          </w:tcPr>
          <w:p w14:paraId="199A8EAC" w14:textId="7B4E6681" w:rsidR="00390CF7" w:rsidRPr="005D74D1" w:rsidRDefault="00390CF7" w:rsidP="009B2B36">
            <w:pPr>
              <w:pStyle w:val="TableText"/>
              <w:rPr>
                <w:rFonts w:cs="Arial"/>
              </w:rPr>
            </w:pPr>
            <w:r w:rsidRPr="005D74D1">
              <w:rPr>
                <w:rFonts w:cs="Arial"/>
              </w:rPr>
              <w:t xml:space="preserve">PSP4: CGRSWS </w:t>
            </w:r>
            <w:r w:rsidR="004A3D97" w:rsidRPr="005D74D1">
              <w:rPr>
                <w:rFonts w:cs="Arial"/>
              </w:rPr>
              <w:t xml:space="preserve">Funding Stream 4 </w:t>
            </w:r>
            <w:r w:rsidRPr="005D74D1">
              <w:rPr>
                <w:rFonts w:cs="Arial"/>
              </w:rPr>
              <w:t xml:space="preserve">Enable </w:t>
            </w:r>
            <w:r w:rsidR="0087108A" w:rsidRPr="005D74D1">
              <w:rPr>
                <w:rFonts w:cs="Arial"/>
              </w:rPr>
              <w:t>A</w:t>
            </w:r>
            <w:r w:rsidRPr="005D74D1">
              <w:rPr>
                <w:rFonts w:cs="Arial"/>
              </w:rPr>
              <w:t xml:space="preserve">daptation to a </w:t>
            </w:r>
            <w:r w:rsidR="0087108A" w:rsidRPr="005D74D1">
              <w:rPr>
                <w:rFonts w:cs="Arial"/>
              </w:rPr>
              <w:t>V</w:t>
            </w:r>
            <w:r w:rsidRPr="005D74D1">
              <w:rPr>
                <w:rFonts w:cs="Arial"/>
              </w:rPr>
              <w:t xml:space="preserve">ariable </w:t>
            </w:r>
            <w:r w:rsidR="0087108A" w:rsidRPr="005D74D1">
              <w:rPr>
                <w:rFonts w:cs="Arial"/>
              </w:rPr>
              <w:t>C</w:t>
            </w:r>
            <w:r w:rsidRPr="005D74D1">
              <w:rPr>
                <w:rFonts w:cs="Arial"/>
              </w:rPr>
              <w:t xml:space="preserve">limate </w:t>
            </w:r>
          </w:p>
        </w:tc>
        <w:tc>
          <w:tcPr>
            <w:tcW w:w="1121" w:type="pct"/>
            <w:noWrap/>
          </w:tcPr>
          <w:p w14:paraId="59601E0C" w14:textId="2F59A47E" w:rsidR="00390CF7" w:rsidRPr="005D74D1" w:rsidRDefault="00B916A2" w:rsidP="009B2B36">
            <w:pPr>
              <w:pStyle w:val="TableText"/>
              <w:rPr>
                <w:rFonts w:cs="Arial"/>
              </w:rPr>
            </w:pPr>
            <w:r w:rsidRPr="005D74D1">
              <w:rPr>
                <w:rFonts w:ascii="Segoe UI Symbol" w:hAnsi="Segoe UI Symbol" w:cs="Segoe UI Symbol"/>
              </w:rPr>
              <w:t>✓</w:t>
            </w:r>
            <w:r w:rsidRPr="005D74D1">
              <w:rPr>
                <w:rFonts w:cs="Arial"/>
              </w:rPr>
              <w:t xml:space="preserve"> A2.1, A2.3</w:t>
            </w:r>
            <w:r w:rsidR="00F16456" w:rsidRPr="005D74D1">
              <w:rPr>
                <w:rFonts w:cs="Arial"/>
              </w:rPr>
              <w:t>, A</w:t>
            </w:r>
            <w:r w:rsidR="00F85B09" w:rsidRPr="005D74D1">
              <w:rPr>
                <w:rFonts w:cs="Arial"/>
              </w:rPr>
              <w:t>5.4, A9.2, A10.12, A10.3</w:t>
            </w:r>
          </w:p>
        </w:tc>
        <w:tc>
          <w:tcPr>
            <w:tcW w:w="982" w:type="pct"/>
          </w:tcPr>
          <w:p w14:paraId="4C802C2A" w14:textId="75501584" w:rsidR="00390CF7" w:rsidRPr="005D74D1" w:rsidRDefault="00B916A2" w:rsidP="009B2B36">
            <w:pPr>
              <w:pStyle w:val="TableText"/>
              <w:rPr>
                <w:rFonts w:cs="Arial"/>
              </w:rPr>
            </w:pPr>
            <w:r w:rsidRPr="005D74D1">
              <w:rPr>
                <w:rFonts w:cs="Arial"/>
              </w:rPr>
              <w:t>-</w:t>
            </w:r>
          </w:p>
        </w:tc>
        <w:tc>
          <w:tcPr>
            <w:tcW w:w="1170" w:type="pct"/>
          </w:tcPr>
          <w:p w14:paraId="779B543B" w14:textId="1DF9F608" w:rsidR="00390CF7" w:rsidRPr="005D74D1" w:rsidRDefault="00E86C1F" w:rsidP="009B2B36">
            <w:pPr>
              <w:pStyle w:val="TableText"/>
              <w:rPr>
                <w:rFonts w:cs="Arial"/>
              </w:rPr>
            </w:pPr>
            <w:r w:rsidRPr="005D74D1">
              <w:rPr>
                <w:rFonts w:ascii="Segoe UI Symbol" w:hAnsi="Segoe UI Symbol" w:cs="Segoe UI Symbol"/>
              </w:rPr>
              <w:t>✓</w:t>
            </w:r>
          </w:p>
        </w:tc>
      </w:tr>
      <w:tr w:rsidR="009B2B36" w:rsidRPr="005D74D1" w14:paraId="260B79E8" w14:textId="0EDAA5A8" w:rsidTr="00AD3B2C">
        <w:trPr>
          <w:trHeight w:val="288"/>
        </w:trPr>
        <w:tc>
          <w:tcPr>
            <w:tcW w:w="1727" w:type="pct"/>
            <w:hideMark/>
          </w:tcPr>
          <w:p w14:paraId="20497678" w14:textId="38F78EDF" w:rsidR="00390CF7" w:rsidRPr="005D74D1" w:rsidRDefault="00390CF7" w:rsidP="009B2B36">
            <w:pPr>
              <w:pStyle w:val="TableText"/>
              <w:rPr>
                <w:rFonts w:cs="Arial"/>
              </w:rPr>
            </w:pPr>
            <w:r w:rsidRPr="005D74D1">
              <w:rPr>
                <w:rFonts w:cs="Arial"/>
              </w:rPr>
              <w:t xml:space="preserve">SIRS3: Building Flood Resilience in Victoria </w:t>
            </w:r>
          </w:p>
        </w:tc>
        <w:tc>
          <w:tcPr>
            <w:tcW w:w="1121" w:type="pct"/>
            <w:noWrap/>
          </w:tcPr>
          <w:p w14:paraId="3D52A187" w14:textId="21E26143" w:rsidR="00390CF7" w:rsidRPr="005D74D1" w:rsidRDefault="009D6132" w:rsidP="009B2B36">
            <w:pPr>
              <w:pStyle w:val="TableText"/>
              <w:rPr>
                <w:rFonts w:cs="Arial"/>
              </w:rPr>
            </w:pPr>
            <w:r w:rsidRPr="005D74D1">
              <w:rPr>
                <w:rFonts w:ascii="Segoe UI Symbol" w:hAnsi="Segoe UI Symbol" w:cs="Segoe UI Symbol"/>
              </w:rPr>
              <w:t>✓</w:t>
            </w:r>
            <w:r w:rsidRPr="005D74D1">
              <w:rPr>
                <w:rFonts w:cs="Arial"/>
              </w:rPr>
              <w:t xml:space="preserve"> </w:t>
            </w:r>
            <w:r w:rsidR="0002065E" w:rsidRPr="005D74D1">
              <w:rPr>
                <w:rFonts w:cs="Arial"/>
              </w:rPr>
              <w:t xml:space="preserve">A10.5, </w:t>
            </w:r>
            <w:r w:rsidRPr="005D74D1">
              <w:rPr>
                <w:rFonts w:cs="Arial"/>
              </w:rPr>
              <w:t>A10.12</w:t>
            </w:r>
          </w:p>
        </w:tc>
        <w:tc>
          <w:tcPr>
            <w:tcW w:w="982" w:type="pct"/>
          </w:tcPr>
          <w:p w14:paraId="638B2D2E" w14:textId="0D86DA72" w:rsidR="00390CF7" w:rsidRPr="005D74D1" w:rsidRDefault="00F31458" w:rsidP="009B2B36">
            <w:pPr>
              <w:pStyle w:val="TableText"/>
              <w:rPr>
                <w:rFonts w:cs="Arial"/>
              </w:rPr>
            </w:pPr>
            <w:r w:rsidRPr="005D74D1">
              <w:rPr>
                <w:rFonts w:ascii="Segoe UI Symbol" w:hAnsi="Segoe UI Symbol" w:cs="Segoe UI Symbol"/>
              </w:rPr>
              <w:t>✓</w:t>
            </w:r>
            <w:r w:rsidRPr="005D74D1">
              <w:rPr>
                <w:rFonts w:cs="Arial"/>
              </w:rPr>
              <w:t xml:space="preserve"> O2</w:t>
            </w:r>
          </w:p>
        </w:tc>
        <w:tc>
          <w:tcPr>
            <w:tcW w:w="1170" w:type="pct"/>
          </w:tcPr>
          <w:p w14:paraId="167D738D" w14:textId="764D77D6" w:rsidR="00390CF7" w:rsidRPr="005D74D1" w:rsidRDefault="00D738E2" w:rsidP="009B2B36">
            <w:pPr>
              <w:pStyle w:val="TableText"/>
              <w:rPr>
                <w:rFonts w:cs="Arial"/>
              </w:rPr>
            </w:pPr>
            <w:r w:rsidRPr="005D74D1">
              <w:rPr>
                <w:rFonts w:ascii="Segoe UI Symbol" w:hAnsi="Segoe UI Symbol" w:cs="Segoe UI Symbol"/>
              </w:rPr>
              <w:t>✓</w:t>
            </w:r>
          </w:p>
        </w:tc>
      </w:tr>
      <w:tr w:rsidR="009B2B36" w:rsidRPr="005D74D1" w14:paraId="54416421" w14:textId="271A086A" w:rsidTr="00AD3B2C">
        <w:trPr>
          <w:trHeight w:val="288"/>
        </w:trPr>
        <w:tc>
          <w:tcPr>
            <w:tcW w:w="1727" w:type="pct"/>
            <w:hideMark/>
          </w:tcPr>
          <w:p w14:paraId="21508629" w14:textId="11392183" w:rsidR="00390CF7" w:rsidRPr="005D74D1" w:rsidRDefault="00390CF7" w:rsidP="009B2B36">
            <w:pPr>
              <w:pStyle w:val="TableText"/>
              <w:rPr>
                <w:rFonts w:cs="Arial"/>
              </w:rPr>
            </w:pPr>
            <w:r w:rsidRPr="005D74D1">
              <w:rPr>
                <w:rFonts w:cs="Arial"/>
              </w:rPr>
              <w:t>SIRS4: Central Bendigo Mine Rehabilitation Project - Groundwater</w:t>
            </w:r>
          </w:p>
        </w:tc>
        <w:tc>
          <w:tcPr>
            <w:tcW w:w="1121" w:type="pct"/>
            <w:noWrap/>
          </w:tcPr>
          <w:p w14:paraId="2937944F" w14:textId="79ED1E41" w:rsidR="00390CF7" w:rsidRPr="005D74D1" w:rsidRDefault="005B4632" w:rsidP="009B2B36">
            <w:pPr>
              <w:pStyle w:val="TableText"/>
              <w:rPr>
                <w:rFonts w:cs="Arial"/>
              </w:rPr>
            </w:pPr>
            <w:r w:rsidRPr="005D74D1">
              <w:rPr>
                <w:rFonts w:ascii="Segoe UI Symbol" w:hAnsi="Segoe UI Symbol" w:cs="Segoe UI Symbol"/>
              </w:rPr>
              <w:t>✓</w:t>
            </w:r>
          </w:p>
        </w:tc>
        <w:tc>
          <w:tcPr>
            <w:tcW w:w="982" w:type="pct"/>
          </w:tcPr>
          <w:p w14:paraId="4DB537EA" w14:textId="18AE997A" w:rsidR="00390CF7" w:rsidRPr="005D74D1" w:rsidRDefault="005B4632" w:rsidP="009B2B36">
            <w:pPr>
              <w:pStyle w:val="TableText"/>
              <w:rPr>
                <w:rFonts w:cs="Arial"/>
              </w:rPr>
            </w:pPr>
            <w:r w:rsidRPr="005D74D1">
              <w:rPr>
                <w:rFonts w:cs="Arial"/>
              </w:rPr>
              <w:t>-</w:t>
            </w:r>
          </w:p>
        </w:tc>
        <w:tc>
          <w:tcPr>
            <w:tcW w:w="1170" w:type="pct"/>
          </w:tcPr>
          <w:p w14:paraId="6E8CE15B" w14:textId="7D42AC84" w:rsidR="00390CF7" w:rsidRPr="005D74D1" w:rsidRDefault="005B4632" w:rsidP="009B2B36">
            <w:pPr>
              <w:pStyle w:val="TableText"/>
              <w:rPr>
                <w:rFonts w:cs="Arial"/>
              </w:rPr>
            </w:pPr>
            <w:r w:rsidRPr="005D74D1">
              <w:rPr>
                <w:rFonts w:cs="Arial"/>
              </w:rPr>
              <w:t>-</w:t>
            </w:r>
          </w:p>
        </w:tc>
      </w:tr>
      <w:tr w:rsidR="009B2B36" w:rsidRPr="005D74D1" w14:paraId="51F5B60A" w14:textId="2D3DAB7A" w:rsidTr="00AD3B2C">
        <w:trPr>
          <w:trHeight w:val="242"/>
        </w:trPr>
        <w:tc>
          <w:tcPr>
            <w:tcW w:w="1727" w:type="pct"/>
            <w:hideMark/>
          </w:tcPr>
          <w:p w14:paraId="6BAB2020" w14:textId="766F4CEA" w:rsidR="00390CF7" w:rsidRPr="005D74D1" w:rsidRDefault="00390CF7" w:rsidP="009B2B36">
            <w:pPr>
              <w:pStyle w:val="TableText"/>
              <w:rPr>
                <w:rFonts w:cs="Arial"/>
              </w:rPr>
            </w:pPr>
            <w:r w:rsidRPr="005D74D1">
              <w:rPr>
                <w:rFonts w:cs="Arial"/>
              </w:rPr>
              <w:t>CWCT09: Waterway Health</w:t>
            </w:r>
          </w:p>
        </w:tc>
        <w:tc>
          <w:tcPr>
            <w:tcW w:w="1121" w:type="pct"/>
            <w:noWrap/>
          </w:tcPr>
          <w:p w14:paraId="1EFC592C" w14:textId="116F0EFF" w:rsidR="00390CF7" w:rsidRPr="005D74D1" w:rsidRDefault="008F6F91" w:rsidP="009B2B36">
            <w:pPr>
              <w:pStyle w:val="TableText"/>
              <w:rPr>
                <w:rFonts w:cs="Arial"/>
              </w:rPr>
            </w:pPr>
            <w:r w:rsidRPr="005D74D1">
              <w:rPr>
                <w:rFonts w:ascii="Segoe UI Symbol" w:hAnsi="Segoe UI Symbol" w:cs="Segoe UI Symbol"/>
              </w:rPr>
              <w:t>✓</w:t>
            </w:r>
            <w:r w:rsidR="00C003CA" w:rsidRPr="005D74D1">
              <w:rPr>
                <w:rFonts w:cs="Arial"/>
              </w:rPr>
              <w:t xml:space="preserve"> A3.4</w:t>
            </w:r>
          </w:p>
        </w:tc>
        <w:tc>
          <w:tcPr>
            <w:tcW w:w="982" w:type="pct"/>
          </w:tcPr>
          <w:p w14:paraId="5576D12C" w14:textId="40BC6AD6" w:rsidR="00390CF7" w:rsidRPr="005D74D1" w:rsidRDefault="0015455D" w:rsidP="009B2B36">
            <w:pPr>
              <w:pStyle w:val="TableText"/>
              <w:rPr>
                <w:rFonts w:cs="Arial"/>
              </w:rPr>
            </w:pPr>
            <w:r w:rsidRPr="005D74D1">
              <w:rPr>
                <w:rFonts w:cs="Arial"/>
              </w:rPr>
              <w:t>-</w:t>
            </w:r>
          </w:p>
        </w:tc>
        <w:tc>
          <w:tcPr>
            <w:tcW w:w="1170" w:type="pct"/>
          </w:tcPr>
          <w:p w14:paraId="4E2B15E1" w14:textId="127D4F2F" w:rsidR="00390CF7" w:rsidRPr="005D74D1" w:rsidRDefault="007A62E1" w:rsidP="009B2B36">
            <w:pPr>
              <w:pStyle w:val="TableText"/>
              <w:rPr>
                <w:rFonts w:cs="Arial"/>
              </w:rPr>
            </w:pPr>
            <w:r w:rsidRPr="005D74D1">
              <w:rPr>
                <w:rFonts w:cs="Arial"/>
              </w:rPr>
              <w:t>-</w:t>
            </w:r>
          </w:p>
        </w:tc>
      </w:tr>
      <w:tr w:rsidR="009B2B36" w:rsidRPr="005D74D1" w14:paraId="5471C84D" w14:textId="1D86BD3D" w:rsidTr="00AD3B2C">
        <w:trPr>
          <w:trHeight w:val="287"/>
        </w:trPr>
        <w:tc>
          <w:tcPr>
            <w:tcW w:w="1727" w:type="pct"/>
            <w:hideMark/>
          </w:tcPr>
          <w:p w14:paraId="5A557B4B" w14:textId="79A9CCB5" w:rsidR="00390CF7" w:rsidRPr="005D74D1" w:rsidRDefault="00390CF7" w:rsidP="009B2B36">
            <w:pPr>
              <w:pStyle w:val="TableText"/>
              <w:rPr>
                <w:rFonts w:cs="Arial"/>
              </w:rPr>
            </w:pPr>
            <w:r w:rsidRPr="005D74D1">
              <w:rPr>
                <w:rFonts w:cs="Arial"/>
              </w:rPr>
              <w:t>CWCT10: Environmental Water</w:t>
            </w:r>
          </w:p>
        </w:tc>
        <w:tc>
          <w:tcPr>
            <w:tcW w:w="1121" w:type="pct"/>
            <w:noWrap/>
          </w:tcPr>
          <w:p w14:paraId="1C67C809" w14:textId="15BDA73F" w:rsidR="00390CF7" w:rsidRPr="005D74D1" w:rsidRDefault="004D7A0A" w:rsidP="009B2B36">
            <w:pPr>
              <w:pStyle w:val="TableText"/>
              <w:rPr>
                <w:rFonts w:cs="Arial"/>
              </w:rPr>
            </w:pPr>
            <w:r w:rsidRPr="005D74D1">
              <w:rPr>
                <w:rFonts w:ascii="Segoe UI Symbol" w:hAnsi="Segoe UI Symbol" w:cs="Segoe UI Symbol"/>
              </w:rPr>
              <w:t>✓</w:t>
            </w:r>
          </w:p>
        </w:tc>
        <w:tc>
          <w:tcPr>
            <w:tcW w:w="982" w:type="pct"/>
          </w:tcPr>
          <w:p w14:paraId="42B6EA7A" w14:textId="4643D5EC" w:rsidR="00390CF7" w:rsidRPr="005D74D1" w:rsidRDefault="00A822AF" w:rsidP="009B2B36">
            <w:pPr>
              <w:pStyle w:val="TableText"/>
              <w:rPr>
                <w:rFonts w:cs="Arial"/>
              </w:rPr>
            </w:pPr>
            <w:r w:rsidRPr="005D74D1">
              <w:rPr>
                <w:rFonts w:cs="Arial"/>
              </w:rPr>
              <w:t>-</w:t>
            </w:r>
          </w:p>
        </w:tc>
        <w:tc>
          <w:tcPr>
            <w:tcW w:w="1170" w:type="pct"/>
          </w:tcPr>
          <w:p w14:paraId="59D5C770" w14:textId="33728C49" w:rsidR="00390CF7" w:rsidRPr="005D74D1" w:rsidRDefault="00A822AF" w:rsidP="009B2B36">
            <w:pPr>
              <w:pStyle w:val="TableText"/>
              <w:rPr>
                <w:rFonts w:cs="Arial"/>
              </w:rPr>
            </w:pPr>
            <w:r w:rsidRPr="005D74D1">
              <w:rPr>
                <w:rFonts w:cs="Arial"/>
              </w:rPr>
              <w:t>-</w:t>
            </w:r>
          </w:p>
        </w:tc>
      </w:tr>
      <w:tr w:rsidR="009B2B36" w:rsidRPr="005D74D1" w14:paraId="1BD5C041" w14:textId="2BECA562" w:rsidTr="00AD3B2C">
        <w:trPr>
          <w:trHeight w:val="224"/>
        </w:trPr>
        <w:tc>
          <w:tcPr>
            <w:tcW w:w="1727" w:type="pct"/>
            <w:hideMark/>
          </w:tcPr>
          <w:p w14:paraId="2C1E134E" w14:textId="09BF4A7E" w:rsidR="00390CF7" w:rsidRPr="005D74D1" w:rsidRDefault="00390CF7" w:rsidP="009B2B36">
            <w:pPr>
              <w:pStyle w:val="TableText"/>
              <w:rPr>
                <w:rFonts w:cs="Arial"/>
              </w:rPr>
            </w:pPr>
            <w:r w:rsidRPr="005D74D1">
              <w:rPr>
                <w:rFonts w:cs="Arial"/>
              </w:rPr>
              <w:t xml:space="preserve">SIRS6: Murray </w:t>
            </w:r>
            <w:r w:rsidR="0087108A" w:rsidRPr="005D74D1">
              <w:rPr>
                <w:rFonts w:cs="Arial"/>
              </w:rPr>
              <w:t>P</w:t>
            </w:r>
            <w:r w:rsidRPr="005D74D1">
              <w:rPr>
                <w:rFonts w:cs="Arial"/>
              </w:rPr>
              <w:t>rograms</w:t>
            </w:r>
          </w:p>
        </w:tc>
        <w:tc>
          <w:tcPr>
            <w:tcW w:w="1121" w:type="pct"/>
            <w:noWrap/>
          </w:tcPr>
          <w:p w14:paraId="18D76F4E" w14:textId="0CABA858" w:rsidR="00390CF7" w:rsidRPr="005D74D1" w:rsidRDefault="00E15D21" w:rsidP="009B2B36">
            <w:pPr>
              <w:pStyle w:val="TableText"/>
              <w:rPr>
                <w:rFonts w:cs="Arial"/>
              </w:rPr>
            </w:pPr>
            <w:r w:rsidRPr="005D74D1">
              <w:rPr>
                <w:rFonts w:ascii="Segoe UI Symbol" w:hAnsi="Segoe UI Symbol" w:cs="Segoe UI Symbol"/>
              </w:rPr>
              <w:t>✓</w:t>
            </w:r>
            <w:r w:rsidRPr="005D74D1">
              <w:rPr>
                <w:rFonts w:cs="Arial"/>
              </w:rPr>
              <w:t xml:space="preserve"> A4.11</w:t>
            </w:r>
          </w:p>
        </w:tc>
        <w:tc>
          <w:tcPr>
            <w:tcW w:w="982" w:type="pct"/>
          </w:tcPr>
          <w:p w14:paraId="3F4502B0" w14:textId="3065EE4B" w:rsidR="00390CF7" w:rsidRPr="005D74D1" w:rsidRDefault="00E15D21" w:rsidP="009B2B36">
            <w:pPr>
              <w:pStyle w:val="TableText"/>
              <w:rPr>
                <w:rFonts w:cs="Arial"/>
              </w:rPr>
            </w:pPr>
            <w:r w:rsidRPr="005D74D1">
              <w:rPr>
                <w:rFonts w:ascii="Segoe UI Symbol" w:hAnsi="Segoe UI Symbol" w:cs="Segoe UI Symbol"/>
              </w:rPr>
              <w:t>✓</w:t>
            </w:r>
          </w:p>
        </w:tc>
        <w:tc>
          <w:tcPr>
            <w:tcW w:w="1170" w:type="pct"/>
          </w:tcPr>
          <w:p w14:paraId="7686C4F3" w14:textId="1786104E" w:rsidR="00390CF7" w:rsidRPr="005D74D1" w:rsidRDefault="002E6374" w:rsidP="009B2B36">
            <w:pPr>
              <w:pStyle w:val="TableText"/>
              <w:rPr>
                <w:rFonts w:cs="Arial"/>
              </w:rPr>
            </w:pPr>
            <w:r w:rsidRPr="005D74D1">
              <w:rPr>
                <w:rFonts w:cs="Arial"/>
              </w:rPr>
              <w:t>-</w:t>
            </w:r>
          </w:p>
        </w:tc>
      </w:tr>
      <w:tr w:rsidR="009B2B36" w:rsidRPr="005D74D1" w14:paraId="652BC749" w14:textId="4F63AA3D" w:rsidTr="00AD3B2C">
        <w:trPr>
          <w:trHeight w:val="495"/>
        </w:trPr>
        <w:tc>
          <w:tcPr>
            <w:tcW w:w="1727" w:type="pct"/>
            <w:hideMark/>
          </w:tcPr>
          <w:p w14:paraId="723D4AF0" w14:textId="7C0AD1A0" w:rsidR="00390CF7" w:rsidRPr="005D74D1" w:rsidRDefault="00390CF7" w:rsidP="009B2B36">
            <w:pPr>
              <w:pStyle w:val="TableText"/>
              <w:rPr>
                <w:rFonts w:cs="Arial"/>
              </w:rPr>
            </w:pPr>
            <w:r w:rsidRPr="005D74D1">
              <w:rPr>
                <w:rFonts w:cs="Arial"/>
              </w:rPr>
              <w:t>CWCT11: Our Catchments Our Communities Program</w:t>
            </w:r>
          </w:p>
        </w:tc>
        <w:tc>
          <w:tcPr>
            <w:tcW w:w="1121" w:type="pct"/>
            <w:noWrap/>
          </w:tcPr>
          <w:p w14:paraId="3470C469" w14:textId="5E01F2A3" w:rsidR="00390CF7" w:rsidRPr="005D74D1" w:rsidRDefault="006F2977" w:rsidP="009B2B36">
            <w:pPr>
              <w:pStyle w:val="TableText"/>
              <w:rPr>
                <w:rFonts w:cs="Arial"/>
              </w:rPr>
            </w:pPr>
            <w:r w:rsidRPr="005D74D1">
              <w:rPr>
                <w:rFonts w:ascii="Segoe UI Symbol" w:hAnsi="Segoe UI Symbol" w:cs="Segoe UI Symbol"/>
              </w:rPr>
              <w:t>✓</w:t>
            </w:r>
            <w:r w:rsidRPr="005D74D1">
              <w:rPr>
                <w:rFonts w:cs="Arial"/>
              </w:rPr>
              <w:t xml:space="preserve"> A3.3</w:t>
            </w:r>
          </w:p>
        </w:tc>
        <w:tc>
          <w:tcPr>
            <w:tcW w:w="982" w:type="pct"/>
          </w:tcPr>
          <w:p w14:paraId="48FD7195" w14:textId="500A40D3" w:rsidR="00390CF7" w:rsidRPr="005D74D1" w:rsidRDefault="001D7A4B" w:rsidP="009B2B36">
            <w:pPr>
              <w:pStyle w:val="TableText"/>
              <w:rPr>
                <w:rFonts w:cs="Arial"/>
              </w:rPr>
            </w:pPr>
            <w:r w:rsidRPr="005D74D1">
              <w:rPr>
                <w:rFonts w:cs="Arial"/>
              </w:rPr>
              <w:t>-</w:t>
            </w:r>
          </w:p>
        </w:tc>
        <w:tc>
          <w:tcPr>
            <w:tcW w:w="1170" w:type="pct"/>
          </w:tcPr>
          <w:p w14:paraId="4DBA04D3" w14:textId="41D38918" w:rsidR="00390CF7" w:rsidRPr="005D74D1" w:rsidRDefault="00F02CD6" w:rsidP="009B2B36">
            <w:pPr>
              <w:pStyle w:val="TableText"/>
              <w:rPr>
                <w:rFonts w:cs="Arial"/>
              </w:rPr>
            </w:pPr>
            <w:r w:rsidRPr="005D74D1">
              <w:rPr>
                <w:rFonts w:cs="Arial"/>
              </w:rPr>
              <w:t>-</w:t>
            </w:r>
          </w:p>
        </w:tc>
      </w:tr>
      <w:tr w:rsidR="009B2B36" w:rsidRPr="005D74D1" w14:paraId="59CDC639" w14:textId="10E432D5" w:rsidTr="00F52212">
        <w:trPr>
          <w:trHeight w:val="70"/>
        </w:trPr>
        <w:tc>
          <w:tcPr>
            <w:tcW w:w="1727" w:type="pct"/>
            <w:tcBorders>
              <w:bottom w:val="single" w:sz="4" w:space="0" w:color="231EDC" w:themeColor="accent1"/>
            </w:tcBorders>
            <w:hideMark/>
          </w:tcPr>
          <w:p w14:paraId="5B891EE0" w14:textId="2245AD95" w:rsidR="00390CF7" w:rsidRPr="005D74D1" w:rsidRDefault="00390CF7" w:rsidP="009B2B36">
            <w:pPr>
              <w:pStyle w:val="TableText"/>
              <w:rPr>
                <w:rFonts w:cs="Arial"/>
              </w:rPr>
            </w:pPr>
            <w:r w:rsidRPr="005D74D1">
              <w:rPr>
                <w:rFonts w:cs="Arial"/>
              </w:rPr>
              <w:t>SIRS5: Macalister Irrigation District Modernisation Project - Phase 2</w:t>
            </w:r>
          </w:p>
        </w:tc>
        <w:tc>
          <w:tcPr>
            <w:tcW w:w="1121" w:type="pct"/>
            <w:tcBorders>
              <w:bottom w:val="single" w:sz="4" w:space="0" w:color="231EDC" w:themeColor="accent1"/>
            </w:tcBorders>
            <w:noWrap/>
          </w:tcPr>
          <w:p w14:paraId="36724BAC" w14:textId="75A07924" w:rsidR="00390CF7" w:rsidRPr="005D74D1" w:rsidRDefault="007A4A02" w:rsidP="009B2B36">
            <w:pPr>
              <w:pStyle w:val="TableText"/>
              <w:rPr>
                <w:rFonts w:cs="Arial"/>
              </w:rPr>
            </w:pPr>
            <w:r w:rsidRPr="005D74D1">
              <w:rPr>
                <w:rFonts w:ascii="Segoe UI Symbol" w:hAnsi="Segoe UI Symbol" w:cs="Segoe UI Symbol"/>
              </w:rPr>
              <w:t>✓</w:t>
            </w:r>
          </w:p>
        </w:tc>
        <w:tc>
          <w:tcPr>
            <w:tcW w:w="982" w:type="pct"/>
            <w:tcBorders>
              <w:bottom w:val="single" w:sz="4" w:space="0" w:color="231EDC" w:themeColor="accent1"/>
            </w:tcBorders>
          </w:tcPr>
          <w:p w14:paraId="3282EEFF" w14:textId="1668F614" w:rsidR="00390CF7" w:rsidRPr="005D74D1" w:rsidRDefault="00AC0262" w:rsidP="009B2B36">
            <w:pPr>
              <w:pStyle w:val="TableText"/>
              <w:rPr>
                <w:rFonts w:cs="Arial"/>
              </w:rPr>
            </w:pPr>
            <w:r w:rsidRPr="005D74D1">
              <w:rPr>
                <w:rFonts w:cs="Arial"/>
              </w:rPr>
              <w:t>-</w:t>
            </w:r>
          </w:p>
        </w:tc>
        <w:tc>
          <w:tcPr>
            <w:tcW w:w="1170" w:type="pct"/>
            <w:tcBorders>
              <w:bottom w:val="single" w:sz="4" w:space="0" w:color="231EDC" w:themeColor="accent1"/>
            </w:tcBorders>
          </w:tcPr>
          <w:p w14:paraId="33107B47" w14:textId="69050F84" w:rsidR="00390CF7" w:rsidRPr="005D74D1" w:rsidRDefault="0003271A" w:rsidP="009B2B36">
            <w:pPr>
              <w:pStyle w:val="TableText"/>
              <w:rPr>
                <w:rFonts w:cs="Arial"/>
              </w:rPr>
            </w:pPr>
            <w:r w:rsidRPr="005D74D1">
              <w:rPr>
                <w:rFonts w:ascii="Segoe UI Symbol" w:hAnsi="Segoe UI Symbol" w:cs="Segoe UI Symbol"/>
              </w:rPr>
              <w:t>✓</w:t>
            </w:r>
            <w:r w:rsidRPr="005D74D1">
              <w:rPr>
                <w:rFonts w:cs="Arial"/>
              </w:rPr>
              <w:t>A7-1</w:t>
            </w:r>
          </w:p>
        </w:tc>
      </w:tr>
      <w:tr w:rsidR="009B2B36" w:rsidRPr="005D74D1" w14:paraId="12377C4C" w14:textId="42867FDC" w:rsidTr="00F52212">
        <w:trPr>
          <w:trHeight w:val="818"/>
        </w:trPr>
        <w:tc>
          <w:tcPr>
            <w:tcW w:w="1727" w:type="pct"/>
            <w:tcBorders>
              <w:bottom w:val="single" w:sz="4" w:space="0" w:color="231EDC" w:themeColor="accent1"/>
            </w:tcBorders>
            <w:hideMark/>
          </w:tcPr>
          <w:p w14:paraId="463A5026" w14:textId="5BFA6C32" w:rsidR="00390CF7" w:rsidRPr="005D74D1" w:rsidRDefault="00390CF7" w:rsidP="009B2B36">
            <w:pPr>
              <w:pStyle w:val="TableText"/>
              <w:rPr>
                <w:rFonts w:cs="Arial"/>
              </w:rPr>
            </w:pPr>
            <w:r w:rsidRPr="005D74D1">
              <w:rPr>
                <w:rFonts w:cs="Arial"/>
              </w:rPr>
              <w:t>WRS19: Resilient Water Markets, Regional Communities and Infrastructure (Stream 1 and 2)</w:t>
            </w:r>
          </w:p>
        </w:tc>
        <w:tc>
          <w:tcPr>
            <w:tcW w:w="1121" w:type="pct"/>
            <w:tcBorders>
              <w:bottom w:val="single" w:sz="4" w:space="0" w:color="231EDC" w:themeColor="accent1"/>
            </w:tcBorders>
            <w:noWrap/>
          </w:tcPr>
          <w:p w14:paraId="46219AAB" w14:textId="73C3356C" w:rsidR="00390CF7" w:rsidRPr="005D74D1" w:rsidRDefault="000041B8" w:rsidP="009B2B36">
            <w:pPr>
              <w:pStyle w:val="TableText"/>
              <w:rPr>
                <w:rFonts w:cs="Arial"/>
              </w:rPr>
            </w:pPr>
            <w:r w:rsidRPr="005D74D1">
              <w:rPr>
                <w:rFonts w:ascii="Segoe UI Symbol" w:hAnsi="Segoe UI Symbol" w:cs="Segoe UI Symbol"/>
              </w:rPr>
              <w:t>✓</w:t>
            </w:r>
            <w:r w:rsidRPr="005D74D1">
              <w:rPr>
                <w:rFonts w:cs="Arial"/>
              </w:rPr>
              <w:t xml:space="preserve"> A9.3, A9.4, A9.6</w:t>
            </w:r>
          </w:p>
        </w:tc>
        <w:tc>
          <w:tcPr>
            <w:tcW w:w="982" w:type="pct"/>
            <w:tcBorders>
              <w:bottom w:val="single" w:sz="4" w:space="0" w:color="231EDC" w:themeColor="accent1"/>
            </w:tcBorders>
          </w:tcPr>
          <w:p w14:paraId="3ECCEC00" w14:textId="7879400D" w:rsidR="00390CF7" w:rsidRPr="005D74D1" w:rsidRDefault="00087046" w:rsidP="009B2B36">
            <w:pPr>
              <w:pStyle w:val="TableText"/>
              <w:rPr>
                <w:rFonts w:cs="Arial"/>
              </w:rPr>
            </w:pPr>
            <w:r w:rsidRPr="005D74D1">
              <w:rPr>
                <w:rFonts w:cs="Arial"/>
              </w:rPr>
              <w:t>-</w:t>
            </w:r>
          </w:p>
        </w:tc>
        <w:tc>
          <w:tcPr>
            <w:tcW w:w="1170" w:type="pct"/>
            <w:tcBorders>
              <w:bottom w:val="single" w:sz="4" w:space="0" w:color="231EDC" w:themeColor="accent1"/>
            </w:tcBorders>
          </w:tcPr>
          <w:p w14:paraId="727280BC" w14:textId="5E9B1A59" w:rsidR="00390CF7" w:rsidRPr="005D74D1" w:rsidRDefault="00087046" w:rsidP="009B2B36">
            <w:pPr>
              <w:pStyle w:val="TableText"/>
              <w:rPr>
                <w:rFonts w:cs="Arial"/>
              </w:rPr>
            </w:pPr>
            <w:r w:rsidRPr="005D74D1">
              <w:rPr>
                <w:rFonts w:cs="Arial"/>
              </w:rPr>
              <w:t>-</w:t>
            </w:r>
          </w:p>
        </w:tc>
      </w:tr>
      <w:tr w:rsidR="00C737B9" w:rsidRPr="005D74D1" w14:paraId="477C5382" w14:textId="77777777" w:rsidTr="00F52212">
        <w:trPr>
          <w:trHeight w:val="467"/>
        </w:trPr>
        <w:tc>
          <w:tcPr>
            <w:tcW w:w="5000" w:type="pct"/>
            <w:gridSpan w:val="4"/>
            <w:tcBorders>
              <w:top w:val="single" w:sz="4" w:space="0" w:color="231EDC" w:themeColor="accent1"/>
              <w:left w:val="nil"/>
              <w:bottom w:val="nil"/>
              <w:right w:val="nil"/>
            </w:tcBorders>
          </w:tcPr>
          <w:p w14:paraId="75E75A33" w14:textId="23137D7A" w:rsidR="00C737B9" w:rsidRPr="005D74D1" w:rsidRDefault="00C737B9" w:rsidP="009B2B36">
            <w:pPr>
              <w:pStyle w:val="TableText"/>
              <w:rPr>
                <w:rFonts w:cs="Arial"/>
              </w:rPr>
            </w:pPr>
            <w:r w:rsidRPr="005D74D1">
              <w:rPr>
                <w:rFonts w:cs="Arial"/>
              </w:rPr>
              <w:t>Note: A (Action), O (Objective), Ch (Chapter)</w:t>
            </w:r>
          </w:p>
        </w:tc>
      </w:tr>
    </w:tbl>
    <w:p w14:paraId="40A9705F" w14:textId="30BEFA52" w:rsidR="001B46EB" w:rsidRPr="005D74D1" w:rsidRDefault="001B46EB" w:rsidP="001B46EB">
      <w:pPr>
        <w:pStyle w:val="Heading2"/>
        <w:rPr>
          <w:rFonts w:cs="Arial"/>
        </w:rPr>
      </w:pPr>
      <w:bookmarkStart w:id="504" w:name="_Toc147341723"/>
      <w:bookmarkStart w:id="505" w:name="_Toc147329978"/>
      <w:bookmarkStart w:id="506" w:name="_Toc147330550"/>
      <w:bookmarkStart w:id="507" w:name="_Toc147331122"/>
      <w:bookmarkStart w:id="508" w:name="_Toc147331695"/>
      <w:bookmarkStart w:id="509" w:name="_Toc147335068"/>
      <w:bookmarkStart w:id="510" w:name="_Toc147337932"/>
      <w:bookmarkStart w:id="511" w:name="_Toc147338537"/>
      <w:bookmarkStart w:id="512" w:name="_Toc147342898"/>
      <w:bookmarkStart w:id="513" w:name="_Toc147352788"/>
      <w:bookmarkStart w:id="514" w:name="_Toc147341724"/>
      <w:bookmarkStart w:id="515" w:name="_Toc147329979"/>
      <w:bookmarkStart w:id="516" w:name="_Toc147330551"/>
      <w:bookmarkStart w:id="517" w:name="_Toc147331123"/>
      <w:bookmarkStart w:id="518" w:name="_Toc147331696"/>
      <w:bookmarkStart w:id="519" w:name="_Toc147335069"/>
      <w:bookmarkStart w:id="520" w:name="_Toc147337933"/>
      <w:bookmarkStart w:id="521" w:name="_Toc147338538"/>
      <w:bookmarkStart w:id="522" w:name="_Toc147342899"/>
      <w:bookmarkStart w:id="523" w:name="_Toc147352789"/>
      <w:bookmarkStart w:id="524" w:name="_Toc147341729"/>
      <w:bookmarkStart w:id="525" w:name="_Toc147329984"/>
      <w:bookmarkStart w:id="526" w:name="_Toc147330556"/>
      <w:bookmarkStart w:id="527" w:name="_Toc147331128"/>
      <w:bookmarkStart w:id="528" w:name="_Toc147331701"/>
      <w:bookmarkStart w:id="529" w:name="_Toc147335074"/>
      <w:bookmarkStart w:id="530" w:name="_Toc147337938"/>
      <w:bookmarkStart w:id="531" w:name="_Toc147338543"/>
      <w:bookmarkStart w:id="532" w:name="_Toc147342904"/>
      <w:bookmarkStart w:id="533" w:name="_Toc147352794"/>
      <w:bookmarkStart w:id="534" w:name="_Toc147341730"/>
      <w:bookmarkStart w:id="535" w:name="_Toc147329985"/>
      <w:bookmarkStart w:id="536" w:name="_Toc147330557"/>
      <w:bookmarkStart w:id="537" w:name="_Toc147331129"/>
      <w:bookmarkStart w:id="538" w:name="_Toc147331702"/>
      <w:bookmarkStart w:id="539" w:name="_Toc147335075"/>
      <w:bookmarkStart w:id="540" w:name="_Toc147337939"/>
      <w:bookmarkStart w:id="541" w:name="_Toc147338544"/>
      <w:bookmarkStart w:id="542" w:name="_Toc147342905"/>
      <w:bookmarkStart w:id="543" w:name="_Toc147352795"/>
      <w:bookmarkStart w:id="544" w:name="_Toc147341731"/>
      <w:bookmarkStart w:id="545" w:name="_Toc147329986"/>
      <w:bookmarkStart w:id="546" w:name="_Toc147330558"/>
      <w:bookmarkStart w:id="547" w:name="_Toc147331130"/>
      <w:bookmarkStart w:id="548" w:name="_Toc147331703"/>
      <w:bookmarkStart w:id="549" w:name="_Toc147335076"/>
      <w:bookmarkStart w:id="550" w:name="_Toc147337940"/>
      <w:bookmarkStart w:id="551" w:name="_Toc147338545"/>
      <w:bookmarkStart w:id="552" w:name="_Toc147342906"/>
      <w:bookmarkStart w:id="553" w:name="_Toc147352796"/>
      <w:bookmarkStart w:id="554" w:name="_Toc147341732"/>
      <w:bookmarkStart w:id="555" w:name="_Toc147329987"/>
      <w:bookmarkStart w:id="556" w:name="_Toc147330559"/>
      <w:bookmarkStart w:id="557" w:name="_Toc147331131"/>
      <w:bookmarkStart w:id="558" w:name="_Toc147331704"/>
      <w:bookmarkStart w:id="559" w:name="_Toc147335077"/>
      <w:bookmarkStart w:id="560" w:name="_Toc147337941"/>
      <w:bookmarkStart w:id="561" w:name="_Toc147338546"/>
      <w:bookmarkStart w:id="562" w:name="_Toc147342907"/>
      <w:bookmarkStart w:id="563" w:name="_Toc147352797"/>
      <w:bookmarkStart w:id="564" w:name="_Toc147341733"/>
      <w:bookmarkStart w:id="565" w:name="_Toc147329988"/>
      <w:bookmarkStart w:id="566" w:name="_Toc147330560"/>
      <w:bookmarkStart w:id="567" w:name="_Toc147331132"/>
      <w:bookmarkStart w:id="568" w:name="_Toc147331705"/>
      <w:bookmarkStart w:id="569" w:name="_Toc147335078"/>
      <w:bookmarkStart w:id="570" w:name="_Toc147337942"/>
      <w:bookmarkStart w:id="571" w:name="_Toc147338547"/>
      <w:bookmarkStart w:id="572" w:name="_Toc147342908"/>
      <w:bookmarkStart w:id="573" w:name="_Toc147352798"/>
      <w:bookmarkStart w:id="574" w:name="_Toc147341734"/>
      <w:bookmarkStart w:id="575" w:name="_Toc147329989"/>
      <w:bookmarkStart w:id="576" w:name="_Toc147330561"/>
      <w:bookmarkStart w:id="577" w:name="_Toc147331133"/>
      <w:bookmarkStart w:id="578" w:name="_Toc147331706"/>
      <w:bookmarkStart w:id="579" w:name="_Toc147335079"/>
      <w:bookmarkStart w:id="580" w:name="_Toc147337943"/>
      <w:bookmarkStart w:id="581" w:name="_Toc147338548"/>
      <w:bookmarkStart w:id="582" w:name="_Toc147342909"/>
      <w:bookmarkStart w:id="583" w:name="_Toc147352799"/>
      <w:bookmarkStart w:id="584" w:name="_Toc147341735"/>
      <w:bookmarkStart w:id="585" w:name="_Toc147329990"/>
      <w:bookmarkStart w:id="586" w:name="_Toc147330562"/>
      <w:bookmarkStart w:id="587" w:name="_Toc147331134"/>
      <w:bookmarkStart w:id="588" w:name="_Toc147331707"/>
      <w:bookmarkStart w:id="589" w:name="_Toc147335080"/>
      <w:bookmarkStart w:id="590" w:name="_Toc147337944"/>
      <w:bookmarkStart w:id="591" w:name="_Toc147338549"/>
      <w:bookmarkStart w:id="592" w:name="_Toc147342910"/>
      <w:bookmarkStart w:id="593" w:name="_Toc147352800"/>
      <w:bookmarkStart w:id="594" w:name="_Toc147341736"/>
      <w:bookmarkStart w:id="595" w:name="_Toc147329991"/>
      <w:bookmarkStart w:id="596" w:name="_Toc147330563"/>
      <w:bookmarkStart w:id="597" w:name="_Toc147331135"/>
      <w:bookmarkStart w:id="598" w:name="_Toc147331708"/>
      <w:bookmarkStart w:id="599" w:name="_Toc147335081"/>
      <w:bookmarkStart w:id="600" w:name="_Toc147337945"/>
      <w:bookmarkStart w:id="601" w:name="_Toc147338550"/>
      <w:bookmarkStart w:id="602" w:name="_Toc147342911"/>
      <w:bookmarkStart w:id="603" w:name="_Toc147352801"/>
      <w:bookmarkStart w:id="604" w:name="_Toc147341737"/>
      <w:bookmarkStart w:id="605" w:name="_Toc147329992"/>
      <w:bookmarkStart w:id="606" w:name="_Toc147330564"/>
      <w:bookmarkStart w:id="607" w:name="_Toc147331136"/>
      <w:bookmarkStart w:id="608" w:name="_Toc147331709"/>
      <w:bookmarkStart w:id="609" w:name="_Toc147335082"/>
      <w:bookmarkStart w:id="610" w:name="_Toc147337946"/>
      <w:bookmarkStart w:id="611" w:name="_Toc147338551"/>
      <w:bookmarkStart w:id="612" w:name="_Toc147342912"/>
      <w:bookmarkStart w:id="613" w:name="_Toc147352802"/>
      <w:bookmarkStart w:id="614" w:name="_Toc147341738"/>
      <w:bookmarkStart w:id="615" w:name="_Toc147329993"/>
      <w:bookmarkStart w:id="616" w:name="_Toc147330565"/>
      <w:bookmarkStart w:id="617" w:name="_Toc147331137"/>
      <w:bookmarkStart w:id="618" w:name="_Toc147331710"/>
      <w:bookmarkStart w:id="619" w:name="_Toc147335083"/>
      <w:bookmarkStart w:id="620" w:name="_Toc147337947"/>
      <w:bookmarkStart w:id="621" w:name="_Toc147338552"/>
      <w:bookmarkStart w:id="622" w:name="_Toc147342913"/>
      <w:bookmarkStart w:id="623" w:name="_Toc147352803"/>
      <w:bookmarkStart w:id="624" w:name="_Toc147341739"/>
      <w:bookmarkStart w:id="625" w:name="_Toc147329994"/>
      <w:bookmarkStart w:id="626" w:name="_Toc147330566"/>
      <w:bookmarkStart w:id="627" w:name="_Toc147331138"/>
      <w:bookmarkStart w:id="628" w:name="_Toc147331711"/>
      <w:bookmarkStart w:id="629" w:name="_Toc147335084"/>
      <w:bookmarkStart w:id="630" w:name="_Toc147337948"/>
      <w:bookmarkStart w:id="631" w:name="_Toc147338553"/>
      <w:bookmarkStart w:id="632" w:name="_Toc147342914"/>
      <w:bookmarkStart w:id="633" w:name="_Toc147352804"/>
      <w:bookmarkStart w:id="634" w:name="_Toc147341740"/>
      <w:bookmarkStart w:id="635" w:name="_Toc147329995"/>
      <w:bookmarkStart w:id="636" w:name="_Toc147330567"/>
      <w:bookmarkStart w:id="637" w:name="_Toc147331139"/>
      <w:bookmarkStart w:id="638" w:name="_Toc147331712"/>
      <w:bookmarkStart w:id="639" w:name="_Toc147335085"/>
      <w:bookmarkStart w:id="640" w:name="_Toc147337949"/>
      <w:bookmarkStart w:id="641" w:name="_Toc147338554"/>
      <w:bookmarkStart w:id="642" w:name="_Toc147342915"/>
      <w:bookmarkStart w:id="643" w:name="_Toc147352805"/>
      <w:bookmarkStart w:id="644" w:name="_Toc147341741"/>
      <w:bookmarkStart w:id="645" w:name="_Toc147329996"/>
      <w:bookmarkStart w:id="646" w:name="_Toc147330568"/>
      <w:bookmarkStart w:id="647" w:name="_Toc147331140"/>
      <w:bookmarkStart w:id="648" w:name="_Toc147331713"/>
      <w:bookmarkStart w:id="649" w:name="_Toc147335086"/>
      <w:bookmarkStart w:id="650" w:name="_Toc147337950"/>
      <w:bookmarkStart w:id="651" w:name="_Toc147338555"/>
      <w:bookmarkStart w:id="652" w:name="_Toc147342916"/>
      <w:bookmarkStart w:id="653" w:name="_Toc147352806"/>
      <w:bookmarkStart w:id="654" w:name="_Toc147341742"/>
      <w:bookmarkStart w:id="655" w:name="_Toc147329997"/>
      <w:bookmarkStart w:id="656" w:name="_Toc147330569"/>
      <w:bookmarkStart w:id="657" w:name="_Toc147331141"/>
      <w:bookmarkStart w:id="658" w:name="_Toc147331714"/>
      <w:bookmarkStart w:id="659" w:name="_Toc147335087"/>
      <w:bookmarkStart w:id="660" w:name="_Toc147337951"/>
      <w:bookmarkStart w:id="661" w:name="_Toc147338556"/>
      <w:bookmarkStart w:id="662" w:name="_Toc147342917"/>
      <w:bookmarkStart w:id="663" w:name="_Toc147352807"/>
      <w:bookmarkStart w:id="664" w:name="_Toc147341743"/>
      <w:bookmarkStart w:id="665" w:name="_Toc147329998"/>
      <w:bookmarkStart w:id="666" w:name="_Toc147330570"/>
      <w:bookmarkStart w:id="667" w:name="_Toc147331142"/>
      <w:bookmarkStart w:id="668" w:name="_Toc147331715"/>
      <w:bookmarkStart w:id="669" w:name="_Toc147335088"/>
      <w:bookmarkStart w:id="670" w:name="_Toc147337952"/>
      <w:bookmarkStart w:id="671" w:name="_Toc147338557"/>
      <w:bookmarkStart w:id="672" w:name="_Toc147342918"/>
      <w:bookmarkStart w:id="673" w:name="_Toc147352808"/>
      <w:bookmarkStart w:id="674" w:name="_Toc147341744"/>
      <w:bookmarkStart w:id="675" w:name="_Toc147329999"/>
      <w:bookmarkStart w:id="676" w:name="_Toc147330571"/>
      <w:bookmarkStart w:id="677" w:name="_Toc147331143"/>
      <w:bookmarkStart w:id="678" w:name="_Toc147331716"/>
      <w:bookmarkStart w:id="679" w:name="_Toc147335089"/>
      <w:bookmarkStart w:id="680" w:name="_Toc147337953"/>
      <w:bookmarkStart w:id="681" w:name="_Toc147338558"/>
      <w:bookmarkStart w:id="682" w:name="_Toc147342919"/>
      <w:bookmarkStart w:id="683" w:name="_Toc147352809"/>
      <w:bookmarkStart w:id="684" w:name="_Toc147341745"/>
      <w:bookmarkStart w:id="685" w:name="_Toc147330000"/>
      <w:bookmarkStart w:id="686" w:name="_Toc147330572"/>
      <w:bookmarkStart w:id="687" w:name="_Toc147331144"/>
      <w:bookmarkStart w:id="688" w:name="_Toc147331717"/>
      <w:bookmarkStart w:id="689" w:name="_Toc147335090"/>
      <w:bookmarkStart w:id="690" w:name="_Toc147337954"/>
      <w:bookmarkStart w:id="691" w:name="_Toc147338559"/>
      <w:bookmarkStart w:id="692" w:name="_Toc147342920"/>
      <w:bookmarkStart w:id="693" w:name="_Toc147352810"/>
      <w:bookmarkStart w:id="694" w:name="_Toc147341746"/>
      <w:bookmarkStart w:id="695" w:name="_Toc147330001"/>
      <w:bookmarkStart w:id="696" w:name="_Toc147330573"/>
      <w:bookmarkStart w:id="697" w:name="_Toc147331145"/>
      <w:bookmarkStart w:id="698" w:name="_Toc147331718"/>
      <w:bookmarkStart w:id="699" w:name="_Toc147335091"/>
      <w:bookmarkStart w:id="700" w:name="_Toc147337955"/>
      <w:bookmarkStart w:id="701" w:name="_Toc147338560"/>
      <w:bookmarkStart w:id="702" w:name="_Toc147342921"/>
      <w:bookmarkStart w:id="703" w:name="_Toc147352811"/>
      <w:bookmarkStart w:id="704" w:name="_Toc147341747"/>
      <w:bookmarkStart w:id="705" w:name="_Toc147330002"/>
      <w:bookmarkStart w:id="706" w:name="_Toc147330574"/>
      <w:bookmarkStart w:id="707" w:name="_Toc147331146"/>
      <w:bookmarkStart w:id="708" w:name="_Toc147331719"/>
      <w:bookmarkStart w:id="709" w:name="_Toc147335092"/>
      <w:bookmarkStart w:id="710" w:name="_Toc147337956"/>
      <w:bookmarkStart w:id="711" w:name="_Toc147338561"/>
      <w:bookmarkStart w:id="712" w:name="_Toc147342922"/>
      <w:bookmarkStart w:id="713" w:name="_Toc147352812"/>
      <w:bookmarkStart w:id="714" w:name="_Toc147341748"/>
      <w:bookmarkStart w:id="715" w:name="_Toc147330003"/>
      <w:bookmarkStart w:id="716" w:name="_Toc147330575"/>
      <w:bookmarkStart w:id="717" w:name="_Toc147331147"/>
      <w:bookmarkStart w:id="718" w:name="_Toc147331720"/>
      <w:bookmarkStart w:id="719" w:name="_Toc147335093"/>
      <w:bookmarkStart w:id="720" w:name="_Toc147337957"/>
      <w:bookmarkStart w:id="721" w:name="_Toc147338562"/>
      <w:bookmarkStart w:id="722" w:name="_Toc147342923"/>
      <w:bookmarkStart w:id="723" w:name="_Toc147352813"/>
      <w:bookmarkStart w:id="724" w:name="_Toc147329351"/>
      <w:bookmarkStart w:id="725" w:name="_Ref147408798"/>
      <w:bookmarkStart w:id="726" w:name="_Toc183777381"/>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r w:rsidRPr="005D74D1">
        <w:rPr>
          <w:rFonts w:cs="Arial"/>
        </w:rPr>
        <w:lastRenderedPageBreak/>
        <w:t>To what extent did EC funded programs use monitoring and evaluation data to improve management (adaptive management)?</w:t>
      </w:r>
      <w:bookmarkEnd w:id="724"/>
      <w:bookmarkEnd w:id="725"/>
      <w:bookmarkEnd w:id="726"/>
    </w:p>
    <w:p w14:paraId="7CC0AB8C" w14:textId="77777777" w:rsidR="00A50E7D" w:rsidRPr="005D74D1" w:rsidRDefault="00324977" w:rsidP="001B46EB">
      <w:pPr>
        <w:pStyle w:val="BodyText"/>
        <w:rPr>
          <w:rFonts w:cs="Arial"/>
        </w:rPr>
      </w:pPr>
      <w:r w:rsidRPr="005D74D1">
        <w:rPr>
          <w:rFonts w:cs="Arial"/>
        </w:rPr>
        <w:t xml:space="preserve">Monitoring, evaluation and improvement were integrated throughout EC5 to promote delivery effectiveness. </w:t>
      </w:r>
      <w:r w:rsidR="00C30E39" w:rsidRPr="005D74D1">
        <w:rPr>
          <w:rFonts w:cs="Arial"/>
        </w:rPr>
        <w:t>L</w:t>
      </w:r>
      <w:r w:rsidR="00DF0EB5" w:rsidRPr="005D74D1">
        <w:rPr>
          <w:rFonts w:cs="Arial"/>
        </w:rPr>
        <w:t xml:space="preserve">earning and improvement were effectively incorporated into the </w:t>
      </w:r>
      <w:r w:rsidR="00856D03" w:rsidRPr="005D74D1">
        <w:rPr>
          <w:rFonts w:cs="Arial"/>
        </w:rPr>
        <w:t>project</w:t>
      </w:r>
      <w:r w:rsidR="00DF0EB5" w:rsidRPr="005D74D1">
        <w:rPr>
          <w:rFonts w:cs="Arial"/>
        </w:rPr>
        <w:t xml:space="preserve"> to foster a culture of continual improvement</w:t>
      </w:r>
      <w:r w:rsidR="00C30E39" w:rsidRPr="005D74D1">
        <w:rPr>
          <w:rFonts w:cs="Arial"/>
        </w:rPr>
        <w:t>, as reported by 92% of projects</w:t>
      </w:r>
      <w:r w:rsidR="00DF0EB5" w:rsidRPr="005D74D1">
        <w:rPr>
          <w:rFonts w:cs="Arial"/>
        </w:rPr>
        <w:t>.</w:t>
      </w:r>
    </w:p>
    <w:p w14:paraId="17C9ED72" w14:textId="77777777" w:rsidR="00A50E7D" w:rsidRPr="005D74D1" w:rsidRDefault="00E05BE8" w:rsidP="001B46EB">
      <w:pPr>
        <w:pStyle w:val="BodyText"/>
        <w:rPr>
          <w:rFonts w:cs="Arial"/>
        </w:rPr>
      </w:pPr>
      <w:r w:rsidRPr="005D74D1">
        <w:rPr>
          <w:rFonts w:cs="Arial"/>
        </w:rPr>
        <w:t xml:space="preserve">Some </w:t>
      </w:r>
      <w:r w:rsidR="00856D03" w:rsidRPr="005D74D1">
        <w:rPr>
          <w:rFonts w:cs="Arial"/>
        </w:rPr>
        <w:t>project</w:t>
      </w:r>
      <w:r w:rsidRPr="005D74D1">
        <w:rPr>
          <w:rFonts w:cs="Arial"/>
        </w:rPr>
        <w:t xml:space="preserve">s </w:t>
      </w:r>
      <w:r w:rsidR="00F642BC" w:rsidRPr="005D74D1">
        <w:rPr>
          <w:rFonts w:cs="Arial"/>
        </w:rPr>
        <w:t>reported using</w:t>
      </w:r>
      <w:r w:rsidRPr="005D74D1">
        <w:rPr>
          <w:rFonts w:cs="Arial"/>
        </w:rPr>
        <w:t xml:space="preserve"> independent evaluations</w:t>
      </w:r>
      <w:r w:rsidR="00F642BC" w:rsidRPr="005D74D1">
        <w:rPr>
          <w:rFonts w:cs="Arial"/>
        </w:rPr>
        <w:t>,</w:t>
      </w:r>
      <w:r w:rsidR="00AB538E" w:rsidRPr="005D74D1">
        <w:rPr>
          <w:rFonts w:cs="Arial"/>
        </w:rPr>
        <w:t xml:space="preserve"> stakeholder feedback</w:t>
      </w:r>
      <w:r w:rsidRPr="005D74D1">
        <w:rPr>
          <w:rFonts w:cs="Arial"/>
        </w:rPr>
        <w:t>,</w:t>
      </w:r>
      <w:r w:rsidR="00F642BC" w:rsidRPr="005D74D1">
        <w:rPr>
          <w:rFonts w:cs="Arial"/>
        </w:rPr>
        <w:t xml:space="preserve"> and sharing of lessons learned to improve</w:t>
      </w:r>
      <w:r w:rsidRPr="005D74D1">
        <w:rPr>
          <w:rFonts w:cs="Arial"/>
        </w:rPr>
        <w:t xml:space="preserve"> such as:</w:t>
      </w:r>
    </w:p>
    <w:p w14:paraId="12E9BD35" w14:textId="4169ED85" w:rsidR="00E05BE8" w:rsidRPr="005D74D1" w:rsidRDefault="6E6734C3" w:rsidP="7952BA11">
      <w:pPr>
        <w:pStyle w:val="BulletLevel1"/>
        <w:rPr>
          <w:rFonts w:cs="Arial"/>
          <w:lang w:val="en-AU"/>
        </w:rPr>
      </w:pPr>
      <w:r w:rsidRPr="005D74D1">
        <w:rPr>
          <w:rFonts w:cs="Arial"/>
          <w:lang w:val="en-AU"/>
        </w:rPr>
        <w:t xml:space="preserve">The </w:t>
      </w:r>
      <w:r w:rsidR="40459AD3" w:rsidRPr="005D74D1">
        <w:rPr>
          <w:rFonts w:cs="Arial"/>
          <w:lang w:val="en-AU"/>
        </w:rPr>
        <w:t>IWM</w:t>
      </w:r>
      <w:r w:rsidRPr="005D74D1">
        <w:rPr>
          <w:rFonts w:cs="Arial"/>
          <w:lang w:val="en-AU"/>
        </w:rPr>
        <w:t xml:space="preserve"> </w:t>
      </w:r>
      <w:r w:rsidR="007656F2" w:rsidRPr="005D74D1">
        <w:rPr>
          <w:rFonts w:cs="Arial"/>
          <w:lang w:val="en-AU"/>
        </w:rPr>
        <w:t>Program</w:t>
      </w:r>
      <w:r w:rsidR="54034DD3" w:rsidRPr="005D74D1">
        <w:rPr>
          <w:rFonts w:cs="Arial"/>
          <w:lang w:val="en-AU"/>
        </w:rPr>
        <w:t>,</w:t>
      </w:r>
      <w:r w:rsidRPr="005D74D1">
        <w:rPr>
          <w:rFonts w:cs="Arial"/>
          <w:lang w:val="en-AU"/>
        </w:rPr>
        <w:t xml:space="preserve"> </w:t>
      </w:r>
      <w:r w:rsidR="5A473028" w:rsidRPr="005D74D1">
        <w:rPr>
          <w:rFonts w:cs="Arial"/>
          <w:lang w:val="en-AU"/>
        </w:rPr>
        <w:t>w</w:t>
      </w:r>
      <w:r w:rsidR="449A5B11" w:rsidRPr="005D74D1">
        <w:rPr>
          <w:rFonts w:cs="Arial"/>
          <w:lang w:val="en-AU"/>
        </w:rPr>
        <w:t>hich engaged independent development of an evaluation framework in 2019</w:t>
      </w:r>
      <w:r w:rsidR="04DC8DB3" w:rsidRPr="005D74D1">
        <w:rPr>
          <w:rFonts w:cs="Arial"/>
          <w:lang w:val="en-AU"/>
        </w:rPr>
        <w:t xml:space="preserve"> and a </w:t>
      </w:r>
      <w:r w:rsidR="002A0F92" w:rsidRPr="005D74D1">
        <w:rPr>
          <w:rFonts w:cs="Arial"/>
          <w:lang w:val="en-AU"/>
        </w:rPr>
        <w:t>2</w:t>
      </w:r>
      <w:r w:rsidR="04DC8DB3" w:rsidRPr="005D74D1">
        <w:rPr>
          <w:rFonts w:cs="Arial"/>
          <w:lang w:val="en-AU"/>
        </w:rPr>
        <w:t xml:space="preserve">-phase </w:t>
      </w:r>
      <w:r w:rsidR="3B325E92" w:rsidRPr="005D74D1">
        <w:rPr>
          <w:rFonts w:cs="Arial"/>
          <w:lang w:val="en-AU"/>
        </w:rPr>
        <w:t>project</w:t>
      </w:r>
      <w:r w:rsidR="04DC8DB3" w:rsidRPr="005D74D1">
        <w:rPr>
          <w:rFonts w:cs="Arial"/>
          <w:lang w:val="en-AU"/>
        </w:rPr>
        <w:t xml:space="preserve"> evaluation (2020 and 2023). </w:t>
      </w:r>
      <w:r w:rsidR="30BF3148" w:rsidRPr="005D74D1">
        <w:rPr>
          <w:rFonts w:cs="Arial"/>
          <w:lang w:val="en-AU"/>
        </w:rPr>
        <w:t xml:space="preserve">The </w:t>
      </w:r>
      <w:r w:rsidR="3B325E92" w:rsidRPr="005D74D1">
        <w:rPr>
          <w:rFonts w:cs="Arial"/>
          <w:lang w:val="en-AU"/>
        </w:rPr>
        <w:t>project</w:t>
      </w:r>
      <w:r w:rsidR="30BF3148" w:rsidRPr="005D74D1">
        <w:rPr>
          <w:rFonts w:cs="Arial"/>
          <w:lang w:val="en-AU"/>
        </w:rPr>
        <w:t xml:space="preserve"> also </w:t>
      </w:r>
      <w:r w:rsidR="30BF3148" w:rsidRPr="005D74D1">
        <w:rPr>
          <w:rFonts w:cs="Arial"/>
          <w:lang w:val="en-AU" w:eastAsia="en-AU"/>
        </w:rPr>
        <w:t xml:space="preserve">collaboratively developed </w:t>
      </w:r>
      <w:r w:rsidR="000C6A63" w:rsidRPr="005D74D1">
        <w:rPr>
          <w:rFonts w:cs="Arial"/>
          <w:lang w:val="en-AU" w:eastAsia="en-AU"/>
        </w:rPr>
        <w:t xml:space="preserve">a </w:t>
      </w:r>
      <w:r w:rsidR="30BF3148" w:rsidRPr="005D74D1">
        <w:rPr>
          <w:rFonts w:cs="Arial"/>
          <w:lang w:val="en-AU" w:eastAsia="en-AU"/>
        </w:rPr>
        <w:t>MERI Plan for the Catchment Scale IWM Plans across metro</w:t>
      </w:r>
      <w:r w:rsidR="000C6A63" w:rsidRPr="005D74D1">
        <w:rPr>
          <w:rFonts w:cs="Arial"/>
          <w:lang w:val="en-AU" w:eastAsia="en-AU"/>
        </w:rPr>
        <w:t>politan</w:t>
      </w:r>
      <w:r w:rsidR="30BF3148" w:rsidRPr="005D74D1">
        <w:rPr>
          <w:rFonts w:cs="Arial"/>
          <w:lang w:val="en-AU" w:eastAsia="en-AU"/>
        </w:rPr>
        <w:t xml:space="preserve"> Melbourne, and has a MERI pilot underway.</w:t>
      </w:r>
    </w:p>
    <w:p w14:paraId="7DC630DE" w14:textId="77777777" w:rsidR="00A50E7D" w:rsidRPr="005D74D1" w:rsidRDefault="75908B68" w:rsidP="7952BA11">
      <w:pPr>
        <w:pStyle w:val="BulletLevel1"/>
        <w:rPr>
          <w:rFonts w:cs="Arial"/>
          <w:lang w:val="en-AU" w:eastAsia="en-AU"/>
        </w:rPr>
      </w:pPr>
      <w:r w:rsidRPr="005D74D1">
        <w:rPr>
          <w:rFonts w:cs="Arial"/>
          <w:lang w:val="en-AU" w:eastAsia="en-AU"/>
        </w:rPr>
        <w:t xml:space="preserve">For development of the Water Education Portal, </w:t>
      </w:r>
      <w:r w:rsidR="7F7ABDAE" w:rsidRPr="005D74D1">
        <w:rPr>
          <w:rFonts w:cs="Arial"/>
          <w:lang w:val="en-AU" w:eastAsia="en-AU"/>
        </w:rPr>
        <w:t xml:space="preserve">feedback </w:t>
      </w:r>
      <w:r w:rsidR="385A80BB" w:rsidRPr="005D74D1">
        <w:rPr>
          <w:rFonts w:cs="Arial"/>
          <w:lang w:val="en-AU" w:eastAsia="en-AU"/>
        </w:rPr>
        <w:t xml:space="preserve">from phase 1 of DEECA’s collaboration with </w:t>
      </w:r>
      <w:r w:rsidR="7F7ABDAE" w:rsidRPr="005D74D1">
        <w:rPr>
          <w:rFonts w:cs="Arial"/>
          <w:lang w:val="en-AU" w:eastAsia="en-AU"/>
        </w:rPr>
        <w:t xml:space="preserve">the </w:t>
      </w:r>
      <w:r w:rsidR="33AB98FE" w:rsidRPr="005D74D1">
        <w:rPr>
          <w:rFonts w:cs="Arial"/>
          <w:lang w:val="en-AU" w:eastAsia="en-AU"/>
        </w:rPr>
        <w:t xml:space="preserve">Geography Teachers’ Association of Victoria was integrated into </w:t>
      </w:r>
      <w:r w:rsidR="517AACC1" w:rsidRPr="005D74D1">
        <w:rPr>
          <w:rFonts w:cs="Arial"/>
          <w:lang w:val="en-AU" w:eastAsia="en-AU"/>
        </w:rPr>
        <w:t>phase</w:t>
      </w:r>
      <w:r w:rsidR="004353FA" w:rsidRPr="005D74D1">
        <w:rPr>
          <w:rFonts w:cs="Arial"/>
          <w:lang w:val="en-AU" w:eastAsia="en-AU"/>
        </w:rPr>
        <w:t> </w:t>
      </w:r>
      <w:r w:rsidR="517AACC1" w:rsidRPr="005D74D1">
        <w:rPr>
          <w:rFonts w:cs="Arial"/>
          <w:lang w:val="en-AU" w:eastAsia="en-AU"/>
        </w:rPr>
        <w:t>2.</w:t>
      </w:r>
    </w:p>
    <w:p w14:paraId="12573BE0" w14:textId="15E142A3" w:rsidR="00220544" w:rsidRPr="005D74D1" w:rsidRDefault="00220544" w:rsidP="002A738B">
      <w:pPr>
        <w:pStyle w:val="BulletLevel1"/>
        <w:rPr>
          <w:rFonts w:cs="Arial"/>
          <w:lang w:val="en-AU" w:eastAsia="en-AU"/>
        </w:rPr>
      </w:pPr>
      <w:r w:rsidRPr="005D74D1">
        <w:rPr>
          <w:rFonts w:cs="Arial"/>
          <w:lang w:val="en-AU" w:eastAsia="en-AU"/>
        </w:rPr>
        <w:t xml:space="preserve">A review </w:t>
      </w:r>
      <w:r w:rsidR="001E1E61" w:rsidRPr="005D74D1">
        <w:rPr>
          <w:rFonts w:cs="Arial"/>
          <w:lang w:val="en-AU" w:eastAsia="en-AU"/>
        </w:rPr>
        <w:t>was undertaken into</w:t>
      </w:r>
      <w:r w:rsidRPr="005D74D1">
        <w:rPr>
          <w:rFonts w:cs="Arial"/>
          <w:lang w:val="en-AU" w:eastAsia="en-AU"/>
        </w:rPr>
        <w:t xml:space="preserve"> Victoria’s progress implementing a modern risk-based compliance and enforcement framework to manag</w:t>
      </w:r>
      <w:r w:rsidR="000C6A63" w:rsidRPr="005D74D1">
        <w:rPr>
          <w:rFonts w:cs="Arial"/>
          <w:lang w:val="en-AU" w:eastAsia="en-AU"/>
        </w:rPr>
        <w:t>e</w:t>
      </w:r>
      <w:r w:rsidRPr="005D74D1">
        <w:rPr>
          <w:rFonts w:cs="Arial"/>
          <w:lang w:val="en-AU" w:eastAsia="en-AU"/>
        </w:rPr>
        <w:t xml:space="preserve"> unauthorised take</w:t>
      </w:r>
      <w:r w:rsidR="000C6A63" w:rsidRPr="005D74D1">
        <w:rPr>
          <w:rFonts w:cs="Arial"/>
          <w:lang w:val="en-AU" w:eastAsia="en-AU"/>
        </w:rPr>
        <w:t xml:space="preserve"> of water</w:t>
      </w:r>
      <w:r w:rsidR="001E1E61" w:rsidRPr="005D74D1">
        <w:rPr>
          <w:rFonts w:cs="Arial"/>
          <w:lang w:val="en-AU" w:eastAsia="en-AU"/>
        </w:rPr>
        <w:t xml:space="preserve">, </w:t>
      </w:r>
      <w:r w:rsidRPr="005D74D1">
        <w:rPr>
          <w:rFonts w:cs="Arial"/>
          <w:lang w:val="en-AU" w:eastAsia="en-AU"/>
        </w:rPr>
        <w:t>report</w:t>
      </w:r>
      <w:r w:rsidR="001E1E61" w:rsidRPr="005D74D1">
        <w:rPr>
          <w:rFonts w:cs="Arial"/>
          <w:lang w:val="en-AU" w:eastAsia="en-AU"/>
        </w:rPr>
        <w:t>ing</w:t>
      </w:r>
      <w:r w:rsidRPr="005D74D1">
        <w:rPr>
          <w:rFonts w:cs="Arial"/>
          <w:lang w:val="en-AU" w:eastAsia="en-AU"/>
        </w:rPr>
        <w:t xml:space="preserve"> very good progress and significant reductions in unauthorised take.</w:t>
      </w:r>
    </w:p>
    <w:p w14:paraId="50F32934" w14:textId="77777777" w:rsidR="00A50E7D" w:rsidRPr="005D74D1" w:rsidRDefault="00AC30E2" w:rsidP="002A738B">
      <w:pPr>
        <w:pStyle w:val="BulletLevel1"/>
        <w:rPr>
          <w:rFonts w:cs="Arial"/>
          <w:lang w:val="en-AU" w:eastAsia="en-AU"/>
        </w:rPr>
      </w:pPr>
      <w:r w:rsidRPr="005D74D1">
        <w:rPr>
          <w:rFonts w:cs="Arial"/>
          <w:lang w:val="en-AU" w:eastAsia="en-AU"/>
        </w:rPr>
        <w:t xml:space="preserve">An independent survey was conducted to </w:t>
      </w:r>
      <w:r w:rsidR="005F09C4" w:rsidRPr="005D74D1">
        <w:rPr>
          <w:rFonts w:cs="Arial"/>
          <w:lang w:val="en-AU" w:eastAsia="en-AU"/>
        </w:rPr>
        <w:t xml:space="preserve">gather feedback and </w:t>
      </w:r>
      <w:r w:rsidRPr="005D74D1">
        <w:rPr>
          <w:rFonts w:cs="Arial"/>
          <w:lang w:val="en-AU" w:eastAsia="en-AU"/>
        </w:rPr>
        <w:t xml:space="preserve">understand the usefulness of </w:t>
      </w:r>
      <w:r w:rsidR="001A460C" w:rsidRPr="005D74D1">
        <w:rPr>
          <w:rFonts w:cs="Arial"/>
          <w:lang w:val="en-AU" w:eastAsia="en-AU"/>
        </w:rPr>
        <w:t xml:space="preserve">the newly published </w:t>
      </w:r>
      <w:r w:rsidR="001A460C" w:rsidRPr="005D74D1">
        <w:rPr>
          <w:rFonts w:cs="Arial"/>
          <w:i/>
          <w:iCs/>
          <w:lang w:val="en-AU" w:eastAsia="en-AU"/>
        </w:rPr>
        <w:t>Guidelines for Assessing the Impact of Climate Change on Water Availability in Victoria</w:t>
      </w:r>
      <w:r w:rsidR="001A460C" w:rsidRPr="005D74D1">
        <w:rPr>
          <w:rFonts w:cs="Arial"/>
          <w:lang w:val="en-AU" w:eastAsia="en-AU"/>
        </w:rPr>
        <w:t xml:space="preserve"> </w:t>
      </w:r>
      <w:r w:rsidRPr="005D74D1">
        <w:rPr>
          <w:rFonts w:cs="Arial"/>
          <w:lang w:val="en-AU" w:eastAsia="en-AU"/>
        </w:rPr>
        <w:t>to the water secto</w:t>
      </w:r>
      <w:r w:rsidR="00A72B37" w:rsidRPr="005D74D1">
        <w:rPr>
          <w:rFonts w:cs="Arial"/>
          <w:lang w:val="en-AU" w:eastAsia="en-AU"/>
        </w:rPr>
        <w:t>r.</w:t>
      </w:r>
    </w:p>
    <w:p w14:paraId="06431A36" w14:textId="77777777" w:rsidR="00A50E7D" w:rsidRPr="005D74D1" w:rsidRDefault="0096214A" w:rsidP="002A738B">
      <w:pPr>
        <w:pStyle w:val="BulletLevel1"/>
        <w:rPr>
          <w:rFonts w:cs="Arial"/>
          <w:lang w:val="en-AU" w:eastAsia="en-AU"/>
        </w:rPr>
      </w:pPr>
      <w:r w:rsidRPr="005D74D1">
        <w:rPr>
          <w:rFonts w:cs="Arial"/>
          <w:lang w:val="en-AU" w:eastAsia="en-AU"/>
        </w:rPr>
        <w:t xml:space="preserve">An independent evaluation </w:t>
      </w:r>
      <w:r w:rsidR="007F05B2" w:rsidRPr="005D74D1">
        <w:rPr>
          <w:rFonts w:cs="Arial"/>
          <w:lang w:val="en-AU" w:eastAsia="en-AU"/>
        </w:rPr>
        <w:t xml:space="preserve">of the community water efficiency </w:t>
      </w:r>
      <w:r w:rsidR="009D069D" w:rsidRPr="005D74D1">
        <w:rPr>
          <w:rFonts w:cs="Arial"/>
          <w:lang w:val="en-AU" w:eastAsia="en-AU"/>
        </w:rPr>
        <w:t xml:space="preserve">rebates </w:t>
      </w:r>
      <w:r w:rsidR="007F05B2" w:rsidRPr="005D74D1">
        <w:rPr>
          <w:rFonts w:cs="Arial"/>
          <w:lang w:val="en-AU" w:eastAsia="en-AU"/>
        </w:rPr>
        <w:t>programs (CRP and C</w:t>
      </w:r>
      <w:r w:rsidR="00AD13F3" w:rsidRPr="005D74D1">
        <w:rPr>
          <w:rFonts w:cs="Arial"/>
          <w:lang w:val="en-AU" w:eastAsia="en-AU"/>
        </w:rPr>
        <w:t>HRP) w</w:t>
      </w:r>
      <w:r w:rsidRPr="005D74D1">
        <w:rPr>
          <w:rFonts w:cs="Arial"/>
          <w:lang w:val="en-AU" w:eastAsia="en-AU"/>
        </w:rPr>
        <w:t>as conducted</w:t>
      </w:r>
      <w:r w:rsidR="00FA6F84" w:rsidRPr="005D74D1">
        <w:rPr>
          <w:rFonts w:cs="Arial"/>
          <w:lang w:val="en-AU" w:eastAsia="en-AU"/>
        </w:rPr>
        <w:t xml:space="preserve"> during the EC5 period, with findings used to understand the </w:t>
      </w:r>
      <w:r w:rsidR="00571690" w:rsidRPr="005D74D1">
        <w:rPr>
          <w:rFonts w:cs="Arial"/>
          <w:lang w:val="en-AU" w:eastAsia="en-AU"/>
        </w:rPr>
        <w:t>program impacts, and potential for improvements.</w:t>
      </w:r>
    </w:p>
    <w:p w14:paraId="3E9C3937" w14:textId="77777777" w:rsidR="00A50E7D" w:rsidRPr="005D74D1" w:rsidRDefault="00B02FE4" w:rsidP="002A738B">
      <w:pPr>
        <w:pStyle w:val="BulletLevel1"/>
        <w:rPr>
          <w:rFonts w:cs="Arial"/>
          <w:lang w:val="en-AU" w:eastAsia="en-AU"/>
        </w:rPr>
      </w:pPr>
      <w:r w:rsidRPr="005D74D1">
        <w:rPr>
          <w:rFonts w:cs="Arial"/>
          <w:lang w:val="en-AU" w:eastAsia="en-AU"/>
        </w:rPr>
        <w:t xml:space="preserve">The Aboriginal Water Program utilised feedback from partners from </w:t>
      </w:r>
      <w:r w:rsidR="005B1313" w:rsidRPr="005D74D1">
        <w:rPr>
          <w:rFonts w:cs="Arial"/>
          <w:lang w:val="en-AU" w:eastAsia="en-AU"/>
        </w:rPr>
        <w:t>p</w:t>
      </w:r>
      <w:r w:rsidRPr="005D74D1">
        <w:rPr>
          <w:rFonts w:cs="Arial"/>
          <w:lang w:val="en-AU" w:eastAsia="en-AU"/>
        </w:rPr>
        <w:t>hase 1(EC4) to Phase 2 (EC5) to improve program reporting</w:t>
      </w:r>
      <w:r w:rsidR="002A0F92" w:rsidRPr="005D74D1">
        <w:rPr>
          <w:rFonts w:cs="Arial"/>
          <w:lang w:val="en-AU" w:eastAsia="en-AU"/>
        </w:rPr>
        <w:t>,</w:t>
      </w:r>
      <w:r w:rsidRPr="005D74D1">
        <w:rPr>
          <w:rFonts w:cs="Arial"/>
          <w:lang w:val="en-AU" w:eastAsia="en-AU"/>
        </w:rPr>
        <w:t xml:space="preserve"> with changes made to templates and reporting </w:t>
      </w:r>
      <w:r w:rsidR="00B9132D" w:rsidRPr="005D74D1">
        <w:rPr>
          <w:rFonts w:cs="Arial"/>
          <w:lang w:val="en-AU" w:eastAsia="en-AU"/>
        </w:rPr>
        <w:t>lines</w:t>
      </w:r>
      <w:r w:rsidRPr="005D74D1">
        <w:rPr>
          <w:rFonts w:cs="Arial"/>
          <w:lang w:val="en-AU" w:eastAsia="en-AU"/>
        </w:rPr>
        <w:t xml:space="preserve"> that better suit Traditional Owner partners. </w:t>
      </w:r>
      <w:r w:rsidR="007B6845" w:rsidRPr="005D74D1">
        <w:rPr>
          <w:rFonts w:cs="Arial"/>
          <w:lang w:val="en-AU" w:eastAsia="en-AU"/>
        </w:rPr>
        <w:t xml:space="preserve">For example, </w:t>
      </w:r>
      <w:r w:rsidR="006F4D82" w:rsidRPr="005D74D1">
        <w:rPr>
          <w:rFonts w:cs="Arial"/>
          <w:lang w:val="en-AU" w:eastAsia="en-AU"/>
        </w:rPr>
        <w:t xml:space="preserve">partners </w:t>
      </w:r>
      <w:r w:rsidR="002A0F92" w:rsidRPr="005D74D1">
        <w:rPr>
          <w:rFonts w:cs="Arial"/>
          <w:lang w:val="en-AU" w:eastAsia="en-AU"/>
        </w:rPr>
        <w:t>can provide</w:t>
      </w:r>
      <w:r w:rsidR="006F4D82" w:rsidRPr="005D74D1">
        <w:rPr>
          <w:rFonts w:cs="Arial"/>
          <w:lang w:val="en-AU" w:eastAsia="en-AU"/>
        </w:rPr>
        <w:t xml:space="preserve"> verbal reporting </w:t>
      </w:r>
      <w:r w:rsidR="790D4341" w:rsidRPr="005D74D1">
        <w:rPr>
          <w:rFonts w:cs="Arial"/>
          <w:lang w:val="en-AU" w:eastAsia="en-AU"/>
        </w:rPr>
        <w:t>(yarn updates)</w:t>
      </w:r>
      <w:r w:rsidR="006F4D82" w:rsidRPr="005D74D1">
        <w:rPr>
          <w:rFonts w:cs="Arial"/>
          <w:lang w:val="en-AU" w:eastAsia="en-AU"/>
        </w:rPr>
        <w:t xml:space="preserve"> </w:t>
      </w:r>
      <w:r w:rsidR="0087132C" w:rsidRPr="005D74D1">
        <w:rPr>
          <w:rFonts w:cs="Arial"/>
          <w:lang w:val="en-AU" w:eastAsia="en-AU"/>
        </w:rPr>
        <w:t>rather than written reporting.</w:t>
      </w:r>
    </w:p>
    <w:p w14:paraId="690FA651" w14:textId="3C6660CC" w:rsidR="008A198B" w:rsidRPr="005D74D1" w:rsidRDefault="008A198B" w:rsidP="002A738B">
      <w:pPr>
        <w:pStyle w:val="BulletLevel1"/>
        <w:rPr>
          <w:rFonts w:cs="Arial"/>
          <w:lang w:val="en-AU" w:eastAsia="en-AU"/>
        </w:rPr>
      </w:pPr>
      <w:r w:rsidRPr="005D74D1">
        <w:rPr>
          <w:rFonts w:cs="Arial"/>
          <w:lang w:val="en-AU" w:eastAsia="en-AU"/>
        </w:rPr>
        <w:t xml:space="preserve">As part of the Waterway Health project, the CMAs completed evaluations of the implementation of the </w:t>
      </w:r>
      <w:r w:rsidR="00DB419A" w:rsidRPr="005D74D1">
        <w:rPr>
          <w:rFonts w:cs="Arial"/>
          <w:lang w:val="en-AU" w:eastAsia="en-AU"/>
        </w:rPr>
        <w:t>9</w:t>
      </w:r>
      <w:r w:rsidRPr="005D74D1">
        <w:rPr>
          <w:rFonts w:cs="Arial"/>
          <w:lang w:val="en-AU" w:eastAsia="en-AU"/>
        </w:rPr>
        <w:t xml:space="preserve"> Flagship Waterway projects that commenced in EC4. The evaluations were rich with information and learning and have provided a great insight into these significant projects. The collective evaluations helped DEECA understand common issues and opportunities and identify how we can work with CMAs to maximise the value of future evaluations and streamline effort required for CMAs and DEECA, in EC6 and beyond.</w:t>
      </w:r>
    </w:p>
    <w:p w14:paraId="674AC2D5" w14:textId="77777777" w:rsidR="00A50E7D" w:rsidRPr="005D74D1" w:rsidRDefault="5D8B5E20" w:rsidP="7952BA11">
      <w:pPr>
        <w:pStyle w:val="BodyText"/>
        <w:rPr>
          <w:rFonts w:cs="Arial"/>
          <w:lang w:eastAsia="en-AU"/>
        </w:rPr>
      </w:pPr>
      <w:r w:rsidRPr="005D74D1">
        <w:rPr>
          <w:rFonts w:cs="Arial"/>
          <w:lang w:eastAsia="en-AU"/>
        </w:rPr>
        <w:t xml:space="preserve">The broader EC governance also supported continuous learning through the requirement for each </w:t>
      </w:r>
      <w:r w:rsidR="3B325E92" w:rsidRPr="005D74D1">
        <w:rPr>
          <w:rFonts w:cs="Arial"/>
          <w:lang w:eastAsia="en-AU"/>
        </w:rPr>
        <w:t>project</w:t>
      </w:r>
      <w:r w:rsidRPr="005D74D1">
        <w:rPr>
          <w:rFonts w:cs="Arial"/>
          <w:lang w:eastAsia="en-AU"/>
        </w:rPr>
        <w:t xml:space="preserve"> to develop an evaluation plan and </w:t>
      </w:r>
      <w:r w:rsidR="1FFCAE57" w:rsidRPr="005D74D1">
        <w:rPr>
          <w:rFonts w:cs="Arial"/>
          <w:lang w:eastAsia="en-AU"/>
        </w:rPr>
        <w:t>evaluation report</w:t>
      </w:r>
      <w:r w:rsidR="7C3DB43B" w:rsidRPr="005D74D1">
        <w:rPr>
          <w:rFonts w:cs="Arial"/>
          <w:lang w:eastAsia="en-AU"/>
        </w:rPr>
        <w:t xml:space="preserve"> in each EC </w:t>
      </w:r>
      <w:r w:rsidR="735EBB4A" w:rsidRPr="005D74D1">
        <w:rPr>
          <w:rFonts w:cs="Arial"/>
          <w:lang w:eastAsia="en-AU"/>
        </w:rPr>
        <w:t>t</w:t>
      </w:r>
      <w:r w:rsidR="7C3DB43B" w:rsidRPr="005D74D1">
        <w:rPr>
          <w:rFonts w:cs="Arial"/>
          <w:lang w:eastAsia="en-AU"/>
        </w:rPr>
        <w:t xml:space="preserve">ranche, which is used for whole of tranche evaluations, and to foster learning for future </w:t>
      </w:r>
      <w:r w:rsidR="3E5334E4" w:rsidRPr="005D74D1">
        <w:rPr>
          <w:rFonts w:cs="Arial"/>
          <w:lang w:eastAsia="en-AU"/>
        </w:rPr>
        <w:t>t</w:t>
      </w:r>
      <w:r w:rsidR="7C3DB43B" w:rsidRPr="005D74D1">
        <w:rPr>
          <w:rFonts w:cs="Arial"/>
          <w:lang w:eastAsia="en-AU"/>
        </w:rPr>
        <w:t xml:space="preserve">ranches. Investment in </w:t>
      </w:r>
      <w:r w:rsidR="007F3AB7" w:rsidRPr="005D74D1">
        <w:rPr>
          <w:rFonts w:cs="Arial"/>
          <w:lang w:eastAsia="en-AU"/>
        </w:rPr>
        <w:t>capability</w:t>
      </w:r>
      <w:r w:rsidR="7C3DB43B" w:rsidRPr="005D74D1">
        <w:rPr>
          <w:rFonts w:cs="Arial"/>
          <w:lang w:eastAsia="en-AU"/>
        </w:rPr>
        <w:t xml:space="preserve"> building sessions for the EC5 </w:t>
      </w:r>
      <w:r w:rsidR="3B325E92" w:rsidRPr="005D74D1">
        <w:rPr>
          <w:rFonts w:cs="Arial"/>
          <w:lang w:eastAsia="en-AU"/>
        </w:rPr>
        <w:t>project</w:t>
      </w:r>
      <w:r w:rsidR="7C3DB43B" w:rsidRPr="005D74D1">
        <w:rPr>
          <w:rFonts w:cs="Arial"/>
          <w:lang w:eastAsia="en-AU"/>
        </w:rPr>
        <w:t xml:space="preserve"> teams as part of the EC5 evaluation process </w:t>
      </w:r>
      <w:r w:rsidR="5DDAE4E4" w:rsidRPr="005D74D1">
        <w:rPr>
          <w:rFonts w:cs="Arial"/>
          <w:lang w:eastAsia="en-AU"/>
        </w:rPr>
        <w:t>has fostered improvement in the effectiveness of the evaluation plans and reports from EC4 to EC5.</w:t>
      </w:r>
    </w:p>
    <w:p w14:paraId="707DA7C8" w14:textId="6F533CA7" w:rsidR="00E54508" w:rsidRPr="005D74D1" w:rsidRDefault="00E54508" w:rsidP="7952BA11">
      <w:pPr>
        <w:pStyle w:val="BodyText"/>
        <w:rPr>
          <w:rFonts w:cs="Arial"/>
        </w:rPr>
        <w:sectPr w:rsidR="00E54508" w:rsidRPr="005D74D1" w:rsidSect="00AF519B">
          <w:pgSz w:w="11906" w:h="16838" w:code="9"/>
          <w:pgMar w:top="1134" w:right="1134" w:bottom="567" w:left="1134" w:header="567" w:footer="0" w:gutter="0"/>
          <w:cols w:space="720"/>
          <w:docGrid w:linePitch="360"/>
        </w:sectPr>
      </w:pPr>
    </w:p>
    <w:p w14:paraId="5F757396" w14:textId="7709E6DD" w:rsidR="00E54508" w:rsidRPr="00A134A7" w:rsidRDefault="00E54508" w:rsidP="00E54508">
      <w:pPr>
        <w:spacing w:before="100" w:beforeAutospacing="1" w:after="100" w:afterAutospacing="1"/>
        <w:rPr>
          <w:rFonts w:eastAsia="Times New Roman" w:cs="Arial"/>
          <w:sz w:val="24"/>
          <w:szCs w:val="24"/>
        </w:rPr>
      </w:pPr>
      <w:r w:rsidRPr="00A134A7">
        <w:rPr>
          <w:rFonts w:eastAsia="Times New Roman" w:cs="Arial"/>
          <w:noProof/>
          <w:sz w:val="24"/>
          <w:szCs w:val="24"/>
        </w:rPr>
        <w:lastRenderedPageBreak/>
        <w:drawing>
          <wp:anchor distT="0" distB="0" distL="114300" distR="114300" simplePos="0" relativeHeight="251668480" behindDoc="0" locked="0" layoutInCell="1" allowOverlap="1" wp14:anchorId="18D93290" wp14:editId="1994E4D8">
            <wp:simplePos x="723900" y="1304925"/>
            <wp:positionH relativeFrom="page">
              <wp:align>left</wp:align>
            </wp:positionH>
            <wp:positionV relativeFrom="page">
              <wp:align>top</wp:align>
            </wp:positionV>
            <wp:extent cx="7562088" cy="10689336"/>
            <wp:effectExtent l="0" t="0" r="1270" b="0"/>
            <wp:wrapNone/>
            <wp:docPr id="182259443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7562088" cy="1068933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33D6B0" w14:textId="77777777" w:rsidR="00E54508" w:rsidRPr="005D74D1" w:rsidRDefault="00E54508" w:rsidP="7952BA11">
      <w:pPr>
        <w:pStyle w:val="BodyText"/>
        <w:rPr>
          <w:rFonts w:cs="Arial"/>
        </w:rPr>
      </w:pPr>
    </w:p>
    <w:p w14:paraId="33C92D14" w14:textId="77777777" w:rsidR="00E54508" w:rsidRPr="005D74D1" w:rsidRDefault="00E54508" w:rsidP="7952BA11">
      <w:pPr>
        <w:pStyle w:val="BodyText"/>
        <w:rPr>
          <w:rFonts w:cs="Arial"/>
        </w:rPr>
      </w:pPr>
    </w:p>
    <w:p w14:paraId="1F9A86F0" w14:textId="77777777" w:rsidR="00E54508" w:rsidRPr="005D74D1" w:rsidRDefault="00E54508" w:rsidP="7952BA11">
      <w:pPr>
        <w:pStyle w:val="BodyText"/>
        <w:rPr>
          <w:rFonts w:cs="Arial"/>
        </w:rPr>
        <w:sectPr w:rsidR="00E54508" w:rsidRPr="005D74D1" w:rsidSect="00AF519B">
          <w:pgSz w:w="11906" w:h="16838" w:code="9"/>
          <w:pgMar w:top="1134" w:right="1134" w:bottom="567" w:left="1134" w:header="567" w:footer="0" w:gutter="0"/>
          <w:cols w:space="720"/>
          <w:docGrid w:linePitch="360"/>
        </w:sectPr>
      </w:pPr>
    </w:p>
    <w:p w14:paraId="000B2FF8" w14:textId="488A1D4C" w:rsidR="001B46EB" w:rsidRPr="005D74D1" w:rsidRDefault="00AD3B2C" w:rsidP="001B46EB">
      <w:pPr>
        <w:pStyle w:val="Heading1"/>
        <w:rPr>
          <w:rFonts w:cs="Arial"/>
        </w:rPr>
      </w:pPr>
      <w:bookmarkStart w:id="727" w:name="_Toc147329352"/>
      <w:bookmarkStart w:id="728" w:name="_Toc183777382"/>
      <w:r w:rsidRPr="00A134A7">
        <w:rPr>
          <w:rFonts w:cs="Arial"/>
          <w:noProof/>
        </w:rPr>
        <w:lastRenderedPageBreak/>
        <mc:AlternateContent>
          <mc:Choice Requires="wps">
            <w:drawing>
              <wp:anchor distT="45720" distB="45720" distL="114300" distR="114300" simplePos="0" relativeHeight="251705344" behindDoc="0" locked="0" layoutInCell="1" allowOverlap="1" wp14:anchorId="7D3DC8BB" wp14:editId="3BD18473">
                <wp:simplePos x="0" y="0"/>
                <wp:positionH relativeFrom="margin">
                  <wp:align>right</wp:align>
                </wp:positionH>
                <wp:positionV relativeFrom="paragraph">
                  <wp:posOffset>508000</wp:posOffset>
                </wp:positionV>
                <wp:extent cx="6096000" cy="1404620"/>
                <wp:effectExtent l="0" t="0" r="19050" b="26670"/>
                <wp:wrapSquare wrapText="bothSides"/>
                <wp:docPr id="20230814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1404620"/>
                        </a:xfrm>
                        <a:prstGeom prst="rect">
                          <a:avLst/>
                        </a:prstGeom>
                        <a:solidFill>
                          <a:schemeClr val="bg1">
                            <a:lumMod val="95000"/>
                          </a:schemeClr>
                        </a:solidFill>
                        <a:ln w="9525">
                          <a:solidFill>
                            <a:srgbClr val="000000"/>
                          </a:solidFill>
                          <a:miter lim="800000"/>
                          <a:headEnd/>
                          <a:tailEnd/>
                        </a:ln>
                      </wps:spPr>
                      <wps:txbx>
                        <w:txbxContent>
                          <w:p w14:paraId="7F398EBB" w14:textId="77777777" w:rsidR="00AD3B2C" w:rsidRPr="00975B72" w:rsidRDefault="00AD3B2C" w:rsidP="00AD3B2C">
                            <w:pPr>
                              <w:pStyle w:val="BodyText"/>
                              <w:ind w:right="170"/>
                              <w:rPr>
                                <w:b/>
                                <w:sz w:val="24"/>
                                <w:szCs w:val="24"/>
                              </w:rPr>
                            </w:pPr>
                            <w:r w:rsidRPr="00975B72">
                              <w:rPr>
                                <w:b/>
                                <w:sz w:val="24"/>
                                <w:szCs w:val="24"/>
                              </w:rPr>
                              <w:t>Key findings</w:t>
                            </w:r>
                          </w:p>
                          <w:p w14:paraId="5E259637" w14:textId="77777777" w:rsidR="00AD3B2C" w:rsidRPr="00975B72" w:rsidRDefault="00AD3B2C" w:rsidP="00AD3B2C">
                            <w:pPr>
                              <w:pStyle w:val="BulletLevel1"/>
                              <w:rPr>
                                <w:lang w:val="en-AU"/>
                              </w:rPr>
                            </w:pPr>
                            <w:r w:rsidRPr="00975B72">
                              <w:rPr>
                                <w:b/>
                                <w:bCs/>
                                <w:lang w:val="en-AU"/>
                              </w:rPr>
                              <w:t>Efficiency through delivery:</w:t>
                            </w:r>
                            <w:r w:rsidRPr="00975B72">
                              <w:rPr>
                                <w:lang w:val="en-AU"/>
                              </w:rPr>
                              <w:t xml:space="preserve"> </w:t>
                            </w:r>
                            <w:r>
                              <w:rPr>
                                <w:lang w:val="en-AU"/>
                              </w:rPr>
                              <w:t>M</w:t>
                            </w:r>
                            <w:r w:rsidRPr="00975B72">
                              <w:rPr>
                                <w:lang w:val="en-AU"/>
                              </w:rPr>
                              <w:t>any of the projects deliver</w:t>
                            </w:r>
                            <w:r>
                              <w:rPr>
                                <w:lang w:val="en-AU"/>
                              </w:rPr>
                              <w:t>ed</w:t>
                            </w:r>
                            <w:r w:rsidRPr="00975B72">
                              <w:rPr>
                                <w:lang w:val="en-AU"/>
                              </w:rPr>
                              <w:t xml:space="preserve"> their work programs on budget and on time</w:t>
                            </w:r>
                            <w:r>
                              <w:rPr>
                                <w:lang w:val="en-AU"/>
                              </w:rPr>
                              <w:t xml:space="preserve">, and where there were variances these were justified in project reporting. Reasons for variation from original work plans included </w:t>
                            </w:r>
                            <w:r w:rsidRPr="00975B72">
                              <w:rPr>
                                <w:lang w:val="en-AU"/>
                              </w:rPr>
                              <w:t>escalating prices due to supply chain issues, lack of staff availability and staff turnover, delays due to COVID-19 restriction</w:t>
                            </w:r>
                            <w:r>
                              <w:rPr>
                                <w:lang w:val="en-AU"/>
                              </w:rPr>
                              <w:t xml:space="preserve">s, </w:t>
                            </w:r>
                            <w:r w:rsidRPr="00975B72">
                              <w:rPr>
                                <w:lang w:val="en-AU"/>
                              </w:rPr>
                              <w:t>disruptions from the flood and bushfire events</w:t>
                            </w:r>
                            <w:r>
                              <w:rPr>
                                <w:lang w:val="en-AU"/>
                              </w:rPr>
                              <w:t>, and higher resource requirements for project elements than was initially planned.</w:t>
                            </w:r>
                          </w:p>
                          <w:p w14:paraId="6300A69A" w14:textId="77777777" w:rsidR="00AD3B2C" w:rsidRPr="00975B72" w:rsidRDefault="00AD3B2C" w:rsidP="00AD3B2C">
                            <w:pPr>
                              <w:pStyle w:val="BulletLevel1"/>
                              <w:rPr>
                                <w:lang w:val="en-AU"/>
                              </w:rPr>
                            </w:pPr>
                            <w:r w:rsidRPr="00975B72">
                              <w:rPr>
                                <w:b/>
                                <w:bCs/>
                                <w:lang w:val="en-AU"/>
                              </w:rPr>
                              <w:t>Working with others to achieve better outcomes:</w:t>
                            </w:r>
                            <w:r w:rsidRPr="00975B72">
                              <w:rPr>
                                <w:lang w:val="en-AU"/>
                              </w:rPr>
                              <w:t xml:space="preserve"> </w:t>
                            </w:r>
                            <w:r>
                              <w:rPr>
                                <w:lang w:val="en-AU"/>
                              </w:rPr>
                              <w:t>Almost all (</w:t>
                            </w:r>
                            <w:r w:rsidRPr="00975B72">
                              <w:rPr>
                                <w:lang w:val="en-AU"/>
                              </w:rPr>
                              <w:t>89%</w:t>
                            </w:r>
                            <w:r>
                              <w:rPr>
                                <w:lang w:val="en-AU"/>
                              </w:rPr>
                              <w:t>)</w:t>
                            </w:r>
                            <w:r w:rsidRPr="00975B72">
                              <w:rPr>
                                <w:lang w:val="en-AU"/>
                              </w:rPr>
                              <w:t xml:space="preserve"> of the project</w:t>
                            </w:r>
                            <w:r>
                              <w:rPr>
                                <w:lang w:val="en-AU"/>
                              </w:rPr>
                              <w:t xml:space="preserve"> team</w:t>
                            </w:r>
                            <w:r w:rsidRPr="00975B72">
                              <w:rPr>
                                <w:lang w:val="en-AU"/>
                              </w:rPr>
                              <w:t>s agreed that efficiencies were gained through working together with other project</w:t>
                            </w:r>
                            <w:r>
                              <w:rPr>
                                <w:lang w:val="en-AU"/>
                              </w:rPr>
                              <w:t xml:space="preserve"> team</w:t>
                            </w:r>
                            <w:r w:rsidRPr="00975B72">
                              <w:rPr>
                                <w:lang w:val="en-AU"/>
                              </w:rPr>
                              <w:t>s</w:t>
                            </w:r>
                            <w:r>
                              <w:rPr>
                                <w:lang w:val="en-AU"/>
                              </w:rPr>
                              <w:t>, and many reported this as a key enabler of successful delivery</w:t>
                            </w:r>
                            <w:r w:rsidRPr="00975B72">
                              <w:rPr>
                                <w:lang w:val="en-AU"/>
                              </w:rPr>
                              <w:t xml:space="preserve">. The main ways that efficiencies were gained was through knowledge sharing between groups, cost sharing, </w:t>
                            </w:r>
                            <w:r>
                              <w:rPr>
                                <w:lang w:val="en-AU"/>
                              </w:rPr>
                              <w:t xml:space="preserve">partnerships </w:t>
                            </w:r>
                            <w:r w:rsidRPr="00975B72">
                              <w:rPr>
                                <w:lang w:val="en-AU"/>
                              </w:rPr>
                              <w:t>and workload sharing and distribution.</w:t>
                            </w:r>
                          </w:p>
                          <w:p w14:paraId="2B044DFE" w14:textId="77777777" w:rsidR="00AD3B2C" w:rsidRPr="00975B72" w:rsidRDefault="00AD3B2C" w:rsidP="00AD3B2C">
                            <w:pPr>
                              <w:pStyle w:val="BulletLevel1"/>
                              <w:rPr>
                                <w:lang w:val="en-AU"/>
                              </w:rPr>
                            </w:pPr>
                            <w:r w:rsidRPr="00975B72">
                              <w:rPr>
                                <w:b/>
                                <w:bCs/>
                                <w:lang w:val="en-AU"/>
                              </w:rPr>
                              <w:t>Leveraging additional funding sources:</w:t>
                            </w:r>
                            <w:r w:rsidRPr="00975B72">
                              <w:rPr>
                                <w:lang w:val="en-AU"/>
                              </w:rPr>
                              <w:t xml:space="preserve"> The EC5 $693.85 million investment was augmented by significant co-investment over the tranche. Investment programs were co-funded by a total reported amount of </w:t>
                            </w:r>
                            <w:r w:rsidRPr="008D353C">
                              <w:t xml:space="preserve">$347.9 million. This represents $0.50 </w:t>
                            </w:r>
                            <w:r w:rsidRPr="00975B72">
                              <w:rPr>
                                <w:lang w:val="en-AU"/>
                              </w:rPr>
                              <w:t>in co-investment for every dollar of investment from the EC. This is considered a conservative estimate, with many areas also reporting co-investment of funding and other resources that were not quantified</w:t>
                            </w:r>
                            <w:r>
                              <w:rPr>
                                <w:lang w:val="en-AU"/>
                              </w:rPr>
                              <w:t xml:space="preserve"> in the project evaluations</w:t>
                            </w:r>
                            <w:r w:rsidRPr="00975B72">
                              <w:rPr>
                                <w:lang w:val="en-AU"/>
                              </w:rPr>
                              <w:t>.</w:t>
                            </w:r>
                          </w:p>
                          <w:p w14:paraId="4837060E" w14:textId="1A0B69DA" w:rsidR="00AD3B2C" w:rsidRDefault="00AD3B2C" w:rsidP="00AD3B2C">
                            <w:pPr>
                              <w:pStyle w:val="BulletLevel1"/>
                            </w:pPr>
                            <w:r w:rsidRPr="00975B72">
                              <w:rPr>
                                <w:b/>
                                <w:bCs/>
                              </w:rPr>
                              <w:t>Options assessment</w:t>
                            </w:r>
                            <w:r>
                              <w:rPr>
                                <w:b/>
                                <w:bCs/>
                              </w:rPr>
                              <w:t>s</w:t>
                            </w:r>
                            <w:r w:rsidRPr="00975B72">
                              <w:rPr>
                                <w:b/>
                                <w:bCs/>
                              </w:rPr>
                              <w:t>:</w:t>
                            </w:r>
                            <w:r w:rsidRPr="00975B72">
                              <w:t xml:space="preserve"> </w:t>
                            </w:r>
                            <w:r>
                              <w:t>O</w:t>
                            </w:r>
                            <w:r w:rsidRPr="00975B72">
                              <w:t>ptions assessment and/or cost</w:t>
                            </w:r>
                            <w:r>
                              <w:t>-</w:t>
                            </w:r>
                            <w:r w:rsidRPr="00975B72">
                              <w:t xml:space="preserve">benefit analyses </w:t>
                            </w:r>
                            <w:r>
                              <w:t xml:space="preserve">were undertaken by 79% of projects </w:t>
                            </w:r>
                            <w:r w:rsidRPr="00975B72">
                              <w:t>to support project decision-making. Th</w:t>
                            </w:r>
                            <w:r>
                              <w:t xml:space="preserve">ese approaches </w:t>
                            </w:r>
                            <w:r w:rsidRPr="00975B72">
                              <w:t>support</w:t>
                            </w:r>
                            <w:r>
                              <w:t>ed</w:t>
                            </w:r>
                            <w:r w:rsidRPr="00975B72">
                              <w:t xml:space="preserve"> efficient delivery through using structured processes to make investment decisions. Examples of </w:t>
                            </w:r>
                            <w:r>
                              <w:t>analytical</w:t>
                            </w:r>
                            <w:r w:rsidRPr="00975B72">
                              <w:t xml:space="preserve"> approaches that were used included: options papers, cost</w:t>
                            </w:r>
                            <w:r>
                              <w:t>-</w:t>
                            </w:r>
                            <w:r w:rsidRPr="00975B72">
                              <w:t>benefit tools, best cost options analyses, value for money assessments.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D3DC8BB" id="_x0000_s1029" type="#_x0000_t202" style="position:absolute;left:0;text-align:left;margin-left:428.8pt;margin-top:40pt;width:480pt;height:110.6pt;z-index:25170534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" fillcolor="#f2f2f2 [3052]">
                <v:textbox style="mso-fit-shape-to-text:t">
                  <w:txbxContent>
                    <w:p w14:paraId="7F398EBB" w14:textId="77777777" w:rsidR="00AD3B2C" w:rsidRPr="00975B72" w:rsidRDefault="00AD3B2C" w:rsidP="00AD3B2C">
                      <w:pPr>
                        <w:pStyle w:val="BodyText"/>
                        <w:ind w:right="170"/>
                        <w:rPr>
                          <w:b/>
                          <w:sz w:val="24"/>
                          <w:szCs w:val="24"/>
                        </w:rPr>
                      </w:pPr>
                      <w:r w:rsidRPr="00975B72">
                        <w:rPr>
                          <w:b/>
                          <w:sz w:val="24"/>
                          <w:szCs w:val="24"/>
                        </w:rPr>
                        <w:t>Key findings</w:t>
                      </w:r>
                    </w:p>
                    <w:p w14:paraId="5E259637" w14:textId="77777777" w:rsidR="00AD3B2C" w:rsidRPr="00975B72" w:rsidRDefault="00AD3B2C" w:rsidP="00AD3B2C">
                      <w:pPr>
                        <w:pStyle w:val="BulletLevel1"/>
                        <w:rPr>
                          <w:lang w:val="en-AU"/>
                        </w:rPr>
                      </w:pPr>
                      <w:r w:rsidRPr="00975B72">
                        <w:rPr>
                          <w:b/>
                          <w:bCs/>
                          <w:lang w:val="en-AU"/>
                        </w:rPr>
                        <w:t>Efficiency through delivery:</w:t>
                      </w:r>
                      <w:r w:rsidRPr="00975B72">
                        <w:rPr>
                          <w:lang w:val="en-AU"/>
                        </w:rPr>
                        <w:t xml:space="preserve"> </w:t>
                      </w:r>
                      <w:r>
                        <w:rPr>
                          <w:lang w:val="en-AU"/>
                        </w:rPr>
                        <w:t>M</w:t>
                      </w:r>
                      <w:r w:rsidRPr="00975B72">
                        <w:rPr>
                          <w:lang w:val="en-AU"/>
                        </w:rPr>
                        <w:t>any of the projects deliver</w:t>
                      </w:r>
                      <w:r>
                        <w:rPr>
                          <w:lang w:val="en-AU"/>
                        </w:rPr>
                        <w:t>ed</w:t>
                      </w:r>
                      <w:r w:rsidRPr="00975B72">
                        <w:rPr>
                          <w:lang w:val="en-AU"/>
                        </w:rPr>
                        <w:t xml:space="preserve"> their work programs on budget and on time</w:t>
                      </w:r>
                      <w:r>
                        <w:rPr>
                          <w:lang w:val="en-AU"/>
                        </w:rPr>
                        <w:t xml:space="preserve">, and where there were variances these were justified in project reporting. Reasons for variation from original work plans included </w:t>
                      </w:r>
                      <w:r w:rsidRPr="00975B72">
                        <w:rPr>
                          <w:lang w:val="en-AU"/>
                        </w:rPr>
                        <w:t>escalating prices due to supply chain issues, lack of staff availability and staff turnover, delays due to COVID-19 restriction</w:t>
                      </w:r>
                      <w:r>
                        <w:rPr>
                          <w:lang w:val="en-AU"/>
                        </w:rPr>
                        <w:t xml:space="preserve">s, </w:t>
                      </w:r>
                      <w:r w:rsidRPr="00975B72">
                        <w:rPr>
                          <w:lang w:val="en-AU"/>
                        </w:rPr>
                        <w:t>disruptions from the flood and bushfire events</w:t>
                      </w:r>
                      <w:r>
                        <w:rPr>
                          <w:lang w:val="en-AU"/>
                        </w:rPr>
                        <w:t>, and higher resource requirements for project elements than was initially planned.</w:t>
                      </w:r>
                    </w:p>
                    <w:p w14:paraId="6300A69A" w14:textId="77777777" w:rsidR="00AD3B2C" w:rsidRPr="00975B72" w:rsidRDefault="00AD3B2C" w:rsidP="00AD3B2C">
                      <w:pPr>
                        <w:pStyle w:val="BulletLevel1"/>
                        <w:rPr>
                          <w:lang w:val="en-AU"/>
                        </w:rPr>
                      </w:pPr>
                      <w:r w:rsidRPr="00975B72">
                        <w:rPr>
                          <w:b/>
                          <w:bCs/>
                          <w:lang w:val="en-AU"/>
                        </w:rPr>
                        <w:t>Working with others to achieve better outcomes:</w:t>
                      </w:r>
                      <w:r w:rsidRPr="00975B72">
                        <w:rPr>
                          <w:lang w:val="en-AU"/>
                        </w:rPr>
                        <w:t xml:space="preserve"> </w:t>
                      </w:r>
                      <w:r>
                        <w:rPr>
                          <w:lang w:val="en-AU"/>
                        </w:rPr>
                        <w:t>Almost all (</w:t>
                      </w:r>
                      <w:r w:rsidRPr="00975B72">
                        <w:rPr>
                          <w:lang w:val="en-AU"/>
                        </w:rPr>
                        <w:t>89%</w:t>
                      </w:r>
                      <w:r>
                        <w:rPr>
                          <w:lang w:val="en-AU"/>
                        </w:rPr>
                        <w:t>)</w:t>
                      </w:r>
                      <w:r w:rsidRPr="00975B72">
                        <w:rPr>
                          <w:lang w:val="en-AU"/>
                        </w:rPr>
                        <w:t xml:space="preserve"> of the project</w:t>
                      </w:r>
                      <w:r>
                        <w:rPr>
                          <w:lang w:val="en-AU"/>
                        </w:rPr>
                        <w:t xml:space="preserve"> team</w:t>
                      </w:r>
                      <w:r w:rsidRPr="00975B72">
                        <w:rPr>
                          <w:lang w:val="en-AU"/>
                        </w:rPr>
                        <w:t>s agreed that efficiencies were gained through working together with other project</w:t>
                      </w:r>
                      <w:r>
                        <w:rPr>
                          <w:lang w:val="en-AU"/>
                        </w:rPr>
                        <w:t xml:space="preserve"> team</w:t>
                      </w:r>
                      <w:r w:rsidRPr="00975B72">
                        <w:rPr>
                          <w:lang w:val="en-AU"/>
                        </w:rPr>
                        <w:t>s</w:t>
                      </w:r>
                      <w:r>
                        <w:rPr>
                          <w:lang w:val="en-AU"/>
                        </w:rPr>
                        <w:t>, and many reported this as a key enabler of successful delivery</w:t>
                      </w:r>
                      <w:r w:rsidRPr="00975B72">
                        <w:rPr>
                          <w:lang w:val="en-AU"/>
                        </w:rPr>
                        <w:t xml:space="preserve">. The main ways that efficiencies were gained was through knowledge sharing between groups, cost sharing, </w:t>
                      </w:r>
                      <w:r>
                        <w:rPr>
                          <w:lang w:val="en-AU"/>
                        </w:rPr>
                        <w:t xml:space="preserve">partnerships </w:t>
                      </w:r>
                      <w:r w:rsidRPr="00975B72">
                        <w:rPr>
                          <w:lang w:val="en-AU"/>
                        </w:rPr>
                        <w:t>and workload sharing and distribution.</w:t>
                      </w:r>
                    </w:p>
                    <w:p w14:paraId="2B044DFE" w14:textId="77777777" w:rsidR="00AD3B2C" w:rsidRPr="00975B72" w:rsidRDefault="00AD3B2C" w:rsidP="00AD3B2C">
                      <w:pPr>
                        <w:pStyle w:val="BulletLevel1"/>
                        <w:rPr>
                          <w:lang w:val="en-AU"/>
                        </w:rPr>
                      </w:pPr>
                      <w:r w:rsidRPr="00975B72">
                        <w:rPr>
                          <w:b/>
                          <w:bCs/>
                          <w:lang w:val="en-AU"/>
                        </w:rPr>
                        <w:t>Leveraging additional funding sources:</w:t>
                      </w:r>
                      <w:r w:rsidRPr="00975B72">
                        <w:rPr>
                          <w:lang w:val="en-AU"/>
                        </w:rPr>
                        <w:t xml:space="preserve"> The EC5 $693.85 million investment was augmented by significant co-investment over the tranche. Investment programs were co-funded by a total reported amount of </w:t>
                      </w:r>
                      <w:r w:rsidRPr="008D353C">
                        <w:t xml:space="preserve">$347.9 million. This represents $0.50 </w:t>
                      </w:r>
                      <w:r w:rsidRPr="00975B72">
                        <w:rPr>
                          <w:lang w:val="en-AU"/>
                        </w:rPr>
                        <w:t>in co-investment for every dollar of investment from the EC. This is considered a conservative estimate, with many areas also reporting co-investment of funding and other resources that were not quantified</w:t>
                      </w:r>
                      <w:r>
                        <w:rPr>
                          <w:lang w:val="en-AU"/>
                        </w:rPr>
                        <w:t xml:space="preserve"> in the project evaluations</w:t>
                      </w:r>
                      <w:r w:rsidRPr="00975B72">
                        <w:rPr>
                          <w:lang w:val="en-AU"/>
                        </w:rPr>
                        <w:t>.</w:t>
                      </w:r>
                    </w:p>
                    <w:p w14:paraId="4837060E" w14:textId="1A0B69DA" w:rsidR="00AD3B2C" w:rsidRDefault="00AD3B2C" w:rsidP="00AD3B2C">
                      <w:pPr>
                        <w:pStyle w:val="BulletLevel1"/>
                      </w:pPr>
                      <w:r w:rsidRPr="00975B72">
                        <w:rPr>
                          <w:b/>
                          <w:bCs/>
                        </w:rPr>
                        <w:t>Options assessment</w:t>
                      </w:r>
                      <w:r>
                        <w:rPr>
                          <w:b/>
                          <w:bCs/>
                        </w:rPr>
                        <w:t>s</w:t>
                      </w:r>
                      <w:r w:rsidRPr="00975B72">
                        <w:rPr>
                          <w:b/>
                          <w:bCs/>
                        </w:rPr>
                        <w:t>:</w:t>
                      </w:r>
                      <w:r w:rsidRPr="00975B72">
                        <w:t xml:space="preserve"> </w:t>
                      </w:r>
                      <w:r>
                        <w:t>O</w:t>
                      </w:r>
                      <w:r w:rsidRPr="00975B72">
                        <w:t>ptions assessment and/or cost</w:t>
                      </w:r>
                      <w:r>
                        <w:t>-</w:t>
                      </w:r>
                      <w:r w:rsidRPr="00975B72">
                        <w:t xml:space="preserve">benefit analyses </w:t>
                      </w:r>
                      <w:r>
                        <w:t xml:space="preserve">were undertaken by 79% of projects </w:t>
                      </w:r>
                      <w:r w:rsidRPr="00975B72">
                        <w:t>to support project decision-making. Th</w:t>
                      </w:r>
                      <w:r>
                        <w:t xml:space="preserve">ese approaches </w:t>
                      </w:r>
                      <w:r w:rsidRPr="00975B72">
                        <w:t>support</w:t>
                      </w:r>
                      <w:r>
                        <w:t>ed</w:t>
                      </w:r>
                      <w:r w:rsidRPr="00975B72">
                        <w:t xml:space="preserve"> efficient delivery through using structured processes to make investment decisions. Examples of </w:t>
                      </w:r>
                      <w:r>
                        <w:t>analytical</w:t>
                      </w:r>
                      <w:r w:rsidRPr="00975B72">
                        <w:t xml:space="preserve"> approaches that were used included: options papers, cost</w:t>
                      </w:r>
                      <w:r>
                        <w:t>-</w:t>
                      </w:r>
                      <w:r w:rsidRPr="00975B72">
                        <w:t>benefit tools, best cost options analyses, value for money assessments.</w:t>
                      </w:r>
                    </w:p>
                  </w:txbxContent>
                </v:textbox>
                <w10:wrap type="square" anchorx="margin"/>
              </v:shape>
            </w:pict>
          </mc:Fallback>
        </mc:AlternateContent>
      </w:r>
      <w:r w:rsidR="001B46EB" w:rsidRPr="005D74D1">
        <w:rPr>
          <w:rFonts w:cs="Arial"/>
        </w:rPr>
        <w:t xml:space="preserve">Evaluation of </w:t>
      </w:r>
      <w:r w:rsidR="00FF0E2F" w:rsidRPr="005D74D1">
        <w:rPr>
          <w:rFonts w:cs="Arial"/>
        </w:rPr>
        <w:t>efficiency</w:t>
      </w:r>
      <w:bookmarkEnd w:id="727"/>
      <w:bookmarkEnd w:id="728"/>
    </w:p>
    <w:p w14:paraId="32054715" w14:textId="77777777" w:rsidR="00AD3B2C" w:rsidRPr="005D74D1" w:rsidRDefault="00AD3B2C" w:rsidP="00AD3B2C">
      <w:pPr>
        <w:pStyle w:val="BodyText"/>
        <w:rPr>
          <w:rFonts w:cs="Arial"/>
        </w:rPr>
      </w:pPr>
    </w:p>
    <w:p w14:paraId="7B348DB7" w14:textId="68022541" w:rsidR="001B46EB" w:rsidRPr="005D74D1" w:rsidRDefault="001B46EB" w:rsidP="001B46EB">
      <w:pPr>
        <w:pStyle w:val="Heading2"/>
        <w:rPr>
          <w:rFonts w:cs="Arial"/>
        </w:rPr>
      </w:pPr>
      <w:bookmarkStart w:id="729" w:name="_Toc147329353"/>
      <w:bookmarkStart w:id="730" w:name="_Toc183777383"/>
      <w:r w:rsidRPr="005D74D1">
        <w:rPr>
          <w:rFonts w:cs="Arial"/>
        </w:rPr>
        <w:t>Overview</w:t>
      </w:r>
      <w:bookmarkEnd w:id="729"/>
      <w:bookmarkEnd w:id="730"/>
    </w:p>
    <w:p w14:paraId="3B7A76FF" w14:textId="77777777" w:rsidR="00A50E7D" w:rsidRPr="005D74D1" w:rsidRDefault="005F34AD" w:rsidP="005F34AD">
      <w:pPr>
        <w:pStyle w:val="BodyText"/>
        <w:rPr>
          <w:rFonts w:cs="Arial"/>
        </w:rPr>
      </w:pPr>
      <w:r w:rsidRPr="005D74D1">
        <w:rPr>
          <w:rFonts w:cs="Arial"/>
        </w:rPr>
        <w:t>The efficiency</w:t>
      </w:r>
      <w:r w:rsidR="00406C7F" w:rsidRPr="005D74D1">
        <w:rPr>
          <w:rFonts w:cs="Arial"/>
        </w:rPr>
        <w:t xml:space="preserve"> and value for money</w:t>
      </w:r>
      <w:r w:rsidRPr="005D74D1">
        <w:rPr>
          <w:rFonts w:cs="Arial"/>
        </w:rPr>
        <w:t xml:space="preserve"> of EC5 implementation to the </w:t>
      </w:r>
      <w:r w:rsidR="00245AE9" w:rsidRPr="005D74D1">
        <w:rPr>
          <w:rFonts w:cs="Arial"/>
        </w:rPr>
        <w:t>E</w:t>
      </w:r>
      <w:r w:rsidRPr="005D74D1">
        <w:rPr>
          <w:rFonts w:cs="Arial"/>
        </w:rPr>
        <w:t>nd</w:t>
      </w:r>
      <w:r w:rsidR="00E97725" w:rsidRPr="005D74D1">
        <w:rPr>
          <w:rFonts w:cs="Arial"/>
        </w:rPr>
        <w:t>-</w:t>
      </w:r>
      <w:r w:rsidRPr="005D74D1">
        <w:rPr>
          <w:rFonts w:cs="Arial"/>
        </w:rPr>
        <w:t>of</w:t>
      </w:r>
      <w:r w:rsidR="00E97725" w:rsidRPr="005D74D1">
        <w:rPr>
          <w:rFonts w:cs="Arial"/>
        </w:rPr>
        <w:t>-</w:t>
      </w:r>
      <w:r w:rsidR="00245AE9" w:rsidRPr="005D74D1">
        <w:rPr>
          <w:rFonts w:cs="Arial"/>
        </w:rPr>
        <w:t>T</w:t>
      </w:r>
      <w:r w:rsidRPr="005D74D1">
        <w:rPr>
          <w:rFonts w:cs="Arial"/>
        </w:rPr>
        <w:t xml:space="preserve">ranche </w:t>
      </w:r>
      <w:r w:rsidR="002075C2" w:rsidRPr="005D74D1">
        <w:rPr>
          <w:rFonts w:cs="Arial"/>
        </w:rPr>
        <w:t>was</w:t>
      </w:r>
      <w:r w:rsidRPr="005D74D1">
        <w:rPr>
          <w:rFonts w:cs="Arial"/>
        </w:rPr>
        <w:t xml:space="preserve"> assessed through the following KEQ</w:t>
      </w:r>
      <w:r w:rsidR="00406C7F" w:rsidRPr="005D74D1">
        <w:rPr>
          <w:rFonts w:cs="Arial"/>
        </w:rPr>
        <w:t>s</w:t>
      </w:r>
      <w:r w:rsidRPr="005D74D1">
        <w:rPr>
          <w:rFonts w:cs="Arial"/>
        </w:rPr>
        <w:t>:</w:t>
      </w:r>
    </w:p>
    <w:p w14:paraId="1BD90CE7" w14:textId="3DA9F074" w:rsidR="009F1BB2" w:rsidRPr="005D74D1" w:rsidRDefault="009F1BB2" w:rsidP="002A738B">
      <w:pPr>
        <w:pStyle w:val="BulletLevel1"/>
        <w:rPr>
          <w:rFonts w:cs="Arial"/>
          <w:lang w:val="en-AU"/>
        </w:rPr>
      </w:pPr>
      <w:r w:rsidRPr="005D74D1">
        <w:rPr>
          <w:rFonts w:cs="Arial"/>
          <w:lang w:val="en-AU"/>
        </w:rPr>
        <w:t>How has EC5 demonstrated efficiency through delivery?</w:t>
      </w:r>
    </w:p>
    <w:p w14:paraId="43F41EDC" w14:textId="77777777" w:rsidR="00A50E7D" w:rsidRPr="005D74D1" w:rsidRDefault="00406C7F" w:rsidP="002A738B">
      <w:pPr>
        <w:pStyle w:val="BulletLevel1"/>
        <w:rPr>
          <w:rFonts w:cs="Arial"/>
          <w:lang w:val="en-AU"/>
        </w:rPr>
      </w:pPr>
      <w:r w:rsidRPr="005D74D1">
        <w:rPr>
          <w:rFonts w:cs="Arial"/>
          <w:lang w:val="en-AU"/>
        </w:rPr>
        <w:t>To what extent were efficiencies gained through working together with others to achieve better</w:t>
      </w:r>
      <w:r w:rsidR="005A526D" w:rsidRPr="005D74D1">
        <w:rPr>
          <w:rFonts w:cs="Arial"/>
          <w:lang w:val="en-AU"/>
        </w:rPr>
        <w:t> </w:t>
      </w:r>
      <w:r w:rsidRPr="005D74D1">
        <w:rPr>
          <w:rFonts w:cs="Arial"/>
          <w:lang w:val="en-AU"/>
        </w:rPr>
        <w:t>outcomes?</w:t>
      </w:r>
    </w:p>
    <w:p w14:paraId="243D35D5" w14:textId="4CA07D4F" w:rsidR="00406C7F" w:rsidRPr="005D74D1" w:rsidRDefault="00406C7F" w:rsidP="002A738B">
      <w:pPr>
        <w:pStyle w:val="BulletLevel1"/>
        <w:rPr>
          <w:rFonts w:cs="Arial"/>
          <w:lang w:val="en-AU"/>
        </w:rPr>
      </w:pPr>
      <w:r w:rsidRPr="005D74D1">
        <w:rPr>
          <w:rFonts w:cs="Arial"/>
          <w:lang w:val="en-AU"/>
        </w:rPr>
        <w:t xml:space="preserve">Have </w:t>
      </w:r>
      <w:r w:rsidR="00856D03" w:rsidRPr="005D74D1">
        <w:rPr>
          <w:rFonts w:cs="Arial"/>
          <w:lang w:val="en-AU"/>
        </w:rPr>
        <w:t>project</w:t>
      </w:r>
      <w:r w:rsidRPr="005D74D1">
        <w:rPr>
          <w:rFonts w:cs="Arial"/>
          <w:lang w:val="en-AU"/>
        </w:rPr>
        <w:t>s leveraged additional funding sources and in what way was this leverage applied?</w:t>
      </w:r>
    </w:p>
    <w:p w14:paraId="3A40EC25" w14:textId="78879B7C" w:rsidR="00406C7F" w:rsidRPr="005D74D1" w:rsidRDefault="00406C7F" w:rsidP="002A738B">
      <w:pPr>
        <w:pStyle w:val="BulletLevel1"/>
        <w:rPr>
          <w:rFonts w:cs="Arial"/>
          <w:lang w:val="en-AU"/>
        </w:rPr>
      </w:pPr>
      <w:r w:rsidRPr="005D74D1">
        <w:rPr>
          <w:rFonts w:cs="Arial"/>
          <w:lang w:val="en-AU"/>
        </w:rPr>
        <w:t xml:space="preserve">What evidence is there of </w:t>
      </w:r>
      <w:r w:rsidR="00856D03" w:rsidRPr="005D74D1">
        <w:rPr>
          <w:rFonts w:cs="Arial"/>
          <w:lang w:val="en-AU"/>
        </w:rPr>
        <w:t>project</w:t>
      </w:r>
      <w:r w:rsidRPr="005D74D1">
        <w:rPr>
          <w:rFonts w:cs="Arial"/>
          <w:lang w:val="en-AU"/>
        </w:rPr>
        <w:t>s undertaking options assessment and/or cost-benefit analysis of approaches?</w:t>
      </w:r>
    </w:p>
    <w:p w14:paraId="0DBF6990" w14:textId="77777777" w:rsidR="00A50E7D" w:rsidRPr="005D74D1" w:rsidRDefault="005F34AD" w:rsidP="005F34AD">
      <w:pPr>
        <w:pStyle w:val="BodyText"/>
        <w:rPr>
          <w:rFonts w:cs="Arial"/>
        </w:rPr>
      </w:pPr>
      <w:r w:rsidRPr="005D74D1">
        <w:rPr>
          <w:rFonts w:cs="Arial"/>
        </w:rPr>
        <w:t xml:space="preserve">The key sources of information used in this analysis were the </w:t>
      </w:r>
      <w:r w:rsidR="00856D03" w:rsidRPr="005D74D1">
        <w:rPr>
          <w:rFonts w:cs="Arial"/>
        </w:rPr>
        <w:t>project</w:t>
      </w:r>
      <w:r w:rsidRPr="005D74D1">
        <w:rPr>
          <w:rFonts w:cs="Arial"/>
        </w:rPr>
        <w:t xml:space="preserve"> evaluation reports, in which </w:t>
      </w:r>
      <w:r w:rsidR="00856D03" w:rsidRPr="005D74D1">
        <w:rPr>
          <w:rFonts w:cs="Arial"/>
        </w:rPr>
        <w:t>project</w:t>
      </w:r>
      <w:r w:rsidRPr="005D74D1">
        <w:rPr>
          <w:rFonts w:cs="Arial"/>
        </w:rPr>
        <w:t xml:space="preserve"> leads reported on </w:t>
      </w:r>
      <w:r w:rsidR="00D70721" w:rsidRPr="005D74D1">
        <w:rPr>
          <w:rFonts w:cs="Arial"/>
        </w:rPr>
        <w:t xml:space="preserve">efficiency </w:t>
      </w:r>
      <w:r w:rsidR="0043349D" w:rsidRPr="005D74D1">
        <w:rPr>
          <w:rFonts w:cs="Arial"/>
        </w:rPr>
        <w:t xml:space="preserve">and value for money for their </w:t>
      </w:r>
      <w:r w:rsidR="00856D03" w:rsidRPr="005D74D1">
        <w:rPr>
          <w:rFonts w:cs="Arial"/>
        </w:rPr>
        <w:t>project</w:t>
      </w:r>
      <w:r w:rsidR="00475F32" w:rsidRPr="005D74D1">
        <w:rPr>
          <w:rFonts w:cs="Arial"/>
        </w:rPr>
        <w:t>s</w:t>
      </w:r>
      <w:r w:rsidRPr="005D74D1">
        <w:rPr>
          <w:rFonts w:cs="Arial"/>
        </w:rPr>
        <w:t xml:space="preserve">. </w:t>
      </w:r>
      <w:r w:rsidR="0045038A" w:rsidRPr="005D74D1">
        <w:rPr>
          <w:rFonts w:cs="Arial"/>
        </w:rPr>
        <w:t>I</w:t>
      </w:r>
      <w:r w:rsidRPr="005D74D1">
        <w:rPr>
          <w:rFonts w:cs="Arial"/>
        </w:rPr>
        <w:t xml:space="preserve">nterviews with select </w:t>
      </w:r>
      <w:r w:rsidR="00856D03" w:rsidRPr="005D74D1">
        <w:rPr>
          <w:rFonts w:cs="Arial"/>
        </w:rPr>
        <w:t>project</w:t>
      </w:r>
      <w:r w:rsidRPr="005D74D1">
        <w:rPr>
          <w:rFonts w:cs="Arial"/>
        </w:rPr>
        <w:t xml:space="preserve"> teams and DEECA leadership provided </w:t>
      </w:r>
      <w:r w:rsidR="0045038A" w:rsidRPr="005D74D1">
        <w:rPr>
          <w:rFonts w:cs="Arial"/>
        </w:rPr>
        <w:t xml:space="preserve">further </w:t>
      </w:r>
      <w:r w:rsidRPr="005D74D1">
        <w:rPr>
          <w:rFonts w:cs="Arial"/>
        </w:rPr>
        <w:t>insights.</w:t>
      </w:r>
    </w:p>
    <w:p w14:paraId="78D916DB" w14:textId="77777777" w:rsidR="00A50E7D" w:rsidRPr="005D74D1" w:rsidRDefault="00ED354A" w:rsidP="001B46EB">
      <w:pPr>
        <w:pStyle w:val="BodyText"/>
        <w:rPr>
          <w:rFonts w:cs="Arial"/>
        </w:rPr>
      </w:pPr>
      <w:r w:rsidRPr="005D74D1">
        <w:rPr>
          <w:rFonts w:cs="Arial"/>
        </w:rPr>
        <w:t>An</w:t>
      </w:r>
      <w:r w:rsidR="0060210E" w:rsidRPr="005D74D1">
        <w:rPr>
          <w:rFonts w:cs="Arial"/>
        </w:rPr>
        <w:t xml:space="preserve"> overall </w:t>
      </w:r>
      <w:r w:rsidR="0036741B" w:rsidRPr="005D74D1">
        <w:rPr>
          <w:rFonts w:cs="Arial"/>
        </w:rPr>
        <w:t xml:space="preserve">economic / quantitative </w:t>
      </w:r>
      <w:r w:rsidR="0060210E" w:rsidRPr="005D74D1">
        <w:rPr>
          <w:rFonts w:cs="Arial"/>
        </w:rPr>
        <w:t>assessment</w:t>
      </w:r>
      <w:r w:rsidR="0018147E" w:rsidRPr="005D74D1">
        <w:rPr>
          <w:rFonts w:cs="Arial"/>
        </w:rPr>
        <w:t xml:space="preserve"> </w:t>
      </w:r>
      <w:r w:rsidRPr="005D74D1">
        <w:rPr>
          <w:rFonts w:cs="Arial"/>
        </w:rPr>
        <w:t>was the beyond the scope of the</w:t>
      </w:r>
      <w:r w:rsidR="00FA7487" w:rsidRPr="005D74D1">
        <w:rPr>
          <w:rFonts w:cs="Arial"/>
        </w:rPr>
        <w:t xml:space="preserve"> EC5 </w:t>
      </w:r>
      <w:r w:rsidRPr="005D74D1">
        <w:rPr>
          <w:rFonts w:cs="Arial"/>
        </w:rPr>
        <w:t>Evaluation.</w:t>
      </w:r>
      <w:r w:rsidR="00E7550C" w:rsidRPr="005D74D1">
        <w:rPr>
          <w:rFonts w:cs="Arial"/>
        </w:rPr>
        <w:t xml:space="preserve"> </w:t>
      </w:r>
      <w:r w:rsidRPr="005D74D1">
        <w:rPr>
          <w:rFonts w:cs="Arial"/>
        </w:rPr>
        <w:t xml:space="preserve">This means that the findings reported below are based on qualitative </w:t>
      </w:r>
      <w:r w:rsidR="00D571E1" w:rsidRPr="005D74D1">
        <w:rPr>
          <w:rFonts w:cs="Arial"/>
        </w:rPr>
        <w:t xml:space="preserve">information and </w:t>
      </w:r>
      <w:r w:rsidR="00FA7487" w:rsidRPr="005D74D1">
        <w:rPr>
          <w:rFonts w:cs="Arial"/>
        </w:rPr>
        <w:t xml:space="preserve">analysis </w:t>
      </w:r>
      <w:r w:rsidR="00E7550C" w:rsidRPr="005D74D1">
        <w:rPr>
          <w:rFonts w:cs="Arial"/>
        </w:rPr>
        <w:t>only</w:t>
      </w:r>
      <w:r w:rsidR="00FA7487" w:rsidRPr="005D74D1">
        <w:rPr>
          <w:rFonts w:cs="Arial"/>
        </w:rPr>
        <w:t>.</w:t>
      </w:r>
    </w:p>
    <w:p w14:paraId="2156122B" w14:textId="7130D144" w:rsidR="00CE15A3" w:rsidRPr="005D74D1" w:rsidRDefault="00CE15A3" w:rsidP="00CE15A3">
      <w:pPr>
        <w:pStyle w:val="Heading2"/>
        <w:rPr>
          <w:rFonts w:cs="Arial"/>
        </w:rPr>
      </w:pPr>
      <w:bookmarkStart w:id="731" w:name="_Toc147329354"/>
      <w:bookmarkStart w:id="732" w:name="_Toc183777384"/>
      <w:r w:rsidRPr="005D74D1">
        <w:rPr>
          <w:rFonts w:cs="Arial"/>
        </w:rPr>
        <w:lastRenderedPageBreak/>
        <w:t>How has EC5 demonstrated efficiency through delivery?</w:t>
      </w:r>
      <w:bookmarkEnd w:id="731"/>
      <w:bookmarkEnd w:id="732"/>
    </w:p>
    <w:p w14:paraId="04EA41F0" w14:textId="1C79EA15" w:rsidR="00CE15A3" w:rsidRPr="005D74D1" w:rsidRDefault="00C52917" w:rsidP="004353FA">
      <w:pPr>
        <w:pStyle w:val="BodyText"/>
        <w:keepNext/>
        <w:keepLines/>
        <w:rPr>
          <w:rFonts w:cs="Arial"/>
        </w:rPr>
      </w:pPr>
      <w:r w:rsidRPr="005D74D1">
        <w:rPr>
          <w:rFonts w:cs="Arial"/>
        </w:rPr>
        <w:t xml:space="preserve">Efficiency through delivery was demonstrated </w:t>
      </w:r>
      <w:r w:rsidR="00D571E1" w:rsidRPr="005D74D1">
        <w:rPr>
          <w:rFonts w:cs="Arial"/>
        </w:rPr>
        <w:t>by</w:t>
      </w:r>
      <w:r w:rsidR="00A5271F" w:rsidRPr="005D74D1">
        <w:rPr>
          <w:rFonts w:cs="Arial"/>
        </w:rPr>
        <w:t>:</w:t>
      </w:r>
    </w:p>
    <w:p w14:paraId="6196A517" w14:textId="0C15DD48" w:rsidR="0071619C" w:rsidRPr="005D74D1" w:rsidRDefault="002333C7" w:rsidP="004353FA">
      <w:pPr>
        <w:pStyle w:val="BulletLevel1"/>
        <w:keepNext/>
        <w:keepLines/>
        <w:rPr>
          <w:rFonts w:cs="Arial"/>
          <w:lang w:val="en-AU"/>
        </w:rPr>
      </w:pPr>
      <w:r w:rsidRPr="005D74D1">
        <w:rPr>
          <w:rFonts w:cs="Arial"/>
          <w:lang w:val="en-AU"/>
        </w:rPr>
        <w:t>Delivery</w:t>
      </w:r>
      <w:r w:rsidR="0071619C" w:rsidRPr="005D74D1">
        <w:rPr>
          <w:rFonts w:cs="Arial"/>
          <w:lang w:val="en-AU"/>
        </w:rPr>
        <w:t xml:space="preserve"> of investment programs within the budget specified</w:t>
      </w:r>
      <w:r w:rsidR="00C81319" w:rsidRPr="005D74D1">
        <w:rPr>
          <w:rFonts w:cs="Arial"/>
          <w:lang w:val="en-AU"/>
        </w:rPr>
        <w:t>.</w:t>
      </w:r>
    </w:p>
    <w:p w14:paraId="75E52408" w14:textId="3DD6C8BB" w:rsidR="00A5271F" w:rsidRPr="005D74D1" w:rsidRDefault="002333C7" w:rsidP="004353FA">
      <w:pPr>
        <w:pStyle w:val="BulletLevel1"/>
        <w:keepNext/>
        <w:keepLines/>
        <w:rPr>
          <w:rFonts w:cs="Arial"/>
          <w:lang w:val="en-AU"/>
        </w:rPr>
      </w:pPr>
      <w:r w:rsidRPr="005D74D1">
        <w:rPr>
          <w:rFonts w:cs="Arial"/>
          <w:lang w:val="en-AU"/>
        </w:rPr>
        <w:t>Delivery</w:t>
      </w:r>
      <w:r w:rsidR="0071619C" w:rsidRPr="005D74D1">
        <w:rPr>
          <w:rFonts w:cs="Arial"/>
          <w:lang w:val="en-AU"/>
        </w:rPr>
        <w:t xml:space="preserve"> of budgets within </w:t>
      </w:r>
      <w:r w:rsidR="00D571E1" w:rsidRPr="005D74D1">
        <w:rPr>
          <w:rFonts w:cs="Arial"/>
          <w:lang w:val="en-AU"/>
        </w:rPr>
        <w:t xml:space="preserve">specified </w:t>
      </w:r>
      <w:r w:rsidR="0071619C" w:rsidRPr="005D74D1">
        <w:rPr>
          <w:rFonts w:cs="Arial"/>
          <w:lang w:val="en-AU"/>
        </w:rPr>
        <w:t>timeframes</w:t>
      </w:r>
      <w:r w:rsidR="00C81319" w:rsidRPr="005D74D1">
        <w:rPr>
          <w:rFonts w:cs="Arial"/>
          <w:lang w:val="en-AU"/>
        </w:rPr>
        <w:t>.</w:t>
      </w:r>
    </w:p>
    <w:p w14:paraId="25303BD4" w14:textId="77777777" w:rsidR="00A50E7D" w:rsidRPr="005D74D1" w:rsidRDefault="00030189" w:rsidP="004353FA">
      <w:pPr>
        <w:pStyle w:val="BodyText"/>
        <w:keepNext/>
        <w:keepLines/>
        <w:rPr>
          <w:rFonts w:cs="Arial"/>
        </w:rPr>
      </w:pPr>
      <w:r w:rsidRPr="005D74D1">
        <w:rPr>
          <w:rFonts w:cs="Arial"/>
        </w:rPr>
        <w:t xml:space="preserve">All </w:t>
      </w:r>
      <w:r w:rsidR="009E2C13" w:rsidRPr="005D74D1">
        <w:rPr>
          <w:rFonts w:cs="Arial"/>
        </w:rPr>
        <w:t xml:space="preserve">initatives </w:t>
      </w:r>
      <w:r w:rsidRPr="005D74D1">
        <w:rPr>
          <w:rFonts w:cs="Arial"/>
        </w:rPr>
        <w:t xml:space="preserve">reported </w:t>
      </w:r>
      <w:r w:rsidR="007D60D0" w:rsidRPr="005D74D1">
        <w:rPr>
          <w:rFonts w:cs="Arial"/>
        </w:rPr>
        <w:t xml:space="preserve">their progress </w:t>
      </w:r>
      <w:r w:rsidR="007232D8" w:rsidRPr="005D74D1">
        <w:rPr>
          <w:rFonts w:cs="Arial"/>
        </w:rPr>
        <w:t xml:space="preserve">in comparison to budget and </w:t>
      </w:r>
      <w:r w:rsidR="00D571E1" w:rsidRPr="005D74D1">
        <w:rPr>
          <w:rFonts w:cs="Arial"/>
        </w:rPr>
        <w:t xml:space="preserve">original </w:t>
      </w:r>
      <w:r w:rsidR="007232D8" w:rsidRPr="005D74D1">
        <w:rPr>
          <w:rFonts w:cs="Arial"/>
        </w:rPr>
        <w:t xml:space="preserve">schedule to </w:t>
      </w:r>
      <w:r w:rsidRPr="005D74D1">
        <w:rPr>
          <w:rFonts w:cs="Arial"/>
        </w:rPr>
        <w:t xml:space="preserve">the </w:t>
      </w:r>
      <w:r w:rsidR="006F6FDC" w:rsidRPr="005D74D1">
        <w:rPr>
          <w:rFonts w:cs="Arial"/>
        </w:rPr>
        <w:t>E</w:t>
      </w:r>
      <w:r w:rsidR="007232D8" w:rsidRPr="005D74D1">
        <w:rPr>
          <w:rFonts w:cs="Arial"/>
        </w:rPr>
        <w:t>nd</w:t>
      </w:r>
      <w:r w:rsidR="003A0C55" w:rsidRPr="005D74D1">
        <w:rPr>
          <w:rFonts w:cs="Arial"/>
        </w:rPr>
        <w:t>-</w:t>
      </w:r>
      <w:r w:rsidR="007232D8" w:rsidRPr="005D74D1">
        <w:rPr>
          <w:rFonts w:cs="Arial"/>
        </w:rPr>
        <w:t>of</w:t>
      </w:r>
      <w:r w:rsidR="003A0C55" w:rsidRPr="005D74D1">
        <w:rPr>
          <w:rFonts w:cs="Arial"/>
        </w:rPr>
        <w:t>-</w:t>
      </w:r>
      <w:r w:rsidR="006F6FDC" w:rsidRPr="005D74D1">
        <w:rPr>
          <w:rFonts w:cs="Arial"/>
        </w:rPr>
        <w:t>T</w:t>
      </w:r>
      <w:r w:rsidR="007232D8" w:rsidRPr="005D74D1">
        <w:rPr>
          <w:rFonts w:cs="Arial"/>
        </w:rPr>
        <w:t>ranche, with key findings including:</w:t>
      </w:r>
    </w:p>
    <w:p w14:paraId="2445B384" w14:textId="77777777" w:rsidR="00A50E7D" w:rsidRPr="005D74D1" w:rsidRDefault="00D3623A" w:rsidP="004353FA">
      <w:pPr>
        <w:pStyle w:val="BulletLevel1"/>
        <w:keepNext/>
        <w:keepLines/>
        <w:rPr>
          <w:rFonts w:cs="Arial"/>
          <w:lang w:val="en-AU"/>
        </w:rPr>
      </w:pPr>
      <w:r w:rsidRPr="005D74D1">
        <w:rPr>
          <w:rFonts w:cs="Arial"/>
          <w:lang w:val="en-AU"/>
        </w:rPr>
        <w:t xml:space="preserve">Most </w:t>
      </w:r>
      <w:r w:rsidR="00D571E1" w:rsidRPr="005D74D1">
        <w:rPr>
          <w:rFonts w:cs="Arial"/>
          <w:lang w:val="en-AU"/>
        </w:rPr>
        <w:t xml:space="preserve">projects </w:t>
      </w:r>
      <w:r w:rsidRPr="005D74D1">
        <w:rPr>
          <w:rFonts w:cs="Arial"/>
          <w:lang w:val="en-AU"/>
        </w:rPr>
        <w:t xml:space="preserve">reported </w:t>
      </w:r>
      <w:r w:rsidR="00925678" w:rsidRPr="005D74D1">
        <w:rPr>
          <w:rFonts w:cs="Arial"/>
          <w:lang w:val="en-AU"/>
        </w:rPr>
        <w:t xml:space="preserve">that the budget </w:t>
      </w:r>
      <w:r w:rsidR="00D571E1" w:rsidRPr="005D74D1">
        <w:rPr>
          <w:rFonts w:cs="Arial"/>
          <w:lang w:val="en-AU"/>
        </w:rPr>
        <w:t>was</w:t>
      </w:r>
      <w:r w:rsidR="00925678" w:rsidRPr="005D74D1">
        <w:rPr>
          <w:rFonts w:cs="Arial"/>
          <w:lang w:val="en-AU"/>
        </w:rPr>
        <w:t xml:space="preserve"> fully expended each financial year </w:t>
      </w:r>
      <w:r w:rsidR="00D571E1" w:rsidRPr="005D74D1">
        <w:rPr>
          <w:rFonts w:cs="Arial"/>
          <w:lang w:val="en-AU"/>
        </w:rPr>
        <w:t>of</w:t>
      </w:r>
      <w:r w:rsidR="00925678" w:rsidRPr="005D74D1">
        <w:rPr>
          <w:rFonts w:cs="Arial"/>
          <w:lang w:val="en-AU"/>
        </w:rPr>
        <w:t xml:space="preserve"> the EC5 project</w:t>
      </w:r>
      <w:r w:rsidR="006D31B4" w:rsidRPr="005D74D1">
        <w:rPr>
          <w:rFonts w:cs="Arial"/>
          <w:lang w:val="en-AU"/>
        </w:rPr>
        <w:t>. Some exceptions included:</w:t>
      </w:r>
    </w:p>
    <w:p w14:paraId="017484C0" w14:textId="77777777" w:rsidR="00A50E7D" w:rsidRPr="005D74D1" w:rsidRDefault="00BE24BF" w:rsidP="002A738B">
      <w:pPr>
        <w:pStyle w:val="BulletLevel2"/>
        <w:rPr>
          <w:rFonts w:cs="Arial"/>
        </w:rPr>
      </w:pPr>
      <w:r w:rsidRPr="005D74D1">
        <w:rPr>
          <w:rFonts w:cs="Arial"/>
        </w:rPr>
        <w:t xml:space="preserve">Escalating prices due to supply chain issues meant that some </w:t>
      </w:r>
      <w:r w:rsidR="00BF2389" w:rsidRPr="005D74D1">
        <w:rPr>
          <w:rFonts w:cs="Arial"/>
        </w:rPr>
        <w:t>budget items</w:t>
      </w:r>
      <w:r w:rsidRPr="005D74D1">
        <w:rPr>
          <w:rFonts w:cs="Arial"/>
        </w:rPr>
        <w:t xml:space="preserve"> had to be rescoped or abandoned</w:t>
      </w:r>
      <w:r w:rsidR="00BF2389" w:rsidRPr="005D74D1">
        <w:rPr>
          <w:rFonts w:cs="Arial"/>
        </w:rPr>
        <w:t xml:space="preserve"> to keep within </w:t>
      </w:r>
      <w:r w:rsidR="00D571E1" w:rsidRPr="005D74D1">
        <w:rPr>
          <w:rFonts w:cs="Arial"/>
        </w:rPr>
        <w:t>overall project</w:t>
      </w:r>
      <w:r w:rsidR="00BF2389" w:rsidRPr="005D74D1">
        <w:rPr>
          <w:rFonts w:cs="Arial"/>
        </w:rPr>
        <w:t xml:space="preserve"> budgets.</w:t>
      </w:r>
    </w:p>
    <w:p w14:paraId="0CE019AA" w14:textId="2611519C" w:rsidR="0050197C" w:rsidRPr="005D74D1" w:rsidRDefault="00CB0413" w:rsidP="002A738B">
      <w:pPr>
        <w:pStyle w:val="BulletLevel2"/>
        <w:rPr>
          <w:rFonts w:cs="Arial"/>
        </w:rPr>
      </w:pPr>
      <w:r w:rsidRPr="005D74D1">
        <w:rPr>
          <w:rFonts w:cs="Arial"/>
        </w:rPr>
        <w:t xml:space="preserve">Issues with </w:t>
      </w:r>
      <w:r w:rsidR="0063724B" w:rsidRPr="005D74D1">
        <w:rPr>
          <w:rFonts w:cs="Arial"/>
        </w:rPr>
        <w:t>staff turnover</w:t>
      </w:r>
      <w:r w:rsidR="00845C18" w:rsidRPr="005D74D1">
        <w:rPr>
          <w:rFonts w:cs="Arial"/>
        </w:rPr>
        <w:t>, short-staffing, and lack of the required expertise to deliver were</w:t>
      </w:r>
      <w:r w:rsidRPr="005D74D1">
        <w:rPr>
          <w:rFonts w:cs="Arial"/>
        </w:rPr>
        <w:t xml:space="preserve"> commonly cited as reasons for unexpended budgets (and timeframe delays)</w:t>
      </w:r>
      <w:r w:rsidR="00D571E1" w:rsidRPr="005D74D1">
        <w:rPr>
          <w:rFonts w:cs="Arial"/>
        </w:rPr>
        <w:t>.</w:t>
      </w:r>
    </w:p>
    <w:p w14:paraId="7E56B208" w14:textId="70E6D59D" w:rsidR="0050197C" w:rsidRPr="005D74D1" w:rsidRDefault="0050197C" w:rsidP="002A738B">
      <w:pPr>
        <w:pStyle w:val="BulletLevel2"/>
        <w:rPr>
          <w:rFonts w:cs="Arial"/>
        </w:rPr>
      </w:pPr>
      <w:r w:rsidRPr="005D74D1">
        <w:rPr>
          <w:rFonts w:cs="Arial"/>
        </w:rPr>
        <w:t xml:space="preserve">The Goulburn to Murray Regulatory Impact Statement took longer and required more resources than expected. The additional cost and staffing to deliver the project </w:t>
      </w:r>
      <w:r w:rsidR="00D571E1" w:rsidRPr="005D74D1">
        <w:rPr>
          <w:rFonts w:cs="Arial"/>
        </w:rPr>
        <w:t xml:space="preserve">were </w:t>
      </w:r>
      <w:r w:rsidRPr="005D74D1">
        <w:rPr>
          <w:rFonts w:cs="Arial"/>
        </w:rPr>
        <w:t>supported by $4.907 million of co-funding from a Federal Funding Agreement for delivery of Murray</w:t>
      </w:r>
      <w:r w:rsidR="008726DD" w:rsidRPr="005D74D1">
        <w:rPr>
          <w:rFonts w:cs="Arial"/>
        </w:rPr>
        <w:t>-</w:t>
      </w:r>
      <w:r w:rsidRPr="005D74D1">
        <w:rPr>
          <w:rFonts w:cs="Arial"/>
        </w:rPr>
        <w:t xml:space="preserve">Darling Basin </w:t>
      </w:r>
      <w:r w:rsidR="00856D03" w:rsidRPr="005D74D1">
        <w:rPr>
          <w:rFonts w:cs="Arial"/>
        </w:rPr>
        <w:t>project</w:t>
      </w:r>
      <w:r w:rsidRPr="005D74D1">
        <w:rPr>
          <w:rFonts w:cs="Arial"/>
        </w:rPr>
        <w:t>s.</w:t>
      </w:r>
    </w:p>
    <w:p w14:paraId="586A41B3" w14:textId="629DDBCC" w:rsidR="00BC2AE9" w:rsidRPr="00A134A7" w:rsidRDefault="008F25F8" w:rsidP="00D571E1">
      <w:pPr>
        <w:pStyle w:val="BulletLevel1"/>
        <w:rPr>
          <w:rFonts w:cs="Arial"/>
          <w:lang w:val="en-AU"/>
        </w:rPr>
      </w:pPr>
      <w:r w:rsidRPr="00A134A7">
        <w:rPr>
          <w:rFonts w:cs="Arial"/>
          <w:lang w:val="en-AU"/>
        </w:rPr>
        <w:t>For some projects, consultation</w:t>
      </w:r>
      <w:r w:rsidR="00DB1B40" w:rsidRPr="00A134A7">
        <w:rPr>
          <w:rFonts w:cs="Arial"/>
          <w:lang w:val="en-AU"/>
        </w:rPr>
        <w:t xml:space="preserve"> and generating buy-in </w:t>
      </w:r>
      <w:r w:rsidR="00D571E1" w:rsidRPr="00A134A7">
        <w:rPr>
          <w:rFonts w:cs="Arial"/>
          <w:lang w:val="en-AU"/>
        </w:rPr>
        <w:t xml:space="preserve">from </w:t>
      </w:r>
      <w:r w:rsidR="00DB1B40" w:rsidRPr="00A134A7">
        <w:rPr>
          <w:rFonts w:cs="Arial"/>
          <w:lang w:val="en-AU"/>
        </w:rPr>
        <w:t>stakeholders and decision</w:t>
      </w:r>
      <w:r w:rsidR="009A79F4" w:rsidRPr="00A134A7">
        <w:rPr>
          <w:rFonts w:cs="Arial"/>
          <w:lang w:val="en-AU"/>
        </w:rPr>
        <w:t>-</w:t>
      </w:r>
      <w:r w:rsidR="00DB1B40" w:rsidRPr="00A134A7">
        <w:rPr>
          <w:rFonts w:cs="Arial"/>
          <w:lang w:val="en-AU"/>
        </w:rPr>
        <w:t xml:space="preserve">makers took longer </w:t>
      </w:r>
      <w:r w:rsidR="00543F7C" w:rsidRPr="00A134A7">
        <w:rPr>
          <w:rFonts w:cs="Arial"/>
          <w:lang w:val="en-AU"/>
        </w:rPr>
        <w:t xml:space="preserve">and required more resources </w:t>
      </w:r>
      <w:r w:rsidR="00DB1B40" w:rsidRPr="00A134A7">
        <w:rPr>
          <w:rFonts w:cs="Arial"/>
          <w:lang w:val="en-AU"/>
        </w:rPr>
        <w:t xml:space="preserve">than </w:t>
      </w:r>
      <w:r w:rsidR="00B8416F" w:rsidRPr="00A134A7">
        <w:rPr>
          <w:rFonts w:cs="Arial"/>
          <w:lang w:val="en-AU"/>
        </w:rPr>
        <w:t xml:space="preserve">planned. This was the </w:t>
      </w:r>
      <w:r w:rsidR="004F7BDF" w:rsidRPr="00A134A7">
        <w:rPr>
          <w:rFonts w:cs="Arial"/>
          <w:lang w:val="en-AU"/>
        </w:rPr>
        <w:t xml:space="preserve">case for the development and consultation of the Goulburn to Murray </w:t>
      </w:r>
      <w:r w:rsidR="000C06BE" w:rsidRPr="00A134A7">
        <w:rPr>
          <w:rFonts w:cs="Arial"/>
          <w:lang w:val="en-AU"/>
        </w:rPr>
        <w:t>T</w:t>
      </w:r>
      <w:r w:rsidR="004F7BDF" w:rsidRPr="00A134A7">
        <w:rPr>
          <w:rFonts w:cs="Arial"/>
          <w:lang w:val="en-AU"/>
        </w:rPr>
        <w:t xml:space="preserve">rade </w:t>
      </w:r>
      <w:r w:rsidR="000C06BE" w:rsidRPr="00A134A7">
        <w:rPr>
          <w:rFonts w:cs="Arial"/>
          <w:lang w:val="en-AU"/>
        </w:rPr>
        <w:t>R</w:t>
      </w:r>
      <w:r w:rsidR="004F7BDF" w:rsidRPr="00A134A7">
        <w:rPr>
          <w:rFonts w:cs="Arial"/>
          <w:lang w:val="en-AU"/>
        </w:rPr>
        <w:t>ule</w:t>
      </w:r>
      <w:r w:rsidR="001D13AE" w:rsidRPr="00A134A7">
        <w:rPr>
          <w:rFonts w:cs="Arial"/>
          <w:lang w:val="en-AU"/>
        </w:rPr>
        <w:t xml:space="preserve"> review</w:t>
      </w:r>
      <w:r w:rsidR="004F7BDF" w:rsidRPr="00A134A7">
        <w:rPr>
          <w:rFonts w:cs="Arial"/>
          <w:lang w:val="en-AU"/>
        </w:rPr>
        <w:t xml:space="preserve">, due to the complex nature of the trade and delivery of water, evolving demands and pressures on our river systems, and increasing understanding of </w:t>
      </w:r>
      <w:r w:rsidR="00DA46DB" w:rsidRPr="00A134A7">
        <w:rPr>
          <w:rFonts w:cs="Arial"/>
          <w:lang w:val="en-AU"/>
        </w:rPr>
        <w:t>cu</w:t>
      </w:r>
      <w:r w:rsidR="004F7BDF" w:rsidRPr="00A134A7">
        <w:rPr>
          <w:rFonts w:cs="Arial"/>
          <w:lang w:val="en-AU"/>
        </w:rPr>
        <w:t>ltural values.</w:t>
      </w:r>
    </w:p>
    <w:p w14:paraId="380DF663" w14:textId="77777777" w:rsidR="00A50E7D" w:rsidRPr="005D74D1" w:rsidRDefault="006D31B4" w:rsidP="00F10840">
      <w:pPr>
        <w:pStyle w:val="BulletLevel1"/>
        <w:rPr>
          <w:rFonts w:cs="Arial"/>
          <w:lang w:val="en-AU"/>
        </w:rPr>
      </w:pPr>
      <w:r w:rsidRPr="005D74D1">
        <w:rPr>
          <w:rFonts w:cs="Arial"/>
          <w:lang w:val="en-AU"/>
        </w:rPr>
        <w:t xml:space="preserve">Many </w:t>
      </w:r>
      <w:r w:rsidR="00856D03" w:rsidRPr="005D74D1">
        <w:rPr>
          <w:rFonts w:cs="Arial"/>
          <w:lang w:val="en-AU"/>
        </w:rPr>
        <w:t>project</w:t>
      </w:r>
      <w:r w:rsidR="005128B7" w:rsidRPr="005D74D1">
        <w:rPr>
          <w:rFonts w:cs="Arial"/>
          <w:lang w:val="en-AU"/>
        </w:rPr>
        <w:t>s</w:t>
      </w:r>
      <w:r w:rsidRPr="005D74D1">
        <w:rPr>
          <w:rFonts w:cs="Arial"/>
          <w:lang w:val="en-AU"/>
        </w:rPr>
        <w:t xml:space="preserve"> reported</w:t>
      </w:r>
      <w:r w:rsidR="005128B7" w:rsidRPr="005D74D1">
        <w:rPr>
          <w:rFonts w:cs="Arial"/>
          <w:lang w:val="en-AU"/>
        </w:rPr>
        <w:t xml:space="preserve"> that they </w:t>
      </w:r>
      <w:r w:rsidR="004F4402" w:rsidRPr="005D74D1">
        <w:rPr>
          <w:rFonts w:cs="Arial"/>
          <w:lang w:val="en-AU"/>
        </w:rPr>
        <w:t xml:space="preserve">delivered </w:t>
      </w:r>
      <w:r w:rsidR="0063755F" w:rsidRPr="005D74D1">
        <w:rPr>
          <w:rFonts w:cs="Arial"/>
          <w:lang w:val="en-AU"/>
        </w:rPr>
        <w:t>the EC5</w:t>
      </w:r>
      <w:r w:rsidR="00F82106" w:rsidRPr="005D74D1">
        <w:rPr>
          <w:rFonts w:cs="Arial"/>
          <w:lang w:val="en-AU"/>
        </w:rPr>
        <w:t xml:space="preserve"> outcomes</w:t>
      </w:r>
      <w:r w:rsidR="005128B7" w:rsidRPr="005D74D1">
        <w:rPr>
          <w:rFonts w:cs="Arial"/>
          <w:lang w:val="en-AU"/>
        </w:rPr>
        <w:t xml:space="preserve"> in line with </w:t>
      </w:r>
      <w:r w:rsidR="00C04C3D" w:rsidRPr="005D74D1">
        <w:rPr>
          <w:rFonts w:cs="Arial"/>
          <w:lang w:val="en-AU"/>
        </w:rPr>
        <w:t xml:space="preserve">the </w:t>
      </w:r>
      <w:r w:rsidR="005128B7" w:rsidRPr="005D74D1">
        <w:rPr>
          <w:rFonts w:cs="Arial"/>
          <w:lang w:val="en-AU"/>
        </w:rPr>
        <w:t>planned timeframes</w:t>
      </w:r>
      <w:r w:rsidR="04674047" w:rsidRPr="005D74D1">
        <w:rPr>
          <w:rFonts w:cs="Arial"/>
          <w:lang w:val="en-AU"/>
        </w:rPr>
        <w:t>;</w:t>
      </w:r>
      <w:r w:rsidR="00C04C3D" w:rsidRPr="005D74D1">
        <w:rPr>
          <w:rFonts w:cs="Arial"/>
          <w:lang w:val="en-AU"/>
        </w:rPr>
        <w:t xml:space="preserve"> however</w:t>
      </w:r>
      <w:r w:rsidR="7CDBE37E" w:rsidRPr="005D74D1">
        <w:rPr>
          <w:rFonts w:cs="Arial"/>
          <w:lang w:val="en-AU"/>
        </w:rPr>
        <w:t>,</w:t>
      </w:r>
      <w:r w:rsidR="00C04C3D" w:rsidRPr="005D74D1">
        <w:rPr>
          <w:rFonts w:cs="Arial"/>
          <w:lang w:val="en-AU"/>
        </w:rPr>
        <w:t xml:space="preserve"> several reported </w:t>
      </w:r>
      <w:r w:rsidRPr="005D74D1">
        <w:rPr>
          <w:rFonts w:cs="Arial"/>
          <w:lang w:val="en-AU"/>
        </w:rPr>
        <w:t xml:space="preserve">delays to timeframes due to unexpected events including </w:t>
      </w:r>
      <w:r w:rsidR="006735DF" w:rsidRPr="005D74D1">
        <w:rPr>
          <w:rFonts w:cs="Arial"/>
          <w:lang w:val="en-AU"/>
        </w:rPr>
        <w:t>COVID-19</w:t>
      </w:r>
      <w:r w:rsidRPr="005D74D1">
        <w:rPr>
          <w:rFonts w:cs="Arial"/>
          <w:lang w:val="en-AU"/>
        </w:rPr>
        <w:t xml:space="preserve">, </w:t>
      </w:r>
      <w:r w:rsidR="005128B7" w:rsidRPr="005D74D1">
        <w:rPr>
          <w:rFonts w:cs="Arial"/>
          <w:lang w:val="en-AU"/>
        </w:rPr>
        <w:t>flooding and bushfires.</w:t>
      </w:r>
      <w:r w:rsidR="00C04C3D" w:rsidRPr="005D74D1">
        <w:rPr>
          <w:rFonts w:cs="Arial"/>
          <w:lang w:val="en-AU"/>
        </w:rPr>
        <w:t xml:space="preserve"> Refer </w:t>
      </w:r>
      <w:r w:rsidR="00C47BBC" w:rsidRPr="005D74D1">
        <w:rPr>
          <w:rFonts w:cs="Arial"/>
          <w:lang w:val="en-AU"/>
        </w:rPr>
        <w:t xml:space="preserve">section </w:t>
      </w:r>
      <w:r w:rsidR="00B409D8" w:rsidRPr="005D74D1">
        <w:rPr>
          <w:rFonts w:cs="Arial"/>
          <w:lang w:val="en-AU"/>
        </w:rPr>
        <w:t>5.2 f</w:t>
      </w:r>
      <w:r w:rsidR="00C47BBC" w:rsidRPr="005D74D1">
        <w:rPr>
          <w:rFonts w:cs="Arial"/>
          <w:lang w:val="en-AU"/>
        </w:rPr>
        <w:t>or details.</w:t>
      </w:r>
    </w:p>
    <w:p w14:paraId="0CD3A632" w14:textId="77777777" w:rsidR="00A50E7D" w:rsidRPr="005D74D1" w:rsidRDefault="00F10840" w:rsidP="00CD0F76">
      <w:pPr>
        <w:pStyle w:val="BodyText"/>
        <w:rPr>
          <w:rFonts w:cs="Arial"/>
        </w:rPr>
      </w:pPr>
      <w:r w:rsidRPr="005D74D1">
        <w:rPr>
          <w:rFonts w:cs="Arial"/>
        </w:rPr>
        <w:t>Due to complexities with how budget reporting was completed at the project level, reliable data was not able to be sourced on expenditure vs budget</w:t>
      </w:r>
      <w:r w:rsidR="00811389" w:rsidRPr="005D74D1">
        <w:rPr>
          <w:rFonts w:cs="Arial"/>
        </w:rPr>
        <w:t xml:space="preserve"> for each project throughout EC5. Improved </w:t>
      </w:r>
      <w:r w:rsidR="002A2A3A" w:rsidRPr="005D74D1">
        <w:rPr>
          <w:rFonts w:cs="Arial"/>
        </w:rPr>
        <w:t>budget reporting for future tranches may enable this analysis as part of future evaluations.</w:t>
      </w:r>
    </w:p>
    <w:p w14:paraId="09CB7B28" w14:textId="77777777" w:rsidR="00A50E7D" w:rsidRPr="005D74D1" w:rsidRDefault="00F7385E" w:rsidP="009051DE">
      <w:pPr>
        <w:pStyle w:val="Heading2"/>
        <w:rPr>
          <w:rFonts w:cs="Arial"/>
        </w:rPr>
      </w:pPr>
      <w:bookmarkStart w:id="733" w:name="_Toc147329355"/>
      <w:bookmarkStart w:id="734" w:name="_Toc183777385"/>
      <w:r w:rsidRPr="005D74D1">
        <w:rPr>
          <w:rFonts w:cs="Arial"/>
        </w:rPr>
        <w:t xml:space="preserve">To what extent were </w:t>
      </w:r>
      <w:r w:rsidR="00FE0C8E" w:rsidRPr="005D74D1">
        <w:rPr>
          <w:rFonts w:cs="Arial"/>
        </w:rPr>
        <w:t xml:space="preserve">efficiencies gained through working together with </w:t>
      </w:r>
      <w:r w:rsidR="00903BE7" w:rsidRPr="005D74D1">
        <w:rPr>
          <w:rFonts w:cs="Arial"/>
        </w:rPr>
        <w:t>others</w:t>
      </w:r>
      <w:r w:rsidR="00FE0C8E" w:rsidRPr="005D74D1">
        <w:rPr>
          <w:rFonts w:cs="Arial"/>
        </w:rPr>
        <w:t xml:space="preserve"> to achieve better outcomes?</w:t>
      </w:r>
      <w:bookmarkEnd w:id="733"/>
      <w:bookmarkEnd w:id="734"/>
    </w:p>
    <w:p w14:paraId="06F3E7CC" w14:textId="77777777" w:rsidR="00A50E7D" w:rsidRPr="005D74D1" w:rsidRDefault="009355FD" w:rsidP="002132B2">
      <w:pPr>
        <w:pStyle w:val="BodyText"/>
        <w:rPr>
          <w:rFonts w:cs="Arial"/>
        </w:rPr>
      </w:pPr>
      <w:r w:rsidRPr="005D74D1">
        <w:rPr>
          <w:rFonts w:cs="Arial"/>
        </w:rPr>
        <w:t>Almost all (</w:t>
      </w:r>
      <w:r w:rsidR="005D318E" w:rsidRPr="005D74D1">
        <w:rPr>
          <w:rFonts w:cs="Arial"/>
        </w:rPr>
        <w:t>89%</w:t>
      </w:r>
      <w:r w:rsidRPr="005D74D1">
        <w:rPr>
          <w:rFonts w:cs="Arial"/>
        </w:rPr>
        <w:t>)</w:t>
      </w:r>
      <w:r w:rsidR="005D318E" w:rsidRPr="005D74D1">
        <w:rPr>
          <w:rFonts w:cs="Arial"/>
        </w:rPr>
        <w:t xml:space="preserve"> of the </w:t>
      </w:r>
      <w:r w:rsidR="00856D03" w:rsidRPr="005D74D1">
        <w:rPr>
          <w:rFonts w:cs="Arial"/>
        </w:rPr>
        <w:t>project</w:t>
      </w:r>
      <w:r w:rsidR="005D318E" w:rsidRPr="005D74D1">
        <w:rPr>
          <w:rFonts w:cs="Arial"/>
        </w:rPr>
        <w:t xml:space="preserve">s agreed that </w:t>
      </w:r>
      <w:r w:rsidR="008A217D" w:rsidRPr="005D74D1">
        <w:rPr>
          <w:rFonts w:cs="Arial"/>
        </w:rPr>
        <w:t xml:space="preserve">efficiencies were gained through working together with other </w:t>
      </w:r>
      <w:r w:rsidR="00856D03" w:rsidRPr="005D74D1">
        <w:rPr>
          <w:rFonts w:cs="Arial"/>
        </w:rPr>
        <w:t>project</w:t>
      </w:r>
      <w:r w:rsidR="004842CE" w:rsidRPr="005D74D1">
        <w:rPr>
          <w:rFonts w:cs="Arial"/>
        </w:rPr>
        <w:t xml:space="preserve"> team</w:t>
      </w:r>
      <w:r w:rsidR="008A217D" w:rsidRPr="005D74D1">
        <w:rPr>
          <w:rFonts w:cs="Arial"/>
        </w:rPr>
        <w:t xml:space="preserve">s. The main ways that efficiencies were gained was through knowledge sharing between groups, cost sharing, and workload sharing </w:t>
      </w:r>
      <w:r w:rsidR="00DE598D" w:rsidRPr="005D74D1">
        <w:rPr>
          <w:rFonts w:cs="Arial"/>
        </w:rPr>
        <w:t>and</w:t>
      </w:r>
      <w:r w:rsidR="008A217D" w:rsidRPr="005D74D1">
        <w:rPr>
          <w:rFonts w:cs="Arial"/>
        </w:rPr>
        <w:t xml:space="preserve"> distribution. </w:t>
      </w:r>
      <w:r w:rsidR="00B86A60" w:rsidRPr="005D74D1">
        <w:rPr>
          <w:rFonts w:cs="Arial"/>
        </w:rPr>
        <w:t>Some examples include:</w:t>
      </w:r>
    </w:p>
    <w:p w14:paraId="06CF7BA8" w14:textId="77777777" w:rsidR="00A50E7D" w:rsidRPr="005D74D1" w:rsidRDefault="006151F7" w:rsidP="1A43CDDE">
      <w:pPr>
        <w:pStyle w:val="BulletLevel1"/>
        <w:rPr>
          <w:rFonts w:cs="Arial"/>
          <w:lang w:val="en-AU"/>
        </w:rPr>
      </w:pPr>
      <w:r w:rsidRPr="005D74D1">
        <w:rPr>
          <w:rFonts w:cs="Arial"/>
          <w:lang w:val="en-AU"/>
        </w:rPr>
        <w:t>Collaboration to generate efficiencies is the fundamental basis for the</w:t>
      </w:r>
      <w:r w:rsidR="00B86A60" w:rsidRPr="005D74D1">
        <w:rPr>
          <w:rFonts w:cs="Arial"/>
          <w:lang w:val="en-AU"/>
        </w:rPr>
        <w:t xml:space="preserve"> IWM Forum</w:t>
      </w:r>
      <w:r w:rsidR="00342DAD" w:rsidRPr="005D74D1">
        <w:rPr>
          <w:rFonts w:cs="Arial"/>
          <w:lang w:val="en-AU"/>
        </w:rPr>
        <w:t>s, which are collaborative platform</w:t>
      </w:r>
      <w:r w:rsidR="004842CE" w:rsidRPr="005D74D1">
        <w:rPr>
          <w:rFonts w:cs="Arial"/>
          <w:lang w:val="en-AU"/>
        </w:rPr>
        <w:t>s that</w:t>
      </w:r>
      <w:r w:rsidR="00342DAD" w:rsidRPr="005D74D1">
        <w:rPr>
          <w:rFonts w:cs="Arial"/>
          <w:lang w:val="en-AU"/>
        </w:rPr>
        <w:t xml:space="preserve"> enable different organisations responsible for different parts of the water cycle to identify where collaborative investment and effort could deliver community outcomes more efficiently and effectively. An example includes an </w:t>
      </w:r>
      <w:r w:rsidR="00455326" w:rsidRPr="005D74D1">
        <w:rPr>
          <w:rFonts w:cs="Arial"/>
          <w:lang w:val="en-AU"/>
        </w:rPr>
        <w:t>analysis</w:t>
      </w:r>
      <w:r w:rsidR="00342DAD" w:rsidRPr="005D74D1">
        <w:rPr>
          <w:rFonts w:cs="Arial"/>
          <w:lang w:val="en-AU"/>
        </w:rPr>
        <w:t xml:space="preserve"> to deliver </w:t>
      </w:r>
      <w:r w:rsidR="00A006BD" w:rsidRPr="005D74D1">
        <w:rPr>
          <w:rFonts w:cs="Arial"/>
          <w:lang w:val="en-AU"/>
        </w:rPr>
        <w:t xml:space="preserve">manufactured </w:t>
      </w:r>
      <w:r w:rsidR="00342DAD" w:rsidRPr="005D74D1">
        <w:rPr>
          <w:rFonts w:cs="Arial"/>
          <w:lang w:val="en-AU"/>
        </w:rPr>
        <w:t>water opportunities that was undertaken working together with IWM Forum partners and the water industry urban water strategy working group</w:t>
      </w:r>
      <w:r w:rsidR="00AC516F" w:rsidRPr="005D74D1">
        <w:rPr>
          <w:rFonts w:cs="Arial"/>
          <w:lang w:val="en-AU"/>
        </w:rPr>
        <w:t>s</w:t>
      </w:r>
      <w:r w:rsidR="00342DAD" w:rsidRPr="005D74D1">
        <w:rPr>
          <w:rFonts w:cs="Arial"/>
          <w:lang w:val="en-AU"/>
        </w:rPr>
        <w:t xml:space="preserve">. </w:t>
      </w:r>
      <w:r w:rsidR="00AC516F" w:rsidRPr="005D74D1">
        <w:rPr>
          <w:rFonts w:cs="Arial"/>
          <w:lang w:val="en-AU"/>
        </w:rPr>
        <w:t>P</w:t>
      </w:r>
      <w:r w:rsidR="00342DAD" w:rsidRPr="005D74D1">
        <w:rPr>
          <w:rFonts w:cs="Arial"/>
          <w:lang w:val="en-AU"/>
        </w:rPr>
        <w:t xml:space="preserve">olicy reform opportunities were delivered in partnership by working with other </w:t>
      </w:r>
      <w:r w:rsidR="00856D03" w:rsidRPr="005D74D1">
        <w:rPr>
          <w:rFonts w:cs="Arial"/>
          <w:lang w:val="en-AU"/>
        </w:rPr>
        <w:t>project</w:t>
      </w:r>
      <w:r w:rsidR="00342DAD" w:rsidRPr="005D74D1">
        <w:rPr>
          <w:rFonts w:cs="Arial"/>
          <w:lang w:val="en-AU"/>
        </w:rPr>
        <w:t>s</w:t>
      </w:r>
      <w:r w:rsidR="00AC516F" w:rsidRPr="005D74D1">
        <w:rPr>
          <w:rFonts w:cs="Arial"/>
          <w:lang w:val="en-AU"/>
        </w:rPr>
        <w:t>.</w:t>
      </w:r>
    </w:p>
    <w:p w14:paraId="4D2F8F7F" w14:textId="73044B73" w:rsidR="00E65836" w:rsidRPr="005D74D1" w:rsidRDefault="00E65836" w:rsidP="1A43CDDE">
      <w:pPr>
        <w:pStyle w:val="BulletLevel1"/>
        <w:rPr>
          <w:rFonts w:cs="Arial"/>
          <w:lang w:val="en-AU"/>
        </w:rPr>
      </w:pPr>
      <w:r w:rsidRPr="005D74D1">
        <w:rPr>
          <w:rFonts w:cs="Arial"/>
          <w:lang w:val="en-AU"/>
        </w:rPr>
        <w:t xml:space="preserve">The Water Knowledge and Insights </w:t>
      </w:r>
      <w:r w:rsidR="00856D03" w:rsidRPr="005D74D1">
        <w:rPr>
          <w:rFonts w:cs="Arial"/>
          <w:lang w:val="en-AU"/>
        </w:rPr>
        <w:t>project</w:t>
      </w:r>
      <w:r w:rsidRPr="005D74D1">
        <w:rPr>
          <w:rFonts w:cs="Arial"/>
          <w:lang w:val="en-AU"/>
        </w:rPr>
        <w:t xml:space="preserve"> reported that working together with other teams within DEECA, our water </w:t>
      </w:r>
      <w:r w:rsidR="00EA44D2" w:rsidRPr="005D74D1">
        <w:rPr>
          <w:rFonts w:cs="Arial"/>
          <w:lang w:val="en-AU"/>
        </w:rPr>
        <w:t xml:space="preserve">sector </w:t>
      </w:r>
      <w:r w:rsidRPr="005D74D1">
        <w:rPr>
          <w:rFonts w:cs="Arial"/>
          <w:lang w:val="en-AU"/>
        </w:rPr>
        <w:t xml:space="preserve">partners, and </w:t>
      </w:r>
      <w:r w:rsidR="007F35B2" w:rsidRPr="005D74D1">
        <w:rPr>
          <w:rFonts w:cs="Arial"/>
          <w:lang w:val="en-AU"/>
        </w:rPr>
        <w:t xml:space="preserve">the </w:t>
      </w:r>
      <w:r w:rsidRPr="005D74D1">
        <w:rPr>
          <w:rFonts w:cs="Arial"/>
          <w:lang w:val="en-AU"/>
        </w:rPr>
        <w:t xml:space="preserve">general public improved the efficiency of </w:t>
      </w:r>
      <w:r w:rsidR="76E4CF1A" w:rsidRPr="005D74D1">
        <w:rPr>
          <w:rFonts w:cs="Arial"/>
          <w:lang w:val="en-AU"/>
        </w:rPr>
        <w:t>their</w:t>
      </w:r>
      <w:r w:rsidRPr="005D74D1">
        <w:rPr>
          <w:rFonts w:cs="Arial"/>
          <w:lang w:val="en-AU"/>
        </w:rPr>
        <w:t xml:space="preserve"> projects particularly through discovery and scoping phases. This meant </w:t>
      </w:r>
      <w:r w:rsidR="668F9F8A" w:rsidRPr="005D74D1">
        <w:rPr>
          <w:rFonts w:cs="Arial"/>
          <w:lang w:val="en-AU"/>
        </w:rPr>
        <w:t>they</w:t>
      </w:r>
      <w:r w:rsidRPr="005D74D1">
        <w:rPr>
          <w:rFonts w:cs="Arial"/>
          <w:lang w:val="en-AU"/>
        </w:rPr>
        <w:t xml:space="preserve"> were producing work that was guided by stakeholders to best address their needs.</w:t>
      </w:r>
    </w:p>
    <w:p w14:paraId="5BD05113" w14:textId="26C01E6B" w:rsidR="00E65836" w:rsidRPr="005D74D1" w:rsidRDefault="00651FA2" w:rsidP="002A738B">
      <w:pPr>
        <w:pStyle w:val="BulletLevel1"/>
        <w:rPr>
          <w:rFonts w:cs="Arial"/>
          <w:lang w:val="en-AU"/>
        </w:rPr>
      </w:pPr>
      <w:r w:rsidRPr="005D74D1">
        <w:rPr>
          <w:rFonts w:cs="Arial"/>
          <w:lang w:val="en-AU"/>
        </w:rPr>
        <w:lastRenderedPageBreak/>
        <w:t xml:space="preserve">For the </w:t>
      </w:r>
      <w:r w:rsidR="002766C4" w:rsidRPr="005D74D1">
        <w:rPr>
          <w:rFonts w:cs="Arial"/>
          <w:lang w:val="en-AU"/>
        </w:rPr>
        <w:t xml:space="preserve">Water Efficiency </w:t>
      </w:r>
      <w:r w:rsidR="00856D03" w:rsidRPr="005D74D1">
        <w:rPr>
          <w:rFonts w:cs="Arial"/>
          <w:lang w:val="en-AU"/>
        </w:rPr>
        <w:t>Project</w:t>
      </w:r>
      <w:r w:rsidR="002766C4" w:rsidRPr="005D74D1">
        <w:rPr>
          <w:rFonts w:cs="Arial"/>
          <w:lang w:val="en-AU"/>
        </w:rPr>
        <w:t>, delivery e</w:t>
      </w:r>
      <w:r w:rsidRPr="005D74D1">
        <w:rPr>
          <w:rFonts w:cs="Arial"/>
          <w:lang w:val="en-AU"/>
        </w:rPr>
        <w:t>fficiencies were gained within water corporations delivering the CRP and CHRP via either their customer and hardship/and or sustainability teams. This allowed the programs to be better targeted and reach more customers through existing water corporation networks (i.e., with community groups).</w:t>
      </w:r>
    </w:p>
    <w:p w14:paraId="19F20836" w14:textId="18277A00" w:rsidR="001B3FE0" w:rsidRPr="005D74D1" w:rsidRDefault="001B3FE0" w:rsidP="002A738B">
      <w:pPr>
        <w:pStyle w:val="BulletLevel1"/>
        <w:rPr>
          <w:rFonts w:cs="Arial"/>
          <w:lang w:val="en-AU"/>
        </w:rPr>
      </w:pPr>
      <w:r w:rsidRPr="005D74D1">
        <w:rPr>
          <w:rFonts w:cs="Arial"/>
          <w:lang w:val="en-AU"/>
        </w:rPr>
        <w:t xml:space="preserve">The Surface Water Assessment and </w:t>
      </w:r>
      <w:r w:rsidR="009A043F" w:rsidRPr="005D74D1">
        <w:rPr>
          <w:rFonts w:cs="Arial"/>
          <w:lang w:val="en-AU"/>
        </w:rPr>
        <w:t>Modelling project outlined the importance of t</w:t>
      </w:r>
      <w:r w:rsidRPr="005D74D1">
        <w:rPr>
          <w:rFonts w:cs="Arial"/>
          <w:lang w:val="en-AU"/>
        </w:rPr>
        <w:t xml:space="preserve">echnical cooperation </w:t>
      </w:r>
      <w:r w:rsidR="009A043F" w:rsidRPr="005D74D1">
        <w:rPr>
          <w:rFonts w:cs="Arial"/>
          <w:lang w:val="en-AU"/>
        </w:rPr>
        <w:t>in</w:t>
      </w:r>
      <w:r w:rsidRPr="005D74D1">
        <w:rPr>
          <w:rFonts w:cs="Arial"/>
          <w:lang w:val="en-AU"/>
        </w:rPr>
        <w:t xml:space="preserve"> </w:t>
      </w:r>
      <w:r w:rsidR="009A043F" w:rsidRPr="005D74D1">
        <w:rPr>
          <w:rFonts w:cs="Arial"/>
          <w:lang w:val="en-AU"/>
        </w:rPr>
        <w:t xml:space="preserve">achieving </w:t>
      </w:r>
      <w:r w:rsidRPr="005D74D1">
        <w:rPr>
          <w:rFonts w:cs="Arial"/>
          <w:lang w:val="en-AU"/>
        </w:rPr>
        <w:t xml:space="preserve">objectives efficiently and effectively. </w:t>
      </w:r>
      <w:r w:rsidR="009A043F" w:rsidRPr="005D74D1">
        <w:rPr>
          <w:rFonts w:cs="Arial"/>
          <w:lang w:val="en-AU"/>
        </w:rPr>
        <w:t>The</w:t>
      </w:r>
      <w:r w:rsidR="00C74760" w:rsidRPr="005D74D1">
        <w:rPr>
          <w:rFonts w:cs="Arial"/>
          <w:lang w:val="en-AU"/>
        </w:rPr>
        <w:t xml:space="preserve"> project</w:t>
      </w:r>
      <w:r w:rsidRPr="005D74D1">
        <w:rPr>
          <w:rFonts w:cs="Arial"/>
          <w:lang w:val="en-AU"/>
        </w:rPr>
        <w:t xml:space="preserve"> use</w:t>
      </w:r>
      <w:r w:rsidR="009A043F" w:rsidRPr="005D74D1">
        <w:rPr>
          <w:rFonts w:cs="Arial"/>
          <w:lang w:val="en-AU"/>
        </w:rPr>
        <w:t>d</w:t>
      </w:r>
      <w:r w:rsidRPr="005D74D1">
        <w:rPr>
          <w:rFonts w:cs="Arial"/>
          <w:lang w:val="en-AU"/>
        </w:rPr>
        <w:t xml:space="preserve"> </w:t>
      </w:r>
      <w:r w:rsidR="00DC0A3A" w:rsidRPr="005D74D1">
        <w:rPr>
          <w:rFonts w:cs="Arial"/>
          <w:lang w:val="en-AU"/>
        </w:rPr>
        <w:t xml:space="preserve">model calibration tools from </w:t>
      </w:r>
      <w:r w:rsidRPr="005D74D1">
        <w:rPr>
          <w:rFonts w:cs="Arial"/>
          <w:lang w:val="en-AU"/>
        </w:rPr>
        <w:t xml:space="preserve">Queensland, </w:t>
      </w:r>
      <w:r w:rsidR="00C74760" w:rsidRPr="005D74D1">
        <w:rPr>
          <w:rFonts w:cs="Arial"/>
          <w:lang w:val="en-AU"/>
        </w:rPr>
        <w:t xml:space="preserve">noted that urban water corporations used </w:t>
      </w:r>
      <w:r w:rsidR="006A6068" w:rsidRPr="005D74D1">
        <w:rPr>
          <w:rFonts w:cs="Arial"/>
          <w:lang w:val="en-AU"/>
        </w:rPr>
        <w:t>a hydroclimate data transformation tool and seasonal determination approaches</w:t>
      </w:r>
      <w:r w:rsidRPr="005D74D1">
        <w:rPr>
          <w:rFonts w:cs="Arial"/>
          <w:lang w:val="en-AU"/>
        </w:rPr>
        <w:t xml:space="preserve">, </w:t>
      </w:r>
      <w:r w:rsidR="00C74760" w:rsidRPr="005D74D1">
        <w:rPr>
          <w:rFonts w:cs="Arial"/>
          <w:lang w:val="en-AU"/>
        </w:rPr>
        <w:t>plus</w:t>
      </w:r>
      <w:r w:rsidRPr="005D74D1">
        <w:rPr>
          <w:rFonts w:cs="Arial"/>
          <w:lang w:val="en-AU"/>
        </w:rPr>
        <w:t xml:space="preserve"> cooperation with South Australia on Model Management System</w:t>
      </w:r>
      <w:r w:rsidR="00B00097" w:rsidRPr="005D74D1">
        <w:rPr>
          <w:rFonts w:cs="Arial"/>
          <w:lang w:val="en-AU"/>
        </w:rPr>
        <w:t>s</w:t>
      </w:r>
      <w:r w:rsidRPr="005D74D1">
        <w:rPr>
          <w:rFonts w:cs="Arial"/>
          <w:lang w:val="en-AU"/>
        </w:rPr>
        <w:t>. </w:t>
      </w:r>
    </w:p>
    <w:p w14:paraId="7EF8C4FC" w14:textId="617B3E0F" w:rsidR="00A974EB" w:rsidRPr="005D74D1" w:rsidRDefault="00DA7167" w:rsidP="00CE15A3">
      <w:pPr>
        <w:pStyle w:val="Heading2"/>
        <w:rPr>
          <w:rFonts w:cs="Arial"/>
        </w:rPr>
      </w:pPr>
      <w:bookmarkStart w:id="735" w:name="_Toc147329356"/>
      <w:bookmarkStart w:id="736" w:name="_Toc183777386"/>
      <w:r w:rsidRPr="005D74D1">
        <w:rPr>
          <w:rFonts w:cs="Arial"/>
        </w:rPr>
        <w:t xml:space="preserve">Have </w:t>
      </w:r>
      <w:r w:rsidR="00856D03" w:rsidRPr="005D74D1">
        <w:rPr>
          <w:rFonts w:cs="Arial"/>
        </w:rPr>
        <w:t>project</w:t>
      </w:r>
      <w:r w:rsidRPr="005D74D1">
        <w:rPr>
          <w:rFonts w:cs="Arial"/>
        </w:rPr>
        <w:t>s leveraged additional funding sources and in what way was this leverage applied?</w:t>
      </w:r>
      <w:bookmarkEnd w:id="735"/>
      <w:bookmarkEnd w:id="736"/>
    </w:p>
    <w:p w14:paraId="4ABA44F0" w14:textId="77777777" w:rsidR="00A50E7D" w:rsidRPr="005D74D1" w:rsidRDefault="00C86C5E" w:rsidP="00C86C5E">
      <w:pPr>
        <w:pStyle w:val="BodyText"/>
        <w:rPr>
          <w:rFonts w:cs="Arial"/>
        </w:rPr>
      </w:pPr>
      <w:r w:rsidRPr="005D74D1">
        <w:rPr>
          <w:rFonts w:cs="Arial"/>
        </w:rPr>
        <w:t xml:space="preserve">The EC5 </w:t>
      </w:r>
      <w:r w:rsidR="00CB44D5" w:rsidRPr="005D74D1">
        <w:rPr>
          <w:rFonts w:cs="Arial"/>
        </w:rPr>
        <w:t>$69</w:t>
      </w:r>
      <w:r w:rsidR="00E00575" w:rsidRPr="005D74D1">
        <w:rPr>
          <w:rFonts w:cs="Arial"/>
        </w:rPr>
        <w:t xml:space="preserve">3.85 million </w:t>
      </w:r>
      <w:r w:rsidR="007E31CF" w:rsidRPr="005D74D1">
        <w:rPr>
          <w:rFonts w:cs="Arial"/>
        </w:rPr>
        <w:t xml:space="preserve">investment was augmented </w:t>
      </w:r>
      <w:r w:rsidR="00067312" w:rsidRPr="005D74D1">
        <w:rPr>
          <w:rFonts w:cs="Arial"/>
        </w:rPr>
        <w:t xml:space="preserve">by significant </w:t>
      </w:r>
      <w:r w:rsidR="00CB44D5" w:rsidRPr="005D74D1">
        <w:rPr>
          <w:rFonts w:cs="Arial"/>
        </w:rPr>
        <w:t xml:space="preserve">co-investment over the tranche. </w:t>
      </w:r>
      <w:r w:rsidR="00F568DD" w:rsidRPr="005D74D1">
        <w:rPr>
          <w:rFonts w:cs="Arial"/>
        </w:rPr>
        <w:t>Projects</w:t>
      </w:r>
      <w:r w:rsidR="00913809" w:rsidRPr="005D74D1">
        <w:rPr>
          <w:rFonts w:cs="Arial"/>
        </w:rPr>
        <w:t xml:space="preserve"> were co-funded by a total reported amount of $</w:t>
      </w:r>
      <w:r w:rsidR="00BA3D84" w:rsidRPr="005D74D1">
        <w:rPr>
          <w:rFonts w:cs="Arial"/>
        </w:rPr>
        <w:t>347.9</w:t>
      </w:r>
      <w:r w:rsidR="00913809" w:rsidRPr="005D74D1">
        <w:rPr>
          <w:rFonts w:cs="Arial"/>
        </w:rPr>
        <w:t xml:space="preserve"> million. This represents $0.</w:t>
      </w:r>
      <w:r w:rsidR="008D353C" w:rsidRPr="005D74D1">
        <w:rPr>
          <w:rFonts w:cs="Arial"/>
        </w:rPr>
        <w:t>50</w:t>
      </w:r>
      <w:r w:rsidR="00913809" w:rsidRPr="005D74D1">
        <w:rPr>
          <w:rFonts w:cs="Arial"/>
        </w:rPr>
        <w:t xml:space="preserve"> in co-investment for every dollar of investment from the EC. This is considered a conservative estimate, with many </w:t>
      </w:r>
      <w:r w:rsidR="00F568DD" w:rsidRPr="005D74D1">
        <w:rPr>
          <w:rFonts w:cs="Arial"/>
        </w:rPr>
        <w:t xml:space="preserve">projects </w:t>
      </w:r>
      <w:r w:rsidR="00913809" w:rsidRPr="005D74D1">
        <w:rPr>
          <w:rFonts w:cs="Arial"/>
        </w:rPr>
        <w:t>also reporting co-investment of funding and other resources that were not quantified</w:t>
      </w:r>
      <w:r w:rsidR="00F568DD" w:rsidRPr="005D74D1">
        <w:rPr>
          <w:rFonts w:cs="Arial"/>
        </w:rPr>
        <w:t xml:space="preserve"> in the project evaluation reports</w:t>
      </w:r>
      <w:r w:rsidR="48A06561" w:rsidRPr="005D74D1">
        <w:rPr>
          <w:rFonts w:cs="Arial"/>
        </w:rPr>
        <w:t>,</w:t>
      </w:r>
      <w:r w:rsidR="372FA04D" w:rsidRPr="005D74D1">
        <w:rPr>
          <w:rFonts w:cs="Arial"/>
        </w:rPr>
        <w:t xml:space="preserve"> </w:t>
      </w:r>
      <w:r w:rsidR="48A06561" w:rsidRPr="005D74D1">
        <w:rPr>
          <w:rFonts w:cs="Arial"/>
        </w:rPr>
        <w:t>for example</w:t>
      </w:r>
      <w:r w:rsidR="372FA04D" w:rsidRPr="005D74D1">
        <w:rPr>
          <w:rFonts w:cs="Arial"/>
        </w:rPr>
        <w:t xml:space="preserve"> </w:t>
      </w:r>
      <w:r w:rsidR="24275269" w:rsidRPr="005D74D1">
        <w:rPr>
          <w:rFonts w:cs="Arial"/>
        </w:rPr>
        <w:t>the value of</w:t>
      </w:r>
      <w:r w:rsidR="372FA04D" w:rsidRPr="005D74D1">
        <w:rPr>
          <w:rFonts w:cs="Arial"/>
        </w:rPr>
        <w:t xml:space="preserve"> in-kind, volunteer contributions</w:t>
      </w:r>
      <w:r w:rsidR="2C727F27" w:rsidRPr="005D74D1">
        <w:rPr>
          <w:rFonts w:cs="Arial"/>
        </w:rPr>
        <w:t xml:space="preserve"> for waterway health and catchment initiatives are often u</w:t>
      </w:r>
      <w:r w:rsidR="73AB5E86" w:rsidRPr="005D74D1">
        <w:rPr>
          <w:rFonts w:cs="Arial"/>
        </w:rPr>
        <w:t>nderestimated</w:t>
      </w:r>
    </w:p>
    <w:p w14:paraId="47D1F876" w14:textId="77777777" w:rsidR="00A50E7D" w:rsidRPr="005D74D1" w:rsidRDefault="00C73367" w:rsidP="00C86C5E">
      <w:pPr>
        <w:pStyle w:val="BodyText"/>
        <w:rPr>
          <w:rFonts w:cs="Arial"/>
        </w:rPr>
      </w:pPr>
      <w:r w:rsidRPr="005D74D1">
        <w:rPr>
          <w:rFonts w:cs="Arial"/>
        </w:rPr>
        <w:t xml:space="preserve">While projects reported benefits of co-funding and </w:t>
      </w:r>
      <w:r w:rsidR="00C318F7" w:rsidRPr="005D74D1">
        <w:rPr>
          <w:rFonts w:cs="Arial"/>
        </w:rPr>
        <w:t xml:space="preserve">diversity in funding sources, </w:t>
      </w:r>
      <w:r w:rsidR="00A44074" w:rsidRPr="005D74D1">
        <w:rPr>
          <w:rFonts w:cs="Arial"/>
        </w:rPr>
        <w:t>some challenges reported include:</w:t>
      </w:r>
    </w:p>
    <w:p w14:paraId="4257B3BF" w14:textId="77777777" w:rsidR="00A50E7D" w:rsidRPr="00A134A7" w:rsidRDefault="005D49BB" w:rsidP="00F568DD">
      <w:pPr>
        <w:pStyle w:val="BulletLevel1"/>
        <w:rPr>
          <w:rFonts w:cs="Arial"/>
          <w:lang w:val="en-AU"/>
        </w:rPr>
      </w:pPr>
      <w:r w:rsidRPr="00A134A7">
        <w:rPr>
          <w:rFonts w:cs="Arial"/>
          <w:lang w:val="en-AU"/>
        </w:rPr>
        <w:t>c</w:t>
      </w:r>
      <w:r w:rsidR="002F28C5" w:rsidRPr="00A134A7">
        <w:rPr>
          <w:rFonts w:cs="Arial"/>
          <w:lang w:val="en-AU"/>
        </w:rPr>
        <w:t>omplexity in administration and reporting to multiple funders</w:t>
      </w:r>
    </w:p>
    <w:p w14:paraId="442E3602" w14:textId="77777777" w:rsidR="00A50E7D" w:rsidRPr="00A134A7" w:rsidRDefault="005D49BB" w:rsidP="00F568DD">
      <w:pPr>
        <w:pStyle w:val="BulletLevel1"/>
        <w:rPr>
          <w:rFonts w:cs="Arial"/>
          <w:lang w:val="en-AU"/>
        </w:rPr>
      </w:pPr>
      <w:r w:rsidRPr="00A134A7">
        <w:rPr>
          <w:rFonts w:cs="Arial"/>
          <w:lang w:val="en-AU"/>
        </w:rPr>
        <w:t>t</w:t>
      </w:r>
      <w:r w:rsidR="002F28C5" w:rsidRPr="00A134A7">
        <w:rPr>
          <w:rFonts w:cs="Arial"/>
          <w:lang w:val="en-AU"/>
        </w:rPr>
        <w:t xml:space="preserve">he need </w:t>
      </w:r>
      <w:r w:rsidR="006C7714" w:rsidRPr="00A134A7">
        <w:rPr>
          <w:rFonts w:cs="Arial"/>
          <w:lang w:val="en-AU"/>
        </w:rPr>
        <w:t>to manage for program continuation</w:t>
      </w:r>
      <w:r w:rsidR="00A44074" w:rsidRPr="00A134A7">
        <w:rPr>
          <w:rFonts w:cs="Arial"/>
          <w:lang w:val="en-AU"/>
        </w:rPr>
        <w:t>, and potential increase in EC funding</w:t>
      </w:r>
      <w:r w:rsidR="006C7714" w:rsidRPr="00A134A7">
        <w:rPr>
          <w:rFonts w:cs="Arial"/>
          <w:lang w:val="en-AU"/>
        </w:rPr>
        <w:t xml:space="preserve"> when alternative source</w:t>
      </w:r>
      <w:r w:rsidR="00A44074" w:rsidRPr="00A134A7">
        <w:rPr>
          <w:rFonts w:cs="Arial"/>
          <w:lang w:val="en-AU"/>
        </w:rPr>
        <w:t>s</w:t>
      </w:r>
      <w:r w:rsidR="006C7714" w:rsidRPr="00A134A7">
        <w:rPr>
          <w:rFonts w:cs="Arial"/>
          <w:lang w:val="en-AU"/>
        </w:rPr>
        <w:t xml:space="preserve"> </w:t>
      </w:r>
      <w:r w:rsidR="00A44074" w:rsidRPr="00A134A7">
        <w:rPr>
          <w:rFonts w:cs="Arial"/>
          <w:lang w:val="en-AU"/>
        </w:rPr>
        <w:t>are finished.</w:t>
      </w:r>
    </w:p>
    <w:p w14:paraId="537AD3DB" w14:textId="6C9D1961" w:rsidR="00913809" w:rsidRPr="005D74D1" w:rsidRDefault="00913809" w:rsidP="00C86C5E">
      <w:pPr>
        <w:pStyle w:val="BodyText"/>
        <w:rPr>
          <w:rFonts w:cs="Arial"/>
        </w:rPr>
      </w:pPr>
      <w:r w:rsidRPr="005D74D1">
        <w:rPr>
          <w:rFonts w:cs="Arial"/>
        </w:rPr>
        <w:t xml:space="preserve">A breakdown of reported co-funding amounts and co-investors for each </w:t>
      </w:r>
      <w:r w:rsidR="00F568DD" w:rsidRPr="005D74D1">
        <w:rPr>
          <w:rFonts w:cs="Arial"/>
        </w:rPr>
        <w:t>project</w:t>
      </w:r>
      <w:r w:rsidRPr="005D74D1">
        <w:rPr>
          <w:rFonts w:cs="Arial"/>
        </w:rPr>
        <w:t xml:space="preserve"> is provided </w:t>
      </w:r>
      <w:r w:rsidR="00C24C75" w:rsidRPr="005D74D1">
        <w:rPr>
          <w:rFonts w:cs="Arial"/>
        </w:rPr>
        <w:t xml:space="preserve">in </w:t>
      </w:r>
      <w:r w:rsidR="00E056B1" w:rsidRPr="00A134A7">
        <w:rPr>
          <w:rFonts w:cs="Arial"/>
        </w:rPr>
        <w:fldChar w:fldCharType="begin"/>
      </w:r>
      <w:r w:rsidR="00E056B1" w:rsidRPr="005D74D1">
        <w:rPr>
          <w:rFonts w:cs="Arial"/>
        </w:rPr>
        <w:instrText xml:space="preserve"> REF _Ref147140752 \h </w:instrText>
      </w:r>
      <w:r w:rsidR="005D74D1" w:rsidRPr="005D74D1">
        <w:rPr>
          <w:rFonts w:cs="Arial"/>
        </w:rPr>
        <w:instrText xml:space="preserve"> \* MERGEFORMAT </w:instrText>
      </w:r>
      <w:r w:rsidR="00E056B1" w:rsidRPr="00A134A7">
        <w:rPr>
          <w:rFonts w:cs="Arial"/>
        </w:rPr>
      </w:r>
      <w:r w:rsidR="00E056B1" w:rsidRPr="00A134A7">
        <w:rPr>
          <w:rFonts w:cs="Arial"/>
        </w:rPr>
        <w:fldChar w:fldCharType="separate"/>
      </w:r>
      <w:r w:rsidR="003870A0" w:rsidRPr="005D74D1">
        <w:rPr>
          <w:rFonts w:cs="Arial"/>
        </w:rPr>
        <w:t xml:space="preserve">Table </w:t>
      </w:r>
      <w:r w:rsidR="003870A0">
        <w:rPr>
          <w:rFonts w:cs="Arial"/>
        </w:rPr>
        <w:t>11</w:t>
      </w:r>
      <w:r w:rsidR="00E056B1" w:rsidRPr="00A134A7">
        <w:rPr>
          <w:rFonts w:cs="Arial"/>
        </w:rPr>
        <w:fldChar w:fldCharType="end"/>
      </w:r>
      <w:r w:rsidR="00D25ECD" w:rsidRPr="005D74D1">
        <w:rPr>
          <w:rFonts w:cs="Arial"/>
        </w:rPr>
        <w:t xml:space="preserve">. </w:t>
      </w:r>
      <w:r w:rsidRPr="005D74D1">
        <w:rPr>
          <w:rFonts w:cs="Arial"/>
        </w:rPr>
        <w:t>Further detail on co-funding for individual investment programs can be found in Appendix A.</w:t>
      </w:r>
    </w:p>
    <w:p w14:paraId="1D0C0824" w14:textId="1D99F883" w:rsidR="009576E8" w:rsidRPr="005D74D1" w:rsidRDefault="009576E8" w:rsidP="00312C92">
      <w:pPr>
        <w:pStyle w:val="TableCaption"/>
        <w:rPr>
          <w:rFonts w:cs="Arial"/>
        </w:rPr>
      </w:pPr>
      <w:bookmarkStart w:id="737" w:name="_Ref147140752"/>
      <w:bookmarkStart w:id="738" w:name="_Toc184904998"/>
      <w:r w:rsidRPr="005D74D1">
        <w:rPr>
          <w:rFonts w:cs="Arial"/>
        </w:rPr>
        <w:t xml:space="preserve">Table </w:t>
      </w:r>
      <w:r w:rsidRPr="00A134A7">
        <w:rPr>
          <w:rFonts w:cs="Arial"/>
        </w:rPr>
        <w:fldChar w:fldCharType="begin"/>
      </w:r>
      <w:r w:rsidRPr="005D74D1">
        <w:rPr>
          <w:rFonts w:cs="Arial"/>
        </w:rPr>
        <w:instrText>SEQ Table \* ARABIC</w:instrText>
      </w:r>
      <w:r w:rsidRPr="00A134A7">
        <w:rPr>
          <w:rFonts w:cs="Arial"/>
        </w:rPr>
        <w:fldChar w:fldCharType="separate"/>
      </w:r>
      <w:r w:rsidR="003870A0">
        <w:rPr>
          <w:rFonts w:cs="Arial"/>
          <w:noProof/>
        </w:rPr>
        <w:t>11</w:t>
      </w:r>
      <w:r w:rsidRPr="00A134A7">
        <w:rPr>
          <w:rFonts w:cs="Arial"/>
        </w:rPr>
        <w:fldChar w:fldCharType="end"/>
      </w:r>
      <w:bookmarkEnd w:id="737"/>
      <w:r w:rsidR="006D768A" w:rsidRPr="005D74D1">
        <w:rPr>
          <w:rFonts w:cs="Arial"/>
        </w:rPr>
        <w:t xml:space="preserve">. </w:t>
      </w:r>
      <w:r w:rsidR="003664E8" w:rsidRPr="005D74D1">
        <w:rPr>
          <w:rFonts w:cs="Arial"/>
        </w:rPr>
        <w:t>Co-</w:t>
      </w:r>
      <w:r w:rsidR="00D60141" w:rsidRPr="005D74D1">
        <w:rPr>
          <w:rFonts w:cs="Arial"/>
        </w:rPr>
        <w:t>i</w:t>
      </w:r>
      <w:r w:rsidR="00BC03E8" w:rsidRPr="005D74D1">
        <w:rPr>
          <w:rFonts w:cs="Arial"/>
        </w:rPr>
        <w:t>nvestment for EC5 projects</w:t>
      </w:r>
      <w:bookmarkEnd w:id="738"/>
      <w:r w:rsidR="00BC03E8" w:rsidRPr="005D74D1">
        <w:rPr>
          <w:rFonts w:cs="Arial"/>
        </w:rPr>
        <w:t xml:space="preserve"> </w:t>
      </w:r>
    </w:p>
    <w:tbl>
      <w:tblPr>
        <w:tblStyle w:val="TableGridLight"/>
        <w:tblW w:w="5000" w:type="pct"/>
        <w:tblBorders>
          <w:top w:val="single" w:sz="4" w:space="0" w:color="231EDC" w:themeColor="accent1"/>
          <w:left w:val="single" w:sz="4" w:space="0" w:color="231EDC" w:themeColor="accent1"/>
          <w:bottom w:val="single" w:sz="4" w:space="0" w:color="231EDC" w:themeColor="accent1"/>
          <w:right w:val="single" w:sz="4" w:space="0" w:color="231EDC" w:themeColor="accent1"/>
          <w:insideH w:val="single" w:sz="4" w:space="0" w:color="231EDC" w:themeColor="accent1"/>
          <w:insideV w:val="single" w:sz="4" w:space="0" w:color="231EDC" w:themeColor="accent1"/>
        </w:tblBorders>
        <w:tblLook w:val="04A0" w:firstRow="1" w:lastRow="0" w:firstColumn="1" w:lastColumn="0" w:noHBand="0" w:noVBand="1"/>
      </w:tblPr>
      <w:tblGrid>
        <w:gridCol w:w="3121"/>
        <w:gridCol w:w="1691"/>
        <w:gridCol w:w="1693"/>
        <w:gridCol w:w="3123"/>
      </w:tblGrid>
      <w:tr w:rsidR="000054B4" w:rsidRPr="005D74D1" w14:paraId="7480C1EA" w14:textId="77777777" w:rsidTr="00544E00">
        <w:trPr>
          <w:trHeight w:val="288"/>
          <w:tblHeader/>
        </w:trPr>
        <w:tc>
          <w:tcPr>
            <w:tcW w:w="1621" w:type="pct"/>
            <w:shd w:val="clear" w:color="auto" w:fill="231EDC" w:themeFill="accent1"/>
            <w:vAlign w:val="center"/>
          </w:tcPr>
          <w:p w14:paraId="71A11F7F" w14:textId="4976400E" w:rsidR="009576E8" w:rsidRPr="00A134A7" w:rsidRDefault="009576E8" w:rsidP="00F6054F">
            <w:pPr>
              <w:pStyle w:val="TableHeadingWhite"/>
              <w:rPr>
                <w:rFonts w:cs="Arial"/>
                <w:lang w:val="en-AU"/>
              </w:rPr>
            </w:pPr>
            <w:r w:rsidRPr="005D74D1">
              <w:rPr>
                <w:rFonts w:cs="Arial"/>
              </w:rPr>
              <w:t xml:space="preserve">EC5 </w:t>
            </w:r>
            <w:r w:rsidR="00D60141" w:rsidRPr="005D74D1">
              <w:rPr>
                <w:rFonts w:cs="Arial"/>
              </w:rPr>
              <w:t>projects</w:t>
            </w:r>
          </w:p>
        </w:tc>
        <w:tc>
          <w:tcPr>
            <w:tcW w:w="878" w:type="pct"/>
            <w:shd w:val="clear" w:color="auto" w:fill="231EDC" w:themeFill="accent1"/>
            <w:vAlign w:val="center"/>
          </w:tcPr>
          <w:p w14:paraId="4D4243D9" w14:textId="44D183AC" w:rsidR="009576E8" w:rsidRPr="00A134A7" w:rsidRDefault="009576E8" w:rsidP="00F6054F">
            <w:pPr>
              <w:pStyle w:val="TableHeadingWhite"/>
              <w:rPr>
                <w:rFonts w:cs="Arial"/>
                <w:lang w:val="en-AU"/>
              </w:rPr>
            </w:pPr>
            <w:r w:rsidRPr="005D74D1">
              <w:rPr>
                <w:rFonts w:cs="Arial"/>
              </w:rPr>
              <w:t>EC5 funding</w:t>
            </w:r>
          </w:p>
        </w:tc>
        <w:tc>
          <w:tcPr>
            <w:tcW w:w="879" w:type="pct"/>
            <w:shd w:val="clear" w:color="auto" w:fill="231EDC" w:themeFill="accent1"/>
            <w:vAlign w:val="center"/>
          </w:tcPr>
          <w:p w14:paraId="0231A74A" w14:textId="024A47B2" w:rsidR="009576E8" w:rsidRPr="00A134A7" w:rsidRDefault="009576E8" w:rsidP="00F6054F">
            <w:pPr>
              <w:pStyle w:val="TableHeadingWhite"/>
              <w:rPr>
                <w:rFonts w:cs="Arial"/>
                <w:lang w:val="en-AU"/>
              </w:rPr>
            </w:pPr>
            <w:r w:rsidRPr="005D74D1">
              <w:rPr>
                <w:rFonts w:cs="Arial"/>
              </w:rPr>
              <w:t>Co-</w:t>
            </w:r>
            <w:r w:rsidR="00D60141" w:rsidRPr="005D74D1">
              <w:rPr>
                <w:rFonts w:cs="Arial"/>
              </w:rPr>
              <w:t>investment</w:t>
            </w:r>
          </w:p>
        </w:tc>
        <w:tc>
          <w:tcPr>
            <w:tcW w:w="1622" w:type="pct"/>
            <w:shd w:val="clear" w:color="auto" w:fill="231EDC" w:themeFill="accent1"/>
            <w:vAlign w:val="center"/>
          </w:tcPr>
          <w:p w14:paraId="45EB71FD" w14:textId="0710DA89" w:rsidR="009576E8" w:rsidRPr="00A134A7" w:rsidRDefault="009576E8" w:rsidP="00F6054F">
            <w:pPr>
              <w:pStyle w:val="TableHeadingWhite"/>
              <w:rPr>
                <w:rFonts w:cs="Arial"/>
                <w:lang w:val="en-AU"/>
              </w:rPr>
            </w:pPr>
            <w:r w:rsidRPr="005D74D1">
              <w:rPr>
                <w:rFonts w:cs="Arial"/>
              </w:rPr>
              <w:t>Co-investors</w:t>
            </w:r>
          </w:p>
        </w:tc>
      </w:tr>
      <w:tr w:rsidR="000054B4" w:rsidRPr="005D74D1" w14:paraId="6B810DD6" w14:textId="77777777" w:rsidTr="00544E00">
        <w:trPr>
          <w:trHeight w:val="288"/>
        </w:trPr>
        <w:tc>
          <w:tcPr>
            <w:tcW w:w="1621" w:type="pct"/>
            <w:vAlign w:val="center"/>
            <w:hideMark/>
          </w:tcPr>
          <w:p w14:paraId="0A9C1809" w14:textId="4E32779A" w:rsidR="00C01664" w:rsidRPr="005D74D1" w:rsidRDefault="00646281" w:rsidP="00CD0F76">
            <w:pPr>
              <w:pStyle w:val="TableText"/>
              <w:rPr>
                <w:rFonts w:cs="Arial"/>
                <w:lang w:val="en-AU"/>
              </w:rPr>
            </w:pPr>
            <w:r w:rsidRPr="005D74D1">
              <w:rPr>
                <w:rFonts w:cs="Arial"/>
              </w:rPr>
              <w:t xml:space="preserve">CWCT01: </w:t>
            </w:r>
            <w:r w:rsidR="00C01664" w:rsidRPr="005D74D1">
              <w:rPr>
                <w:rFonts w:cs="Arial"/>
              </w:rPr>
              <w:t>Integrated Water Management</w:t>
            </w:r>
          </w:p>
        </w:tc>
        <w:tc>
          <w:tcPr>
            <w:tcW w:w="878" w:type="pct"/>
            <w:vAlign w:val="center"/>
          </w:tcPr>
          <w:p w14:paraId="2152C5A6" w14:textId="3A989E69" w:rsidR="00C01664" w:rsidRPr="005D74D1" w:rsidRDefault="00C01664" w:rsidP="00CD0F76">
            <w:pPr>
              <w:pStyle w:val="TableText"/>
              <w:rPr>
                <w:rFonts w:cs="Arial"/>
                <w:lang w:val="en-AU"/>
              </w:rPr>
            </w:pPr>
            <w:r w:rsidRPr="005D74D1">
              <w:rPr>
                <w:rFonts w:cs="Arial"/>
              </w:rPr>
              <w:t>$</w:t>
            </w:r>
            <w:r w:rsidR="00366C90" w:rsidRPr="005D74D1">
              <w:rPr>
                <w:rFonts w:cs="Arial"/>
              </w:rPr>
              <w:t>59,788,302</w:t>
            </w:r>
          </w:p>
        </w:tc>
        <w:tc>
          <w:tcPr>
            <w:tcW w:w="879" w:type="pct"/>
            <w:vAlign w:val="center"/>
          </w:tcPr>
          <w:p w14:paraId="7F752381" w14:textId="0C0200C8" w:rsidR="00C01664" w:rsidRPr="005D74D1" w:rsidRDefault="00C01664" w:rsidP="00CD0F76">
            <w:pPr>
              <w:pStyle w:val="TableText"/>
              <w:rPr>
                <w:rFonts w:cs="Arial"/>
                <w:lang w:val="en-AU"/>
              </w:rPr>
            </w:pPr>
            <w:r w:rsidRPr="005D74D1">
              <w:rPr>
                <w:rFonts w:cs="Arial"/>
              </w:rPr>
              <w:t>$</w:t>
            </w:r>
            <w:r w:rsidR="006733DF" w:rsidRPr="005D74D1">
              <w:rPr>
                <w:rFonts w:cs="Arial"/>
              </w:rPr>
              <w:t>34,719,781</w:t>
            </w:r>
          </w:p>
        </w:tc>
        <w:tc>
          <w:tcPr>
            <w:tcW w:w="1622" w:type="pct"/>
            <w:vAlign w:val="center"/>
          </w:tcPr>
          <w:p w14:paraId="4BE00087" w14:textId="0264AC63" w:rsidR="00C01664" w:rsidRPr="005D74D1" w:rsidRDefault="00C01664" w:rsidP="00CD0F76">
            <w:pPr>
              <w:pStyle w:val="TableText"/>
              <w:rPr>
                <w:rFonts w:cs="Arial"/>
                <w:lang w:val="en-AU"/>
              </w:rPr>
            </w:pPr>
            <w:r w:rsidRPr="005D74D1">
              <w:rPr>
                <w:rFonts w:cs="Arial"/>
              </w:rPr>
              <w:t>IWM Forum partners</w:t>
            </w:r>
            <w:r w:rsidR="004D58EC" w:rsidRPr="005D74D1">
              <w:rPr>
                <w:rFonts w:cs="Arial"/>
              </w:rPr>
              <w:t>, federal government</w:t>
            </w:r>
          </w:p>
        </w:tc>
      </w:tr>
      <w:tr w:rsidR="000054B4" w:rsidRPr="005D74D1" w14:paraId="2D41B107" w14:textId="77777777" w:rsidTr="00544E00">
        <w:trPr>
          <w:trHeight w:val="288"/>
        </w:trPr>
        <w:tc>
          <w:tcPr>
            <w:tcW w:w="1621" w:type="pct"/>
            <w:vAlign w:val="center"/>
            <w:hideMark/>
          </w:tcPr>
          <w:p w14:paraId="50FCBFEE" w14:textId="4086AEA9" w:rsidR="00C01664" w:rsidRPr="005D74D1" w:rsidRDefault="00646281" w:rsidP="00CD0F76">
            <w:pPr>
              <w:pStyle w:val="TableText"/>
              <w:rPr>
                <w:rFonts w:cs="Arial"/>
                <w:lang w:val="en-AU"/>
              </w:rPr>
            </w:pPr>
            <w:r w:rsidRPr="005D74D1">
              <w:rPr>
                <w:rFonts w:cs="Arial"/>
              </w:rPr>
              <w:t xml:space="preserve">CWCT02: </w:t>
            </w:r>
            <w:r w:rsidR="00C01664" w:rsidRPr="005D74D1">
              <w:rPr>
                <w:rFonts w:cs="Arial"/>
              </w:rPr>
              <w:t>Iconic Urban Waterways Program</w:t>
            </w:r>
          </w:p>
        </w:tc>
        <w:tc>
          <w:tcPr>
            <w:tcW w:w="878" w:type="pct"/>
            <w:vAlign w:val="center"/>
          </w:tcPr>
          <w:p w14:paraId="0B5BEA9A" w14:textId="43E4BBF1" w:rsidR="00C01664" w:rsidRPr="005D74D1" w:rsidRDefault="00C01664" w:rsidP="00CD0F76">
            <w:pPr>
              <w:pStyle w:val="TableText"/>
              <w:rPr>
                <w:rFonts w:cs="Arial"/>
                <w:lang w:val="en-AU"/>
              </w:rPr>
            </w:pPr>
            <w:r w:rsidRPr="005D74D1">
              <w:rPr>
                <w:rFonts w:cs="Arial"/>
              </w:rPr>
              <w:t>$</w:t>
            </w:r>
            <w:r w:rsidR="007B6049" w:rsidRPr="005D74D1">
              <w:rPr>
                <w:rFonts w:cs="Arial"/>
              </w:rPr>
              <w:t>16,151,969</w:t>
            </w:r>
          </w:p>
        </w:tc>
        <w:tc>
          <w:tcPr>
            <w:tcW w:w="879" w:type="pct"/>
            <w:vAlign w:val="center"/>
          </w:tcPr>
          <w:p w14:paraId="6043C0F4" w14:textId="390AEABD" w:rsidR="00C01664" w:rsidRPr="005D74D1" w:rsidRDefault="00C01664" w:rsidP="00CD0F76">
            <w:pPr>
              <w:pStyle w:val="TableText"/>
              <w:rPr>
                <w:rFonts w:cs="Arial"/>
                <w:lang w:val="en-AU"/>
              </w:rPr>
            </w:pPr>
            <w:r w:rsidRPr="005D74D1">
              <w:rPr>
                <w:rFonts w:cs="Arial"/>
              </w:rPr>
              <w:t>$</w:t>
            </w:r>
            <w:r w:rsidR="00D8322C" w:rsidRPr="005D74D1">
              <w:rPr>
                <w:rFonts w:cs="Arial"/>
              </w:rPr>
              <w:t>1,883,047</w:t>
            </w:r>
          </w:p>
        </w:tc>
        <w:tc>
          <w:tcPr>
            <w:tcW w:w="1622" w:type="pct"/>
            <w:vAlign w:val="center"/>
          </w:tcPr>
          <w:p w14:paraId="224E3486" w14:textId="10DD236E" w:rsidR="00C01664" w:rsidRPr="005D74D1" w:rsidRDefault="00C01664" w:rsidP="00CD0F76">
            <w:pPr>
              <w:pStyle w:val="TableText"/>
              <w:rPr>
                <w:rFonts w:cs="Arial"/>
                <w:lang w:val="en-AU"/>
              </w:rPr>
            </w:pPr>
            <w:r w:rsidRPr="005D74D1">
              <w:rPr>
                <w:rFonts w:cs="Arial"/>
              </w:rPr>
              <w:t>Delivery partners</w:t>
            </w:r>
          </w:p>
        </w:tc>
      </w:tr>
      <w:tr w:rsidR="000054B4" w:rsidRPr="005D74D1" w14:paraId="06C678A5" w14:textId="77777777" w:rsidTr="00544E00">
        <w:trPr>
          <w:trHeight w:val="288"/>
        </w:trPr>
        <w:tc>
          <w:tcPr>
            <w:tcW w:w="1621" w:type="pct"/>
            <w:vAlign w:val="center"/>
            <w:hideMark/>
          </w:tcPr>
          <w:p w14:paraId="042A2232" w14:textId="50628CF3" w:rsidR="00C01664" w:rsidRPr="005D74D1" w:rsidRDefault="00646281" w:rsidP="00CD0F76">
            <w:pPr>
              <w:pStyle w:val="TableText"/>
              <w:rPr>
                <w:rFonts w:cs="Arial"/>
                <w:lang w:val="en-AU"/>
              </w:rPr>
            </w:pPr>
            <w:r w:rsidRPr="005D74D1">
              <w:rPr>
                <w:rFonts w:cs="Arial"/>
              </w:rPr>
              <w:t xml:space="preserve">CWCT04: </w:t>
            </w:r>
            <w:r w:rsidR="00C01664" w:rsidRPr="005D74D1">
              <w:rPr>
                <w:rFonts w:cs="Arial"/>
              </w:rPr>
              <w:t>Recycled water, stormwater and onsite wastewater policy</w:t>
            </w:r>
          </w:p>
        </w:tc>
        <w:tc>
          <w:tcPr>
            <w:tcW w:w="878" w:type="pct"/>
            <w:vAlign w:val="center"/>
          </w:tcPr>
          <w:p w14:paraId="5F6E8CB0" w14:textId="72DC147F" w:rsidR="00C01664" w:rsidRPr="005D74D1" w:rsidRDefault="00C01664" w:rsidP="00CD0F76">
            <w:pPr>
              <w:pStyle w:val="TableText"/>
              <w:rPr>
                <w:rFonts w:cs="Arial"/>
                <w:lang w:val="en-AU"/>
              </w:rPr>
            </w:pPr>
            <w:r w:rsidRPr="005D74D1">
              <w:rPr>
                <w:rFonts w:cs="Arial"/>
              </w:rPr>
              <w:t>$</w:t>
            </w:r>
            <w:r w:rsidR="0049170B" w:rsidRPr="005D74D1">
              <w:rPr>
                <w:rFonts w:cs="Arial"/>
              </w:rPr>
              <w:t>10,634,038,</w:t>
            </w:r>
          </w:p>
        </w:tc>
        <w:tc>
          <w:tcPr>
            <w:tcW w:w="879" w:type="pct"/>
            <w:vAlign w:val="center"/>
          </w:tcPr>
          <w:p w14:paraId="2F182271" w14:textId="6313C9B5" w:rsidR="00C01664" w:rsidRPr="005D74D1" w:rsidRDefault="00C01664" w:rsidP="00CD0F76">
            <w:pPr>
              <w:pStyle w:val="TableText"/>
              <w:rPr>
                <w:rFonts w:cs="Arial"/>
                <w:lang w:val="en-AU"/>
              </w:rPr>
            </w:pPr>
            <w:r w:rsidRPr="005D74D1">
              <w:rPr>
                <w:rFonts w:cs="Arial"/>
              </w:rPr>
              <w:t>$1,</w:t>
            </w:r>
            <w:r w:rsidR="0049170B" w:rsidRPr="005D74D1">
              <w:rPr>
                <w:rFonts w:cs="Arial"/>
              </w:rPr>
              <w:t>488,000</w:t>
            </w:r>
          </w:p>
        </w:tc>
        <w:tc>
          <w:tcPr>
            <w:tcW w:w="1622" w:type="pct"/>
            <w:vAlign w:val="center"/>
          </w:tcPr>
          <w:p w14:paraId="4BEE0F1C" w14:textId="5ED7247D" w:rsidR="00C01664" w:rsidRPr="005D74D1" w:rsidRDefault="00C01664" w:rsidP="00CD0F76">
            <w:pPr>
              <w:pStyle w:val="TableText"/>
              <w:rPr>
                <w:rFonts w:cs="Arial"/>
                <w:lang w:val="en-AU"/>
              </w:rPr>
            </w:pPr>
            <w:r w:rsidRPr="005D74D1">
              <w:rPr>
                <w:rFonts w:cs="Arial"/>
              </w:rPr>
              <w:t xml:space="preserve">Dept of Health, </w:t>
            </w:r>
            <w:r w:rsidR="00A8773A" w:rsidRPr="005D74D1">
              <w:rPr>
                <w:rFonts w:cs="Arial"/>
              </w:rPr>
              <w:t>water corporations</w:t>
            </w:r>
            <w:r w:rsidRPr="005D74D1">
              <w:rPr>
                <w:rFonts w:cs="Arial"/>
              </w:rPr>
              <w:t>, EPA, Melbourne Water, Councils</w:t>
            </w:r>
          </w:p>
        </w:tc>
      </w:tr>
      <w:tr w:rsidR="000054B4" w:rsidRPr="005D74D1" w14:paraId="757B87BB" w14:textId="77777777" w:rsidTr="00544E00">
        <w:trPr>
          <w:trHeight w:val="288"/>
        </w:trPr>
        <w:tc>
          <w:tcPr>
            <w:tcW w:w="1621" w:type="pct"/>
            <w:vAlign w:val="center"/>
            <w:hideMark/>
          </w:tcPr>
          <w:p w14:paraId="070F12C2" w14:textId="21EFCC5C" w:rsidR="00C01664" w:rsidRPr="005D74D1" w:rsidRDefault="00646281" w:rsidP="00CD0F76">
            <w:pPr>
              <w:pStyle w:val="TableText"/>
              <w:rPr>
                <w:rFonts w:cs="Arial"/>
                <w:lang w:val="en-AU"/>
              </w:rPr>
            </w:pPr>
            <w:r w:rsidRPr="005D74D1">
              <w:rPr>
                <w:rFonts w:cs="Arial"/>
              </w:rPr>
              <w:t xml:space="preserve">WRS1: </w:t>
            </w:r>
            <w:r w:rsidR="00C01664" w:rsidRPr="005D74D1">
              <w:rPr>
                <w:rFonts w:cs="Arial"/>
              </w:rPr>
              <w:t>Retail Entitlements and Markets</w:t>
            </w:r>
          </w:p>
        </w:tc>
        <w:tc>
          <w:tcPr>
            <w:tcW w:w="878" w:type="pct"/>
            <w:vAlign w:val="center"/>
          </w:tcPr>
          <w:p w14:paraId="684F5485" w14:textId="26D041EF" w:rsidR="00C01664" w:rsidRPr="005D74D1" w:rsidRDefault="00C01664" w:rsidP="00CD0F76">
            <w:pPr>
              <w:pStyle w:val="TableText"/>
              <w:rPr>
                <w:rFonts w:cs="Arial"/>
                <w:lang w:val="en-AU"/>
              </w:rPr>
            </w:pPr>
            <w:r w:rsidRPr="005D74D1">
              <w:rPr>
                <w:rFonts w:cs="Arial"/>
              </w:rPr>
              <w:t>$7,215,000</w:t>
            </w:r>
          </w:p>
        </w:tc>
        <w:tc>
          <w:tcPr>
            <w:tcW w:w="879" w:type="pct"/>
            <w:vAlign w:val="center"/>
          </w:tcPr>
          <w:p w14:paraId="466A6D6C" w14:textId="1E7E2E44" w:rsidR="00C01664" w:rsidRPr="005D74D1" w:rsidRDefault="00C01664" w:rsidP="00CD0F76">
            <w:pPr>
              <w:pStyle w:val="TableText"/>
              <w:rPr>
                <w:rFonts w:cs="Arial"/>
                <w:lang w:val="en-AU"/>
              </w:rPr>
            </w:pPr>
            <w:r w:rsidRPr="005D74D1">
              <w:rPr>
                <w:rFonts w:cs="Arial"/>
              </w:rPr>
              <w:t>$4,907,000</w:t>
            </w:r>
          </w:p>
        </w:tc>
        <w:tc>
          <w:tcPr>
            <w:tcW w:w="1622" w:type="pct"/>
            <w:vAlign w:val="center"/>
          </w:tcPr>
          <w:p w14:paraId="7BF4B2C7" w14:textId="6718DC6F" w:rsidR="00C01664" w:rsidRPr="005D74D1" w:rsidRDefault="00C01664" w:rsidP="00CD0F76">
            <w:pPr>
              <w:pStyle w:val="TableText"/>
              <w:rPr>
                <w:rFonts w:cs="Arial"/>
                <w:lang w:val="en-AU"/>
              </w:rPr>
            </w:pPr>
            <w:r w:rsidRPr="005D74D1">
              <w:rPr>
                <w:rFonts w:cs="Arial"/>
              </w:rPr>
              <w:t>Federal Funding Agreement for delivery of Murray</w:t>
            </w:r>
            <w:r w:rsidR="000B4E0A" w:rsidRPr="005D74D1">
              <w:rPr>
                <w:rFonts w:cs="Arial"/>
              </w:rPr>
              <w:t>-</w:t>
            </w:r>
            <w:r w:rsidRPr="005D74D1">
              <w:rPr>
                <w:rFonts w:cs="Arial"/>
              </w:rPr>
              <w:t xml:space="preserve">Darling Basin </w:t>
            </w:r>
            <w:r w:rsidR="00856D03" w:rsidRPr="005D74D1">
              <w:rPr>
                <w:rFonts w:cs="Arial"/>
              </w:rPr>
              <w:t>project</w:t>
            </w:r>
            <w:r w:rsidRPr="005D74D1">
              <w:rPr>
                <w:rFonts w:cs="Arial"/>
              </w:rPr>
              <w:t>s</w:t>
            </w:r>
          </w:p>
        </w:tc>
      </w:tr>
      <w:tr w:rsidR="000054B4" w:rsidRPr="005D74D1" w14:paraId="652EC7C1" w14:textId="77777777" w:rsidTr="00544E00">
        <w:trPr>
          <w:trHeight w:val="288"/>
        </w:trPr>
        <w:tc>
          <w:tcPr>
            <w:tcW w:w="1621" w:type="pct"/>
            <w:vAlign w:val="center"/>
            <w:hideMark/>
          </w:tcPr>
          <w:p w14:paraId="61F4CD98" w14:textId="00C0E03C" w:rsidR="00C01664" w:rsidRPr="005D74D1" w:rsidRDefault="00646281" w:rsidP="00CD0F76">
            <w:pPr>
              <w:pStyle w:val="TableText"/>
              <w:rPr>
                <w:rFonts w:cs="Arial"/>
                <w:lang w:val="en-AU"/>
              </w:rPr>
            </w:pPr>
            <w:r w:rsidRPr="005D74D1">
              <w:rPr>
                <w:rFonts w:cs="Arial"/>
              </w:rPr>
              <w:t xml:space="preserve">WRS10: </w:t>
            </w:r>
            <w:r w:rsidR="00C01664" w:rsidRPr="005D74D1">
              <w:rPr>
                <w:rFonts w:cs="Arial"/>
              </w:rPr>
              <w:t>Understand and Apply Climate Science to Water</w:t>
            </w:r>
          </w:p>
        </w:tc>
        <w:tc>
          <w:tcPr>
            <w:tcW w:w="878" w:type="pct"/>
            <w:noWrap/>
            <w:vAlign w:val="center"/>
          </w:tcPr>
          <w:p w14:paraId="07802693" w14:textId="092E1C91" w:rsidR="00C01664" w:rsidRPr="005D74D1" w:rsidRDefault="00C01664" w:rsidP="00CD0F76">
            <w:pPr>
              <w:pStyle w:val="TableText"/>
              <w:rPr>
                <w:rFonts w:cs="Arial"/>
                <w:lang w:val="en-AU"/>
              </w:rPr>
            </w:pPr>
            <w:r w:rsidRPr="005D74D1">
              <w:rPr>
                <w:rFonts w:cs="Arial"/>
              </w:rPr>
              <w:t>$</w:t>
            </w:r>
            <w:r w:rsidR="0049170B" w:rsidRPr="005D74D1">
              <w:rPr>
                <w:rFonts w:cs="Arial"/>
              </w:rPr>
              <w:t>7,092,000</w:t>
            </w:r>
          </w:p>
        </w:tc>
        <w:tc>
          <w:tcPr>
            <w:tcW w:w="879" w:type="pct"/>
            <w:vAlign w:val="center"/>
          </w:tcPr>
          <w:p w14:paraId="5A548D86" w14:textId="490AAB29" w:rsidR="00C01664" w:rsidRPr="005D74D1" w:rsidRDefault="00C01664" w:rsidP="00CD0F76">
            <w:pPr>
              <w:pStyle w:val="TableText"/>
              <w:rPr>
                <w:rFonts w:cs="Arial"/>
                <w:lang w:val="en-AU"/>
              </w:rPr>
            </w:pPr>
            <w:r w:rsidRPr="005D74D1">
              <w:rPr>
                <w:rFonts w:cs="Arial"/>
              </w:rPr>
              <w:t>$</w:t>
            </w:r>
            <w:r w:rsidR="0049170B" w:rsidRPr="005D74D1">
              <w:rPr>
                <w:rFonts w:cs="Arial"/>
              </w:rPr>
              <w:t>2,642,000</w:t>
            </w:r>
          </w:p>
        </w:tc>
        <w:tc>
          <w:tcPr>
            <w:tcW w:w="1622" w:type="pct"/>
            <w:vAlign w:val="center"/>
          </w:tcPr>
          <w:p w14:paraId="78C62964" w14:textId="24A12383" w:rsidR="00C01664" w:rsidRPr="005D74D1" w:rsidRDefault="00C01664" w:rsidP="00CD0F76">
            <w:pPr>
              <w:pStyle w:val="TableText"/>
              <w:rPr>
                <w:rFonts w:cs="Arial"/>
                <w:lang w:val="en-AU"/>
              </w:rPr>
            </w:pPr>
            <w:r w:rsidRPr="005D74D1">
              <w:rPr>
                <w:rFonts w:cs="Arial"/>
              </w:rPr>
              <w:t>Bureau of Meteorology and CSIRO</w:t>
            </w:r>
          </w:p>
        </w:tc>
      </w:tr>
      <w:tr w:rsidR="000054B4" w:rsidRPr="005D74D1" w14:paraId="30104E59" w14:textId="77777777" w:rsidTr="00544E00">
        <w:trPr>
          <w:trHeight w:val="586"/>
        </w:trPr>
        <w:tc>
          <w:tcPr>
            <w:tcW w:w="1621" w:type="pct"/>
            <w:vAlign w:val="center"/>
          </w:tcPr>
          <w:p w14:paraId="3BDC75A4" w14:textId="6700D24C" w:rsidR="00C01664" w:rsidRPr="005D74D1" w:rsidRDefault="00646281" w:rsidP="00CD0F76">
            <w:pPr>
              <w:pStyle w:val="TableText"/>
              <w:rPr>
                <w:rFonts w:cs="Arial"/>
                <w:lang w:val="en-AU"/>
              </w:rPr>
            </w:pPr>
            <w:r w:rsidRPr="005D74D1">
              <w:rPr>
                <w:rFonts w:cs="Arial"/>
              </w:rPr>
              <w:t xml:space="preserve">CWCT07: </w:t>
            </w:r>
            <w:r w:rsidR="00C01664" w:rsidRPr="005D74D1">
              <w:rPr>
                <w:rFonts w:cs="Arial"/>
              </w:rPr>
              <w:t xml:space="preserve">CGRSWS </w:t>
            </w:r>
            <w:r w:rsidR="0098591A" w:rsidRPr="005D74D1">
              <w:rPr>
                <w:rFonts w:cs="Arial"/>
              </w:rPr>
              <w:t xml:space="preserve">Funding Stream 2 </w:t>
            </w:r>
            <w:r w:rsidR="00C01664" w:rsidRPr="005D74D1">
              <w:rPr>
                <w:rFonts w:cs="Arial"/>
              </w:rPr>
              <w:t>Diversify water sources and increase water efficiency</w:t>
            </w:r>
          </w:p>
        </w:tc>
        <w:tc>
          <w:tcPr>
            <w:tcW w:w="878" w:type="pct"/>
            <w:vAlign w:val="center"/>
          </w:tcPr>
          <w:p w14:paraId="1399F550" w14:textId="61032895" w:rsidR="00C01664" w:rsidRPr="005D74D1" w:rsidRDefault="00123FC5" w:rsidP="00CD0F76">
            <w:pPr>
              <w:pStyle w:val="TableText"/>
              <w:rPr>
                <w:rFonts w:cs="Arial"/>
                <w:lang w:val="en-AU"/>
              </w:rPr>
            </w:pPr>
            <w:r w:rsidRPr="005D74D1">
              <w:rPr>
                <w:rFonts w:cs="Arial"/>
              </w:rPr>
              <w:t>$</w:t>
            </w:r>
            <w:r w:rsidRPr="00A134A7">
              <w:rPr>
                <w:rFonts w:cs="Arial"/>
              </w:rPr>
              <w:t>39,029</w:t>
            </w:r>
            <w:r w:rsidRPr="005D74D1">
              <w:rPr>
                <w:rFonts w:cs="Arial"/>
              </w:rPr>
              <w:t>,000</w:t>
            </w:r>
          </w:p>
        </w:tc>
        <w:tc>
          <w:tcPr>
            <w:tcW w:w="879" w:type="pct"/>
            <w:vAlign w:val="center"/>
          </w:tcPr>
          <w:p w14:paraId="1464C4A6" w14:textId="4C2CFFC6" w:rsidR="00C01664" w:rsidRPr="005D74D1" w:rsidRDefault="00C01664" w:rsidP="00CD0F76">
            <w:pPr>
              <w:pStyle w:val="TableText"/>
              <w:rPr>
                <w:rFonts w:cs="Arial"/>
                <w:lang w:val="en-AU"/>
              </w:rPr>
            </w:pPr>
            <w:r w:rsidRPr="005D74D1">
              <w:rPr>
                <w:rFonts w:cs="Arial"/>
              </w:rPr>
              <w:t>$</w:t>
            </w:r>
            <w:r w:rsidR="00CB6E0F" w:rsidRPr="00A134A7">
              <w:rPr>
                <w:rFonts w:cs="Arial"/>
              </w:rPr>
              <w:t>83,571,900</w:t>
            </w:r>
          </w:p>
        </w:tc>
        <w:tc>
          <w:tcPr>
            <w:tcW w:w="1622" w:type="pct"/>
            <w:vAlign w:val="center"/>
          </w:tcPr>
          <w:p w14:paraId="78D8CBD3" w14:textId="2590A2E0" w:rsidR="00C01664" w:rsidRPr="005D74D1" w:rsidRDefault="002F5017" w:rsidP="00CD0F76">
            <w:pPr>
              <w:pStyle w:val="TableText"/>
              <w:rPr>
                <w:rFonts w:cs="Arial"/>
                <w:lang w:val="en-AU"/>
              </w:rPr>
            </w:pPr>
            <w:r w:rsidRPr="005D74D1">
              <w:rPr>
                <w:rFonts w:cs="Arial"/>
              </w:rPr>
              <w:t xml:space="preserve">Water </w:t>
            </w:r>
            <w:r w:rsidR="00636A3C" w:rsidRPr="005D74D1">
              <w:rPr>
                <w:rFonts w:cs="Arial"/>
              </w:rPr>
              <w:t>corp</w:t>
            </w:r>
            <w:r w:rsidR="004F5214" w:rsidRPr="005D74D1">
              <w:rPr>
                <w:rFonts w:cs="Arial"/>
              </w:rPr>
              <w:t>oration</w:t>
            </w:r>
            <w:r w:rsidR="00636A3C" w:rsidRPr="005D74D1">
              <w:rPr>
                <w:rFonts w:cs="Arial"/>
              </w:rPr>
              <w:t xml:space="preserve">s and </w:t>
            </w:r>
            <w:r w:rsidR="004F5214" w:rsidRPr="005D74D1">
              <w:rPr>
                <w:rFonts w:cs="Arial"/>
              </w:rPr>
              <w:t>local government authorities</w:t>
            </w:r>
          </w:p>
        </w:tc>
      </w:tr>
      <w:tr w:rsidR="000054B4" w:rsidRPr="005D74D1" w14:paraId="6B8BDC23" w14:textId="77777777" w:rsidTr="00544E00">
        <w:trPr>
          <w:trHeight w:val="288"/>
        </w:trPr>
        <w:tc>
          <w:tcPr>
            <w:tcW w:w="1621" w:type="pct"/>
            <w:vAlign w:val="center"/>
            <w:hideMark/>
          </w:tcPr>
          <w:p w14:paraId="055FB9AD" w14:textId="2E259484" w:rsidR="00C01664" w:rsidRPr="005D74D1" w:rsidRDefault="00646281" w:rsidP="00CD0F76">
            <w:pPr>
              <w:pStyle w:val="TableText"/>
              <w:rPr>
                <w:rFonts w:cs="Arial"/>
                <w:lang w:val="en-AU"/>
              </w:rPr>
            </w:pPr>
            <w:r w:rsidRPr="005D74D1">
              <w:rPr>
                <w:rFonts w:cs="Arial"/>
              </w:rPr>
              <w:t xml:space="preserve">SIRS4: </w:t>
            </w:r>
            <w:r w:rsidR="00C01664" w:rsidRPr="005D74D1">
              <w:rPr>
                <w:rFonts w:cs="Arial"/>
              </w:rPr>
              <w:t>Central Bendigo Mine Rehabilitation Project - Groundwater</w:t>
            </w:r>
          </w:p>
        </w:tc>
        <w:tc>
          <w:tcPr>
            <w:tcW w:w="878" w:type="pct"/>
            <w:noWrap/>
            <w:vAlign w:val="center"/>
          </w:tcPr>
          <w:p w14:paraId="4462C2D1" w14:textId="38C5291E" w:rsidR="00C01664" w:rsidRPr="005D74D1" w:rsidRDefault="00C01664" w:rsidP="00CD0F76">
            <w:pPr>
              <w:pStyle w:val="TableText"/>
              <w:rPr>
                <w:rFonts w:cs="Arial"/>
                <w:lang w:val="en-AU"/>
              </w:rPr>
            </w:pPr>
            <w:r w:rsidRPr="005D74D1">
              <w:rPr>
                <w:rFonts w:cs="Arial"/>
              </w:rPr>
              <w:t>$</w:t>
            </w:r>
            <w:r w:rsidR="0049170B" w:rsidRPr="005D74D1">
              <w:rPr>
                <w:rFonts w:cs="Arial"/>
              </w:rPr>
              <w:t>12,030,000</w:t>
            </w:r>
          </w:p>
        </w:tc>
        <w:tc>
          <w:tcPr>
            <w:tcW w:w="879" w:type="pct"/>
            <w:vAlign w:val="center"/>
          </w:tcPr>
          <w:p w14:paraId="1BD8A2C5" w14:textId="7EC73125" w:rsidR="00C01664" w:rsidRPr="005D74D1" w:rsidRDefault="00C01664" w:rsidP="00CD0F76">
            <w:pPr>
              <w:pStyle w:val="TableText"/>
              <w:rPr>
                <w:rFonts w:cs="Arial"/>
                <w:lang w:val="en-AU"/>
              </w:rPr>
            </w:pPr>
            <w:r w:rsidRPr="005D74D1">
              <w:rPr>
                <w:rFonts w:cs="Arial"/>
              </w:rPr>
              <w:t>$</w:t>
            </w:r>
            <w:r w:rsidR="0049170B" w:rsidRPr="005D74D1">
              <w:rPr>
                <w:rFonts w:cs="Arial"/>
              </w:rPr>
              <w:t>99,000</w:t>
            </w:r>
          </w:p>
        </w:tc>
        <w:tc>
          <w:tcPr>
            <w:tcW w:w="1622" w:type="pct"/>
            <w:vAlign w:val="center"/>
          </w:tcPr>
          <w:p w14:paraId="60E9270C" w14:textId="0EC0C1C7" w:rsidR="00C01664" w:rsidRPr="005D74D1" w:rsidRDefault="0049170B" w:rsidP="00CD0F76">
            <w:pPr>
              <w:pStyle w:val="TableText"/>
              <w:rPr>
                <w:rFonts w:cs="Arial"/>
                <w:lang w:val="en-AU"/>
              </w:rPr>
            </w:pPr>
            <w:r w:rsidRPr="005D74D1">
              <w:rPr>
                <w:rFonts w:cs="Arial"/>
              </w:rPr>
              <w:t>Trust funds</w:t>
            </w:r>
          </w:p>
        </w:tc>
      </w:tr>
      <w:tr w:rsidR="000054B4" w:rsidRPr="005D74D1" w14:paraId="77B38751" w14:textId="77777777" w:rsidTr="00544E00">
        <w:trPr>
          <w:trHeight w:val="242"/>
        </w:trPr>
        <w:tc>
          <w:tcPr>
            <w:tcW w:w="1621" w:type="pct"/>
            <w:vAlign w:val="center"/>
            <w:hideMark/>
          </w:tcPr>
          <w:p w14:paraId="6F891051" w14:textId="2C297D1E" w:rsidR="00C01664" w:rsidRPr="005D74D1" w:rsidRDefault="00646281" w:rsidP="00CD0F76">
            <w:pPr>
              <w:pStyle w:val="TableText"/>
              <w:rPr>
                <w:rFonts w:cs="Arial"/>
                <w:lang w:val="en-AU"/>
              </w:rPr>
            </w:pPr>
            <w:r w:rsidRPr="005D74D1">
              <w:rPr>
                <w:rFonts w:cs="Arial"/>
              </w:rPr>
              <w:lastRenderedPageBreak/>
              <w:t xml:space="preserve">CWCT09: </w:t>
            </w:r>
            <w:r w:rsidR="00C01664" w:rsidRPr="005D74D1">
              <w:rPr>
                <w:rFonts w:cs="Arial"/>
              </w:rPr>
              <w:t>Waterway Health</w:t>
            </w:r>
          </w:p>
        </w:tc>
        <w:tc>
          <w:tcPr>
            <w:tcW w:w="878" w:type="pct"/>
            <w:noWrap/>
            <w:vAlign w:val="center"/>
          </w:tcPr>
          <w:p w14:paraId="7843D8F3" w14:textId="1F942D7B" w:rsidR="00C01664" w:rsidRPr="005D74D1" w:rsidRDefault="00C01664" w:rsidP="00CD0F76">
            <w:pPr>
              <w:pStyle w:val="TableText"/>
              <w:rPr>
                <w:rFonts w:cs="Arial"/>
                <w:lang w:val="en-AU"/>
              </w:rPr>
            </w:pPr>
            <w:r w:rsidRPr="005D74D1">
              <w:rPr>
                <w:rFonts w:cs="Arial"/>
              </w:rPr>
              <w:t>$125,980,000</w:t>
            </w:r>
          </w:p>
        </w:tc>
        <w:tc>
          <w:tcPr>
            <w:tcW w:w="879" w:type="pct"/>
            <w:vAlign w:val="center"/>
          </w:tcPr>
          <w:p w14:paraId="5DE6E746" w14:textId="7646A072" w:rsidR="00C01664" w:rsidRPr="005D74D1" w:rsidRDefault="00C01664" w:rsidP="00CD0F76">
            <w:pPr>
              <w:pStyle w:val="TableText"/>
              <w:rPr>
                <w:rFonts w:cs="Arial"/>
                <w:lang w:val="en-AU"/>
              </w:rPr>
            </w:pPr>
            <w:r w:rsidRPr="005D74D1">
              <w:rPr>
                <w:rFonts w:cs="Arial"/>
              </w:rPr>
              <w:t>$15,985,600</w:t>
            </w:r>
            <w:r w:rsidR="00CD74D6" w:rsidRPr="005D74D1">
              <w:rPr>
                <w:rFonts w:cs="Arial"/>
              </w:rPr>
              <w:t>*</w:t>
            </w:r>
          </w:p>
        </w:tc>
        <w:tc>
          <w:tcPr>
            <w:tcW w:w="1622" w:type="pct"/>
            <w:vAlign w:val="center"/>
          </w:tcPr>
          <w:p w14:paraId="7E435226" w14:textId="400C579E" w:rsidR="00C01664" w:rsidRPr="005D74D1" w:rsidRDefault="00C01664" w:rsidP="00CD0F76">
            <w:pPr>
              <w:pStyle w:val="TableText"/>
              <w:rPr>
                <w:rFonts w:cs="Arial"/>
                <w:lang w:val="en-AU"/>
              </w:rPr>
            </w:pPr>
            <w:r w:rsidRPr="005D74D1">
              <w:rPr>
                <w:rFonts w:cs="Arial"/>
              </w:rPr>
              <w:t>Sector partners, community and Traditional Owners</w:t>
            </w:r>
          </w:p>
        </w:tc>
      </w:tr>
      <w:tr w:rsidR="000054B4" w:rsidRPr="005D74D1" w14:paraId="4B9692AA" w14:textId="77777777" w:rsidTr="00544E00">
        <w:trPr>
          <w:trHeight w:val="224"/>
        </w:trPr>
        <w:tc>
          <w:tcPr>
            <w:tcW w:w="1621" w:type="pct"/>
            <w:vAlign w:val="center"/>
            <w:hideMark/>
          </w:tcPr>
          <w:p w14:paraId="435D63BB" w14:textId="45DC242E" w:rsidR="00C01664" w:rsidRPr="005D74D1" w:rsidRDefault="00646281" w:rsidP="00CD0F76">
            <w:pPr>
              <w:pStyle w:val="TableText"/>
              <w:rPr>
                <w:rFonts w:cs="Arial"/>
                <w:lang w:val="en-AU"/>
              </w:rPr>
            </w:pPr>
            <w:r w:rsidRPr="005D74D1">
              <w:rPr>
                <w:rFonts w:cs="Arial"/>
              </w:rPr>
              <w:t xml:space="preserve">SIRS6: </w:t>
            </w:r>
            <w:r w:rsidR="00C01664" w:rsidRPr="005D74D1">
              <w:rPr>
                <w:rFonts w:cs="Arial"/>
              </w:rPr>
              <w:t>Murray programs</w:t>
            </w:r>
          </w:p>
        </w:tc>
        <w:tc>
          <w:tcPr>
            <w:tcW w:w="878" w:type="pct"/>
            <w:noWrap/>
            <w:vAlign w:val="center"/>
          </w:tcPr>
          <w:p w14:paraId="70C7D2E0" w14:textId="475521C7" w:rsidR="00C01664" w:rsidRPr="005D74D1" w:rsidRDefault="00C01664" w:rsidP="00CD0F76">
            <w:pPr>
              <w:pStyle w:val="TableText"/>
              <w:rPr>
                <w:rFonts w:cs="Arial"/>
                <w:lang w:val="en-AU"/>
              </w:rPr>
            </w:pPr>
            <w:r w:rsidRPr="005D74D1">
              <w:rPr>
                <w:rFonts w:cs="Arial"/>
              </w:rPr>
              <w:t>$7,000,000</w:t>
            </w:r>
          </w:p>
        </w:tc>
        <w:tc>
          <w:tcPr>
            <w:tcW w:w="879" w:type="pct"/>
            <w:vAlign w:val="center"/>
          </w:tcPr>
          <w:p w14:paraId="3CF1C254" w14:textId="5624EDC5" w:rsidR="00C01664" w:rsidRPr="005D74D1" w:rsidRDefault="00C01664" w:rsidP="00CD0F76">
            <w:pPr>
              <w:pStyle w:val="TableText"/>
              <w:rPr>
                <w:rFonts w:cs="Arial"/>
                <w:lang w:val="en-AU"/>
              </w:rPr>
            </w:pPr>
            <w:r w:rsidRPr="005D74D1">
              <w:rPr>
                <w:rFonts w:cs="Arial"/>
              </w:rPr>
              <w:t>$7,080,000</w:t>
            </w:r>
            <w:r w:rsidR="00CD74D6" w:rsidRPr="005D74D1">
              <w:rPr>
                <w:rFonts w:cs="Arial"/>
              </w:rPr>
              <w:t>*</w:t>
            </w:r>
          </w:p>
        </w:tc>
        <w:tc>
          <w:tcPr>
            <w:tcW w:w="1622" w:type="pct"/>
            <w:vAlign w:val="center"/>
          </w:tcPr>
          <w:p w14:paraId="21B8DA2C" w14:textId="01667383" w:rsidR="00C01664" w:rsidRPr="005D74D1" w:rsidRDefault="00C01664" w:rsidP="00CD0F76">
            <w:pPr>
              <w:pStyle w:val="TableText"/>
              <w:rPr>
                <w:rFonts w:cs="Arial"/>
                <w:lang w:val="en-AU"/>
              </w:rPr>
            </w:pPr>
            <w:r w:rsidRPr="005D74D1">
              <w:rPr>
                <w:rFonts w:cs="Arial"/>
              </w:rPr>
              <w:t>Relief and Early Recovery Treasurer’s Advance 2022-23</w:t>
            </w:r>
          </w:p>
        </w:tc>
      </w:tr>
      <w:tr w:rsidR="000054B4" w:rsidRPr="005D74D1" w14:paraId="7513ACC8" w14:textId="77777777" w:rsidTr="001D669C">
        <w:trPr>
          <w:trHeight w:val="971"/>
        </w:trPr>
        <w:tc>
          <w:tcPr>
            <w:tcW w:w="1621" w:type="pct"/>
            <w:tcBorders>
              <w:bottom w:val="single" w:sz="4" w:space="0" w:color="231EDC" w:themeColor="accent1"/>
            </w:tcBorders>
            <w:vAlign w:val="center"/>
            <w:hideMark/>
          </w:tcPr>
          <w:p w14:paraId="19B95439" w14:textId="6620E865" w:rsidR="00A86163" w:rsidRPr="005D74D1" w:rsidRDefault="00646281" w:rsidP="00CD0F76">
            <w:pPr>
              <w:pStyle w:val="TableText"/>
              <w:rPr>
                <w:rFonts w:cs="Arial"/>
                <w:lang w:val="en-AU"/>
              </w:rPr>
            </w:pPr>
            <w:r w:rsidRPr="005D74D1">
              <w:rPr>
                <w:rFonts w:cs="Arial"/>
              </w:rPr>
              <w:t xml:space="preserve">SIRS5: </w:t>
            </w:r>
            <w:r w:rsidR="00A86163" w:rsidRPr="005D74D1">
              <w:rPr>
                <w:rFonts w:cs="Arial"/>
              </w:rPr>
              <w:t>Macalister Irrigation District Modernisation Project - Phase 2</w:t>
            </w:r>
          </w:p>
        </w:tc>
        <w:tc>
          <w:tcPr>
            <w:tcW w:w="878" w:type="pct"/>
            <w:tcBorders>
              <w:bottom w:val="single" w:sz="4" w:space="0" w:color="231EDC" w:themeColor="accent1"/>
            </w:tcBorders>
            <w:noWrap/>
            <w:vAlign w:val="center"/>
          </w:tcPr>
          <w:p w14:paraId="75E0DF1A" w14:textId="3AB5630F" w:rsidR="00A86163" w:rsidRPr="005D74D1" w:rsidRDefault="00E43CD0" w:rsidP="00CD0F76">
            <w:pPr>
              <w:pStyle w:val="TableText"/>
              <w:rPr>
                <w:rFonts w:cs="Arial"/>
                <w:lang w:val="en-AU"/>
              </w:rPr>
            </w:pPr>
            <w:r w:rsidRPr="00A134A7">
              <w:rPr>
                <w:rFonts w:cs="Arial"/>
              </w:rPr>
              <w:t>$10,</w:t>
            </w:r>
            <w:r w:rsidR="0049170B" w:rsidRPr="005D74D1">
              <w:rPr>
                <w:rFonts w:cs="Arial"/>
              </w:rPr>
              <w:t>930</w:t>
            </w:r>
            <w:r w:rsidRPr="00A134A7">
              <w:rPr>
                <w:rFonts w:cs="Arial"/>
              </w:rPr>
              <w:t>,000</w:t>
            </w:r>
          </w:p>
        </w:tc>
        <w:tc>
          <w:tcPr>
            <w:tcW w:w="879" w:type="pct"/>
            <w:tcBorders>
              <w:bottom w:val="single" w:sz="4" w:space="0" w:color="231EDC" w:themeColor="accent1"/>
            </w:tcBorders>
            <w:vAlign w:val="center"/>
          </w:tcPr>
          <w:p w14:paraId="4EDBE4D3" w14:textId="5F029B91" w:rsidR="00A86163" w:rsidRPr="005D74D1" w:rsidRDefault="003A6345" w:rsidP="00CD0F76">
            <w:pPr>
              <w:pStyle w:val="TableText"/>
              <w:rPr>
                <w:rFonts w:cs="Arial"/>
                <w:lang w:val="en-AU"/>
              </w:rPr>
            </w:pPr>
            <w:r w:rsidRPr="00A134A7">
              <w:rPr>
                <w:rFonts w:cs="Arial"/>
              </w:rPr>
              <w:t>$52,</w:t>
            </w:r>
            <w:r w:rsidR="00771A51" w:rsidRPr="005D74D1">
              <w:rPr>
                <w:rFonts w:cs="Arial"/>
              </w:rPr>
              <w:t>170,000</w:t>
            </w:r>
          </w:p>
        </w:tc>
        <w:tc>
          <w:tcPr>
            <w:tcW w:w="1622" w:type="pct"/>
            <w:tcBorders>
              <w:bottom w:val="single" w:sz="4" w:space="0" w:color="231EDC" w:themeColor="accent1"/>
            </w:tcBorders>
            <w:vAlign w:val="center"/>
          </w:tcPr>
          <w:p w14:paraId="64E66092" w14:textId="27D4B86B" w:rsidR="00A86163" w:rsidRPr="005D74D1" w:rsidRDefault="00C25EC4" w:rsidP="00CD0F76">
            <w:pPr>
              <w:pStyle w:val="TableText"/>
              <w:rPr>
                <w:rFonts w:cs="Arial"/>
                <w:lang w:val="en-AU"/>
              </w:rPr>
            </w:pPr>
            <w:r w:rsidRPr="00A134A7">
              <w:rPr>
                <w:rFonts w:cs="Arial"/>
              </w:rPr>
              <w:t xml:space="preserve">Southern Rural Water, </w:t>
            </w:r>
            <w:r w:rsidRPr="005D74D1">
              <w:rPr>
                <w:rFonts w:cs="Arial"/>
              </w:rPr>
              <w:t xml:space="preserve">Commonwealth </w:t>
            </w:r>
            <w:r w:rsidRPr="00A134A7">
              <w:rPr>
                <w:rFonts w:cs="Arial"/>
              </w:rPr>
              <w:t>National Water Infrastructure Development Fun</w:t>
            </w:r>
            <w:r w:rsidRPr="005D74D1">
              <w:rPr>
                <w:rFonts w:cs="Arial"/>
              </w:rPr>
              <w:t>d</w:t>
            </w:r>
          </w:p>
        </w:tc>
      </w:tr>
      <w:tr w:rsidR="000054B4" w:rsidRPr="005D74D1" w14:paraId="7BAF1797" w14:textId="77777777" w:rsidTr="001D669C">
        <w:trPr>
          <w:trHeight w:val="70"/>
        </w:trPr>
        <w:tc>
          <w:tcPr>
            <w:tcW w:w="1621" w:type="pct"/>
            <w:tcBorders>
              <w:bottom w:val="single" w:sz="4" w:space="0" w:color="231EDC" w:themeColor="accent1"/>
            </w:tcBorders>
            <w:vAlign w:val="center"/>
          </w:tcPr>
          <w:p w14:paraId="6E0ADF84" w14:textId="558720F2" w:rsidR="00515D95" w:rsidRPr="00A134A7" w:rsidRDefault="009E7185" w:rsidP="00CD0F76">
            <w:pPr>
              <w:pStyle w:val="TableText"/>
              <w:rPr>
                <w:rFonts w:cs="Arial"/>
                <w:lang w:val="en-AU"/>
              </w:rPr>
            </w:pPr>
            <w:r w:rsidRPr="005D74D1">
              <w:rPr>
                <w:rFonts w:cs="Arial"/>
              </w:rPr>
              <w:t>WRS14: Surface Water and Ground Water Monitoring</w:t>
            </w:r>
          </w:p>
        </w:tc>
        <w:tc>
          <w:tcPr>
            <w:tcW w:w="878" w:type="pct"/>
            <w:tcBorders>
              <w:bottom w:val="single" w:sz="4" w:space="0" w:color="231EDC" w:themeColor="accent1"/>
            </w:tcBorders>
            <w:noWrap/>
            <w:vAlign w:val="center"/>
          </w:tcPr>
          <w:p w14:paraId="322DC90F" w14:textId="34E6DC43" w:rsidR="00515D95" w:rsidRPr="00A134A7" w:rsidRDefault="00D815E6" w:rsidP="00CD0F76">
            <w:pPr>
              <w:pStyle w:val="TableText"/>
              <w:rPr>
                <w:rFonts w:cs="Arial"/>
                <w:lang w:val="en-AU"/>
              </w:rPr>
            </w:pPr>
            <w:r w:rsidRPr="00A134A7">
              <w:rPr>
                <w:rFonts w:eastAsia="Times New Roman" w:cs="Arial"/>
              </w:rPr>
              <w:t>$26,631,000</w:t>
            </w:r>
          </w:p>
        </w:tc>
        <w:tc>
          <w:tcPr>
            <w:tcW w:w="879" w:type="pct"/>
            <w:tcBorders>
              <w:bottom w:val="single" w:sz="4" w:space="0" w:color="231EDC" w:themeColor="accent1"/>
            </w:tcBorders>
            <w:vAlign w:val="center"/>
          </w:tcPr>
          <w:p w14:paraId="218712E7" w14:textId="7BE2DF10" w:rsidR="00515D95" w:rsidRPr="00A134A7" w:rsidRDefault="002F4B18" w:rsidP="00CD0F76">
            <w:pPr>
              <w:pStyle w:val="TableText"/>
              <w:rPr>
                <w:rFonts w:cs="Arial"/>
                <w:lang w:val="en-AU"/>
              </w:rPr>
            </w:pPr>
            <w:r w:rsidRPr="005D74D1">
              <w:rPr>
                <w:rFonts w:cs="Arial"/>
              </w:rPr>
              <w:t xml:space="preserve">Partners pay </w:t>
            </w:r>
            <w:r w:rsidR="0062651C" w:rsidRPr="005D74D1">
              <w:rPr>
                <w:rFonts w:cs="Arial"/>
              </w:rPr>
              <w:t xml:space="preserve">70% of </w:t>
            </w:r>
            <w:r w:rsidR="001F3E20" w:rsidRPr="005D74D1">
              <w:rPr>
                <w:rFonts w:cs="Arial"/>
              </w:rPr>
              <w:t>costs</w:t>
            </w:r>
            <w:r w:rsidR="0062651C" w:rsidRPr="005D74D1">
              <w:rPr>
                <w:rFonts w:cs="Arial"/>
              </w:rPr>
              <w:t xml:space="preserve"> for surface water sites and </w:t>
            </w:r>
            <w:r w:rsidR="00E234E8" w:rsidRPr="005D74D1">
              <w:rPr>
                <w:rFonts w:cs="Arial"/>
              </w:rPr>
              <w:t>20% of the costs for groundwater sites</w:t>
            </w:r>
          </w:p>
        </w:tc>
        <w:tc>
          <w:tcPr>
            <w:tcW w:w="1622" w:type="pct"/>
            <w:tcBorders>
              <w:bottom w:val="single" w:sz="4" w:space="0" w:color="231EDC" w:themeColor="accent1"/>
            </w:tcBorders>
            <w:vAlign w:val="center"/>
          </w:tcPr>
          <w:p w14:paraId="55ECE236" w14:textId="7514869C" w:rsidR="00515D95" w:rsidRPr="00A134A7" w:rsidRDefault="001F3E20" w:rsidP="00CD0F76">
            <w:pPr>
              <w:pStyle w:val="TableText"/>
              <w:rPr>
                <w:rFonts w:cs="Arial"/>
                <w:lang w:val="en-AU"/>
              </w:rPr>
            </w:pPr>
            <w:r w:rsidRPr="005D74D1">
              <w:rPr>
                <w:rStyle w:val="normaltextrun"/>
                <w:rFonts w:cs="Arial"/>
                <w:color w:val="000000" w:themeColor="text1"/>
                <w:shd w:val="clear" w:color="auto" w:fill="FFFFFF"/>
              </w:rPr>
              <w:t>55 partner agencies including the Bureau of Meteorology, Murray-Darling Basin Authority, water corporations, catchment management authorities and local government associations</w:t>
            </w:r>
          </w:p>
        </w:tc>
      </w:tr>
      <w:tr w:rsidR="00CD0F76" w:rsidRPr="005D74D1" w14:paraId="7FE334F2" w14:textId="77777777" w:rsidTr="001D669C">
        <w:trPr>
          <w:trHeight w:val="70"/>
        </w:trPr>
        <w:tc>
          <w:tcPr>
            <w:tcW w:w="4998" w:type="pct"/>
            <w:gridSpan w:val="4"/>
            <w:tcBorders>
              <w:top w:val="single" w:sz="4" w:space="0" w:color="231EDC" w:themeColor="accent1"/>
              <w:left w:val="nil"/>
              <w:bottom w:val="nil"/>
              <w:right w:val="nil"/>
            </w:tcBorders>
            <w:vAlign w:val="center"/>
          </w:tcPr>
          <w:p w14:paraId="62555D25" w14:textId="2D2C76E5" w:rsidR="00CD0F76" w:rsidRPr="00A134A7" w:rsidRDefault="00CD0F76" w:rsidP="00CD0F76">
            <w:pPr>
              <w:pStyle w:val="SourceCitation0"/>
              <w:rPr>
                <w:rStyle w:val="normaltextrun"/>
                <w:rFonts w:cs="Arial"/>
                <w:color w:val="000000" w:themeColor="text1"/>
                <w:shd w:val="clear" w:color="auto" w:fill="FFFFFF"/>
                <w:lang w:val="en-AU"/>
              </w:rPr>
            </w:pPr>
            <w:r w:rsidRPr="005D74D1">
              <w:rPr>
                <w:rStyle w:val="normaltextrun"/>
                <w:rFonts w:cs="Arial"/>
                <w:color w:val="000000" w:themeColor="text1"/>
                <w:shd w:val="clear" w:color="auto" w:fill="FFFFFF"/>
              </w:rPr>
              <w:t>*co-funding amount estimates at the end of the third year of EC5 (June 30 2023)</w:t>
            </w:r>
          </w:p>
        </w:tc>
      </w:tr>
    </w:tbl>
    <w:p w14:paraId="61D32723" w14:textId="77777777" w:rsidR="00544E00" w:rsidRPr="005D74D1" w:rsidRDefault="00544E00" w:rsidP="00140664">
      <w:pPr>
        <w:pStyle w:val="BodyText"/>
        <w:rPr>
          <w:rFonts w:cs="Arial"/>
        </w:rPr>
      </w:pPr>
      <w:bookmarkStart w:id="739" w:name="_Toc147352820"/>
      <w:bookmarkStart w:id="740" w:name="_Toc147329357"/>
      <w:bookmarkEnd w:id="739"/>
    </w:p>
    <w:p w14:paraId="65CDC240" w14:textId="548DDFE5" w:rsidR="00DA7167" w:rsidRPr="005D74D1" w:rsidRDefault="00DA7167" w:rsidP="00CE15A3">
      <w:pPr>
        <w:pStyle w:val="Heading2"/>
        <w:rPr>
          <w:rFonts w:cs="Arial"/>
        </w:rPr>
      </w:pPr>
      <w:bookmarkStart w:id="741" w:name="_Toc183777387"/>
      <w:r w:rsidRPr="005D74D1">
        <w:rPr>
          <w:rFonts w:cs="Arial"/>
        </w:rPr>
        <w:t xml:space="preserve">What evidence is there of </w:t>
      </w:r>
      <w:r w:rsidR="00856D03" w:rsidRPr="005D74D1">
        <w:rPr>
          <w:rFonts w:cs="Arial"/>
        </w:rPr>
        <w:t>project</w:t>
      </w:r>
      <w:r w:rsidRPr="005D74D1">
        <w:rPr>
          <w:rFonts w:cs="Arial"/>
        </w:rPr>
        <w:t>s undertaking options assessment and/or cost-benefit analysis of approaches?</w:t>
      </w:r>
      <w:bookmarkEnd w:id="740"/>
      <w:bookmarkEnd w:id="741"/>
    </w:p>
    <w:p w14:paraId="2EC1C21A" w14:textId="77777777" w:rsidR="00A50E7D" w:rsidRPr="005D74D1" w:rsidRDefault="007E27EB" w:rsidP="001B46EB">
      <w:pPr>
        <w:pStyle w:val="BodyText"/>
        <w:rPr>
          <w:rFonts w:cs="Arial"/>
        </w:rPr>
      </w:pPr>
      <w:r w:rsidRPr="005D74D1">
        <w:rPr>
          <w:rFonts w:cs="Arial"/>
        </w:rPr>
        <w:t>O</w:t>
      </w:r>
      <w:r w:rsidR="00282A97" w:rsidRPr="005D74D1">
        <w:rPr>
          <w:rFonts w:cs="Arial"/>
        </w:rPr>
        <w:t xml:space="preserve">ptions assessment </w:t>
      </w:r>
      <w:r w:rsidR="00613374" w:rsidRPr="005D74D1">
        <w:rPr>
          <w:rFonts w:cs="Arial"/>
        </w:rPr>
        <w:t>and/or cost</w:t>
      </w:r>
      <w:r w:rsidR="00B233EB" w:rsidRPr="005D74D1">
        <w:rPr>
          <w:rFonts w:cs="Arial"/>
        </w:rPr>
        <w:t>-</w:t>
      </w:r>
      <w:r w:rsidR="00613374" w:rsidRPr="005D74D1">
        <w:rPr>
          <w:rFonts w:cs="Arial"/>
        </w:rPr>
        <w:t xml:space="preserve">benefit analyses </w:t>
      </w:r>
      <w:r w:rsidRPr="005D74D1">
        <w:rPr>
          <w:rFonts w:cs="Arial"/>
        </w:rPr>
        <w:t xml:space="preserve">were undertaken by 79% of projects </w:t>
      </w:r>
      <w:r w:rsidR="00613374" w:rsidRPr="005D74D1">
        <w:rPr>
          <w:rFonts w:cs="Arial"/>
        </w:rPr>
        <w:t xml:space="preserve">to support </w:t>
      </w:r>
      <w:r w:rsidR="00856D03" w:rsidRPr="005D74D1">
        <w:rPr>
          <w:rFonts w:cs="Arial"/>
        </w:rPr>
        <w:t>project</w:t>
      </w:r>
      <w:r w:rsidR="00613374" w:rsidRPr="005D74D1">
        <w:rPr>
          <w:rFonts w:cs="Arial"/>
        </w:rPr>
        <w:t xml:space="preserve"> decision</w:t>
      </w:r>
      <w:r w:rsidR="00A81B74" w:rsidRPr="005D74D1">
        <w:rPr>
          <w:rFonts w:cs="Arial"/>
        </w:rPr>
        <w:t>-</w:t>
      </w:r>
      <w:r w:rsidR="00613374" w:rsidRPr="005D74D1">
        <w:rPr>
          <w:rFonts w:cs="Arial"/>
        </w:rPr>
        <w:t xml:space="preserve">making. </w:t>
      </w:r>
      <w:r w:rsidR="00E0371C" w:rsidRPr="005D74D1">
        <w:rPr>
          <w:rFonts w:cs="Arial"/>
        </w:rPr>
        <w:t>Thi</w:t>
      </w:r>
      <w:r w:rsidR="00F47C20" w:rsidRPr="005D74D1">
        <w:rPr>
          <w:rFonts w:cs="Arial"/>
        </w:rPr>
        <w:t xml:space="preserve">s supports efficient delivery through using </w:t>
      </w:r>
      <w:r w:rsidR="00F95F2D" w:rsidRPr="005D74D1">
        <w:rPr>
          <w:rFonts w:cs="Arial"/>
        </w:rPr>
        <w:t>structured processes to make investment decisions. Examples of analy</w:t>
      </w:r>
      <w:r w:rsidR="00CA5CC4" w:rsidRPr="005D74D1">
        <w:rPr>
          <w:rFonts w:cs="Arial"/>
        </w:rPr>
        <w:t>tical</w:t>
      </w:r>
      <w:r w:rsidR="00F95F2D" w:rsidRPr="005D74D1">
        <w:rPr>
          <w:rFonts w:cs="Arial"/>
        </w:rPr>
        <w:t xml:space="preserve"> approaches </w:t>
      </w:r>
      <w:r w:rsidR="00E257AB" w:rsidRPr="005D74D1">
        <w:rPr>
          <w:rFonts w:cs="Arial"/>
        </w:rPr>
        <w:t xml:space="preserve">that were used </w:t>
      </w:r>
      <w:r w:rsidR="00F95F2D" w:rsidRPr="005D74D1">
        <w:rPr>
          <w:rFonts w:cs="Arial"/>
        </w:rPr>
        <w:t>included options papers, cost</w:t>
      </w:r>
      <w:r w:rsidR="00214438" w:rsidRPr="005D74D1">
        <w:rPr>
          <w:rFonts w:cs="Arial"/>
        </w:rPr>
        <w:t>-</w:t>
      </w:r>
      <w:r w:rsidR="00F95F2D" w:rsidRPr="005D74D1">
        <w:rPr>
          <w:rFonts w:cs="Arial"/>
        </w:rPr>
        <w:t>benefit tools</w:t>
      </w:r>
      <w:r w:rsidR="00D95C61" w:rsidRPr="005D74D1">
        <w:rPr>
          <w:rFonts w:cs="Arial"/>
        </w:rPr>
        <w:t>, best cost options analyses,</w:t>
      </w:r>
      <w:r w:rsidR="5949AEB2" w:rsidRPr="005D74D1">
        <w:rPr>
          <w:rFonts w:cs="Arial"/>
        </w:rPr>
        <w:t xml:space="preserve"> and</w:t>
      </w:r>
      <w:r w:rsidR="00D95C61" w:rsidRPr="005D74D1">
        <w:rPr>
          <w:rFonts w:cs="Arial"/>
        </w:rPr>
        <w:t xml:space="preserve"> value for money assessments. </w:t>
      </w:r>
      <w:r w:rsidR="00E257AB" w:rsidRPr="005D74D1">
        <w:rPr>
          <w:rFonts w:cs="Arial"/>
        </w:rPr>
        <w:t xml:space="preserve">Many of the </w:t>
      </w:r>
      <w:r w:rsidR="00856D03" w:rsidRPr="005D74D1">
        <w:rPr>
          <w:rFonts w:cs="Arial"/>
        </w:rPr>
        <w:t>project</w:t>
      </w:r>
      <w:r w:rsidR="00E257AB" w:rsidRPr="005D74D1">
        <w:rPr>
          <w:rFonts w:cs="Arial"/>
        </w:rPr>
        <w:t>s that did not report using these approaches were policy or planning type projects with already defined</w:t>
      </w:r>
      <w:r w:rsidR="00BB6A6E" w:rsidRPr="005D74D1">
        <w:rPr>
          <w:rFonts w:cs="Arial"/>
        </w:rPr>
        <w:t xml:space="preserve"> investment pathways.</w:t>
      </w:r>
    </w:p>
    <w:p w14:paraId="4C3E938E" w14:textId="77777777" w:rsidR="00E54508" w:rsidRPr="005D74D1" w:rsidRDefault="00E54508" w:rsidP="001B46EB">
      <w:pPr>
        <w:pStyle w:val="BodyText"/>
        <w:rPr>
          <w:rFonts w:cs="Arial"/>
        </w:rPr>
      </w:pPr>
    </w:p>
    <w:p w14:paraId="12995307" w14:textId="23E54CD8" w:rsidR="00544E00" w:rsidRPr="005D74D1" w:rsidRDefault="00544E00" w:rsidP="001B46EB">
      <w:pPr>
        <w:pStyle w:val="BodyText"/>
        <w:rPr>
          <w:rFonts w:cs="Arial"/>
        </w:rPr>
        <w:sectPr w:rsidR="00544E00" w:rsidRPr="005D74D1" w:rsidSect="00AF519B">
          <w:pgSz w:w="11906" w:h="16838" w:code="9"/>
          <w:pgMar w:top="1134" w:right="1134" w:bottom="567" w:left="1134" w:header="567" w:footer="0" w:gutter="0"/>
          <w:cols w:space="720"/>
          <w:docGrid w:linePitch="360"/>
        </w:sectPr>
      </w:pPr>
    </w:p>
    <w:p w14:paraId="23DFCB48" w14:textId="5869F21A" w:rsidR="00E54508" w:rsidRPr="00A134A7" w:rsidRDefault="00E54508" w:rsidP="00E54508">
      <w:pPr>
        <w:spacing w:before="100" w:beforeAutospacing="1" w:after="100" w:afterAutospacing="1"/>
        <w:rPr>
          <w:rFonts w:eastAsia="Times New Roman" w:cs="Arial"/>
          <w:sz w:val="24"/>
          <w:szCs w:val="24"/>
        </w:rPr>
      </w:pPr>
      <w:r w:rsidRPr="00A134A7">
        <w:rPr>
          <w:rFonts w:eastAsia="Times New Roman" w:cs="Arial"/>
          <w:noProof/>
          <w:sz w:val="24"/>
          <w:szCs w:val="24"/>
        </w:rPr>
        <w:lastRenderedPageBreak/>
        <w:drawing>
          <wp:anchor distT="0" distB="0" distL="114300" distR="114300" simplePos="0" relativeHeight="251674624" behindDoc="0" locked="0" layoutInCell="1" allowOverlap="1" wp14:anchorId="7A80378B" wp14:editId="7F2DC2BE">
            <wp:simplePos x="723900" y="1304925"/>
            <wp:positionH relativeFrom="page">
              <wp:align>left</wp:align>
            </wp:positionH>
            <wp:positionV relativeFrom="page">
              <wp:align>top</wp:align>
            </wp:positionV>
            <wp:extent cx="7562088" cy="10689336"/>
            <wp:effectExtent l="0" t="0" r="1270" b="0"/>
            <wp:wrapNone/>
            <wp:docPr id="904869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7562088" cy="1068933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73B81B" w14:textId="77777777" w:rsidR="00E54508" w:rsidRPr="005D74D1" w:rsidRDefault="00E54508" w:rsidP="001B46EB">
      <w:pPr>
        <w:pStyle w:val="BodyText"/>
        <w:rPr>
          <w:rFonts w:cs="Arial"/>
        </w:rPr>
      </w:pPr>
    </w:p>
    <w:p w14:paraId="54E0251F" w14:textId="77777777" w:rsidR="00E54508" w:rsidRPr="005D74D1" w:rsidRDefault="00E54508" w:rsidP="001B46EB">
      <w:pPr>
        <w:pStyle w:val="BodyText"/>
        <w:rPr>
          <w:rFonts w:cs="Arial"/>
        </w:rPr>
      </w:pPr>
    </w:p>
    <w:p w14:paraId="1F12DC88" w14:textId="77777777" w:rsidR="00E54508" w:rsidRPr="005D74D1" w:rsidRDefault="00E54508" w:rsidP="001B46EB">
      <w:pPr>
        <w:pStyle w:val="BodyText"/>
        <w:rPr>
          <w:rFonts w:cs="Arial"/>
        </w:rPr>
        <w:sectPr w:rsidR="00E54508" w:rsidRPr="005D74D1" w:rsidSect="00AF519B">
          <w:pgSz w:w="11906" w:h="16838" w:code="9"/>
          <w:pgMar w:top="1134" w:right="1134" w:bottom="567" w:left="1134" w:header="567" w:footer="0" w:gutter="0"/>
          <w:cols w:space="720"/>
          <w:docGrid w:linePitch="360"/>
        </w:sectPr>
      </w:pPr>
    </w:p>
    <w:p w14:paraId="1DA6C47D" w14:textId="0322318D" w:rsidR="001B46EB" w:rsidRPr="005D74D1" w:rsidRDefault="00544E00" w:rsidP="001B46EB">
      <w:pPr>
        <w:pStyle w:val="Heading1"/>
        <w:rPr>
          <w:rFonts w:cs="Arial"/>
        </w:rPr>
      </w:pPr>
      <w:bookmarkStart w:id="742" w:name="_Toc147329358"/>
      <w:bookmarkStart w:id="743" w:name="_Toc183777388"/>
      <w:r w:rsidRPr="00A134A7">
        <w:rPr>
          <w:rFonts w:cs="Arial"/>
          <w:b w:val="0"/>
          <w:noProof/>
          <w:sz w:val="24"/>
          <w:szCs w:val="24"/>
        </w:rPr>
        <w:lastRenderedPageBreak/>
        <mc:AlternateContent>
          <mc:Choice Requires="wps">
            <w:drawing>
              <wp:anchor distT="45720" distB="45720" distL="114300" distR="114300" simplePos="0" relativeHeight="251711488" behindDoc="0" locked="0" layoutInCell="1" allowOverlap="1" wp14:anchorId="5A7D62DE" wp14:editId="4DC9909C">
                <wp:simplePos x="0" y="0"/>
                <wp:positionH relativeFrom="margin">
                  <wp:align>right</wp:align>
                </wp:positionH>
                <wp:positionV relativeFrom="paragraph">
                  <wp:posOffset>517525</wp:posOffset>
                </wp:positionV>
                <wp:extent cx="6096000" cy="1404620"/>
                <wp:effectExtent l="0" t="0" r="19050" b="26670"/>
                <wp:wrapSquare wrapText="bothSides"/>
                <wp:docPr id="6497650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1404620"/>
                        </a:xfrm>
                        <a:prstGeom prst="rect">
                          <a:avLst/>
                        </a:prstGeom>
                        <a:solidFill>
                          <a:schemeClr val="bg1">
                            <a:lumMod val="95000"/>
                          </a:schemeClr>
                        </a:solidFill>
                        <a:ln w="9525">
                          <a:solidFill>
                            <a:srgbClr val="000000"/>
                          </a:solidFill>
                          <a:miter lim="800000"/>
                          <a:headEnd/>
                          <a:tailEnd/>
                        </a:ln>
                      </wps:spPr>
                      <wps:txbx>
                        <w:txbxContent>
                          <w:p w14:paraId="09E180D7" w14:textId="4BA73169" w:rsidR="00544E00" w:rsidRPr="00975B72" w:rsidRDefault="00544E00" w:rsidP="00544E00">
                            <w:pPr>
                              <w:pStyle w:val="BodyText"/>
                              <w:ind w:right="168"/>
                              <w:rPr>
                                <w:b/>
                                <w:sz w:val="24"/>
                                <w:szCs w:val="24"/>
                              </w:rPr>
                            </w:pPr>
                            <w:r w:rsidRPr="00975B72">
                              <w:rPr>
                                <w:b/>
                                <w:sz w:val="24"/>
                                <w:szCs w:val="24"/>
                              </w:rPr>
                              <w:t>Key findings</w:t>
                            </w:r>
                          </w:p>
                          <w:p w14:paraId="2B185D46" w14:textId="77777777" w:rsidR="00544E00" w:rsidRDefault="00544E00" w:rsidP="00544E00">
                            <w:pPr>
                              <w:pStyle w:val="BulletLevel1"/>
                              <w:rPr>
                                <w:lang w:val="en-AU"/>
                              </w:rPr>
                            </w:pPr>
                            <w:r w:rsidRPr="00975B72">
                              <w:rPr>
                                <w:lang w:val="en-AU"/>
                              </w:rPr>
                              <w:t xml:space="preserve">Significant efforts were made in project planning and design to encourage impacts and benefits to endure into the future. </w:t>
                            </w:r>
                            <w:r>
                              <w:rPr>
                                <w:lang w:val="en-AU"/>
                              </w:rPr>
                              <w:t>The main ways</w:t>
                            </w:r>
                            <w:r w:rsidRPr="00975B72">
                              <w:rPr>
                                <w:lang w:val="en-AU"/>
                              </w:rPr>
                              <w:t xml:space="preserve"> in which projects promoted sustained impact</w:t>
                            </w:r>
                            <w:r>
                              <w:rPr>
                                <w:lang w:val="en-AU"/>
                              </w:rPr>
                              <w:t>s</w:t>
                            </w:r>
                            <w:r w:rsidRPr="00975B72">
                              <w:rPr>
                                <w:lang w:val="en-AU"/>
                              </w:rPr>
                              <w:t xml:space="preserve"> included:</w:t>
                            </w:r>
                          </w:p>
                          <w:p w14:paraId="60BEFD80" w14:textId="77777777" w:rsidR="00544E00" w:rsidRPr="00975B72" w:rsidRDefault="00544E00" w:rsidP="00544E00">
                            <w:pPr>
                              <w:pStyle w:val="BulletLevel2"/>
                            </w:pPr>
                            <w:r>
                              <w:t>f</w:t>
                            </w:r>
                            <w:r w:rsidRPr="1A43CDDE">
                              <w:t>ocusing on capacity building</w:t>
                            </w:r>
                          </w:p>
                          <w:p w14:paraId="1A1004C0" w14:textId="77777777" w:rsidR="00544E00" w:rsidRPr="00975B72" w:rsidRDefault="00544E00" w:rsidP="00544E00">
                            <w:pPr>
                              <w:pStyle w:val="BulletLevel2"/>
                            </w:pPr>
                            <w:r>
                              <w:t>f</w:t>
                            </w:r>
                            <w:r w:rsidRPr="1A43CDDE">
                              <w:t>ostering long-term partnerships and collaborations</w:t>
                            </w:r>
                          </w:p>
                          <w:p w14:paraId="7392E6C7" w14:textId="77777777" w:rsidR="00544E00" w:rsidRPr="00975B72" w:rsidRDefault="00544E00" w:rsidP="00544E00">
                            <w:pPr>
                              <w:pStyle w:val="BulletLevel2"/>
                            </w:pPr>
                            <w:r>
                              <w:t>i</w:t>
                            </w:r>
                            <w:r w:rsidRPr="1A43CDDE">
                              <w:t>mplementing enduring reforms and policy changes</w:t>
                            </w:r>
                          </w:p>
                          <w:p w14:paraId="5E1A997F" w14:textId="77777777" w:rsidR="006A6A2D" w:rsidRDefault="00544E00" w:rsidP="00544E00">
                            <w:pPr>
                              <w:pStyle w:val="BulletLevel2"/>
                            </w:pPr>
                            <w:r>
                              <w:t>u</w:t>
                            </w:r>
                            <w:r w:rsidRPr="1A43CDDE">
                              <w:t>se of new technology and reporting platforms</w:t>
                            </w:r>
                          </w:p>
                          <w:p w14:paraId="124D7EDB" w14:textId="6F1D9CF0" w:rsidR="00544E00" w:rsidRDefault="00544E00" w:rsidP="00544E00">
                            <w:pPr>
                              <w:pStyle w:val="BulletLevel2"/>
                            </w:pPr>
                            <w:r>
                              <w:t>t</w:t>
                            </w:r>
                            <w:r w:rsidRPr="00975B72">
                              <w:t>he delivery of on-ground projects focused on creation of long-term benefits.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7D62DE" id="_x0000_s1030" type="#_x0000_t202" style="position:absolute;left:0;text-align:left;margin-left:428.8pt;margin-top:40.75pt;width:480pt;height:110.6pt;z-index:25171148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" fillcolor="#f2f2f2 [3052]">
                <v:textbox style="mso-fit-shape-to-text:t">
                  <w:txbxContent>
                    <w:p w14:paraId="09E180D7" w14:textId="4BA73169" w:rsidR="00544E00" w:rsidRPr="00975B72" w:rsidRDefault="00544E00" w:rsidP="00544E00">
                      <w:pPr>
                        <w:pStyle w:val="BodyText"/>
                        <w:ind w:right="168"/>
                        <w:rPr>
                          <w:b/>
                          <w:sz w:val="24"/>
                          <w:szCs w:val="24"/>
                        </w:rPr>
                      </w:pPr>
                      <w:r w:rsidRPr="00975B72">
                        <w:rPr>
                          <w:b/>
                          <w:sz w:val="24"/>
                          <w:szCs w:val="24"/>
                        </w:rPr>
                        <w:t>Key findings</w:t>
                      </w:r>
                    </w:p>
                    <w:p w14:paraId="2B185D46" w14:textId="77777777" w:rsidR="00544E00" w:rsidRDefault="00544E00" w:rsidP="00544E00">
                      <w:pPr>
                        <w:pStyle w:val="BulletLevel1"/>
                        <w:rPr>
                          <w:lang w:val="en-AU"/>
                        </w:rPr>
                      </w:pPr>
                      <w:r w:rsidRPr="00975B72">
                        <w:rPr>
                          <w:lang w:val="en-AU"/>
                        </w:rPr>
                        <w:t xml:space="preserve">Significant efforts were made in project planning and design to encourage impacts and benefits to endure into the future. </w:t>
                      </w:r>
                      <w:r>
                        <w:rPr>
                          <w:lang w:val="en-AU"/>
                        </w:rPr>
                        <w:t>The main ways</w:t>
                      </w:r>
                      <w:r w:rsidRPr="00975B72">
                        <w:rPr>
                          <w:lang w:val="en-AU"/>
                        </w:rPr>
                        <w:t xml:space="preserve"> in which projects promoted sustained impact</w:t>
                      </w:r>
                      <w:r>
                        <w:rPr>
                          <w:lang w:val="en-AU"/>
                        </w:rPr>
                        <w:t>s</w:t>
                      </w:r>
                      <w:r w:rsidRPr="00975B72">
                        <w:rPr>
                          <w:lang w:val="en-AU"/>
                        </w:rPr>
                        <w:t xml:space="preserve"> included:</w:t>
                      </w:r>
                    </w:p>
                    <w:p w14:paraId="60BEFD80" w14:textId="77777777" w:rsidR="00544E00" w:rsidRPr="00975B72" w:rsidRDefault="00544E00" w:rsidP="00544E00">
                      <w:pPr>
                        <w:pStyle w:val="BulletLevel2"/>
                      </w:pPr>
                      <w:r>
                        <w:t>f</w:t>
                      </w:r>
                      <w:r w:rsidRPr="1A43CDDE">
                        <w:t>ocusing on capacity building</w:t>
                      </w:r>
                    </w:p>
                    <w:p w14:paraId="1A1004C0" w14:textId="77777777" w:rsidR="00544E00" w:rsidRPr="00975B72" w:rsidRDefault="00544E00" w:rsidP="00544E00">
                      <w:pPr>
                        <w:pStyle w:val="BulletLevel2"/>
                      </w:pPr>
                      <w:r>
                        <w:t>f</w:t>
                      </w:r>
                      <w:r w:rsidRPr="1A43CDDE">
                        <w:t>ostering long-term partnerships and collaborations</w:t>
                      </w:r>
                    </w:p>
                    <w:p w14:paraId="7392E6C7" w14:textId="77777777" w:rsidR="00544E00" w:rsidRPr="00975B72" w:rsidRDefault="00544E00" w:rsidP="00544E00">
                      <w:pPr>
                        <w:pStyle w:val="BulletLevel2"/>
                      </w:pPr>
                      <w:r>
                        <w:t>i</w:t>
                      </w:r>
                      <w:r w:rsidRPr="1A43CDDE">
                        <w:t>mplementing enduring reforms and policy changes</w:t>
                      </w:r>
                    </w:p>
                    <w:p w14:paraId="5E1A997F" w14:textId="77777777" w:rsidR="006A6A2D" w:rsidRDefault="00544E00" w:rsidP="00544E00">
                      <w:pPr>
                        <w:pStyle w:val="BulletLevel2"/>
                      </w:pPr>
                      <w:r>
                        <w:t>u</w:t>
                      </w:r>
                      <w:r w:rsidRPr="1A43CDDE">
                        <w:t>se of new technology and reporting platforms</w:t>
                      </w:r>
                    </w:p>
                    <w:p w14:paraId="124D7EDB" w14:textId="6F1D9CF0" w:rsidR="00544E00" w:rsidRDefault="00544E00" w:rsidP="00544E00">
                      <w:pPr>
                        <w:pStyle w:val="BulletLevel2"/>
                      </w:pPr>
                      <w:r>
                        <w:t>t</w:t>
                      </w:r>
                      <w:r w:rsidRPr="00975B72">
                        <w:t>he delivery of on-ground projects focused on creation of long-term benefits.</w:t>
                      </w:r>
                    </w:p>
                  </w:txbxContent>
                </v:textbox>
                <w10:wrap type="square" anchorx="margin"/>
              </v:shape>
            </w:pict>
          </mc:Fallback>
        </mc:AlternateContent>
      </w:r>
      <w:r w:rsidR="001B46EB" w:rsidRPr="005D74D1">
        <w:rPr>
          <w:rFonts w:cs="Arial"/>
        </w:rPr>
        <w:t xml:space="preserve">Evaluation of </w:t>
      </w:r>
      <w:r w:rsidR="00B31DB2" w:rsidRPr="005D74D1">
        <w:rPr>
          <w:rFonts w:cs="Arial"/>
        </w:rPr>
        <w:t>legacy</w:t>
      </w:r>
      <w:bookmarkEnd w:id="742"/>
      <w:bookmarkEnd w:id="743"/>
    </w:p>
    <w:p w14:paraId="0296FB0B" w14:textId="130477E3" w:rsidR="001B46EB" w:rsidRPr="005D74D1" w:rsidRDefault="001B46EB" w:rsidP="001B46EB">
      <w:pPr>
        <w:pStyle w:val="Heading2"/>
        <w:rPr>
          <w:rFonts w:cs="Arial"/>
        </w:rPr>
      </w:pPr>
      <w:bookmarkStart w:id="744" w:name="_Toc147335102"/>
      <w:bookmarkStart w:id="745" w:name="_Toc147337966"/>
      <w:bookmarkStart w:id="746" w:name="_Toc147338571"/>
      <w:bookmarkStart w:id="747" w:name="_Toc147342932"/>
      <w:bookmarkStart w:id="748" w:name="_Toc147352823"/>
      <w:bookmarkStart w:id="749" w:name="_Toc147329359"/>
      <w:bookmarkStart w:id="750" w:name="_Toc183777389"/>
      <w:bookmarkEnd w:id="744"/>
      <w:bookmarkEnd w:id="745"/>
      <w:bookmarkEnd w:id="746"/>
      <w:bookmarkEnd w:id="747"/>
      <w:bookmarkEnd w:id="748"/>
      <w:r w:rsidRPr="005D74D1">
        <w:rPr>
          <w:rFonts w:cs="Arial"/>
        </w:rPr>
        <w:t>Overview</w:t>
      </w:r>
      <w:bookmarkEnd w:id="749"/>
      <w:bookmarkEnd w:id="750"/>
    </w:p>
    <w:p w14:paraId="27FDA89B" w14:textId="77777777" w:rsidR="00A50E7D" w:rsidRPr="005D74D1" w:rsidRDefault="0043349D" w:rsidP="0043349D">
      <w:pPr>
        <w:pStyle w:val="BodyText"/>
        <w:rPr>
          <w:rFonts w:cs="Arial"/>
        </w:rPr>
      </w:pPr>
      <w:r w:rsidRPr="005D74D1">
        <w:rPr>
          <w:rFonts w:cs="Arial"/>
        </w:rPr>
        <w:t xml:space="preserve">The legacy of EC5 implementation to the </w:t>
      </w:r>
      <w:r w:rsidR="00EA50CB" w:rsidRPr="005D74D1">
        <w:rPr>
          <w:rFonts w:cs="Arial"/>
        </w:rPr>
        <w:t>E</w:t>
      </w:r>
      <w:r w:rsidRPr="005D74D1">
        <w:rPr>
          <w:rFonts w:cs="Arial"/>
        </w:rPr>
        <w:t>nd</w:t>
      </w:r>
      <w:r w:rsidR="003A0C55" w:rsidRPr="005D74D1">
        <w:rPr>
          <w:rFonts w:cs="Arial"/>
        </w:rPr>
        <w:t>-</w:t>
      </w:r>
      <w:r w:rsidRPr="005D74D1">
        <w:rPr>
          <w:rFonts w:cs="Arial"/>
        </w:rPr>
        <w:t>of</w:t>
      </w:r>
      <w:r w:rsidR="003A0C55" w:rsidRPr="005D74D1">
        <w:rPr>
          <w:rFonts w:cs="Arial"/>
        </w:rPr>
        <w:t>-</w:t>
      </w:r>
      <w:r w:rsidR="00EA50CB" w:rsidRPr="005D74D1">
        <w:rPr>
          <w:rFonts w:cs="Arial"/>
        </w:rPr>
        <w:t>T</w:t>
      </w:r>
      <w:r w:rsidRPr="005D74D1">
        <w:rPr>
          <w:rFonts w:cs="Arial"/>
        </w:rPr>
        <w:t xml:space="preserve">ranche </w:t>
      </w:r>
      <w:r w:rsidR="00CA5CC4" w:rsidRPr="005D74D1">
        <w:rPr>
          <w:rFonts w:cs="Arial"/>
        </w:rPr>
        <w:t>was</w:t>
      </w:r>
      <w:r w:rsidRPr="005D74D1">
        <w:rPr>
          <w:rFonts w:cs="Arial"/>
        </w:rPr>
        <w:t xml:space="preserve"> assessed through the following KEQ:</w:t>
      </w:r>
    </w:p>
    <w:p w14:paraId="0FFCA8DC" w14:textId="124624C7" w:rsidR="0043349D" w:rsidRPr="005D74D1" w:rsidRDefault="0043349D" w:rsidP="002A738B">
      <w:pPr>
        <w:pStyle w:val="BulletLevel1"/>
        <w:rPr>
          <w:rFonts w:cs="Arial"/>
          <w:lang w:val="en-AU"/>
        </w:rPr>
      </w:pPr>
      <w:r w:rsidRPr="005D74D1">
        <w:rPr>
          <w:rFonts w:cs="Arial"/>
          <w:lang w:val="en-AU"/>
        </w:rPr>
        <w:t xml:space="preserve">To what extent are </w:t>
      </w:r>
      <w:r w:rsidR="00CA5CC4" w:rsidRPr="005D74D1">
        <w:rPr>
          <w:rFonts w:cs="Arial"/>
          <w:lang w:val="en-AU"/>
        </w:rPr>
        <w:t xml:space="preserve">EC5 tranche </w:t>
      </w:r>
      <w:r w:rsidRPr="005D74D1">
        <w:rPr>
          <w:rFonts w:cs="Arial"/>
          <w:lang w:val="en-AU"/>
        </w:rPr>
        <w:t>impacts expected to be sustained over time?</w:t>
      </w:r>
    </w:p>
    <w:p w14:paraId="02C3AE98" w14:textId="77777777" w:rsidR="00A50E7D" w:rsidRPr="005D74D1" w:rsidRDefault="0043349D" w:rsidP="0043349D">
      <w:pPr>
        <w:pStyle w:val="BodyText"/>
        <w:rPr>
          <w:rFonts w:cs="Arial"/>
        </w:rPr>
      </w:pPr>
      <w:r w:rsidRPr="005D74D1">
        <w:rPr>
          <w:rFonts w:cs="Arial"/>
        </w:rPr>
        <w:t xml:space="preserve">The key sources of information used in this analysis were the </w:t>
      </w:r>
      <w:r w:rsidR="00856D03" w:rsidRPr="005D74D1">
        <w:rPr>
          <w:rFonts w:cs="Arial"/>
        </w:rPr>
        <w:t>project</w:t>
      </w:r>
      <w:r w:rsidRPr="005D74D1">
        <w:rPr>
          <w:rFonts w:cs="Arial"/>
        </w:rPr>
        <w:t xml:space="preserve"> evaluation reports, in which </w:t>
      </w:r>
      <w:r w:rsidR="00856D03" w:rsidRPr="005D74D1">
        <w:rPr>
          <w:rFonts w:cs="Arial"/>
        </w:rPr>
        <w:t>project</w:t>
      </w:r>
      <w:r w:rsidRPr="005D74D1">
        <w:rPr>
          <w:rFonts w:cs="Arial"/>
        </w:rPr>
        <w:t xml:space="preserve"> leads reported on </w:t>
      </w:r>
      <w:r w:rsidR="006C6556" w:rsidRPr="005D74D1">
        <w:rPr>
          <w:rFonts w:cs="Arial"/>
        </w:rPr>
        <w:t xml:space="preserve">legacy aspects of </w:t>
      </w:r>
      <w:r w:rsidRPr="005D74D1">
        <w:rPr>
          <w:rFonts w:cs="Arial"/>
        </w:rPr>
        <w:t xml:space="preserve">their </w:t>
      </w:r>
      <w:r w:rsidR="00856D03" w:rsidRPr="005D74D1">
        <w:rPr>
          <w:rFonts w:cs="Arial"/>
        </w:rPr>
        <w:t>project</w:t>
      </w:r>
      <w:r w:rsidRPr="005D74D1">
        <w:rPr>
          <w:rFonts w:cs="Arial"/>
        </w:rPr>
        <w:t xml:space="preserve">. Additionally, interviews with select </w:t>
      </w:r>
      <w:r w:rsidR="00856D03" w:rsidRPr="005D74D1">
        <w:rPr>
          <w:rFonts w:cs="Arial"/>
        </w:rPr>
        <w:t>project</w:t>
      </w:r>
      <w:r w:rsidRPr="005D74D1">
        <w:rPr>
          <w:rFonts w:cs="Arial"/>
        </w:rPr>
        <w:t xml:space="preserve"> teams and DEECA leadership provided relevant insights.</w:t>
      </w:r>
    </w:p>
    <w:p w14:paraId="204C7ED4" w14:textId="44A82C98" w:rsidR="001B46EB" w:rsidRPr="005D74D1" w:rsidRDefault="001B46EB" w:rsidP="001B46EB">
      <w:pPr>
        <w:pStyle w:val="Heading2"/>
        <w:rPr>
          <w:rFonts w:cs="Arial"/>
        </w:rPr>
      </w:pPr>
      <w:bookmarkStart w:id="751" w:name="_Toc147329360"/>
      <w:bookmarkStart w:id="752" w:name="_Toc183777390"/>
      <w:r w:rsidRPr="005D74D1">
        <w:rPr>
          <w:rFonts w:cs="Arial"/>
        </w:rPr>
        <w:t xml:space="preserve">To what extent are </w:t>
      </w:r>
      <w:r w:rsidR="00FC49D1" w:rsidRPr="005D74D1">
        <w:rPr>
          <w:rFonts w:cs="Arial"/>
        </w:rPr>
        <w:t xml:space="preserve">EC5 tranche </w:t>
      </w:r>
      <w:r w:rsidRPr="005D74D1">
        <w:rPr>
          <w:rFonts w:cs="Arial"/>
        </w:rPr>
        <w:t>impacts expected to be sustained over time?</w:t>
      </w:r>
      <w:bookmarkEnd w:id="751"/>
      <w:bookmarkEnd w:id="752"/>
    </w:p>
    <w:p w14:paraId="50478F29" w14:textId="77777777" w:rsidR="00A50E7D" w:rsidRPr="005D74D1" w:rsidRDefault="00DD6CD8" w:rsidP="00C605D8">
      <w:pPr>
        <w:pStyle w:val="BodyText"/>
        <w:rPr>
          <w:rFonts w:cs="Arial"/>
        </w:rPr>
      </w:pPr>
      <w:r w:rsidRPr="005D74D1">
        <w:rPr>
          <w:rFonts w:cs="Arial"/>
        </w:rPr>
        <w:t>Significant e</w:t>
      </w:r>
      <w:r w:rsidR="002B606F" w:rsidRPr="005D74D1">
        <w:rPr>
          <w:rFonts w:cs="Arial"/>
        </w:rPr>
        <w:t xml:space="preserve">fforts were made </w:t>
      </w:r>
      <w:r w:rsidRPr="005D74D1">
        <w:rPr>
          <w:rFonts w:cs="Arial"/>
        </w:rPr>
        <w:t xml:space="preserve">in </w:t>
      </w:r>
      <w:r w:rsidR="00856D03" w:rsidRPr="005D74D1">
        <w:rPr>
          <w:rFonts w:cs="Arial"/>
        </w:rPr>
        <w:t>project</w:t>
      </w:r>
      <w:r w:rsidRPr="005D74D1">
        <w:rPr>
          <w:rFonts w:cs="Arial"/>
        </w:rPr>
        <w:t xml:space="preserve"> planning and design </w:t>
      </w:r>
      <w:r w:rsidR="002B606F" w:rsidRPr="005D74D1">
        <w:rPr>
          <w:rFonts w:cs="Arial"/>
        </w:rPr>
        <w:t xml:space="preserve">to encourage </w:t>
      </w:r>
      <w:r w:rsidR="002C1508" w:rsidRPr="005D74D1">
        <w:rPr>
          <w:rFonts w:cs="Arial"/>
        </w:rPr>
        <w:t>impacts and benefits to endure into the future</w:t>
      </w:r>
      <w:r w:rsidRPr="005D74D1">
        <w:rPr>
          <w:rFonts w:cs="Arial"/>
        </w:rPr>
        <w:t>.</w:t>
      </w:r>
      <w:r w:rsidR="0020137E" w:rsidRPr="005D74D1">
        <w:rPr>
          <w:rFonts w:cs="Arial"/>
        </w:rPr>
        <w:t xml:space="preserve"> </w:t>
      </w:r>
      <w:r w:rsidR="004327D6" w:rsidRPr="005D74D1">
        <w:rPr>
          <w:rFonts w:cs="Arial"/>
        </w:rPr>
        <w:t>The main ways</w:t>
      </w:r>
      <w:r w:rsidR="008E54F8" w:rsidRPr="005D74D1">
        <w:rPr>
          <w:rFonts w:cs="Arial"/>
        </w:rPr>
        <w:t xml:space="preserve"> in which </w:t>
      </w:r>
      <w:r w:rsidR="00856D03" w:rsidRPr="005D74D1">
        <w:rPr>
          <w:rFonts w:cs="Arial"/>
        </w:rPr>
        <w:t>project</w:t>
      </w:r>
      <w:r w:rsidR="008E54F8" w:rsidRPr="005D74D1">
        <w:rPr>
          <w:rFonts w:cs="Arial"/>
        </w:rPr>
        <w:t xml:space="preserve">s </w:t>
      </w:r>
      <w:r w:rsidR="00CC74E7" w:rsidRPr="005D74D1">
        <w:rPr>
          <w:rFonts w:cs="Arial"/>
        </w:rPr>
        <w:t>promoted sustained impact</w:t>
      </w:r>
      <w:r w:rsidR="00CA5CC4" w:rsidRPr="005D74D1">
        <w:rPr>
          <w:rFonts w:cs="Arial"/>
        </w:rPr>
        <w:t>s</w:t>
      </w:r>
      <w:r w:rsidR="00CC74E7" w:rsidRPr="005D74D1">
        <w:rPr>
          <w:rFonts w:cs="Arial"/>
        </w:rPr>
        <w:t xml:space="preserve"> include:</w:t>
      </w:r>
    </w:p>
    <w:p w14:paraId="22FC0286" w14:textId="77777777" w:rsidR="00A50E7D" w:rsidRPr="005D74D1" w:rsidRDefault="009A24B7" w:rsidP="002A738B">
      <w:pPr>
        <w:pStyle w:val="BulletLevel1"/>
        <w:rPr>
          <w:rFonts w:cs="Arial"/>
          <w:lang w:val="en-AU"/>
        </w:rPr>
      </w:pPr>
      <w:r w:rsidRPr="005D74D1">
        <w:rPr>
          <w:rFonts w:cs="Arial"/>
          <w:lang w:val="en-AU"/>
        </w:rPr>
        <w:t xml:space="preserve">Focus on </w:t>
      </w:r>
      <w:r w:rsidR="000B79DA" w:rsidRPr="005D74D1">
        <w:rPr>
          <w:rFonts w:cs="Arial"/>
          <w:lang w:val="en-AU"/>
        </w:rPr>
        <w:t>capacity building (of communities and the water sector</w:t>
      </w:r>
      <w:r w:rsidR="006F0DA5" w:rsidRPr="005D74D1">
        <w:rPr>
          <w:rFonts w:cs="Arial"/>
          <w:lang w:val="en-AU"/>
        </w:rPr>
        <w:t xml:space="preserve"> personnel</w:t>
      </w:r>
      <w:r w:rsidR="000B79DA" w:rsidRPr="005D74D1">
        <w:rPr>
          <w:rFonts w:cs="Arial"/>
          <w:lang w:val="en-AU"/>
        </w:rPr>
        <w:t>)</w:t>
      </w:r>
      <w:r w:rsidR="00560681" w:rsidRPr="005D74D1">
        <w:rPr>
          <w:rFonts w:cs="Arial"/>
          <w:lang w:val="en-AU"/>
        </w:rPr>
        <w:t xml:space="preserve">, </w:t>
      </w:r>
      <w:r w:rsidR="00893156" w:rsidRPr="005D74D1">
        <w:rPr>
          <w:rFonts w:cs="Arial"/>
          <w:lang w:val="en-AU"/>
        </w:rPr>
        <w:t xml:space="preserve">ownership </w:t>
      </w:r>
      <w:r w:rsidR="00560681" w:rsidRPr="005D74D1">
        <w:rPr>
          <w:rFonts w:cs="Arial"/>
          <w:lang w:val="en-AU"/>
        </w:rPr>
        <w:t>and long</w:t>
      </w:r>
      <w:r w:rsidR="00907B83" w:rsidRPr="005D74D1">
        <w:rPr>
          <w:rFonts w:cs="Arial"/>
          <w:lang w:val="en-AU"/>
        </w:rPr>
        <w:t>-</w:t>
      </w:r>
      <w:r w:rsidR="00560681" w:rsidRPr="005D74D1">
        <w:rPr>
          <w:rFonts w:cs="Arial"/>
          <w:lang w:val="en-AU"/>
        </w:rPr>
        <w:t xml:space="preserve">term </w:t>
      </w:r>
      <w:r w:rsidR="009B66FB" w:rsidRPr="005D74D1">
        <w:rPr>
          <w:rFonts w:cs="Arial"/>
          <w:lang w:val="en-AU"/>
        </w:rPr>
        <w:t>behavio</w:t>
      </w:r>
      <w:r w:rsidR="004A7DEC" w:rsidRPr="005D74D1">
        <w:rPr>
          <w:rFonts w:cs="Arial"/>
          <w:lang w:val="en-AU"/>
        </w:rPr>
        <w:t>u</w:t>
      </w:r>
      <w:r w:rsidR="009B66FB" w:rsidRPr="005D74D1">
        <w:rPr>
          <w:rFonts w:cs="Arial"/>
          <w:lang w:val="en-AU"/>
        </w:rPr>
        <w:t>r</w:t>
      </w:r>
      <w:r w:rsidR="00560681" w:rsidRPr="005D74D1">
        <w:rPr>
          <w:rFonts w:cs="Arial"/>
          <w:lang w:val="en-AU"/>
        </w:rPr>
        <w:t xml:space="preserve"> change through collaboration, delivery of education programs</w:t>
      </w:r>
      <w:r w:rsidR="009B66FB" w:rsidRPr="005D74D1">
        <w:rPr>
          <w:rFonts w:cs="Arial"/>
          <w:lang w:val="en-AU"/>
        </w:rPr>
        <w:t>, information products,</w:t>
      </w:r>
      <w:r w:rsidR="00560681" w:rsidRPr="005D74D1">
        <w:rPr>
          <w:rFonts w:cs="Arial"/>
          <w:lang w:val="en-AU"/>
        </w:rPr>
        <w:t xml:space="preserve"> and </w:t>
      </w:r>
      <w:r w:rsidR="009B66FB" w:rsidRPr="005D74D1">
        <w:rPr>
          <w:rFonts w:cs="Arial"/>
          <w:lang w:val="en-AU"/>
        </w:rPr>
        <w:t>significant engagement.</w:t>
      </w:r>
    </w:p>
    <w:p w14:paraId="6CEBBD2A" w14:textId="6CA221EA" w:rsidR="009B66FB" w:rsidRPr="005D74D1" w:rsidRDefault="005D21CF" w:rsidP="1A43CDDE">
      <w:pPr>
        <w:pStyle w:val="BulletLevel1"/>
        <w:rPr>
          <w:rFonts w:cs="Arial"/>
          <w:lang w:val="en-AU"/>
        </w:rPr>
      </w:pPr>
      <w:r w:rsidRPr="005D74D1">
        <w:rPr>
          <w:rFonts w:cs="Arial"/>
          <w:lang w:val="en-AU"/>
        </w:rPr>
        <w:t xml:space="preserve">Fostering long-term partnerships and collaborations across </w:t>
      </w:r>
      <w:r w:rsidR="00730199" w:rsidRPr="005D74D1">
        <w:rPr>
          <w:rFonts w:cs="Arial"/>
          <w:lang w:val="en-AU"/>
        </w:rPr>
        <w:t xml:space="preserve">a wide range of groups in </w:t>
      </w:r>
      <w:r w:rsidRPr="005D74D1">
        <w:rPr>
          <w:rFonts w:cs="Arial"/>
          <w:lang w:val="en-AU"/>
        </w:rPr>
        <w:t xml:space="preserve">the water sector </w:t>
      </w:r>
      <w:r w:rsidR="00730199" w:rsidRPr="005D74D1">
        <w:rPr>
          <w:rFonts w:cs="Arial"/>
          <w:lang w:val="en-AU"/>
        </w:rPr>
        <w:t xml:space="preserve">and the community </w:t>
      </w:r>
      <w:r w:rsidR="00F815B5" w:rsidRPr="005D74D1">
        <w:rPr>
          <w:rFonts w:cs="Arial"/>
          <w:lang w:val="en-AU"/>
        </w:rPr>
        <w:t>for development of strategies, planning, design and on-ground delivery</w:t>
      </w:r>
      <w:r w:rsidR="78A32009" w:rsidRPr="005D74D1">
        <w:rPr>
          <w:rFonts w:cs="Arial"/>
          <w:lang w:val="en-AU"/>
        </w:rPr>
        <w:t>.</w:t>
      </w:r>
    </w:p>
    <w:p w14:paraId="04DCB56D" w14:textId="77777777" w:rsidR="00A50E7D" w:rsidRPr="005D74D1" w:rsidRDefault="009E0EE7" w:rsidP="002A738B">
      <w:pPr>
        <w:pStyle w:val="BulletLevel1"/>
        <w:rPr>
          <w:rFonts w:cs="Arial"/>
          <w:lang w:val="en-AU"/>
        </w:rPr>
      </w:pPr>
      <w:r w:rsidRPr="005D74D1">
        <w:rPr>
          <w:rFonts w:cs="Arial"/>
          <w:lang w:val="en-AU"/>
        </w:rPr>
        <w:t>Reforms and</w:t>
      </w:r>
      <w:r w:rsidR="006D2FD4" w:rsidRPr="005D74D1">
        <w:rPr>
          <w:rFonts w:cs="Arial"/>
          <w:lang w:val="en-AU"/>
        </w:rPr>
        <w:t xml:space="preserve"> policy changes</w:t>
      </w:r>
      <w:r w:rsidR="00C003F1" w:rsidRPr="005D74D1">
        <w:rPr>
          <w:rFonts w:cs="Arial"/>
          <w:lang w:val="en-AU"/>
        </w:rPr>
        <w:t>, strategies and legislation</w:t>
      </w:r>
      <w:r w:rsidR="005D271F" w:rsidRPr="005D74D1">
        <w:rPr>
          <w:rFonts w:cs="Arial"/>
          <w:lang w:val="en-AU"/>
        </w:rPr>
        <w:t xml:space="preserve"> that </w:t>
      </w:r>
      <w:r w:rsidR="00C003F1" w:rsidRPr="005D74D1">
        <w:rPr>
          <w:rFonts w:cs="Arial"/>
          <w:lang w:val="en-AU"/>
        </w:rPr>
        <w:t>create long</w:t>
      </w:r>
      <w:r w:rsidR="00747054" w:rsidRPr="005D74D1">
        <w:rPr>
          <w:rFonts w:cs="Arial"/>
          <w:lang w:val="en-AU"/>
        </w:rPr>
        <w:t>-</w:t>
      </w:r>
      <w:r w:rsidR="00C003F1" w:rsidRPr="005D74D1">
        <w:rPr>
          <w:rFonts w:cs="Arial"/>
          <w:lang w:val="en-AU"/>
        </w:rPr>
        <w:t xml:space="preserve">term, enduring changes to </w:t>
      </w:r>
      <w:r w:rsidR="00FF1DFD" w:rsidRPr="005D74D1">
        <w:rPr>
          <w:rFonts w:cs="Arial"/>
          <w:lang w:val="en-AU"/>
        </w:rPr>
        <w:t xml:space="preserve">the functioning of the Victorian </w:t>
      </w:r>
      <w:r w:rsidR="00C003F1" w:rsidRPr="005D74D1">
        <w:rPr>
          <w:rFonts w:cs="Arial"/>
          <w:lang w:val="en-AU"/>
        </w:rPr>
        <w:t>water sector</w:t>
      </w:r>
      <w:r w:rsidR="00624239" w:rsidRPr="005D74D1">
        <w:rPr>
          <w:rFonts w:cs="Arial"/>
          <w:lang w:val="en-AU"/>
        </w:rPr>
        <w:t>. For example,</w:t>
      </w:r>
      <w:r w:rsidR="00E64EF7" w:rsidRPr="005D74D1">
        <w:rPr>
          <w:rFonts w:cs="Arial"/>
          <w:lang w:val="en-AU"/>
        </w:rPr>
        <w:t xml:space="preserve"> </w:t>
      </w:r>
      <w:r w:rsidR="0001247D" w:rsidRPr="005D74D1">
        <w:rPr>
          <w:rFonts w:cs="Arial"/>
          <w:lang w:val="en-AU"/>
        </w:rPr>
        <w:t>work on developing a</w:t>
      </w:r>
      <w:r w:rsidR="00DC5449" w:rsidRPr="005D74D1">
        <w:rPr>
          <w:rFonts w:cs="Arial"/>
          <w:lang w:val="en-AU"/>
        </w:rPr>
        <w:t xml:space="preserve"> new </w:t>
      </w:r>
      <w:r w:rsidR="004279BD" w:rsidRPr="005D74D1">
        <w:rPr>
          <w:rFonts w:cs="Arial"/>
          <w:i/>
          <w:iCs/>
          <w:lang w:val="en-AU"/>
        </w:rPr>
        <w:t>Victorian Waterway Management Strategy</w:t>
      </w:r>
      <w:r w:rsidR="004279BD" w:rsidRPr="005D74D1">
        <w:rPr>
          <w:rFonts w:cs="Arial"/>
          <w:lang w:val="en-AU"/>
        </w:rPr>
        <w:t xml:space="preserve">, </w:t>
      </w:r>
      <w:r w:rsidR="005E7919" w:rsidRPr="005D74D1">
        <w:rPr>
          <w:rFonts w:cs="Arial"/>
          <w:lang w:val="en-AU"/>
        </w:rPr>
        <w:t xml:space="preserve">development of </w:t>
      </w:r>
      <w:r w:rsidR="005E7919" w:rsidRPr="005D74D1">
        <w:rPr>
          <w:rFonts w:cs="Arial"/>
          <w:i/>
          <w:iCs/>
          <w:lang w:val="en-AU"/>
        </w:rPr>
        <w:t>Water (Recreational Area) Regulations</w:t>
      </w:r>
      <w:r w:rsidR="005E7919" w:rsidRPr="005D74D1">
        <w:rPr>
          <w:rFonts w:cs="Arial"/>
          <w:lang w:val="en-AU"/>
        </w:rPr>
        <w:t xml:space="preserve">, </w:t>
      </w:r>
      <w:r w:rsidR="00AE08B5" w:rsidRPr="005D74D1">
        <w:rPr>
          <w:rFonts w:cs="Arial"/>
          <w:lang w:val="en-AU"/>
        </w:rPr>
        <w:t xml:space="preserve">continued </w:t>
      </w:r>
      <w:r w:rsidR="241BF8B5" w:rsidRPr="005D74D1">
        <w:rPr>
          <w:rFonts w:cs="Arial"/>
          <w:lang w:val="en-AU"/>
        </w:rPr>
        <w:t>grid planning</w:t>
      </w:r>
      <w:r w:rsidR="00AE08B5" w:rsidRPr="005D74D1">
        <w:rPr>
          <w:rFonts w:cs="Arial"/>
          <w:lang w:val="en-AU"/>
        </w:rPr>
        <w:t xml:space="preserve">, </w:t>
      </w:r>
      <w:r w:rsidR="009F72A3" w:rsidRPr="005D74D1">
        <w:rPr>
          <w:rFonts w:cs="Arial"/>
          <w:lang w:val="en-AU"/>
        </w:rPr>
        <w:t>Water market reforms</w:t>
      </w:r>
      <w:r w:rsidR="0056309A" w:rsidRPr="005D74D1">
        <w:rPr>
          <w:rFonts w:cs="Arial"/>
          <w:lang w:val="en-AU"/>
        </w:rPr>
        <w:t xml:space="preserve">, water compliance reforms, </w:t>
      </w:r>
      <w:r w:rsidR="006349B9" w:rsidRPr="005D74D1">
        <w:rPr>
          <w:rFonts w:cs="Arial"/>
          <w:lang w:val="en-AU"/>
        </w:rPr>
        <w:t>Birrarung</w:t>
      </w:r>
      <w:r w:rsidR="003303A0" w:rsidRPr="005D74D1">
        <w:rPr>
          <w:rFonts w:cs="Arial"/>
          <w:lang w:val="en-AU"/>
        </w:rPr>
        <w:t xml:space="preserve"> (Yarra River</w:t>
      </w:r>
      <w:r w:rsidR="006349B9" w:rsidRPr="005D74D1">
        <w:rPr>
          <w:rFonts w:cs="Arial"/>
          <w:lang w:val="en-AU"/>
        </w:rPr>
        <w:t xml:space="preserve">) </w:t>
      </w:r>
      <w:r w:rsidR="00B60B71" w:rsidRPr="005D74D1">
        <w:rPr>
          <w:rFonts w:cs="Arial"/>
          <w:lang w:val="en-AU"/>
        </w:rPr>
        <w:t xml:space="preserve">governance, </w:t>
      </w:r>
      <w:r w:rsidR="004F63BE" w:rsidRPr="005D74D1">
        <w:rPr>
          <w:rFonts w:cs="Arial"/>
          <w:lang w:val="en-AU"/>
        </w:rPr>
        <w:t xml:space="preserve">publication of </w:t>
      </w:r>
      <w:r w:rsidR="004F63BE" w:rsidRPr="005D74D1">
        <w:rPr>
          <w:rFonts w:cs="Arial"/>
          <w:i/>
          <w:iCs/>
          <w:lang w:val="en-AU"/>
        </w:rPr>
        <w:t>Water is Life</w:t>
      </w:r>
      <w:r w:rsidR="004F63BE" w:rsidRPr="005D74D1">
        <w:rPr>
          <w:rFonts w:cs="Arial"/>
          <w:lang w:val="en-AU"/>
        </w:rPr>
        <w:t xml:space="preserve"> and the CGRSWS.</w:t>
      </w:r>
    </w:p>
    <w:p w14:paraId="07C6E8DA" w14:textId="77777777" w:rsidR="00A50E7D" w:rsidRPr="005D74D1" w:rsidRDefault="00624239" w:rsidP="1A43CDDE">
      <w:pPr>
        <w:pStyle w:val="BulletLevel1"/>
        <w:rPr>
          <w:rFonts w:cs="Arial"/>
          <w:lang w:val="en-AU"/>
        </w:rPr>
      </w:pPr>
      <w:r w:rsidRPr="005D74D1">
        <w:rPr>
          <w:rFonts w:cs="Arial"/>
          <w:lang w:val="en-AU"/>
        </w:rPr>
        <w:t xml:space="preserve">Improving </w:t>
      </w:r>
      <w:r w:rsidR="004279BD" w:rsidRPr="005D74D1">
        <w:rPr>
          <w:rFonts w:cs="Arial"/>
          <w:lang w:val="en-AU"/>
        </w:rPr>
        <w:t>the availability and quality of information</w:t>
      </w:r>
      <w:r w:rsidR="008E46B2" w:rsidRPr="005D74D1">
        <w:rPr>
          <w:rFonts w:cs="Arial"/>
          <w:lang w:val="en-AU"/>
        </w:rPr>
        <w:t xml:space="preserve"> through new technology and reporting platforms</w:t>
      </w:r>
      <w:r w:rsidR="00A77D5B" w:rsidRPr="005D74D1">
        <w:rPr>
          <w:rFonts w:cs="Arial"/>
          <w:lang w:val="en-AU"/>
        </w:rPr>
        <w:t xml:space="preserve">, which will be operational into the future. </w:t>
      </w:r>
      <w:r w:rsidR="00AD507C" w:rsidRPr="005D74D1">
        <w:rPr>
          <w:rFonts w:cs="Arial"/>
          <w:lang w:val="en-AU"/>
        </w:rPr>
        <w:t xml:space="preserve">Examples include </w:t>
      </w:r>
      <w:r w:rsidR="00433EB9" w:rsidRPr="005D74D1">
        <w:rPr>
          <w:rFonts w:cs="Arial"/>
          <w:lang w:val="en-AU"/>
        </w:rPr>
        <w:t>redevelopment of the Water Monitoring Information System</w:t>
      </w:r>
      <w:r w:rsidR="00AD507C" w:rsidRPr="005D74D1">
        <w:rPr>
          <w:rFonts w:cs="Arial"/>
          <w:lang w:val="en-AU"/>
        </w:rPr>
        <w:t xml:space="preserve">, </w:t>
      </w:r>
      <w:r w:rsidR="00433EB9" w:rsidRPr="005D74D1">
        <w:rPr>
          <w:rFonts w:cs="Arial"/>
          <w:lang w:val="en-AU"/>
        </w:rPr>
        <w:t>development of the Water Education Portal (aimed at resources for students and teachers),</w:t>
      </w:r>
      <w:r w:rsidR="00AD507C" w:rsidRPr="005D74D1">
        <w:rPr>
          <w:rFonts w:cs="Arial"/>
          <w:lang w:val="en-AU"/>
        </w:rPr>
        <w:t xml:space="preserve"> </w:t>
      </w:r>
      <w:r w:rsidR="05C334FC" w:rsidRPr="005D74D1">
        <w:rPr>
          <w:rFonts w:cs="Arial"/>
          <w:lang w:val="en-AU"/>
        </w:rPr>
        <w:t>l</w:t>
      </w:r>
      <w:r w:rsidR="00433EB9" w:rsidRPr="005D74D1">
        <w:rPr>
          <w:rFonts w:cs="Arial"/>
          <w:lang w:val="en-AU"/>
        </w:rPr>
        <w:t>aunch</w:t>
      </w:r>
      <w:r w:rsidR="66DA6163" w:rsidRPr="005D74D1">
        <w:rPr>
          <w:rFonts w:cs="Arial"/>
          <w:lang w:val="en-AU"/>
        </w:rPr>
        <w:t>ing</w:t>
      </w:r>
      <w:r w:rsidR="00433EB9" w:rsidRPr="005D74D1">
        <w:rPr>
          <w:rFonts w:cs="Arial"/>
          <w:lang w:val="en-AU"/>
        </w:rPr>
        <w:t xml:space="preserve"> the Water Market Watch iOS app to provide real-time water market information</w:t>
      </w:r>
      <w:r w:rsidR="00AD507C" w:rsidRPr="005D74D1">
        <w:rPr>
          <w:rFonts w:cs="Arial"/>
          <w:lang w:val="en-AU"/>
        </w:rPr>
        <w:t xml:space="preserve">, and </w:t>
      </w:r>
      <w:r w:rsidR="00433EB9" w:rsidRPr="005D74D1">
        <w:rPr>
          <w:rFonts w:cs="Arial"/>
          <w:lang w:val="en-AU"/>
        </w:rPr>
        <w:t>upgrade of the Victorian Water Accounts platform</w:t>
      </w:r>
      <w:r w:rsidR="00E76218" w:rsidRPr="005D74D1">
        <w:rPr>
          <w:rFonts w:cs="Arial"/>
          <w:lang w:val="en-AU"/>
        </w:rPr>
        <w:t>.</w:t>
      </w:r>
    </w:p>
    <w:p w14:paraId="12444BCA" w14:textId="7F8761FB" w:rsidR="00E54508" w:rsidRPr="005D74D1" w:rsidRDefault="009E7349" w:rsidP="002A738B">
      <w:pPr>
        <w:pStyle w:val="BulletLevel1"/>
        <w:rPr>
          <w:rFonts w:cs="Arial"/>
          <w:lang w:val="en-AU"/>
        </w:rPr>
        <w:sectPr w:rsidR="00E54508" w:rsidRPr="005D74D1" w:rsidSect="00AF519B">
          <w:pgSz w:w="11906" w:h="16838" w:code="9"/>
          <w:pgMar w:top="1134" w:right="1134" w:bottom="567" w:left="1134" w:header="567" w:footer="0" w:gutter="0"/>
          <w:cols w:space="720"/>
          <w:docGrid w:linePitch="360"/>
        </w:sectPr>
      </w:pPr>
      <w:r w:rsidRPr="005D74D1">
        <w:rPr>
          <w:rFonts w:cs="Arial"/>
          <w:lang w:val="en-AU"/>
        </w:rPr>
        <w:t xml:space="preserve">Delivery and contribution to on-ground </w:t>
      </w:r>
      <w:r w:rsidR="00856D03" w:rsidRPr="005D74D1">
        <w:rPr>
          <w:rFonts w:cs="Arial"/>
          <w:lang w:val="en-AU"/>
        </w:rPr>
        <w:t>project</w:t>
      </w:r>
      <w:r w:rsidRPr="005D74D1">
        <w:rPr>
          <w:rFonts w:cs="Arial"/>
          <w:lang w:val="en-AU"/>
        </w:rPr>
        <w:t>s that will provide long</w:t>
      </w:r>
      <w:r w:rsidR="00191954" w:rsidRPr="005D74D1">
        <w:rPr>
          <w:rFonts w:cs="Arial"/>
          <w:lang w:val="en-AU"/>
        </w:rPr>
        <w:t>-</w:t>
      </w:r>
      <w:r w:rsidRPr="005D74D1">
        <w:rPr>
          <w:rFonts w:cs="Arial"/>
          <w:lang w:val="en-AU"/>
        </w:rPr>
        <w:t xml:space="preserve">term benefits to waterway health, </w:t>
      </w:r>
      <w:r w:rsidR="00481529" w:rsidRPr="005D74D1">
        <w:rPr>
          <w:rFonts w:cs="Arial"/>
          <w:lang w:val="en-AU"/>
        </w:rPr>
        <w:t xml:space="preserve">water security, water quality, and climate change resilience. </w:t>
      </w:r>
    </w:p>
    <w:p w14:paraId="0D5B4C83" w14:textId="0891DF14" w:rsidR="00E54508" w:rsidRPr="00A134A7" w:rsidRDefault="00E54508" w:rsidP="00E54508">
      <w:pPr>
        <w:pStyle w:val="BulletLevel1"/>
        <w:rPr>
          <w:rFonts w:cs="Arial"/>
          <w:lang w:val="en-AU"/>
        </w:rPr>
      </w:pPr>
      <w:r w:rsidRPr="00A134A7">
        <w:rPr>
          <w:rFonts w:cs="Arial"/>
          <w:noProof/>
          <w:lang w:val="en-AU"/>
        </w:rPr>
        <w:lastRenderedPageBreak/>
        <w:drawing>
          <wp:anchor distT="0" distB="0" distL="114300" distR="114300" simplePos="0" relativeHeight="251680768" behindDoc="0" locked="0" layoutInCell="1" allowOverlap="1" wp14:anchorId="2E805C22" wp14:editId="3DCD11B9">
            <wp:simplePos x="942975" y="1200150"/>
            <wp:positionH relativeFrom="page">
              <wp:align>left</wp:align>
            </wp:positionH>
            <wp:positionV relativeFrom="page">
              <wp:align>top</wp:align>
            </wp:positionV>
            <wp:extent cx="7562088" cy="10689336"/>
            <wp:effectExtent l="0" t="0" r="1270" b="0"/>
            <wp:wrapNone/>
            <wp:docPr id="5211971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7562088" cy="1068933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4F5D13" w14:textId="77777777" w:rsidR="00E54508" w:rsidRPr="005D74D1" w:rsidRDefault="00E54508" w:rsidP="00E54508">
      <w:pPr>
        <w:pStyle w:val="BodyText"/>
        <w:rPr>
          <w:rFonts w:cs="Arial"/>
        </w:rPr>
      </w:pPr>
    </w:p>
    <w:p w14:paraId="627BCE21" w14:textId="77777777" w:rsidR="00E54508" w:rsidRPr="005D74D1" w:rsidRDefault="00E54508" w:rsidP="00E54508">
      <w:pPr>
        <w:pStyle w:val="BodyText"/>
        <w:rPr>
          <w:rFonts w:cs="Arial"/>
        </w:rPr>
      </w:pPr>
    </w:p>
    <w:p w14:paraId="03FEC3B9" w14:textId="77777777" w:rsidR="00E54508" w:rsidRPr="005D74D1" w:rsidRDefault="00E54508" w:rsidP="00E54508">
      <w:pPr>
        <w:pStyle w:val="BodyText"/>
        <w:rPr>
          <w:rFonts w:cs="Arial"/>
        </w:rPr>
        <w:sectPr w:rsidR="00E54508" w:rsidRPr="005D74D1" w:rsidSect="00AF519B">
          <w:pgSz w:w="11906" w:h="16838" w:code="9"/>
          <w:pgMar w:top="1134" w:right="1134" w:bottom="567" w:left="1134" w:header="567" w:footer="0" w:gutter="0"/>
          <w:cols w:space="720"/>
          <w:docGrid w:linePitch="360"/>
        </w:sectPr>
      </w:pPr>
    </w:p>
    <w:p w14:paraId="31AA5FC3" w14:textId="324AB7E3" w:rsidR="001B46EB" w:rsidRPr="005D74D1" w:rsidRDefault="007E3392" w:rsidP="001B46EB">
      <w:pPr>
        <w:pStyle w:val="Heading1"/>
        <w:rPr>
          <w:rFonts w:cs="Arial"/>
        </w:rPr>
      </w:pPr>
      <w:bookmarkStart w:id="753" w:name="_Toc147329361"/>
      <w:bookmarkStart w:id="754" w:name="_Toc183777391"/>
      <w:r w:rsidRPr="005D74D1">
        <w:rPr>
          <w:rFonts w:cs="Arial"/>
        </w:rPr>
        <w:lastRenderedPageBreak/>
        <w:t xml:space="preserve">Conclusions and </w:t>
      </w:r>
      <w:r w:rsidR="00B31DB2" w:rsidRPr="005D74D1">
        <w:rPr>
          <w:rFonts w:cs="Arial"/>
        </w:rPr>
        <w:t>recommendations</w:t>
      </w:r>
      <w:bookmarkEnd w:id="753"/>
      <w:bookmarkEnd w:id="754"/>
    </w:p>
    <w:p w14:paraId="2AD2EC45" w14:textId="7909E4B6" w:rsidR="000D35CB" w:rsidRPr="005D74D1" w:rsidRDefault="000D35CB" w:rsidP="000D35CB">
      <w:pPr>
        <w:pStyle w:val="Heading2"/>
        <w:rPr>
          <w:rFonts w:cs="Arial"/>
        </w:rPr>
      </w:pPr>
      <w:bookmarkStart w:id="755" w:name="_Toc147341763"/>
      <w:bookmarkStart w:id="756" w:name="_Toc147330018"/>
      <w:bookmarkStart w:id="757" w:name="_Toc147330590"/>
      <w:bookmarkStart w:id="758" w:name="_Toc147331162"/>
      <w:bookmarkStart w:id="759" w:name="_Toc147331735"/>
      <w:bookmarkStart w:id="760" w:name="_Toc147335109"/>
      <w:bookmarkStart w:id="761" w:name="_Toc147337974"/>
      <w:bookmarkStart w:id="762" w:name="_Toc147338579"/>
      <w:bookmarkStart w:id="763" w:name="_Toc147342940"/>
      <w:bookmarkStart w:id="764" w:name="_Toc147352832"/>
      <w:bookmarkStart w:id="765" w:name="_Toc183777392"/>
      <w:bookmarkEnd w:id="755"/>
      <w:bookmarkEnd w:id="756"/>
      <w:bookmarkEnd w:id="757"/>
      <w:bookmarkEnd w:id="758"/>
      <w:bookmarkEnd w:id="759"/>
      <w:bookmarkEnd w:id="760"/>
      <w:bookmarkEnd w:id="761"/>
      <w:bookmarkEnd w:id="762"/>
      <w:bookmarkEnd w:id="763"/>
      <w:bookmarkEnd w:id="764"/>
      <w:r w:rsidRPr="005D74D1">
        <w:rPr>
          <w:rFonts w:cs="Arial"/>
        </w:rPr>
        <w:t xml:space="preserve">Conclusions and </w:t>
      </w:r>
      <w:r w:rsidRPr="005D74D1">
        <w:rPr>
          <w:rFonts w:cs="Arial"/>
          <w:bCs/>
        </w:rPr>
        <w:t>recommendations</w:t>
      </w:r>
      <w:bookmarkEnd w:id="765"/>
    </w:p>
    <w:p w14:paraId="40B28C7B" w14:textId="77777777" w:rsidR="00A50E7D" w:rsidRPr="005D74D1" w:rsidRDefault="005F42A7" w:rsidP="00A32B45">
      <w:pPr>
        <w:pStyle w:val="BodyText"/>
        <w:rPr>
          <w:rFonts w:cs="Arial"/>
        </w:rPr>
      </w:pPr>
      <w:r w:rsidRPr="005D74D1">
        <w:rPr>
          <w:rFonts w:cs="Arial"/>
        </w:rPr>
        <w:t xml:space="preserve">Delivery of </w:t>
      </w:r>
      <w:r w:rsidR="00A32B45" w:rsidRPr="005D74D1">
        <w:rPr>
          <w:rFonts w:cs="Arial"/>
        </w:rPr>
        <w:t xml:space="preserve">EC5 </w:t>
      </w:r>
      <w:r w:rsidRPr="005D74D1">
        <w:rPr>
          <w:rFonts w:cs="Arial"/>
        </w:rPr>
        <w:t>strongly aligned</w:t>
      </w:r>
      <w:r w:rsidR="00A32B45" w:rsidRPr="005D74D1">
        <w:rPr>
          <w:rFonts w:cs="Arial"/>
        </w:rPr>
        <w:t xml:space="preserve"> with</w:t>
      </w:r>
      <w:r w:rsidR="00B4131C" w:rsidRPr="005D74D1">
        <w:rPr>
          <w:rFonts w:cs="Arial"/>
        </w:rPr>
        <w:t>,</w:t>
      </w:r>
      <w:r w:rsidR="00A32B45" w:rsidRPr="005D74D1">
        <w:rPr>
          <w:rFonts w:cs="Arial"/>
        </w:rPr>
        <w:t xml:space="preserve"> and </w:t>
      </w:r>
      <w:r w:rsidR="00B4131C" w:rsidRPr="005D74D1">
        <w:rPr>
          <w:rFonts w:cs="Arial"/>
        </w:rPr>
        <w:t xml:space="preserve">made considerable </w:t>
      </w:r>
      <w:r w:rsidR="00A32B45" w:rsidRPr="005D74D1">
        <w:rPr>
          <w:rFonts w:cs="Arial"/>
        </w:rPr>
        <w:t>progress toward</w:t>
      </w:r>
      <w:r w:rsidR="00B4131C" w:rsidRPr="005D74D1">
        <w:rPr>
          <w:rFonts w:cs="Arial"/>
        </w:rPr>
        <w:t>s</w:t>
      </w:r>
      <w:r w:rsidR="00A32B45" w:rsidRPr="005D74D1">
        <w:rPr>
          <w:rFonts w:cs="Arial"/>
        </w:rPr>
        <w:t xml:space="preserve"> the legislated objectives of the EC, and key Victorian Government policies and strategies, including </w:t>
      </w:r>
      <w:r w:rsidR="00A32B45" w:rsidRPr="005D74D1">
        <w:rPr>
          <w:rFonts w:cs="Arial"/>
          <w:i/>
          <w:iCs/>
        </w:rPr>
        <w:t>Water for Victoria</w:t>
      </w:r>
      <w:r w:rsidR="00A32B45" w:rsidRPr="005D74D1">
        <w:rPr>
          <w:rFonts w:cs="Arial"/>
        </w:rPr>
        <w:t xml:space="preserve">, </w:t>
      </w:r>
      <w:r w:rsidR="00A32B45" w:rsidRPr="005D74D1">
        <w:rPr>
          <w:rFonts w:cs="Arial"/>
          <w:i/>
          <w:iCs/>
        </w:rPr>
        <w:t>Water is Life</w:t>
      </w:r>
      <w:r w:rsidR="00A32B45" w:rsidRPr="005D74D1">
        <w:rPr>
          <w:rFonts w:cs="Arial"/>
        </w:rPr>
        <w:t xml:space="preserve"> and the CGRSWS. </w:t>
      </w:r>
      <w:r w:rsidR="00B4131C" w:rsidRPr="005D74D1">
        <w:rPr>
          <w:rFonts w:cs="Arial"/>
        </w:rPr>
        <w:t>As with previous tranches of the EC, EC5</w:t>
      </w:r>
      <w:r w:rsidR="00A32B45" w:rsidRPr="005D74D1">
        <w:rPr>
          <w:rFonts w:cs="Arial"/>
        </w:rPr>
        <w:t xml:space="preserve"> </w:t>
      </w:r>
      <w:r w:rsidR="00B4131C" w:rsidRPr="005D74D1">
        <w:rPr>
          <w:rFonts w:cs="Arial"/>
        </w:rPr>
        <w:t>provided</w:t>
      </w:r>
      <w:r w:rsidR="00A32B45" w:rsidRPr="005D74D1">
        <w:rPr>
          <w:rFonts w:cs="Arial"/>
        </w:rPr>
        <w:t xml:space="preserve"> critical funding </w:t>
      </w:r>
      <w:r w:rsidR="009F6287" w:rsidRPr="005D74D1">
        <w:rPr>
          <w:rFonts w:cs="Arial"/>
        </w:rPr>
        <w:t>that has driven</w:t>
      </w:r>
      <w:r w:rsidR="00A32B45" w:rsidRPr="005D74D1">
        <w:rPr>
          <w:rFonts w:cs="Arial"/>
        </w:rPr>
        <w:t xml:space="preserve"> innovation and best practice in water management, enable</w:t>
      </w:r>
      <w:r w:rsidR="009F6287" w:rsidRPr="005D74D1">
        <w:rPr>
          <w:rFonts w:cs="Arial"/>
        </w:rPr>
        <w:t>d</w:t>
      </w:r>
      <w:r w:rsidR="00A32B45" w:rsidRPr="005D74D1">
        <w:rPr>
          <w:rFonts w:cs="Arial"/>
        </w:rPr>
        <w:t xml:space="preserve"> planning and delivery of strategic</w:t>
      </w:r>
      <w:r w:rsidR="009F6287" w:rsidRPr="005D74D1">
        <w:rPr>
          <w:rFonts w:cs="Arial"/>
        </w:rPr>
        <w:t>,</w:t>
      </w:r>
      <w:r w:rsidR="00A32B45" w:rsidRPr="005D74D1">
        <w:rPr>
          <w:rFonts w:cs="Arial"/>
        </w:rPr>
        <w:t xml:space="preserve"> long-term projects, and deliver</w:t>
      </w:r>
      <w:r w:rsidR="009F6287" w:rsidRPr="005D74D1">
        <w:rPr>
          <w:rFonts w:cs="Arial"/>
        </w:rPr>
        <w:t>ed</w:t>
      </w:r>
      <w:r w:rsidR="00A32B45" w:rsidRPr="005D74D1">
        <w:rPr>
          <w:rFonts w:cs="Arial"/>
        </w:rPr>
        <w:t xml:space="preserve"> ongoing foundational services to meet the needs of the Victorian water sector, communities and industries.</w:t>
      </w:r>
    </w:p>
    <w:p w14:paraId="793709E2" w14:textId="77777777" w:rsidR="00A50E7D" w:rsidRPr="005D74D1" w:rsidRDefault="00A32B45" w:rsidP="00A32B45">
      <w:pPr>
        <w:pStyle w:val="BodyText"/>
        <w:rPr>
          <w:rFonts w:cs="Arial"/>
        </w:rPr>
      </w:pPr>
      <w:r w:rsidRPr="005D74D1">
        <w:rPr>
          <w:rFonts w:cs="Arial"/>
        </w:rPr>
        <w:t>The findings from th</w:t>
      </w:r>
      <w:r w:rsidR="0014124A" w:rsidRPr="005D74D1">
        <w:rPr>
          <w:rFonts w:cs="Arial"/>
        </w:rPr>
        <w:t>e EC5 End-Of-Tranche</w:t>
      </w:r>
      <w:r w:rsidRPr="005D74D1">
        <w:rPr>
          <w:rFonts w:cs="Arial"/>
        </w:rPr>
        <w:t xml:space="preserve"> evaluation point to the need for future EC tranches to respond to current and emerging challenges associated with sustainable water management and protection of environmental values, and to realise the full benefits of </w:t>
      </w:r>
      <w:r w:rsidR="0014124A" w:rsidRPr="005D74D1">
        <w:rPr>
          <w:rFonts w:cs="Arial"/>
        </w:rPr>
        <w:t xml:space="preserve">EC5 </w:t>
      </w:r>
      <w:r w:rsidRPr="005D74D1">
        <w:rPr>
          <w:rFonts w:cs="Arial"/>
        </w:rPr>
        <w:t xml:space="preserve">investments </w:t>
      </w:r>
      <w:r w:rsidR="0014124A" w:rsidRPr="005D74D1">
        <w:rPr>
          <w:rFonts w:cs="Arial"/>
        </w:rPr>
        <w:t>and those in</w:t>
      </w:r>
      <w:r w:rsidRPr="005D74D1">
        <w:rPr>
          <w:rFonts w:cs="Arial"/>
        </w:rPr>
        <w:t xml:space="preserve"> earlier tranches.</w:t>
      </w:r>
    </w:p>
    <w:p w14:paraId="3539E1AB" w14:textId="08AAB665" w:rsidR="00A50E7D" w:rsidRPr="005D74D1" w:rsidRDefault="00A32B45" w:rsidP="00A32B45">
      <w:pPr>
        <w:pStyle w:val="BodyText"/>
        <w:rPr>
          <w:rFonts w:cs="Arial"/>
        </w:rPr>
      </w:pPr>
      <w:r w:rsidRPr="005D74D1">
        <w:rPr>
          <w:rFonts w:cs="Arial"/>
        </w:rPr>
        <w:t xml:space="preserve">Recommendations have also been developed to support continuous improvement for the EC into the </w:t>
      </w:r>
      <w:r w:rsidR="00A70066" w:rsidRPr="005D74D1">
        <w:rPr>
          <w:rFonts w:cs="Arial"/>
        </w:rPr>
        <w:t>future and</w:t>
      </w:r>
      <w:r w:rsidRPr="005D74D1">
        <w:rPr>
          <w:rFonts w:cs="Arial"/>
        </w:rPr>
        <w:t xml:space="preserve"> have been framed to be relatively discrete actions to provide flexibility around </w:t>
      </w:r>
      <w:r w:rsidR="000929CF" w:rsidRPr="005D74D1">
        <w:rPr>
          <w:rFonts w:cs="Arial"/>
        </w:rPr>
        <w:t xml:space="preserve">how and when they </w:t>
      </w:r>
      <w:r w:rsidRPr="005D74D1">
        <w:rPr>
          <w:rFonts w:cs="Arial"/>
        </w:rPr>
        <w:t>are implemented based on available funding and resourcing.</w:t>
      </w:r>
    </w:p>
    <w:p w14:paraId="24B96728" w14:textId="79F09F41" w:rsidR="000D35CB" w:rsidRPr="005D74D1" w:rsidRDefault="008A3D70" w:rsidP="00312C92">
      <w:pPr>
        <w:pStyle w:val="TableCaption"/>
        <w:rPr>
          <w:rFonts w:cs="Arial"/>
        </w:rPr>
      </w:pPr>
      <w:bookmarkStart w:id="766" w:name="_Toc184904999"/>
      <w:r w:rsidRPr="005D74D1">
        <w:rPr>
          <w:rFonts w:cs="Arial"/>
        </w:rPr>
        <w:t xml:space="preserve">Table </w:t>
      </w:r>
      <w:r w:rsidRPr="00A134A7">
        <w:rPr>
          <w:rFonts w:cs="Arial"/>
        </w:rPr>
        <w:fldChar w:fldCharType="begin"/>
      </w:r>
      <w:r w:rsidRPr="005D74D1">
        <w:rPr>
          <w:rFonts w:cs="Arial"/>
        </w:rPr>
        <w:instrText xml:space="preserve"> SEQ Table \* ARABIC </w:instrText>
      </w:r>
      <w:r w:rsidRPr="00A134A7">
        <w:rPr>
          <w:rFonts w:cs="Arial"/>
        </w:rPr>
        <w:fldChar w:fldCharType="separate"/>
      </w:r>
      <w:r w:rsidR="003870A0">
        <w:rPr>
          <w:rFonts w:cs="Arial"/>
          <w:noProof/>
        </w:rPr>
        <w:t>12</w:t>
      </w:r>
      <w:r w:rsidRPr="00A134A7">
        <w:rPr>
          <w:rFonts w:cs="Arial"/>
        </w:rPr>
        <w:fldChar w:fldCharType="end"/>
      </w:r>
      <w:r w:rsidR="00E70B66" w:rsidRPr="005D74D1">
        <w:rPr>
          <w:rFonts w:cs="Arial"/>
        </w:rPr>
        <w:t xml:space="preserve">. </w:t>
      </w:r>
      <w:r w:rsidR="000D35CB" w:rsidRPr="005D74D1">
        <w:rPr>
          <w:rFonts w:cs="Arial"/>
        </w:rPr>
        <w:t>Recommendations for continuous improvement of future tranches</w:t>
      </w:r>
      <w:bookmarkEnd w:id="766"/>
    </w:p>
    <w:tbl>
      <w:tblPr>
        <w:tblStyle w:val="TableGrid"/>
        <w:tblW w:w="5000" w:type="pct"/>
        <w:tblBorders>
          <w:top w:val="single" w:sz="4" w:space="0" w:color="231EDC" w:themeColor="accent1"/>
          <w:left w:val="single" w:sz="4" w:space="0" w:color="231EDC" w:themeColor="accent1"/>
          <w:bottom w:val="single" w:sz="4" w:space="0" w:color="231EDC" w:themeColor="accent1"/>
          <w:right w:val="single" w:sz="4" w:space="0" w:color="231EDC" w:themeColor="accent1"/>
          <w:insideH w:val="single" w:sz="4" w:space="0" w:color="231EDC" w:themeColor="accent1"/>
          <w:insideV w:val="single" w:sz="4" w:space="0" w:color="231EDC" w:themeColor="accent1"/>
        </w:tblBorders>
        <w:tblLook w:val="04A0" w:firstRow="1" w:lastRow="0" w:firstColumn="1" w:lastColumn="0" w:noHBand="0" w:noVBand="1"/>
      </w:tblPr>
      <w:tblGrid>
        <w:gridCol w:w="2515"/>
        <w:gridCol w:w="7113"/>
      </w:tblGrid>
      <w:tr w:rsidR="000E1216" w:rsidRPr="005D74D1" w14:paraId="474F5B83" w14:textId="77777777" w:rsidTr="00A70066">
        <w:trPr>
          <w:tblHeader/>
        </w:trPr>
        <w:tc>
          <w:tcPr>
            <w:tcW w:w="1306" w:type="pct"/>
            <w:shd w:val="clear" w:color="auto" w:fill="231EDC" w:themeFill="accent1"/>
          </w:tcPr>
          <w:p w14:paraId="1D6D3FD1" w14:textId="77777777" w:rsidR="000E1216" w:rsidRPr="00A134A7" w:rsidRDefault="000E1216" w:rsidP="00CD0F76">
            <w:pPr>
              <w:pStyle w:val="TableHeadingWhite"/>
              <w:rPr>
                <w:rFonts w:cs="Arial"/>
                <w:lang w:val="en-AU"/>
              </w:rPr>
            </w:pPr>
            <w:r w:rsidRPr="005D74D1">
              <w:rPr>
                <w:rFonts w:cs="Arial"/>
              </w:rPr>
              <w:t>Recommendation</w:t>
            </w:r>
          </w:p>
        </w:tc>
        <w:tc>
          <w:tcPr>
            <w:tcW w:w="3694" w:type="pct"/>
            <w:shd w:val="clear" w:color="auto" w:fill="231EDC" w:themeFill="accent1"/>
          </w:tcPr>
          <w:p w14:paraId="0335F046" w14:textId="77777777" w:rsidR="000E1216" w:rsidRPr="00A134A7" w:rsidRDefault="000E1216" w:rsidP="00CD0F76">
            <w:pPr>
              <w:pStyle w:val="TableHeadingWhite"/>
              <w:rPr>
                <w:rFonts w:cs="Arial"/>
                <w:lang w:val="en-AU"/>
              </w:rPr>
            </w:pPr>
            <w:r w:rsidRPr="005D74D1">
              <w:rPr>
                <w:rFonts w:cs="Arial"/>
              </w:rPr>
              <w:t>Rationale and details</w:t>
            </w:r>
          </w:p>
        </w:tc>
      </w:tr>
      <w:tr w:rsidR="00B57455" w:rsidRPr="005D74D1" w14:paraId="2EE43A24" w14:textId="77777777" w:rsidTr="00A70066">
        <w:tc>
          <w:tcPr>
            <w:tcW w:w="1306" w:type="pct"/>
          </w:tcPr>
          <w:p w14:paraId="4A767F44" w14:textId="44C42F8A" w:rsidR="00B57455" w:rsidRPr="005D74D1" w:rsidRDefault="00B57455" w:rsidP="00AC2C28">
            <w:pPr>
              <w:pStyle w:val="TableNumber"/>
              <w:numPr>
                <w:ilvl w:val="0"/>
                <w:numId w:val="27"/>
              </w:numPr>
              <w:rPr>
                <w:rFonts w:cs="Arial"/>
                <w:lang w:val="en-AU"/>
              </w:rPr>
            </w:pPr>
            <w:r w:rsidRPr="005D74D1">
              <w:rPr>
                <w:rFonts w:cs="Arial"/>
              </w:rPr>
              <w:t xml:space="preserve">Continue EC funding into a </w:t>
            </w:r>
            <w:r w:rsidR="00A746BD" w:rsidRPr="005D74D1">
              <w:rPr>
                <w:rFonts w:cs="Arial"/>
              </w:rPr>
              <w:t>sixth</w:t>
            </w:r>
            <w:r w:rsidRPr="005D74D1">
              <w:rPr>
                <w:rFonts w:cs="Arial"/>
              </w:rPr>
              <w:t xml:space="preserve"> tranche. Prioritise future investment to build resilience to existing and emerging challenges, and to support benefits realisation from work started in EC5 or earlier tranches.</w:t>
            </w:r>
          </w:p>
        </w:tc>
        <w:tc>
          <w:tcPr>
            <w:tcW w:w="3694" w:type="pct"/>
          </w:tcPr>
          <w:p w14:paraId="410A3255" w14:textId="3560A46A" w:rsidR="00B57455" w:rsidRPr="005D74D1" w:rsidRDefault="00B57455" w:rsidP="00CD0F76">
            <w:pPr>
              <w:pStyle w:val="TableText"/>
              <w:rPr>
                <w:rFonts w:cs="Arial"/>
                <w:lang w:val="en-AU"/>
              </w:rPr>
            </w:pPr>
            <w:r w:rsidRPr="005D74D1">
              <w:rPr>
                <w:rFonts w:cs="Arial"/>
              </w:rPr>
              <w:t xml:space="preserve">Continued investment </w:t>
            </w:r>
            <w:r w:rsidR="006F5405" w:rsidRPr="005D74D1">
              <w:rPr>
                <w:rFonts w:cs="Arial"/>
              </w:rPr>
              <w:t>is</w:t>
            </w:r>
            <w:r w:rsidRPr="005D74D1">
              <w:rPr>
                <w:rFonts w:cs="Arial"/>
              </w:rPr>
              <w:t xml:space="preserve"> required in many areas to maintain the gains made by EC5 and previous tranches of the EC, and to achieve the objectives of </w:t>
            </w:r>
            <w:r w:rsidRPr="005D74D1">
              <w:rPr>
                <w:rFonts w:cs="Arial"/>
                <w:i/>
                <w:iCs/>
              </w:rPr>
              <w:t>Water for Victoria</w:t>
            </w:r>
            <w:r w:rsidRPr="005D74D1">
              <w:rPr>
                <w:rFonts w:cs="Arial"/>
              </w:rPr>
              <w:t xml:space="preserve">, </w:t>
            </w:r>
            <w:r w:rsidRPr="005D74D1">
              <w:rPr>
                <w:rFonts w:cs="Arial"/>
                <w:i/>
                <w:iCs/>
              </w:rPr>
              <w:t>Water is Life</w:t>
            </w:r>
            <w:r w:rsidRPr="005D74D1">
              <w:rPr>
                <w:rFonts w:cs="Arial"/>
              </w:rPr>
              <w:t>, the CGRSWS and other key state strategies (for example, the Water Cycle Adaptation Action Plan). Future investment should be directed toward:</w:t>
            </w:r>
          </w:p>
          <w:p w14:paraId="3F39BDA5" w14:textId="0B9B2D82" w:rsidR="00B57455" w:rsidRPr="005D74D1" w:rsidRDefault="00B57455" w:rsidP="00071345">
            <w:pPr>
              <w:pStyle w:val="TableBullet"/>
              <w:rPr>
                <w:rFonts w:cs="Arial"/>
                <w:lang w:val="en-AU"/>
              </w:rPr>
            </w:pPr>
            <w:r w:rsidRPr="005D74D1">
              <w:rPr>
                <w:rFonts w:cs="Arial"/>
                <w:b/>
                <w:bCs/>
                <w:lang w:val="en-AU"/>
              </w:rPr>
              <w:t xml:space="preserve">Building water security and resilience in the Victorian water sector, communities, and environments to existing and emerging challenges: </w:t>
            </w:r>
            <w:r w:rsidRPr="005D74D1">
              <w:rPr>
                <w:rFonts w:cs="Arial"/>
                <w:lang w:val="en-AU"/>
              </w:rPr>
              <w:t>Key themes for increased focus in EC6 include security of supply and demand managemen</w:t>
            </w:r>
            <w:r w:rsidRPr="00A134A7">
              <w:rPr>
                <w:rFonts w:cs="Arial"/>
                <w:lang w:val="en-AU"/>
              </w:rPr>
              <w:t>t</w:t>
            </w:r>
            <w:r w:rsidRPr="005D74D1">
              <w:rPr>
                <w:rFonts w:cs="Arial"/>
                <w:lang w:val="en-AU"/>
              </w:rPr>
              <w:t xml:space="preserve">, climate change adaptation, supporting </w:t>
            </w:r>
            <w:r w:rsidR="0014124A" w:rsidRPr="005D74D1">
              <w:rPr>
                <w:rFonts w:cs="Arial"/>
                <w:lang w:val="en-AU"/>
              </w:rPr>
              <w:t xml:space="preserve">the </w:t>
            </w:r>
            <w:r w:rsidRPr="005D74D1">
              <w:rPr>
                <w:rFonts w:cs="Arial"/>
                <w:lang w:val="en-AU"/>
              </w:rPr>
              <w:t>energy transition, environmental stewardship and values, supporting Traditional Owner self-determination, collaboration and relationships, and the integration of new technologies with water planning and decision-making.</w:t>
            </w:r>
          </w:p>
          <w:p w14:paraId="252D49D2" w14:textId="54872D9A" w:rsidR="00B57455" w:rsidRPr="005D74D1" w:rsidRDefault="00B57455" w:rsidP="00071345">
            <w:pPr>
              <w:pStyle w:val="TableBullet"/>
              <w:rPr>
                <w:rFonts w:cs="Arial"/>
                <w:lang w:val="en-AU"/>
              </w:rPr>
            </w:pPr>
            <w:r w:rsidRPr="005D74D1">
              <w:rPr>
                <w:rFonts w:cs="Arial"/>
                <w:b/>
                <w:bCs/>
                <w:lang w:val="en-AU"/>
              </w:rPr>
              <w:t xml:space="preserve">Continuing ongoing projects to support benefits realisation from work started in EC5 or earlier tranches: </w:t>
            </w:r>
            <w:r w:rsidRPr="005D74D1">
              <w:rPr>
                <w:rFonts w:cs="Arial"/>
                <w:lang w:val="en-AU"/>
              </w:rPr>
              <w:t xml:space="preserve">Many of the EC5 projects are not discrete </w:t>
            </w:r>
            <w:r w:rsidR="00A746BD" w:rsidRPr="005D74D1">
              <w:rPr>
                <w:rFonts w:cs="Arial"/>
                <w:lang w:val="en-AU"/>
              </w:rPr>
              <w:t>4</w:t>
            </w:r>
            <w:r w:rsidRPr="005D74D1">
              <w:rPr>
                <w:rFonts w:cs="Arial"/>
                <w:lang w:val="en-AU"/>
              </w:rPr>
              <w:t>-year investments, but require funding over longer periods of time to deliver the EC long-term outcomes. This includes long or medium-term projects that are expected to realise benefits over two or more EC tranches and ongoing business-as-usual work that is foundational to the functioning of the Victorian water sector.</w:t>
            </w:r>
          </w:p>
          <w:p w14:paraId="0A7468C6" w14:textId="3A68349B" w:rsidR="00B57455" w:rsidRPr="005D74D1" w:rsidRDefault="0099178C" w:rsidP="00BA1E48">
            <w:pPr>
              <w:pStyle w:val="TableText"/>
              <w:rPr>
                <w:rFonts w:cs="Arial"/>
                <w:lang w:val="en-AU"/>
              </w:rPr>
            </w:pPr>
            <w:r w:rsidRPr="005D74D1">
              <w:rPr>
                <w:rFonts w:cs="Arial"/>
              </w:rPr>
              <w:t>Priorities for</w:t>
            </w:r>
            <w:r w:rsidR="00B57455" w:rsidRPr="005D74D1">
              <w:rPr>
                <w:rFonts w:cs="Arial"/>
              </w:rPr>
              <w:t xml:space="preserve"> future funding are outlined in </w:t>
            </w:r>
            <w:r w:rsidR="00570C22" w:rsidRPr="00A134A7">
              <w:rPr>
                <w:rFonts w:cs="Arial"/>
              </w:rPr>
              <w:fldChar w:fldCharType="begin"/>
            </w:r>
            <w:r w:rsidR="00570C22" w:rsidRPr="005D74D1">
              <w:rPr>
                <w:rFonts w:cs="Arial"/>
              </w:rPr>
              <w:instrText xml:space="preserve"> REF _Ref183452437 \h </w:instrText>
            </w:r>
            <w:r w:rsidR="005D74D1" w:rsidRPr="005D74D1">
              <w:rPr>
                <w:rFonts w:cs="Arial"/>
              </w:rPr>
              <w:instrText xml:space="preserve"> \* MERGEFORMAT </w:instrText>
            </w:r>
            <w:r w:rsidR="00570C22" w:rsidRPr="00A134A7">
              <w:rPr>
                <w:rFonts w:cs="Arial"/>
              </w:rPr>
            </w:r>
            <w:r w:rsidR="00570C22" w:rsidRPr="00A134A7">
              <w:rPr>
                <w:rFonts w:cs="Arial"/>
              </w:rPr>
              <w:fldChar w:fldCharType="separate"/>
            </w:r>
            <w:r w:rsidR="003870A0" w:rsidRPr="005D74D1">
              <w:rPr>
                <w:rFonts w:cs="Arial"/>
              </w:rPr>
              <w:t xml:space="preserve">Table </w:t>
            </w:r>
            <w:r w:rsidR="003870A0">
              <w:rPr>
                <w:rFonts w:cs="Arial"/>
              </w:rPr>
              <w:t>13</w:t>
            </w:r>
            <w:r w:rsidR="00570C22" w:rsidRPr="00A134A7">
              <w:rPr>
                <w:rFonts w:cs="Arial"/>
              </w:rPr>
              <w:fldChar w:fldCharType="end"/>
            </w:r>
            <w:r w:rsidR="00570C22" w:rsidRPr="005D74D1">
              <w:rPr>
                <w:rFonts w:cs="Arial"/>
              </w:rPr>
              <w:t xml:space="preserve"> </w:t>
            </w:r>
            <w:r w:rsidR="00B57455" w:rsidRPr="005D74D1">
              <w:rPr>
                <w:rFonts w:cs="Arial"/>
              </w:rPr>
              <w:t xml:space="preserve">below. </w:t>
            </w:r>
          </w:p>
        </w:tc>
      </w:tr>
      <w:tr w:rsidR="00B57455" w:rsidRPr="005D74D1" w14:paraId="12A99353" w14:textId="77777777" w:rsidTr="00A70066">
        <w:tc>
          <w:tcPr>
            <w:tcW w:w="1306" w:type="pct"/>
          </w:tcPr>
          <w:p w14:paraId="04973220" w14:textId="1E422ECA" w:rsidR="00B57455" w:rsidRPr="005D74D1" w:rsidRDefault="00B57455" w:rsidP="00CD0F76">
            <w:pPr>
              <w:pStyle w:val="TableNumber"/>
              <w:rPr>
                <w:rFonts w:cs="Arial"/>
                <w:lang w:val="en-AU"/>
              </w:rPr>
            </w:pPr>
            <w:r w:rsidRPr="005D74D1">
              <w:rPr>
                <w:rFonts w:cs="Arial"/>
              </w:rPr>
              <w:t>Continue to support the EC’s adaptability to changing conditions and priorities</w:t>
            </w:r>
          </w:p>
        </w:tc>
        <w:tc>
          <w:tcPr>
            <w:tcW w:w="3694" w:type="pct"/>
          </w:tcPr>
          <w:p w14:paraId="376AAE32" w14:textId="59E6D724" w:rsidR="00B57455" w:rsidRPr="005D74D1" w:rsidRDefault="00B57455" w:rsidP="00CD0F76">
            <w:pPr>
              <w:pStyle w:val="TableText"/>
              <w:rPr>
                <w:rFonts w:cs="Arial"/>
                <w:lang w:val="en-AU"/>
              </w:rPr>
            </w:pPr>
            <w:r w:rsidRPr="005D74D1">
              <w:rPr>
                <w:rFonts w:cs="Arial"/>
              </w:rPr>
              <w:t xml:space="preserve">It is recognised that changing conditions and priorities will emerge throughout each tranche, which can affect the relevance and ability to deliver commitments designed at the funding submission stage. The evaluation found that EC5 </w:t>
            </w:r>
            <w:r w:rsidR="00ED6D08" w:rsidRPr="005D74D1">
              <w:rPr>
                <w:rFonts w:cs="Arial"/>
              </w:rPr>
              <w:t xml:space="preserve">projects </w:t>
            </w:r>
            <w:r w:rsidRPr="005D74D1">
              <w:rPr>
                <w:rFonts w:cs="Arial"/>
              </w:rPr>
              <w:t>adapted well to unexpected disruptions (such as the COVID</w:t>
            </w:r>
            <w:r w:rsidR="00691116" w:rsidRPr="005D74D1">
              <w:rPr>
                <w:rFonts w:cs="Arial"/>
              </w:rPr>
              <w:t>-</w:t>
            </w:r>
            <w:r w:rsidRPr="005D74D1">
              <w:rPr>
                <w:rFonts w:cs="Arial"/>
              </w:rPr>
              <w:t xml:space="preserve">19 pandemic and extreme weather events), and flexibility in delivery was supported by the EC Project Control Board. New priorities that emerge are managed through maintaining a buffer of unallocated funds that can be directed to these emerging issues. These mechanisms should continue to be supported to provide flexibility in future tranches. </w:t>
            </w:r>
          </w:p>
        </w:tc>
      </w:tr>
      <w:tr w:rsidR="00B57455" w:rsidRPr="005D74D1" w14:paraId="2B6B0805" w14:textId="77777777" w:rsidTr="00A70066">
        <w:tc>
          <w:tcPr>
            <w:tcW w:w="1306" w:type="pct"/>
          </w:tcPr>
          <w:p w14:paraId="0E85A4DB" w14:textId="4D0F6A6E" w:rsidR="00B57455" w:rsidRPr="005D74D1" w:rsidRDefault="00B57455" w:rsidP="00AC2C28">
            <w:pPr>
              <w:pStyle w:val="TableNumber"/>
              <w:keepNext/>
              <w:keepLines/>
              <w:rPr>
                <w:rFonts w:cs="Arial"/>
                <w:lang w:val="en-AU"/>
              </w:rPr>
            </w:pPr>
            <w:r w:rsidRPr="005D74D1">
              <w:rPr>
                <w:rFonts w:cs="Arial"/>
              </w:rPr>
              <w:lastRenderedPageBreak/>
              <w:t>Investigate ways to better align multiple funding sources</w:t>
            </w:r>
          </w:p>
        </w:tc>
        <w:tc>
          <w:tcPr>
            <w:tcW w:w="3694" w:type="pct"/>
          </w:tcPr>
          <w:p w14:paraId="381226E6" w14:textId="07D86D8D" w:rsidR="00B57455" w:rsidRPr="005D74D1" w:rsidRDefault="00B57455" w:rsidP="00AC2C28">
            <w:pPr>
              <w:pStyle w:val="TableText"/>
              <w:keepNext/>
              <w:keepLines/>
              <w:rPr>
                <w:rFonts w:cs="Arial"/>
                <w:lang w:val="en-AU"/>
              </w:rPr>
            </w:pPr>
            <w:r w:rsidRPr="005D74D1">
              <w:rPr>
                <w:rFonts w:cs="Arial"/>
              </w:rPr>
              <w:t xml:space="preserve">Many projects utilised co-funding from other sources. However, there were challenges with aligning the timing and reporting requirements of multiple funding sources. While the EC is already aligned with other Victorian budget processes, and there is limited opportunity to modify Commonwealth funding processes, there may be other opportunities </w:t>
            </w:r>
            <w:r w:rsidR="00ED6D08" w:rsidRPr="005D74D1">
              <w:rPr>
                <w:rFonts w:cs="Arial"/>
              </w:rPr>
              <w:t xml:space="preserve">for </w:t>
            </w:r>
            <w:r w:rsidRPr="005D74D1">
              <w:rPr>
                <w:rFonts w:cs="Arial"/>
              </w:rPr>
              <w:t xml:space="preserve">the delivery of EC projects </w:t>
            </w:r>
            <w:r w:rsidR="00ED6D08" w:rsidRPr="005D74D1">
              <w:rPr>
                <w:rFonts w:cs="Arial"/>
              </w:rPr>
              <w:t xml:space="preserve">to align </w:t>
            </w:r>
            <w:r w:rsidRPr="005D74D1">
              <w:rPr>
                <w:rFonts w:cs="Arial"/>
              </w:rPr>
              <w:t xml:space="preserve">with other funding sources. Any alignment between funding sources could support delivery and reporting efficiencies. Therefore, where possible, potential co-funding opportunities should be identified as early as possible. </w:t>
            </w:r>
          </w:p>
        </w:tc>
      </w:tr>
      <w:tr w:rsidR="00B57455" w:rsidRPr="005D74D1" w14:paraId="7709014E" w14:textId="77777777" w:rsidTr="00A70066">
        <w:tc>
          <w:tcPr>
            <w:tcW w:w="1306" w:type="pct"/>
          </w:tcPr>
          <w:p w14:paraId="441F5FB7" w14:textId="7863B975" w:rsidR="00B57455" w:rsidRPr="005D74D1" w:rsidRDefault="00B57455" w:rsidP="00CD0F76">
            <w:pPr>
              <w:pStyle w:val="TableNumber"/>
              <w:rPr>
                <w:rFonts w:cs="Arial"/>
                <w:lang w:val="en-AU"/>
              </w:rPr>
            </w:pPr>
            <w:r w:rsidRPr="005D74D1">
              <w:rPr>
                <w:rFonts w:cs="Arial"/>
              </w:rPr>
              <w:t>Investigate options for streamlining reporting processes</w:t>
            </w:r>
          </w:p>
        </w:tc>
        <w:tc>
          <w:tcPr>
            <w:tcW w:w="3694" w:type="pct"/>
          </w:tcPr>
          <w:p w14:paraId="02A7B64B" w14:textId="2B534EDD" w:rsidR="00B57455" w:rsidRPr="005D74D1" w:rsidRDefault="00B57455" w:rsidP="00CD0F76">
            <w:pPr>
              <w:pStyle w:val="TableText"/>
              <w:rPr>
                <w:rFonts w:cs="Arial"/>
                <w:lang w:val="en-AU"/>
              </w:rPr>
            </w:pPr>
            <w:r w:rsidRPr="005D74D1">
              <w:rPr>
                <w:rFonts w:cs="Arial"/>
              </w:rPr>
              <w:t xml:space="preserve">While the existing governance and reporting structures are functioning well to support effective EC delivery, it would be beneficial to investigate options to reduce duplication and administrative workload through creating more efficient links between regular reporting and evaluation reporting. Opportunities for streamlining reporting between DEECA and partner agencies where there is collaborative work should also be explored. </w:t>
            </w:r>
          </w:p>
        </w:tc>
      </w:tr>
      <w:tr w:rsidR="00B57455" w:rsidRPr="005D74D1" w14:paraId="406C7137" w14:textId="77777777" w:rsidTr="00A70066">
        <w:tc>
          <w:tcPr>
            <w:tcW w:w="1306" w:type="pct"/>
          </w:tcPr>
          <w:p w14:paraId="2F841808" w14:textId="01B5F447" w:rsidR="00B57455" w:rsidRPr="005D74D1" w:rsidRDefault="00B57455" w:rsidP="00CD0F76">
            <w:pPr>
              <w:pStyle w:val="TableNumber"/>
              <w:rPr>
                <w:rFonts w:cs="Arial"/>
                <w:lang w:val="en-AU"/>
              </w:rPr>
            </w:pPr>
            <w:r w:rsidRPr="005D74D1">
              <w:rPr>
                <w:rFonts w:cs="Arial"/>
              </w:rPr>
              <w:t>Build in appropriate governance and funding structures to support Traditional Owner involvement</w:t>
            </w:r>
          </w:p>
        </w:tc>
        <w:tc>
          <w:tcPr>
            <w:tcW w:w="3694" w:type="pct"/>
          </w:tcPr>
          <w:p w14:paraId="799ABDB3" w14:textId="14EF7C2A" w:rsidR="00B57455" w:rsidRPr="005D74D1" w:rsidRDefault="00B57455" w:rsidP="00CD0F76">
            <w:pPr>
              <w:pStyle w:val="TableText"/>
              <w:rPr>
                <w:rFonts w:cs="Arial"/>
                <w:lang w:val="en-AU"/>
              </w:rPr>
            </w:pPr>
            <w:r w:rsidRPr="005D74D1">
              <w:rPr>
                <w:rFonts w:cs="Arial"/>
              </w:rPr>
              <w:t>Partnerships with Traditional Owners are of critical importance to the management of Victoria’s water resources. Developing these arrangements will help to support Traditional Owner self-determination. Where they currently exist, such as the CGRSWS Traditional Owner Partnership, they will need to be properly resourced and supported. Governance and funding structures will need to be designed in collaboration with Traditional Owner organisations so they can balance the increased demand for engagement and partnership on a wide range of</w:t>
            </w:r>
            <w:r w:rsidR="00ED6D08" w:rsidRPr="005D74D1">
              <w:rPr>
                <w:rFonts w:cs="Arial"/>
              </w:rPr>
              <w:t xml:space="preserve"> water-related and other</w:t>
            </w:r>
            <w:r w:rsidRPr="005D74D1">
              <w:rPr>
                <w:rFonts w:cs="Arial"/>
              </w:rPr>
              <w:t xml:space="preserve"> matters. Streamlining funding arrangements, supporting capacity building and ensuring there is oversight of broader engagement with Traditional Owners should be key priorities.</w:t>
            </w:r>
          </w:p>
        </w:tc>
      </w:tr>
      <w:tr w:rsidR="00B57455" w:rsidRPr="005D74D1" w14:paraId="1D28B2F3" w14:textId="77777777" w:rsidTr="00A70066">
        <w:tc>
          <w:tcPr>
            <w:tcW w:w="1306" w:type="pct"/>
          </w:tcPr>
          <w:p w14:paraId="1B40281E" w14:textId="64FA9BC8" w:rsidR="00B57455" w:rsidRPr="005D74D1" w:rsidRDefault="00B57455" w:rsidP="00CD0F76">
            <w:pPr>
              <w:pStyle w:val="TableNumber"/>
              <w:rPr>
                <w:rFonts w:cs="Arial"/>
                <w:lang w:val="en-AU"/>
              </w:rPr>
            </w:pPr>
            <w:r w:rsidRPr="005D74D1">
              <w:rPr>
                <w:rFonts w:cs="Arial"/>
              </w:rPr>
              <w:t>Consider economic and social value analyses and /or benefits assessment</w:t>
            </w:r>
          </w:p>
        </w:tc>
        <w:tc>
          <w:tcPr>
            <w:tcW w:w="3694" w:type="pct"/>
          </w:tcPr>
          <w:p w14:paraId="074FD846" w14:textId="427B04BD" w:rsidR="00B57455" w:rsidRPr="005D74D1" w:rsidRDefault="00B57455" w:rsidP="00CD0F76">
            <w:pPr>
              <w:pStyle w:val="TableText"/>
              <w:rPr>
                <w:rFonts w:cs="Arial"/>
                <w:lang w:val="en-AU"/>
              </w:rPr>
            </w:pPr>
            <w:r w:rsidRPr="005D74D1">
              <w:rPr>
                <w:rFonts w:cs="Arial"/>
              </w:rPr>
              <w:t xml:space="preserve">There are challenges with articulating the benefits of some projects and the collective benefits of the EC, particularly for ongoing business-as-usual work, maintenance works, and broad policy or planning projects. There is an opportunity to better articulate the benefits of the EC through economic and social values analyses, and/or narratives around how the benefits of delivered projects are </w:t>
            </w:r>
            <w:r w:rsidR="0098677B" w:rsidRPr="005D74D1">
              <w:rPr>
                <w:rFonts w:cs="Arial"/>
              </w:rPr>
              <w:t>realised by</w:t>
            </w:r>
            <w:r w:rsidRPr="005D74D1">
              <w:rPr>
                <w:rFonts w:cs="Arial"/>
              </w:rPr>
              <w:t xml:space="preserve"> Victorian communities, environments and industries. </w:t>
            </w:r>
          </w:p>
        </w:tc>
      </w:tr>
      <w:tr w:rsidR="00B57455" w:rsidRPr="005D74D1" w14:paraId="1EE08E07" w14:textId="77777777" w:rsidTr="00A70066">
        <w:tc>
          <w:tcPr>
            <w:tcW w:w="1306" w:type="pct"/>
          </w:tcPr>
          <w:p w14:paraId="3D65CCA0" w14:textId="632A0959" w:rsidR="00B57455" w:rsidRPr="005D74D1" w:rsidRDefault="00B57455" w:rsidP="00CD0F76">
            <w:pPr>
              <w:pStyle w:val="TableNumber"/>
              <w:rPr>
                <w:rFonts w:cs="Arial"/>
                <w:lang w:val="en-AU"/>
              </w:rPr>
            </w:pPr>
            <w:r w:rsidRPr="005D74D1">
              <w:rPr>
                <w:rFonts w:cs="Arial"/>
              </w:rPr>
              <w:t>Consider the opportunities and potential risks associated with EC funding being used for ongoing business-as-usual activities, and build in mitigation measures to future tranches</w:t>
            </w:r>
          </w:p>
        </w:tc>
        <w:tc>
          <w:tcPr>
            <w:tcW w:w="3694" w:type="pct"/>
          </w:tcPr>
          <w:p w14:paraId="73821D76" w14:textId="10C7ACD0" w:rsidR="00B57455" w:rsidRPr="005D74D1" w:rsidRDefault="00B57455" w:rsidP="00CD0F76">
            <w:pPr>
              <w:pStyle w:val="TableText"/>
              <w:rPr>
                <w:rFonts w:cs="Arial"/>
                <w:lang w:val="en-AU"/>
              </w:rPr>
            </w:pPr>
            <w:r w:rsidRPr="005D74D1">
              <w:rPr>
                <w:rFonts w:cs="Arial"/>
              </w:rPr>
              <w:t>It is acknowledged that there are a range of opportunities and benefits of EC funding supporting both short- and long-term projects. There is a need to reflect on potential risks that could emerge if the EC is increasingly used for ongoing, business-as-usual activities, such as:</w:t>
            </w:r>
          </w:p>
          <w:p w14:paraId="61B13944" w14:textId="5472D3CA" w:rsidR="00B57455" w:rsidRPr="005D74D1" w:rsidRDefault="002E6268" w:rsidP="00071345">
            <w:pPr>
              <w:pStyle w:val="TableBullet"/>
              <w:rPr>
                <w:rFonts w:cs="Arial"/>
                <w:lang w:val="en-AU"/>
              </w:rPr>
            </w:pPr>
            <w:r w:rsidRPr="005D74D1">
              <w:rPr>
                <w:rFonts w:cs="Arial"/>
                <w:lang w:val="en-AU"/>
              </w:rPr>
              <w:t>p</w:t>
            </w:r>
            <w:r w:rsidR="00B57455" w:rsidRPr="005D74D1">
              <w:rPr>
                <w:rFonts w:cs="Arial"/>
                <w:lang w:val="en-AU"/>
              </w:rPr>
              <w:t>otential for reduced ability to innovate and implement new projects in response to changing demand and priorities</w:t>
            </w:r>
          </w:p>
          <w:p w14:paraId="66EEDA37" w14:textId="0F612BF1" w:rsidR="00B57455" w:rsidRPr="005D74D1" w:rsidRDefault="002E6268" w:rsidP="00071345">
            <w:pPr>
              <w:pStyle w:val="TableBullet"/>
              <w:rPr>
                <w:rFonts w:cs="Arial"/>
                <w:lang w:val="en-AU"/>
              </w:rPr>
            </w:pPr>
            <w:r w:rsidRPr="005D74D1">
              <w:rPr>
                <w:rFonts w:cs="Arial"/>
                <w:lang w:val="en-AU"/>
              </w:rPr>
              <w:t>r</w:t>
            </w:r>
            <w:r w:rsidR="00B57455" w:rsidRPr="005D74D1">
              <w:rPr>
                <w:rFonts w:cs="Arial"/>
                <w:lang w:val="en-AU"/>
              </w:rPr>
              <w:t>isks to the delivery of critical business-as-usual DEECA activities if funding pool from EC were to decrease</w:t>
            </w:r>
          </w:p>
          <w:p w14:paraId="74365B20" w14:textId="43A27531" w:rsidR="00B57455" w:rsidRPr="005D74D1" w:rsidRDefault="002E6268" w:rsidP="00071345">
            <w:pPr>
              <w:pStyle w:val="TableBullet"/>
              <w:rPr>
                <w:rFonts w:cs="Arial"/>
                <w:lang w:val="en-AU"/>
              </w:rPr>
            </w:pPr>
            <w:r w:rsidRPr="00A134A7">
              <w:rPr>
                <w:rFonts w:cs="Arial"/>
                <w:lang w:val="en-AU"/>
              </w:rPr>
              <w:t>d</w:t>
            </w:r>
            <w:r w:rsidR="00B57455" w:rsidRPr="00A134A7">
              <w:rPr>
                <w:rFonts w:cs="Arial"/>
                <w:lang w:val="en-AU"/>
              </w:rPr>
              <w:t>ifficulty in providing immediate visible project outcomes and benefits of ongoing business-as-usual work, which could lead to poor community perception.</w:t>
            </w:r>
          </w:p>
          <w:p w14:paraId="1B6F7B79" w14:textId="6452D116" w:rsidR="00B57455" w:rsidRPr="005D74D1" w:rsidRDefault="00B57455" w:rsidP="00CD0F76">
            <w:pPr>
              <w:pStyle w:val="TableText"/>
              <w:rPr>
                <w:rFonts w:cs="Arial"/>
                <w:lang w:val="en-AU"/>
              </w:rPr>
            </w:pPr>
            <w:r w:rsidRPr="005D74D1">
              <w:rPr>
                <w:rFonts w:cs="Arial"/>
              </w:rPr>
              <w:t>Design of future EC tranches should consider these potential risks, along with the opportunities, and build in mitigation measures if required.</w:t>
            </w:r>
          </w:p>
        </w:tc>
      </w:tr>
    </w:tbl>
    <w:p w14:paraId="4590BE61" w14:textId="61557BDE" w:rsidR="000D35CB" w:rsidRPr="005D74D1" w:rsidRDefault="000D35CB" w:rsidP="00AC2C28">
      <w:pPr>
        <w:pStyle w:val="Heading2"/>
        <w:rPr>
          <w:rFonts w:cs="Arial"/>
        </w:rPr>
      </w:pPr>
      <w:bookmarkStart w:id="767" w:name="_Toc149571731"/>
      <w:bookmarkStart w:id="768" w:name="_Toc183777393"/>
      <w:bookmarkEnd w:id="767"/>
      <w:r w:rsidRPr="005D74D1">
        <w:rPr>
          <w:rFonts w:cs="Arial"/>
        </w:rPr>
        <w:lastRenderedPageBreak/>
        <w:t>Priorities for investment in EC6 and into the future</w:t>
      </w:r>
      <w:bookmarkEnd w:id="768"/>
    </w:p>
    <w:p w14:paraId="5CE46B2D" w14:textId="0471AA52" w:rsidR="00EB645F" w:rsidRPr="005D74D1" w:rsidRDefault="00EB645F" w:rsidP="00AC2C28">
      <w:pPr>
        <w:pStyle w:val="BodyText"/>
        <w:keepNext/>
        <w:keepLines/>
        <w:rPr>
          <w:rFonts w:cs="Arial"/>
        </w:rPr>
      </w:pPr>
      <w:r w:rsidRPr="005D74D1">
        <w:rPr>
          <w:rFonts w:cs="Arial"/>
        </w:rPr>
        <w:t xml:space="preserve">Continued investment is required to respond to existing and emerging challenges and to maintain and build upon the significant progress made toward improving water security, water efficiency, waterway and catchment health, inclusion of Traditional Owner priorities, inclusive management, and water governance throughout Victoria. Key priorities are summarised </w:t>
      </w:r>
      <w:r w:rsidR="00466A17" w:rsidRPr="005D74D1">
        <w:rPr>
          <w:rFonts w:cs="Arial"/>
        </w:rPr>
        <w:t xml:space="preserve">in </w:t>
      </w:r>
      <w:r w:rsidR="00E22C28" w:rsidRPr="005D74D1">
        <w:rPr>
          <w:rFonts w:cs="Arial"/>
        </w:rPr>
        <w:t>Table 1</w:t>
      </w:r>
      <w:r w:rsidR="0098677B" w:rsidRPr="005D74D1">
        <w:rPr>
          <w:rFonts w:cs="Arial"/>
        </w:rPr>
        <w:t>3</w:t>
      </w:r>
      <w:r w:rsidR="00E22C28" w:rsidRPr="005D74D1">
        <w:rPr>
          <w:rFonts w:cs="Arial"/>
        </w:rPr>
        <w:t xml:space="preserve"> </w:t>
      </w:r>
      <w:r w:rsidRPr="005D74D1">
        <w:rPr>
          <w:rFonts w:cs="Arial"/>
        </w:rPr>
        <w:t>and have been categorised into:</w:t>
      </w:r>
    </w:p>
    <w:p w14:paraId="3ED821B1" w14:textId="77777777" w:rsidR="00A50E7D" w:rsidRPr="005D74D1" w:rsidRDefault="00EB645F" w:rsidP="00AC2C28">
      <w:pPr>
        <w:pStyle w:val="BulletLevel1"/>
        <w:keepNext/>
        <w:keepLines/>
        <w:rPr>
          <w:rFonts w:cs="Arial"/>
          <w:lang w:val="en-AU"/>
        </w:rPr>
      </w:pPr>
      <w:r w:rsidRPr="005D74D1">
        <w:rPr>
          <w:rFonts w:cs="Arial"/>
          <w:b/>
          <w:lang w:val="en-AU"/>
        </w:rPr>
        <w:t>Response to existing and emerging challenges:</w:t>
      </w:r>
      <w:r w:rsidRPr="005D74D1">
        <w:rPr>
          <w:rFonts w:cs="Arial"/>
          <w:lang w:val="en-AU"/>
        </w:rPr>
        <w:t xml:space="preserve"> Increased investment in projects to respond and build resilience in the Victorian water sector, communities, and environments to existing and emerging challenges.</w:t>
      </w:r>
    </w:p>
    <w:p w14:paraId="2A5FE771" w14:textId="1B4EF34A" w:rsidR="00466A17" w:rsidRPr="00A134A7" w:rsidRDefault="00EB645F" w:rsidP="00A10E7F">
      <w:pPr>
        <w:pStyle w:val="BulletLevel1"/>
        <w:rPr>
          <w:rFonts w:cs="Arial"/>
          <w:lang w:val="en-AU"/>
        </w:rPr>
      </w:pPr>
      <w:r w:rsidRPr="005D74D1">
        <w:rPr>
          <w:rFonts w:cs="Arial"/>
          <w:b/>
          <w:lang w:val="en-AU"/>
        </w:rPr>
        <w:t>Realising the full benefits from current and prior investment:</w:t>
      </w:r>
      <w:r w:rsidRPr="005D74D1">
        <w:rPr>
          <w:rFonts w:cs="Arial"/>
          <w:lang w:val="en-AU"/>
        </w:rPr>
        <w:t xml:space="preserve"> Continuation of ongoing projects to support benefits realisation from work started in EC5 or earlier tranches.</w:t>
      </w:r>
      <w:bookmarkStart w:id="769" w:name="_Ref149631030"/>
      <w:bookmarkStart w:id="770" w:name="_Ref147410510"/>
    </w:p>
    <w:p w14:paraId="757ACA74" w14:textId="10DF7522" w:rsidR="00466A17" w:rsidRPr="005D74D1" w:rsidRDefault="008A3D70" w:rsidP="008A3D70">
      <w:pPr>
        <w:pStyle w:val="TableCaption"/>
        <w:rPr>
          <w:rFonts w:cs="Arial"/>
        </w:rPr>
      </w:pPr>
      <w:bookmarkStart w:id="771" w:name="_Ref183452437"/>
      <w:bookmarkStart w:id="772" w:name="_Toc184905000"/>
      <w:bookmarkEnd w:id="769"/>
      <w:r w:rsidRPr="005D74D1">
        <w:rPr>
          <w:rFonts w:cs="Arial"/>
        </w:rPr>
        <w:t xml:space="preserve">Table </w:t>
      </w:r>
      <w:r w:rsidRPr="00A134A7">
        <w:rPr>
          <w:rFonts w:cs="Arial"/>
        </w:rPr>
        <w:fldChar w:fldCharType="begin"/>
      </w:r>
      <w:r w:rsidRPr="005D74D1">
        <w:rPr>
          <w:rFonts w:cs="Arial"/>
        </w:rPr>
        <w:instrText xml:space="preserve"> SEQ Table \* ARABIC </w:instrText>
      </w:r>
      <w:r w:rsidRPr="00A134A7">
        <w:rPr>
          <w:rFonts w:cs="Arial"/>
        </w:rPr>
        <w:fldChar w:fldCharType="separate"/>
      </w:r>
      <w:r w:rsidR="003870A0">
        <w:rPr>
          <w:rFonts w:cs="Arial"/>
          <w:noProof/>
        </w:rPr>
        <w:t>13</w:t>
      </w:r>
      <w:r w:rsidRPr="00A134A7">
        <w:rPr>
          <w:rFonts w:cs="Arial"/>
        </w:rPr>
        <w:fldChar w:fldCharType="end"/>
      </w:r>
      <w:bookmarkEnd w:id="771"/>
      <w:r w:rsidR="00E70B66" w:rsidRPr="005D74D1">
        <w:rPr>
          <w:rFonts w:cs="Arial"/>
        </w:rPr>
        <w:t xml:space="preserve">. </w:t>
      </w:r>
      <w:r w:rsidR="00AE5135" w:rsidRPr="005D74D1">
        <w:rPr>
          <w:rFonts w:cs="Arial"/>
        </w:rPr>
        <w:t xml:space="preserve">Summary of </w:t>
      </w:r>
      <w:r w:rsidR="00AE5135" w:rsidRPr="005D74D1">
        <w:rPr>
          <w:rFonts w:cs="Arial"/>
          <w:bCs/>
        </w:rPr>
        <w:t>priority areas for future investment</w:t>
      </w:r>
      <w:bookmarkEnd w:id="772"/>
      <w:r w:rsidR="00AE5135" w:rsidRPr="005D74D1">
        <w:rPr>
          <w:rFonts w:cs="Arial"/>
        </w:rPr>
        <w:t xml:space="preserve"> </w:t>
      </w:r>
    </w:p>
    <w:tbl>
      <w:tblPr>
        <w:tblStyle w:val="TableGrid"/>
        <w:tblW w:w="5000" w:type="pct"/>
        <w:tblBorders>
          <w:top w:val="single" w:sz="4" w:space="0" w:color="231EDC" w:themeColor="accent1"/>
          <w:left w:val="single" w:sz="4" w:space="0" w:color="231EDC" w:themeColor="accent1"/>
          <w:bottom w:val="single" w:sz="4" w:space="0" w:color="231EDC" w:themeColor="accent1"/>
          <w:right w:val="single" w:sz="4" w:space="0" w:color="231EDC" w:themeColor="accent1"/>
          <w:insideH w:val="single" w:sz="4" w:space="0" w:color="231EDC" w:themeColor="accent1"/>
          <w:insideV w:val="single" w:sz="4" w:space="0" w:color="231EDC" w:themeColor="accent1"/>
        </w:tblBorders>
        <w:tblLook w:val="0480" w:firstRow="0" w:lastRow="0" w:firstColumn="1" w:lastColumn="0" w:noHBand="0" w:noVBand="1"/>
      </w:tblPr>
      <w:tblGrid>
        <w:gridCol w:w="1795"/>
        <w:gridCol w:w="7833"/>
      </w:tblGrid>
      <w:tr w:rsidR="00AE5135" w:rsidRPr="005D74D1" w14:paraId="69F70AE0" w14:textId="77777777" w:rsidTr="00A70066">
        <w:trPr>
          <w:trHeight w:val="485"/>
          <w:tblHeader/>
        </w:trPr>
        <w:tc>
          <w:tcPr>
            <w:tcW w:w="932" w:type="pct"/>
            <w:shd w:val="clear" w:color="auto" w:fill="231EDC" w:themeFill="accent1"/>
            <w:vAlign w:val="center"/>
          </w:tcPr>
          <w:p w14:paraId="51BAF9CC" w14:textId="788DE86E" w:rsidR="00AE5135" w:rsidRPr="00A134A7" w:rsidRDefault="00466A17" w:rsidP="00B41E72">
            <w:pPr>
              <w:pStyle w:val="TableHeadingWhite"/>
              <w:rPr>
                <w:rFonts w:cs="Arial"/>
                <w:lang w:val="en-AU"/>
              </w:rPr>
            </w:pPr>
            <w:r w:rsidRPr="005D74D1">
              <w:rPr>
                <w:rFonts w:cs="Arial"/>
              </w:rPr>
              <w:t>Category</w:t>
            </w:r>
          </w:p>
        </w:tc>
        <w:tc>
          <w:tcPr>
            <w:tcW w:w="4068" w:type="pct"/>
            <w:shd w:val="clear" w:color="auto" w:fill="231EDC" w:themeFill="accent1"/>
            <w:vAlign w:val="center"/>
          </w:tcPr>
          <w:p w14:paraId="0D0DEAD8" w14:textId="77777777" w:rsidR="00AE5135" w:rsidRPr="00A134A7" w:rsidRDefault="00AE5135" w:rsidP="00B41E72">
            <w:pPr>
              <w:pStyle w:val="TableHeadingWhite"/>
              <w:rPr>
                <w:rFonts w:cs="Arial"/>
                <w:lang w:val="en-AU"/>
              </w:rPr>
            </w:pPr>
            <w:r w:rsidRPr="005D74D1">
              <w:rPr>
                <w:rFonts w:cs="Arial"/>
              </w:rPr>
              <w:t>Priority areas for future investment</w:t>
            </w:r>
          </w:p>
        </w:tc>
      </w:tr>
      <w:tr w:rsidR="0034388B" w:rsidRPr="005D74D1" w14:paraId="28035F39" w14:textId="77777777" w:rsidTr="00A70066">
        <w:trPr>
          <w:trHeight w:val="485"/>
        </w:trPr>
        <w:tc>
          <w:tcPr>
            <w:tcW w:w="932" w:type="pct"/>
            <w:shd w:val="clear" w:color="auto" w:fill="auto"/>
            <w:vAlign w:val="center"/>
          </w:tcPr>
          <w:p w14:paraId="45692C3C" w14:textId="7A31DB14" w:rsidR="0034388B" w:rsidRPr="00A134A7" w:rsidRDefault="0034388B" w:rsidP="00A70066">
            <w:pPr>
              <w:pStyle w:val="TableText"/>
              <w:rPr>
                <w:rFonts w:cs="Arial"/>
                <w:lang w:val="en-AU"/>
              </w:rPr>
            </w:pPr>
            <w:r w:rsidRPr="005D74D1">
              <w:rPr>
                <w:rFonts w:cs="Arial"/>
              </w:rPr>
              <w:t>Response to existing and emerging challenges</w:t>
            </w:r>
          </w:p>
        </w:tc>
        <w:tc>
          <w:tcPr>
            <w:tcW w:w="4068" w:type="pct"/>
            <w:shd w:val="clear" w:color="auto" w:fill="auto"/>
          </w:tcPr>
          <w:p w14:paraId="7337F360" w14:textId="1156D2E7" w:rsidR="0034388B" w:rsidRPr="005D74D1" w:rsidRDefault="0034388B" w:rsidP="00AC2C28">
            <w:pPr>
              <w:pStyle w:val="TableBullet"/>
              <w:rPr>
                <w:rFonts w:cs="Arial"/>
                <w:lang w:val="en-AU"/>
              </w:rPr>
            </w:pPr>
            <w:r w:rsidRPr="005D74D1">
              <w:rPr>
                <w:rFonts w:cs="Arial"/>
                <w:b/>
                <w:bCs/>
                <w:lang w:val="en-AU"/>
              </w:rPr>
              <w:t xml:space="preserve">Adapting to climate change: </w:t>
            </w:r>
            <w:r w:rsidRPr="005D74D1">
              <w:rPr>
                <w:rFonts w:cs="Arial"/>
                <w:lang w:val="en-AU"/>
              </w:rPr>
              <w:t xml:space="preserve">There is a </w:t>
            </w:r>
            <w:r w:rsidRPr="00A134A7">
              <w:rPr>
                <w:rFonts w:cs="Arial"/>
                <w:lang w:val="en-AU"/>
              </w:rPr>
              <w:t>need</w:t>
            </w:r>
            <w:r w:rsidRPr="005D74D1">
              <w:rPr>
                <w:rFonts w:cs="Arial"/>
                <w:lang w:val="en-AU"/>
              </w:rPr>
              <w:t xml:space="preserve"> to increasingly integrate adaptive planning into water sector decision-making to support resilience to future weather </w:t>
            </w:r>
            <w:r w:rsidRPr="00A134A7">
              <w:rPr>
                <w:rFonts w:cs="Arial"/>
                <w:lang w:val="en-AU"/>
              </w:rPr>
              <w:t>conditions</w:t>
            </w:r>
            <w:r w:rsidRPr="005D74D1">
              <w:rPr>
                <w:rFonts w:cs="Arial"/>
                <w:lang w:val="en-AU"/>
              </w:rPr>
              <w:t xml:space="preserve"> (for example, floods, fires and droughts). There is also the need to continue to develop better understanding of how to meet Victoria’s water </w:t>
            </w:r>
            <w:r w:rsidRPr="00A134A7">
              <w:rPr>
                <w:rFonts w:cs="Arial"/>
                <w:lang w:val="en-AU"/>
              </w:rPr>
              <w:t>sector</w:t>
            </w:r>
            <w:r w:rsidRPr="005D74D1">
              <w:rPr>
                <w:rFonts w:cs="Arial"/>
                <w:lang w:val="en-AU"/>
              </w:rPr>
              <w:t xml:space="preserve"> objectives </w:t>
            </w:r>
            <w:r w:rsidR="00773E35" w:rsidRPr="005D74D1">
              <w:rPr>
                <w:rFonts w:cs="Arial"/>
                <w:lang w:val="en-AU"/>
              </w:rPr>
              <w:t>in</w:t>
            </w:r>
            <w:r w:rsidRPr="005D74D1">
              <w:rPr>
                <w:rFonts w:cs="Arial"/>
                <w:lang w:val="en-AU"/>
              </w:rPr>
              <w:t xml:space="preserve"> a drying climate, integrate the latest knowledge into water resource plans and strategies, and build capacity in climate change adaptation and mitigation principles.</w:t>
            </w:r>
          </w:p>
          <w:p w14:paraId="44809685" w14:textId="77777777" w:rsidR="0034388B" w:rsidRPr="005D74D1" w:rsidRDefault="0034388B" w:rsidP="0034388B">
            <w:pPr>
              <w:pStyle w:val="TableBullet"/>
              <w:rPr>
                <w:rFonts w:cs="Arial"/>
                <w:lang w:val="en-AU"/>
              </w:rPr>
            </w:pPr>
            <w:r w:rsidRPr="005D74D1">
              <w:rPr>
                <w:rFonts w:cs="Arial"/>
                <w:b/>
                <w:bCs/>
                <w:lang w:val="en-AU"/>
              </w:rPr>
              <w:t>Building resilience</w:t>
            </w:r>
            <w:r w:rsidRPr="005D74D1">
              <w:rPr>
                <w:rFonts w:cs="Arial"/>
                <w:lang w:val="en-AU"/>
              </w:rPr>
              <w:t>: There needs to be an increased focus on proactive resilience to identify emerging trends as they arise, and act quickly.</w:t>
            </w:r>
          </w:p>
          <w:p w14:paraId="141B54D8" w14:textId="16DE2EFD" w:rsidR="0034388B" w:rsidRPr="005D74D1" w:rsidRDefault="0034388B" w:rsidP="0034388B">
            <w:pPr>
              <w:pStyle w:val="TableBullet"/>
              <w:rPr>
                <w:rFonts w:cs="Arial"/>
                <w:lang w:val="en-AU"/>
              </w:rPr>
            </w:pPr>
            <w:r w:rsidRPr="005D74D1">
              <w:rPr>
                <w:rFonts w:cs="Arial"/>
                <w:b/>
                <w:bCs/>
                <w:lang w:val="en-AU"/>
              </w:rPr>
              <w:t>Supporting the energy transition:</w:t>
            </w:r>
            <w:r w:rsidRPr="005D74D1">
              <w:rPr>
                <w:rFonts w:cs="Arial"/>
                <w:lang w:val="en-AU"/>
              </w:rPr>
              <w:t xml:space="preserve"> Water access is pivotal to Victoria’s energy transition to net zero emissions as emerging energy technologies, including large-scale hydrogen and pumped hydro projects, require water to operate. Investment is required to support decision</w:t>
            </w:r>
            <w:r w:rsidR="00C53C13" w:rsidRPr="005D74D1">
              <w:rPr>
                <w:rFonts w:cs="Arial"/>
                <w:lang w:val="en-AU"/>
              </w:rPr>
              <w:t>-</w:t>
            </w:r>
            <w:r w:rsidRPr="005D74D1">
              <w:rPr>
                <w:rFonts w:cs="Arial"/>
                <w:lang w:val="en-AU"/>
              </w:rPr>
              <w:t>makers, investors, secure the upstream supply chain and contribute towards Victoria meeting its net zero targets.</w:t>
            </w:r>
          </w:p>
          <w:p w14:paraId="7C2DE53F" w14:textId="77777777" w:rsidR="00A50E7D" w:rsidRPr="005D74D1" w:rsidRDefault="0034388B" w:rsidP="0034388B">
            <w:pPr>
              <w:pStyle w:val="TableBullet"/>
              <w:rPr>
                <w:rFonts w:cs="Arial"/>
                <w:lang w:val="en-AU"/>
              </w:rPr>
            </w:pPr>
            <w:r w:rsidRPr="005D74D1">
              <w:rPr>
                <w:rFonts w:cs="Arial"/>
                <w:b/>
                <w:bCs/>
                <w:lang w:val="en-AU"/>
              </w:rPr>
              <w:t>Supporting Traditional Owner self-determination and access to water:</w:t>
            </w:r>
            <w:r w:rsidRPr="005D74D1">
              <w:rPr>
                <w:rFonts w:cs="Arial"/>
                <w:lang w:val="en-AU"/>
              </w:rPr>
              <w:t xml:space="preserve"> Investment in implementation of the actions from </w:t>
            </w:r>
            <w:r w:rsidRPr="005D74D1">
              <w:rPr>
                <w:rFonts w:cs="Arial"/>
                <w:i/>
                <w:iCs/>
                <w:lang w:val="en-AU"/>
              </w:rPr>
              <w:t>Water is Life</w:t>
            </w:r>
            <w:r w:rsidRPr="005D74D1">
              <w:rPr>
                <w:rFonts w:cs="Arial"/>
                <w:lang w:val="en-AU"/>
              </w:rPr>
              <w:t xml:space="preserve"> is required to increase Traditional Owner roles and resources in water and waterway management, and improve Traditional Owner access to water for self-determined purposes. Considerable effort is still required to address barriers, change legislative and regulatory settings, and achieve a step-change in the return of water to Traditional Owners.</w:t>
            </w:r>
          </w:p>
          <w:p w14:paraId="2EAAFF36" w14:textId="5B828FCD" w:rsidR="00A50E7D" w:rsidRPr="005D74D1" w:rsidRDefault="0034388B" w:rsidP="0034388B">
            <w:pPr>
              <w:pStyle w:val="TableBullet"/>
              <w:rPr>
                <w:rFonts w:cs="Arial"/>
                <w:lang w:val="en-AU"/>
              </w:rPr>
            </w:pPr>
            <w:r w:rsidRPr="005D74D1">
              <w:rPr>
                <w:rFonts w:cs="Arial"/>
                <w:b/>
                <w:bCs/>
                <w:lang w:val="en-AU"/>
              </w:rPr>
              <w:t>Delivering the Long-Term Water Resource Assessment:</w:t>
            </w:r>
            <w:r w:rsidRPr="005D74D1">
              <w:rPr>
                <w:rFonts w:cs="Arial"/>
                <w:lang w:val="en-AU"/>
              </w:rPr>
              <w:t xml:space="preserve"> The Long-Term Water Resource Assessment for Northern Victoria is due to commence in 2025 building on lessons learnt in the Southern Victorian</w:t>
            </w:r>
            <w:r w:rsidR="00AC2C28" w:rsidRPr="005D74D1">
              <w:rPr>
                <w:rFonts w:cs="Arial"/>
                <w:lang w:val="en-AU"/>
              </w:rPr>
              <w:t> </w:t>
            </w:r>
            <w:r w:rsidRPr="005D74D1">
              <w:rPr>
                <w:rFonts w:cs="Arial"/>
                <w:lang w:val="en-AU"/>
              </w:rPr>
              <w:t>assessment.</w:t>
            </w:r>
          </w:p>
          <w:p w14:paraId="42EA4233" w14:textId="045E3F31" w:rsidR="0034388B" w:rsidRPr="005D74D1" w:rsidRDefault="0034388B" w:rsidP="0034388B">
            <w:pPr>
              <w:pStyle w:val="TableBullet"/>
              <w:rPr>
                <w:rFonts w:cs="Arial"/>
                <w:lang w:val="en-AU"/>
              </w:rPr>
            </w:pPr>
            <w:r w:rsidRPr="005D74D1">
              <w:rPr>
                <w:rFonts w:cs="Arial"/>
                <w:b/>
                <w:bCs/>
                <w:lang w:val="en-AU"/>
              </w:rPr>
              <w:t>Integrating new technology solutions:</w:t>
            </w:r>
            <w:r w:rsidRPr="005D74D1">
              <w:rPr>
                <w:rFonts w:cs="Arial"/>
                <w:lang w:val="en-AU"/>
              </w:rPr>
              <w:t xml:space="preserve"> Increased investment in new technologies and platforms to provide opportunities for distribution of information and data informed decision-making. In part, this will involve continuation of new technology platforms delivered in EC5, as well as investigation of emerging applications. There is also an increasing need to manage associated cyber security risks and threats.</w:t>
            </w:r>
          </w:p>
          <w:p w14:paraId="4B1CB973" w14:textId="6E04D325" w:rsidR="0034388B" w:rsidRPr="005D74D1" w:rsidRDefault="0034388B" w:rsidP="0034388B">
            <w:pPr>
              <w:pStyle w:val="TableBullet"/>
              <w:rPr>
                <w:rFonts w:cs="Arial"/>
                <w:lang w:val="en-AU"/>
              </w:rPr>
            </w:pPr>
            <w:r w:rsidRPr="005D74D1">
              <w:rPr>
                <w:rFonts w:cs="Arial"/>
                <w:b/>
                <w:bCs/>
                <w:lang w:val="en-AU"/>
              </w:rPr>
              <w:t xml:space="preserve">Securing </w:t>
            </w:r>
            <w:r w:rsidR="00FD5D31" w:rsidRPr="005D74D1">
              <w:rPr>
                <w:rFonts w:cs="Arial"/>
                <w:b/>
                <w:bCs/>
                <w:lang w:val="en-AU"/>
              </w:rPr>
              <w:t>w</w:t>
            </w:r>
            <w:r w:rsidRPr="005D74D1">
              <w:rPr>
                <w:rFonts w:cs="Arial"/>
                <w:b/>
                <w:bCs/>
                <w:lang w:val="en-AU"/>
              </w:rPr>
              <w:t xml:space="preserve">ater </w:t>
            </w:r>
            <w:r w:rsidR="00FD5D31" w:rsidRPr="005D74D1">
              <w:rPr>
                <w:rFonts w:cs="Arial"/>
                <w:b/>
                <w:bCs/>
                <w:lang w:val="en-AU"/>
              </w:rPr>
              <w:t>s</w:t>
            </w:r>
            <w:r w:rsidRPr="005D74D1">
              <w:rPr>
                <w:rFonts w:cs="Arial"/>
                <w:b/>
                <w:bCs/>
                <w:lang w:val="en-AU"/>
              </w:rPr>
              <w:t xml:space="preserve">upplies: </w:t>
            </w:r>
            <w:r w:rsidRPr="005D74D1">
              <w:rPr>
                <w:rFonts w:cs="Arial"/>
                <w:lang w:val="en-AU"/>
              </w:rPr>
              <w:t xml:space="preserve">Building on the achievements in EC5, look to build secure water supplies into the future by providing opportunities to transition to water efficiency and manufactured water, reduce reliance on river water and plan and implement augmentations to meet water needs as the population grows and the climate changes. In the future, planning approaches that focus on readiness planning to reduce pressure on the water grid will be key to securing water for all our needs. </w:t>
            </w:r>
          </w:p>
        </w:tc>
      </w:tr>
      <w:tr w:rsidR="0034388B" w:rsidRPr="005D74D1" w14:paraId="56BAB7B8" w14:textId="77777777" w:rsidTr="00A70066">
        <w:trPr>
          <w:trHeight w:val="485"/>
        </w:trPr>
        <w:tc>
          <w:tcPr>
            <w:tcW w:w="932" w:type="pct"/>
            <w:shd w:val="clear" w:color="auto" w:fill="auto"/>
            <w:vAlign w:val="center"/>
          </w:tcPr>
          <w:p w14:paraId="2468DD82" w14:textId="5D74D0A0" w:rsidR="0034388B" w:rsidRPr="005D74D1" w:rsidRDefault="0034388B" w:rsidP="00A70066">
            <w:pPr>
              <w:pStyle w:val="TableText"/>
              <w:keepNext/>
              <w:keepLines/>
              <w:rPr>
                <w:rFonts w:cs="Arial"/>
                <w:lang w:val="en-AU"/>
              </w:rPr>
            </w:pPr>
            <w:r w:rsidRPr="005D74D1">
              <w:rPr>
                <w:rFonts w:cs="Arial"/>
              </w:rPr>
              <w:lastRenderedPageBreak/>
              <w:t>Realising the full benefits from existing investment</w:t>
            </w:r>
          </w:p>
        </w:tc>
        <w:tc>
          <w:tcPr>
            <w:tcW w:w="4068" w:type="pct"/>
            <w:shd w:val="clear" w:color="auto" w:fill="auto"/>
          </w:tcPr>
          <w:p w14:paraId="41D1D6DD" w14:textId="10ADCDA4" w:rsidR="0034388B" w:rsidRPr="005D74D1" w:rsidRDefault="0034388B" w:rsidP="00CD0F76">
            <w:pPr>
              <w:pStyle w:val="TableText"/>
              <w:rPr>
                <w:rFonts w:cs="Arial"/>
                <w:lang w:val="en-AU"/>
              </w:rPr>
            </w:pPr>
            <w:r w:rsidRPr="005D74D1">
              <w:rPr>
                <w:rFonts w:cs="Arial"/>
              </w:rPr>
              <w:t>Medium- and long-term projects that depend on funding over two or more EC</w:t>
            </w:r>
            <w:r w:rsidR="00AC2C28" w:rsidRPr="005D74D1">
              <w:rPr>
                <w:rFonts w:cs="Arial"/>
              </w:rPr>
              <w:t> </w:t>
            </w:r>
            <w:r w:rsidRPr="005D74D1">
              <w:rPr>
                <w:rFonts w:cs="Arial"/>
              </w:rPr>
              <w:t>tranches:</w:t>
            </w:r>
          </w:p>
          <w:p w14:paraId="2A2CA38B" w14:textId="77777777" w:rsidR="0034388B" w:rsidRPr="005D74D1" w:rsidRDefault="0034388B" w:rsidP="00CD0F76">
            <w:pPr>
              <w:pStyle w:val="TableBullet"/>
              <w:keepNext/>
              <w:keepLines/>
              <w:rPr>
                <w:rFonts w:cs="Arial"/>
                <w:lang w:val="en-AU"/>
              </w:rPr>
            </w:pPr>
            <w:r w:rsidRPr="005D74D1">
              <w:rPr>
                <w:rFonts w:cs="Arial"/>
                <w:b/>
                <w:bCs/>
                <w:lang w:val="en-AU"/>
              </w:rPr>
              <w:t>Water reforms:</w:t>
            </w:r>
            <w:r w:rsidRPr="005D74D1">
              <w:rPr>
                <w:rFonts w:cs="Arial"/>
                <w:lang w:val="en-AU"/>
              </w:rPr>
              <w:t xml:space="preserve"> Continued work on the suite of water market reforms and improvements to frameworks and policies for water sharing, management, accountability and transparency.</w:t>
            </w:r>
          </w:p>
          <w:p w14:paraId="0D8ADB60" w14:textId="538742FB" w:rsidR="0034388B" w:rsidRPr="005D74D1" w:rsidRDefault="0034388B" w:rsidP="00CD0F76">
            <w:pPr>
              <w:pStyle w:val="TableBullet"/>
              <w:keepNext/>
              <w:keepLines/>
              <w:rPr>
                <w:rFonts w:cs="Arial"/>
                <w:lang w:val="en-AU"/>
              </w:rPr>
            </w:pPr>
            <w:r w:rsidRPr="005D74D1">
              <w:rPr>
                <w:rFonts w:cs="Arial"/>
                <w:b/>
                <w:bCs/>
                <w:lang w:val="en-AU"/>
              </w:rPr>
              <w:t xml:space="preserve">Water </w:t>
            </w:r>
            <w:r w:rsidR="00FD5D31" w:rsidRPr="005D74D1">
              <w:rPr>
                <w:rFonts w:cs="Arial"/>
                <w:b/>
                <w:bCs/>
                <w:lang w:val="en-AU"/>
              </w:rPr>
              <w:t>r</w:t>
            </w:r>
            <w:r w:rsidRPr="005D74D1">
              <w:rPr>
                <w:rFonts w:cs="Arial"/>
                <w:b/>
                <w:bCs/>
                <w:lang w:val="en-AU"/>
              </w:rPr>
              <w:t xml:space="preserve">esources </w:t>
            </w:r>
            <w:r w:rsidR="00FD5D31" w:rsidRPr="005D74D1">
              <w:rPr>
                <w:rFonts w:cs="Arial"/>
                <w:b/>
                <w:bCs/>
                <w:lang w:val="en-AU"/>
              </w:rPr>
              <w:t>p</w:t>
            </w:r>
            <w:r w:rsidRPr="005D74D1">
              <w:rPr>
                <w:rFonts w:cs="Arial"/>
                <w:b/>
                <w:bCs/>
                <w:lang w:val="en-AU"/>
              </w:rPr>
              <w:t>lanning and delivery of actions:</w:t>
            </w:r>
            <w:r w:rsidRPr="005D74D1">
              <w:rPr>
                <w:rFonts w:cs="Arial"/>
                <w:lang w:val="en-AU"/>
              </w:rPr>
              <w:t xml:space="preserve"> Continued implementation of water portfolio priorities YSP, the </w:t>
            </w:r>
            <w:r w:rsidRPr="005D74D1">
              <w:rPr>
                <w:rFonts w:cs="Arial"/>
                <w:i/>
                <w:iCs/>
                <w:lang w:val="en-AU"/>
              </w:rPr>
              <w:t>Waterways of the West and Rivers of the Barwon (Barre Warre Yulluk) Action Plans</w:t>
            </w:r>
            <w:r w:rsidRPr="005D74D1">
              <w:rPr>
                <w:rFonts w:cs="Arial"/>
                <w:lang w:val="en-AU"/>
              </w:rPr>
              <w:t xml:space="preserve"> and development of new SWS in the Western and Northern Regions.</w:t>
            </w:r>
          </w:p>
          <w:p w14:paraId="2B81F71F" w14:textId="77777777" w:rsidR="00A50E7D" w:rsidRPr="005D74D1" w:rsidRDefault="0034388B" w:rsidP="00CD0F76">
            <w:pPr>
              <w:pStyle w:val="TableBullet"/>
              <w:keepNext/>
              <w:keepLines/>
              <w:rPr>
                <w:rFonts w:cs="Arial"/>
                <w:lang w:val="en-AU"/>
              </w:rPr>
            </w:pPr>
            <w:r w:rsidRPr="005D74D1">
              <w:rPr>
                <w:rFonts w:cs="Arial"/>
                <w:b/>
                <w:bCs/>
                <w:lang w:val="en-AU"/>
              </w:rPr>
              <w:t>Waterway health:</w:t>
            </w:r>
            <w:r w:rsidRPr="005D74D1">
              <w:rPr>
                <w:rFonts w:cs="Arial"/>
                <w:lang w:val="en-AU"/>
              </w:rPr>
              <w:t xml:space="preserve"> Long-term investment is required across the state to protect Victoria’s waterways and deliver long-term environmental outcomes. Stable, ongoing funding allows for projects to be planned on the timelines necessary to implement meaningful change for waterway health, such as the 10-year flagships program.</w:t>
            </w:r>
          </w:p>
          <w:p w14:paraId="6D031AAE" w14:textId="77777777" w:rsidR="00A50E7D" w:rsidRPr="005D74D1" w:rsidRDefault="0034388B" w:rsidP="00CD0F76">
            <w:pPr>
              <w:pStyle w:val="TableBullet"/>
              <w:keepNext/>
              <w:keepLines/>
              <w:rPr>
                <w:rFonts w:cs="Arial"/>
                <w:lang w:val="en-AU"/>
              </w:rPr>
            </w:pPr>
            <w:r w:rsidRPr="005D74D1">
              <w:rPr>
                <w:rFonts w:cs="Arial"/>
                <w:b/>
                <w:bCs/>
                <w:lang w:val="en-AU"/>
              </w:rPr>
              <w:t>Collaboration and partnerships:</w:t>
            </w:r>
            <w:r w:rsidRPr="005D74D1">
              <w:rPr>
                <w:rFonts w:cs="Arial"/>
                <w:lang w:val="en-AU"/>
              </w:rPr>
              <w:t xml:space="preserve"> Continuing and building upon existing work to foster a collaborative approach to water management, including strengthening partnerships across water sector agencies, Traditional Owners and between the water sector and Victoria’s communities to ensure water security is achieved.</w:t>
            </w:r>
          </w:p>
          <w:p w14:paraId="744B3B4F" w14:textId="65724D0F" w:rsidR="0034388B" w:rsidRPr="00A134A7" w:rsidRDefault="0034388B" w:rsidP="00CD0F76">
            <w:pPr>
              <w:pStyle w:val="TableBullet"/>
              <w:keepNext/>
              <w:keepLines/>
              <w:rPr>
                <w:rFonts w:cs="Arial"/>
                <w:lang w:val="en-AU"/>
              </w:rPr>
            </w:pPr>
            <w:r w:rsidRPr="00A134A7">
              <w:rPr>
                <w:rFonts w:cs="Arial"/>
                <w:b/>
                <w:bCs/>
                <w:lang w:val="en-AU"/>
              </w:rPr>
              <w:t xml:space="preserve">Traditional Owner priorities: </w:t>
            </w:r>
            <w:r w:rsidRPr="00A134A7">
              <w:rPr>
                <w:rFonts w:cs="Arial"/>
                <w:lang w:val="en-AU"/>
              </w:rPr>
              <w:t xml:space="preserve">Continued investment into the Aboriginal Water Program is necessary to maintain employment of Aboriginal Water Officers and enable continuity of long-term Traditional Owner-led water-related projects and priorities. The continuation of the Aboriginal Water Program is a key enabler and foundation for </w:t>
            </w:r>
            <w:r w:rsidRPr="00A134A7">
              <w:rPr>
                <w:rFonts w:cs="Arial"/>
                <w:i/>
                <w:iCs/>
                <w:lang w:val="en-AU"/>
              </w:rPr>
              <w:t>Water is Life</w:t>
            </w:r>
            <w:r w:rsidRPr="00A134A7">
              <w:rPr>
                <w:rFonts w:cs="Arial"/>
                <w:lang w:val="en-AU"/>
              </w:rPr>
              <w:t xml:space="preserve"> implementation.</w:t>
            </w:r>
          </w:p>
          <w:p w14:paraId="052F3FD7" w14:textId="4E4D79BE" w:rsidR="0034388B" w:rsidRPr="005D74D1" w:rsidRDefault="0034388B" w:rsidP="00CD0F76">
            <w:pPr>
              <w:pStyle w:val="TableBullet"/>
              <w:keepNext/>
              <w:keepLines/>
              <w:rPr>
                <w:rFonts w:cs="Arial"/>
                <w:lang w:val="en-AU"/>
              </w:rPr>
            </w:pPr>
            <w:r w:rsidRPr="005D74D1">
              <w:rPr>
                <w:rFonts w:cs="Arial"/>
                <w:b/>
                <w:bCs/>
                <w:lang w:val="en-AU"/>
              </w:rPr>
              <w:t>Water efficiency:</w:t>
            </w:r>
            <w:r w:rsidRPr="005D74D1">
              <w:rPr>
                <w:rFonts w:cs="Arial"/>
                <w:lang w:val="en-AU"/>
              </w:rPr>
              <w:t xml:space="preserve"> Continued focus on reducing irrigation losses and improving irrigation efficiency through infrastructure investments and extension support to irrigators. Continuation of community, school and household water efficiency projects and behaviour change and education</w:t>
            </w:r>
            <w:r w:rsidR="00AC2C28" w:rsidRPr="005D74D1">
              <w:rPr>
                <w:rFonts w:cs="Arial"/>
                <w:lang w:val="en-AU"/>
              </w:rPr>
              <w:t> </w:t>
            </w:r>
            <w:r w:rsidRPr="005D74D1">
              <w:rPr>
                <w:rFonts w:cs="Arial"/>
                <w:lang w:val="en-AU"/>
              </w:rPr>
              <w:t>initiatives.</w:t>
            </w:r>
          </w:p>
          <w:p w14:paraId="00B0C226" w14:textId="77777777" w:rsidR="0034388B" w:rsidRPr="005D74D1" w:rsidRDefault="0034388B" w:rsidP="00CD0F76">
            <w:pPr>
              <w:pStyle w:val="TableBullet"/>
              <w:keepNext/>
              <w:keepLines/>
              <w:rPr>
                <w:rFonts w:cs="Arial"/>
                <w:lang w:val="en-AU"/>
              </w:rPr>
            </w:pPr>
            <w:r w:rsidRPr="005D74D1">
              <w:rPr>
                <w:rFonts w:cs="Arial"/>
                <w:b/>
                <w:bCs/>
                <w:lang w:val="en-AU"/>
              </w:rPr>
              <w:t>Integrated water management:</w:t>
            </w:r>
            <w:r w:rsidRPr="005D74D1">
              <w:rPr>
                <w:rFonts w:cs="Arial"/>
                <w:lang w:val="en-AU"/>
              </w:rPr>
              <w:t xml:space="preserve"> Continuation of mainstreaming the integrated water management approach through the IWM Forums, policy work and supporting grant programs. Future investment in this program build</w:t>
            </w:r>
            <w:r w:rsidRPr="00A134A7">
              <w:rPr>
                <w:rFonts w:cs="Arial"/>
                <w:lang w:val="en-AU"/>
              </w:rPr>
              <w:t>s</w:t>
            </w:r>
            <w:r w:rsidRPr="005D74D1">
              <w:rPr>
                <w:rFonts w:cs="Arial"/>
                <w:lang w:val="en-AU"/>
              </w:rPr>
              <w:t xml:space="preserve"> industry capacity to better adapt to climate change, build resilience, secure water supplies, support the housing development government priority while managing impacts on waterwa</w:t>
            </w:r>
            <w:r w:rsidRPr="00A134A7">
              <w:rPr>
                <w:rFonts w:cs="Arial"/>
                <w:lang w:val="en-AU"/>
              </w:rPr>
              <w:t>y</w:t>
            </w:r>
            <w:r w:rsidRPr="005D74D1">
              <w:rPr>
                <w:rFonts w:cs="Arial"/>
                <w:lang w:val="en-AU"/>
              </w:rPr>
              <w:t xml:space="preserve"> health.</w:t>
            </w:r>
          </w:p>
          <w:p w14:paraId="7D5D1038" w14:textId="77777777" w:rsidR="00A50E7D" w:rsidRPr="005D74D1" w:rsidRDefault="0034388B" w:rsidP="00AC2C28">
            <w:pPr>
              <w:pStyle w:val="TableText"/>
              <w:rPr>
                <w:rFonts w:cs="Arial"/>
                <w:lang w:val="en-AU"/>
              </w:rPr>
            </w:pPr>
            <w:r w:rsidRPr="005D74D1">
              <w:rPr>
                <w:rFonts w:cs="Arial"/>
              </w:rPr>
              <w:t>Ongoing foundational, business-as-usual projects:</w:t>
            </w:r>
          </w:p>
          <w:p w14:paraId="71AD1703" w14:textId="59ED3D7F" w:rsidR="0034388B" w:rsidRPr="005D74D1" w:rsidRDefault="0034388B" w:rsidP="00CD0F76">
            <w:pPr>
              <w:pStyle w:val="TableBullet"/>
              <w:keepNext/>
              <w:keepLines/>
              <w:rPr>
                <w:rFonts w:cs="Arial"/>
                <w:lang w:val="en-AU"/>
              </w:rPr>
            </w:pPr>
            <w:r w:rsidRPr="005D74D1">
              <w:rPr>
                <w:rFonts w:cs="Arial"/>
                <w:lang w:val="en-AU"/>
              </w:rPr>
              <w:t>operation of the Victorian Water Register</w:t>
            </w:r>
          </w:p>
          <w:p w14:paraId="1858B65B" w14:textId="478D7666" w:rsidR="0034388B" w:rsidRPr="005D74D1" w:rsidRDefault="0034388B" w:rsidP="00CD0F76">
            <w:pPr>
              <w:pStyle w:val="TableBullet"/>
              <w:keepNext/>
              <w:keepLines/>
              <w:rPr>
                <w:rFonts w:cs="Arial"/>
                <w:lang w:val="en-AU"/>
              </w:rPr>
            </w:pPr>
            <w:r w:rsidRPr="005D74D1">
              <w:rPr>
                <w:rFonts w:cs="Arial"/>
                <w:lang w:val="en-AU"/>
              </w:rPr>
              <w:t>water compliance activities, management of entitlements, water trading and accounting</w:t>
            </w:r>
          </w:p>
          <w:p w14:paraId="572C3A05" w14:textId="55035731" w:rsidR="0034388B" w:rsidRPr="005D74D1" w:rsidRDefault="00411746" w:rsidP="00CD0F76">
            <w:pPr>
              <w:pStyle w:val="TableBullet"/>
              <w:keepNext/>
              <w:keepLines/>
              <w:rPr>
                <w:rFonts w:cs="Arial"/>
                <w:lang w:val="en-AU"/>
              </w:rPr>
            </w:pPr>
            <w:r w:rsidRPr="005D74D1">
              <w:rPr>
                <w:rFonts w:cs="Arial"/>
                <w:lang w:val="en-AU"/>
              </w:rPr>
              <w:t>c</w:t>
            </w:r>
            <w:r w:rsidR="0034388B" w:rsidRPr="005D74D1">
              <w:rPr>
                <w:rFonts w:cs="Arial"/>
                <w:lang w:val="en-AU"/>
              </w:rPr>
              <w:t>ontinuation of long-term surface water monitoring and modelling activities, maintenance of monitoring infrastructure, and provision of foundational water information to the water sector and communities.</w:t>
            </w:r>
          </w:p>
        </w:tc>
      </w:tr>
      <w:bookmarkEnd w:id="770"/>
    </w:tbl>
    <w:p w14:paraId="2E55BF0D" w14:textId="77777777" w:rsidR="00E54508" w:rsidRPr="005D74D1" w:rsidRDefault="00E54508" w:rsidP="000D35CB">
      <w:pPr>
        <w:pStyle w:val="BodyText"/>
        <w:rPr>
          <w:rFonts w:cs="Arial"/>
          <w:i/>
        </w:rPr>
        <w:sectPr w:rsidR="00E54508" w:rsidRPr="005D74D1" w:rsidSect="00AF519B">
          <w:pgSz w:w="11906" w:h="16838" w:code="9"/>
          <w:pgMar w:top="1134" w:right="1134" w:bottom="567" w:left="1134" w:header="567" w:footer="0" w:gutter="0"/>
          <w:cols w:space="720"/>
          <w:docGrid w:linePitch="360"/>
        </w:sectPr>
      </w:pPr>
    </w:p>
    <w:p w14:paraId="62BFA0C1" w14:textId="5940A774" w:rsidR="00D43D4D" w:rsidRPr="005D74D1" w:rsidRDefault="00D43D4D" w:rsidP="00D43D4D">
      <w:pPr>
        <w:pStyle w:val="Heading9"/>
        <w:ind w:left="0" w:firstLine="0"/>
        <w:rPr>
          <w:rFonts w:cs="Arial"/>
        </w:rPr>
      </w:pPr>
      <w:bookmarkStart w:id="773" w:name="_Toc179463542"/>
      <w:bookmarkStart w:id="774" w:name="_Toc183777394"/>
      <w:r w:rsidRPr="005D74D1">
        <w:rPr>
          <w:rFonts w:cs="Arial"/>
        </w:rPr>
        <w:lastRenderedPageBreak/>
        <w:t>Appendix A: Summaries of project evaluations</w:t>
      </w:r>
      <w:bookmarkEnd w:id="773"/>
      <w:bookmarkEnd w:id="774"/>
    </w:p>
    <w:p w14:paraId="6BDC6574" w14:textId="4183E4F4" w:rsidR="00D43D4D" w:rsidRPr="005D74D1" w:rsidRDefault="00D43D4D" w:rsidP="00D43D4D">
      <w:pPr>
        <w:rPr>
          <w:rFonts w:eastAsiaTheme="majorEastAsia" w:cs="Arial"/>
          <w:b/>
          <w:iCs/>
          <w:color w:val="231EDC" w:themeColor="accent1"/>
          <w:sz w:val="32"/>
          <w:szCs w:val="21"/>
        </w:rPr>
      </w:pPr>
      <w:r w:rsidRPr="005D74D1">
        <w:rPr>
          <w:rFonts w:cs="Arial"/>
        </w:rPr>
        <w:br w:type="page"/>
      </w:r>
    </w:p>
    <w:p w14:paraId="3D9CA743" w14:textId="77777777" w:rsidR="00D43D4D" w:rsidRPr="005D74D1" w:rsidRDefault="00D43D4D" w:rsidP="00D43D4D">
      <w:pPr>
        <w:pStyle w:val="Heading9"/>
        <w:ind w:left="0" w:firstLine="0"/>
        <w:rPr>
          <w:rFonts w:cs="Arial"/>
        </w:rPr>
      </w:pPr>
      <w:bookmarkStart w:id="775" w:name="_Toc179463543"/>
      <w:bookmarkStart w:id="776" w:name="_Toc183777395"/>
      <w:r w:rsidRPr="005D74D1">
        <w:rPr>
          <w:rFonts w:cs="Arial"/>
        </w:rPr>
        <w:lastRenderedPageBreak/>
        <w:t>Appendix B: Impact domain: Examples of project contributions to end of tranche outcomes</w:t>
      </w:r>
      <w:bookmarkEnd w:id="775"/>
      <w:bookmarkEnd w:id="776"/>
    </w:p>
    <w:p w14:paraId="51C47D1F" w14:textId="77777777" w:rsidR="000D35CB" w:rsidRPr="005D74D1" w:rsidRDefault="000D35CB" w:rsidP="000D35CB">
      <w:pPr>
        <w:pStyle w:val="BodyText"/>
        <w:rPr>
          <w:rFonts w:cs="Arial"/>
          <w:i/>
        </w:rPr>
      </w:pPr>
    </w:p>
    <w:p w14:paraId="67BECA14" w14:textId="16F9E3EE" w:rsidR="00E54508" w:rsidRPr="005D74D1" w:rsidRDefault="00D43D4D" w:rsidP="00D43D4D">
      <w:pPr>
        <w:rPr>
          <w:rFonts w:cs="Arial"/>
          <w:i/>
          <w:sz w:val="22"/>
        </w:rPr>
        <w:sectPr w:rsidR="00E54508" w:rsidRPr="005D74D1" w:rsidSect="00AF519B">
          <w:pgSz w:w="11906" w:h="16838" w:code="9"/>
          <w:pgMar w:top="1134" w:right="1134" w:bottom="567" w:left="1134" w:header="567" w:footer="0" w:gutter="0"/>
          <w:cols w:space="720"/>
          <w:docGrid w:linePitch="360"/>
        </w:sectPr>
      </w:pPr>
      <w:r w:rsidRPr="005D74D1">
        <w:rPr>
          <w:rFonts w:cs="Arial"/>
          <w:i/>
        </w:rPr>
        <w:br w:type="page"/>
      </w:r>
    </w:p>
    <w:p w14:paraId="11C829A2" w14:textId="77777777" w:rsidR="00E54508" w:rsidRPr="005D74D1" w:rsidRDefault="00E54508">
      <w:pPr>
        <w:rPr>
          <w:rFonts w:cs="Arial"/>
        </w:rPr>
      </w:pPr>
    </w:p>
    <w:p w14:paraId="6F1EBA60" w14:textId="64BAB9D1" w:rsidR="00E54508" w:rsidRPr="00A134A7" w:rsidRDefault="00E54508" w:rsidP="00E54508">
      <w:pPr>
        <w:spacing w:before="100" w:beforeAutospacing="1" w:after="100" w:afterAutospacing="1"/>
        <w:rPr>
          <w:rFonts w:eastAsia="Times New Roman" w:cs="Arial"/>
          <w:sz w:val="24"/>
          <w:szCs w:val="24"/>
        </w:rPr>
      </w:pPr>
      <w:r w:rsidRPr="00A134A7">
        <w:rPr>
          <w:rFonts w:eastAsia="Times New Roman" w:cs="Arial"/>
          <w:noProof/>
          <w:sz w:val="24"/>
          <w:szCs w:val="24"/>
        </w:rPr>
        <w:drawing>
          <wp:anchor distT="0" distB="0" distL="114300" distR="114300" simplePos="0" relativeHeight="251682816" behindDoc="0" locked="0" layoutInCell="1" allowOverlap="1" wp14:anchorId="200807C4" wp14:editId="0D29F8ED">
            <wp:simplePos x="724395" y="1163782"/>
            <wp:positionH relativeFrom="page">
              <wp:align>left</wp:align>
            </wp:positionH>
            <wp:positionV relativeFrom="page">
              <wp:align>top</wp:align>
            </wp:positionV>
            <wp:extent cx="7562088" cy="10689336"/>
            <wp:effectExtent l="0" t="0" r="1270" b="0"/>
            <wp:wrapNone/>
            <wp:docPr id="130080538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7562088" cy="1068933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6A5BAB" w14:textId="77777777" w:rsidR="00E54508" w:rsidRPr="005D74D1" w:rsidRDefault="00E54508">
      <w:pPr>
        <w:rPr>
          <w:rFonts w:cs="Arial"/>
        </w:rPr>
      </w:pPr>
    </w:p>
    <w:p w14:paraId="3D61D093" w14:textId="77777777" w:rsidR="00E54508" w:rsidRPr="005D74D1" w:rsidRDefault="00E54508">
      <w:pPr>
        <w:rPr>
          <w:rFonts w:cs="Arial"/>
        </w:rPr>
      </w:pPr>
    </w:p>
    <w:p w14:paraId="4F9487FE" w14:textId="77777777" w:rsidR="00E54508" w:rsidRPr="005D74D1" w:rsidRDefault="00E54508">
      <w:pPr>
        <w:rPr>
          <w:rFonts w:cs="Arial"/>
        </w:rPr>
        <w:sectPr w:rsidR="00E54508" w:rsidRPr="005D74D1" w:rsidSect="0064586A">
          <w:headerReference w:type="default" r:id="rId85"/>
          <w:footerReference w:type="even" r:id="rId86"/>
          <w:footerReference w:type="default" r:id="rId87"/>
          <w:footerReference w:type="first" r:id="rId88"/>
          <w:pgSz w:w="11906" w:h="16838" w:code="9"/>
          <w:pgMar w:top="1134" w:right="1134" w:bottom="567" w:left="1134" w:header="567" w:footer="0" w:gutter="0"/>
          <w:cols w:space="720"/>
          <w:docGrid w:linePitch="360"/>
        </w:sectPr>
      </w:pPr>
    </w:p>
    <w:p w14:paraId="205F0183" w14:textId="72E4737F" w:rsidR="00BE4F1C" w:rsidRPr="005D74D1" w:rsidRDefault="00146E5A" w:rsidP="002A738B">
      <w:pPr>
        <w:pStyle w:val="Heading9"/>
        <w:ind w:left="0" w:firstLine="0"/>
        <w:rPr>
          <w:rFonts w:cs="Arial"/>
        </w:rPr>
      </w:pPr>
      <w:bookmarkStart w:id="777" w:name="_Toc183777396"/>
      <w:r w:rsidRPr="005D74D1">
        <w:rPr>
          <w:rFonts w:cs="Arial"/>
        </w:rPr>
        <w:lastRenderedPageBreak/>
        <w:t>Appendix C: Graphical summary of short-answer questions from the project evaluation reports</w:t>
      </w:r>
      <w:bookmarkEnd w:id="777"/>
    </w:p>
    <w:p w14:paraId="75DC0BF2" w14:textId="674AD338" w:rsidR="003E20E6" w:rsidRPr="005D74D1" w:rsidRDefault="002C1D79" w:rsidP="003E20E6">
      <w:pPr>
        <w:pStyle w:val="BodyText"/>
        <w:rPr>
          <w:rFonts w:cs="Arial"/>
        </w:rPr>
      </w:pPr>
      <w:r w:rsidRPr="005D74D1">
        <w:rPr>
          <w:rFonts w:cs="Arial"/>
        </w:rPr>
        <w:t xml:space="preserve">Section 6 of the </w:t>
      </w:r>
      <w:r w:rsidR="00CD117F" w:rsidRPr="005D74D1">
        <w:rPr>
          <w:rFonts w:cs="Arial"/>
        </w:rPr>
        <w:t xml:space="preserve">2023 EC5 </w:t>
      </w:r>
      <w:r w:rsidRPr="005D74D1">
        <w:rPr>
          <w:rFonts w:cs="Arial"/>
        </w:rPr>
        <w:t>project evaluation reports contained a series of short answer questions which have been referred to throughout th</w:t>
      </w:r>
      <w:r w:rsidR="00CD117F" w:rsidRPr="005D74D1">
        <w:rPr>
          <w:rFonts w:cs="Arial"/>
        </w:rPr>
        <w:t>is</w:t>
      </w:r>
      <w:r w:rsidRPr="005D74D1">
        <w:rPr>
          <w:rFonts w:cs="Arial"/>
        </w:rPr>
        <w:t xml:space="preserve"> evaluation report. </w:t>
      </w:r>
      <w:r w:rsidR="00FA44C2" w:rsidRPr="005D74D1">
        <w:rPr>
          <w:rFonts w:cs="Arial"/>
        </w:rPr>
        <w:t>The</w:t>
      </w:r>
      <w:r w:rsidR="00B47318" w:rsidRPr="005D74D1">
        <w:rPr>
          <w:rFonts w:cs="Arial"/>
        </w:rPr>
        <w:t xml:space="preserve"> responses were not updated for the End-of-Tranche evaluation. </w:t>
      </w:r>
      <w:r w:rsidRPr="005D74D1">
        <w:rPr>
          <w:rFonts w:cs="Arial"/>
        </w:rPr>
        <w:t>This Appendix provides a graphical summary of the r</w:t>
      </w:r>
      <w:r w:rsidR="000040C4" w:rsidRPr="005D74D1">
        <w:rPr>
          <w:rFonts w:cs="Arial"/>
        </w:rPr>
        <w:t>esponses.</w:t>
      </w:r>
    </w:p>
    <w:p w14:paraId="4731AE53" w14:textId="77777777" w:rsidR="00A30055" w:rsidRPr="005D74D1" w:rsidRDefault="00A30055" w:rsidP="003E20E6">
      <w:pPr>
        <w:pStyle w:val="BodyText"/>
        <w:rPr>
          <w:rFonts w:cs="Arial"/>
          <w:b/>
          <w:szCs w:val="22"/>
        </w:rPr>
      </w:pPr>
      <w:r w:rsidRPr="005D74D1">
        <w:rPr>
          <w:rFonts w:cs="Arial"/>
          <w:b/>
          <w:szCs w:val="22"/>
        </w:rPr>
        <w:t>To what extent do you agree or disagree with the following statements?</w:t>
      </w:r>
    </w:p>
    <w:p w14:paraId="7A14C6DA" w14:textId="1BB9BDBD" w:rsidR="000040C4" w:rsidRPr="005D74D1" w:rsidRDefault="000040C4" w:rsidP="00DF3D53">
      <w:pPr>
        <w:pStyle w:val="BodyTexItalic"/>
        <w:rPr>
          <w:rFonts w:cs="Arial"/>
        </w:rPr>
      </w:pPr>
      <w:r w:rsidRPr="005D74D1">
        <w:rPr>
          <w:rFonts w:cs="Arial"/>
        </w:rPr>
        <w:t>6.1 The effects of unexpected events (such as floods, droughts, covid) and other challenges were managed adequately to reduce their impact on initiative outcomes</w:t>
      </w:r>
    </w:p>
    <w:p w14:paraId="3F52DE21" w14:textId="4E198EA5" w:rsidR="00EA5C41" w:rsidRPr="005D74D1" w:rsidRDefault="00EA5C41" w:rsidP="003E20E6">
      <w:pPr>
        <w:pStyle w:val="BodyText"/>
        <w:rPr>
          <w:rFonts w:cs="Arial"/>
        </w:rPr>
      </w:pPr>
      <w:r w:rsidRPr="00A134A7">
        <w:rPr>
          <w:rFonts w:cs="Arial"/>
          <w:noProof/>
        </w:rPr>
        <w:drawing>
          <wp:inline distT="0" distB="0" distL="0" distR="0" wp14:anchorId="1AB63AF8" wp14:editId="45602850">
            <wp:extent cx="6108192" cy="2692752"/>
            <wp:effectExtent l="0" t="0" r="6985" b="0"/>
            <wp:docPr id="1157484307" name="Picture 1157484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108192" cy="2692752"/>
                    </a:xfrm>
                    <a:prstGeom prst="rect">
                      <a:avLst/>
                    </a:prstGeom>
                    <a:noFill/>
                  </pic:spPr>
                </pic:pic>
              </a:graphicData>
            </a:graphic>
          </wp:inline>
        </w:drawing>
      </w:r>
    </w:p>
    <w:p w14:paraId="7553D7BA" w14:textId="6C21E0B3" w:rsidR="00E11BBA" w:rsidRPr="005D74D1" w:rsidRDefault="00E11BBA" w:rsidP="00DF3D53">
      <w:pPr>
        <w:pStyle w:val="BodyTexItalic"/>
        <w:rPr>
          <w:rFonts w:cs="Arial"/>
        </w:rPr>
      </w:pPr>
      <w:r w:rsidRPr="005D74D1">
        <w:rPr>
          <w:rFonts w:cs="Arial"/>
        </w:rPr>
        <w:t>6.2 The initiative is on track to deliver the full set of outputs (products or deliverables) as intended</w:t>
      </w:r>
    </w:p>
    <w:p w14:paraId="5818BB1A" w14:textId="7F5985C7" w:rsidR="003F2D1D" w:rsidRPr="005D74D1" w:rsidRDefault="003F2D1D" w:rsidP="003E20E6">
      <w:pPr>
        <w:pStyle w:val="BodyText"/>
        <w:rPr>
          <w:rFonts w:cs="Arial"/>
          <w:i/>
          <w:iCs/>
        </w:rPr>
      </w:pPr>
      <w:r w:rsidRPr="00A134A7">
        <w:rPr>
          <w:rFonts w:cs="Arial"/>
          <w:i/>
          <w:iCs/>
          <w:noProof/>
        </w:rPr>
        <w:drawing>
          <wp:inline distT="0" distB="0" distL="0" distR="0" wp14:anchorId="62AA0E08" wp14:editId="087EF44B">
            <wp:extent cx="6108192" cy="3098645"/>
            <wp:effectExtent l="0" t="0" r="6985" b="6985"/>
            <wp:docPr id="1157484308" name="Picture 1157484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108192" cy="3098645"/>
                    </a:xfrm>
                    <a:prstGeom prst="rect">
                      <a:avLst/>
                    </a:prstGeom>
                    <a:noFill/>
                  </pic:spPr>
                </pic:pic>
              </a:graphicData>
            </a:graphic>
          </wp:inline>
        </w:drawing>
      </w:r>
    </w:p>
    <w:p w14:paraId="7B12684C" w14:textId="52EDABE5" w:rsidR="007F576A" w:rsidRPr="005D74D1" w:rsidRDefault="007F576A" w:rsidP="009A76C8">
      <w:pPr>
        <w:pStyle w:val="BodyTexItalic"/>
        <w:keepNext/>
        <w:keepLines/>
        <w:rPr>
          <w:rFonts w:cs="Arial"/>
        </w:rPr>
      </w:pPr>
      <w:r w:rsidRPr="005D74D1">
        <w:rPr>
          <w:rFonts w:cs="Arial"/>
        </w:rPr>
        <w:lastRenderedPageBreak/>
        <w:t xml:space="preserve">6.3 The initiative is on track to deliver the full set of outcomes (intended effects or changes from </w:t>
      </w:r>
      <w:r w:rsidR="00AF2CF6" w:rsidRPr="005D74D1">
        <w:rPr>
          <w:rFonts w:cs="Arial"/>
        </w:rPr>
        <w:t xml:space="preserve">tranche </w:t>
      </w:r>
      <w:r w:rsidRPr="005D74D1">
        <w:rPr>
          <w:rFonts w:cs="Arial"/>
        </w:rPr>
        <w:t>) as intended</w:t>
      </w:r>
    </w:p>
    <w:p w14:paraId="4BBE6189" w14:textId="7AB11258" w:rsidR="003F2D1D" w:rsidRPr="005D74D1" w:rsidRDefault="007F576A" w:rsidP="009A76C8">
      <w:pPr>
        <w:pStyle w:val="BodyText"/>
        <w:keepNext/>
        <w:keepLines/>
        <w:rPr>
          <w:rFonts w:cs="Arial"/>
          <w:i/>
          <w:iCs/>
        </w:rPr>
      </w:pPr>
      <w:r w:rsidRPr="00A134A7">
        <w:rPr>
          <w:rFonts w:cs="Arial"/>
          <w:i/>
          <w:iCs/>
          <w:noProof/>
        </w:rPr>
        <w:drawing>
          <wp:inline distT="0" distB="0" distL="0" distR="0" wp14:anchorId="5F41D61C" wp14:editId="2A4500EA">
            <wp:extent cx="6108192" cy="2945242"/>
            <wp:effectExtent l="0" t="0" r="6985" b="7620"/>
            <wp:docPr id="1157484309" name="Picture 1157484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108192" cy="2945242"/>
                    </a:xfrm>
                    <a:prstGeom prst="rect">
                      <a:avLst/>
                    </a:prstGeom>
                    <a:noFill/>
                  </pic:spPr>
                </pic:pic>
              </a:graphicData>
            </a:graphic>
          </wp:inline>
        </w:drawing>
      </w:r>
    </w:p>
    <w:p w14:paraId="268F743C" w14:textId="361F5C33" w:rsidR="002E7936" w:rsidRPr="005D74D1" w:rsidRDefault="002E7936" w:rsidP="00DF3D53">
      <w:pPr>
        <w:pStyle w:val="BodyTexItalic"/>
        <w:rPr>
          <w:rFonts w:cs="Arial"/>
        </w:rPr>
      </w:pPr>
      <w:r w:rsidRPr="005D74D1">
        <w:rPr>
          <w:rFonts w:cs="Arial"/>
        </w:rPr>
        <w:t>6.4 Initiative management and delivery arrangements supported the effective and efficient delivery of the initiative</w:t>
      </w:r>
    </w:p>
    <w:p w14:paraId="426DBD04" w14:textId="279AD10F" w:rsidR="002E7936" w:rsidRPr="005D74D1" w:rsidRDefault="002E7936" w:rsidP="003E20E6">
      <w:pPr>
        <w:pStyle w:val="BodyText"/>
        <w:rPr>
          <w:rFonts w:cs="Arial"/>
          <w:i/>
          <w:iCs/>
        </w:rPr>
      </w:pPr>
      <w:r w:rsidRPr="00A134A7">
        <w:rPr>
          <w:rFonts w:cs="Arial"/>
          <w:i/>
          <w:iCs/>
          <w:noProof/>
        </w:rPr>
        <w:drawing>
          <wp:inline distT="0" distB="0" distL="0" distR="0" wp14:anchorId="0880B9F4" wp14:editId="3CBEC434">
            <wp:extent cx="6108192" cy="2882875"/>
            <wp:effectExtent l="0" t="0" r="6985" b="0"/>
            <wp:docPr id="1157484310" name="Picture 1157484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108192" cy="2882875"/>
                    </a:xfrm>
                    <a:prstGeom prst="rect">
                      <a:avLst/>
                    </a:prstGeom>
                    <a:noFill/>
                  </pic:spPr>
                </pic:pic>
              </a:graphicData>
            </a:graphic>
          </wp:inline>
        </w:drawing>
      </w:r>
    </w:p>
    <w:p w14:paraId="207AC750" w14:textId="77777777" w:rsidR="001125DA" w:rsidRPr="005D74D1" w:rsidRDefault="001125DA" w:rsidP="009A76C8">
      <w:pPr>
        <w:pStyle w:val="BodyTexItalic"/>
        <w:keepNext/>
        <w:keepLines/>
        <w:rPr>
          <w:rFonts w:cs="Arial"/>
        </w:rPr>
      </w:pPr>
      <w:r w:rsidRPr="005D74D1">
        <w:rPr>
          <w:rFonts w:cs="Arial"/>
        </w:rPr>
        <w:lastRenderedPageBreak/>
        <w:t>6.5 Options assessment and / or cost-benefit analyses were used effectively to support initiative decision making</w:t>
      </w:r>
    </w:p>
    <w:p w14:paraId="423FF9E0" w14:textId="19B25639" w:rsidR="001125DA" w:rsidRPr="00A134A7" w:rsidRDefault="001125DA" w:rsidP="009A76C8">
      <w:pPr>
        <w:rPr>
          <w:rFonts w:eastAsia="Times New Roman" w:cs="Arial"/>
          <w:color w:val="000000"/>
          <w:sz w:val="22"/>
          <w:szCs w:val="22"/>
        </w:rPr>
      </w:pPr>
      <w:r w:rsidRPr="00A134A7">
        <w:rPr>
          <w:rFonts w:eastAsia="Times New Roman" w:cs="Arial"/>
          <w:noProof/>
          <w:color w:val="000000"/>
          <w:sz w:val="22"/>
          <w:szCs w:val="22"/>
        </w:rPr>
        <w:drawing>
          <wp:inline distT="0" distB="0" distL="0" distR="0" wp14:anchorId="5A2F6F92" wp14:editId="1E2DBE9E">
            <wp:extent cx="6108192" cy="2867812"/>
            <wp:effectExtent l="0" t="0" r="6985" b="8890"/>
            <wp:docPr id="1157484311" name="Picture 11574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108192" cy="2867812"/>
                    </a:xfrm>
                    <a:prstGeom prst="rect">
                      <a:avLst/>
                    </a:prstGeom>
                    <a:noFill/>
                  </pic:spPr>
                </pic:pic>
              </a:graphicData>
            </a:graphic>
          </wp:inline>
        </w:drawing>
      </w:r>
    </w:p>
    <w:p w14:paraId="35DA8ED8" w14:textId="77777777" w:rsidR="00A50E7D" w:rsidRPr="005D74D1" w:rsidRDefault="00653276" w:rsidP="00DF3D53">
      <w:pPr>
        <w:pStyle w:val="BodyTexItalic"/>
        <w:rPr>
          <w:rFonts w:cs="Arial"/>
        </w:rPr>
      </w:pPr>
      <w:r w:rsidRPr="005D74D1">
        <w:rPr>
          <w:rFonts w:cs="Arial"/>
        </w:rPr>
        <w:t>6.6 The initiative enabled Traditional Owner Self-determination objectives and aspirations</w:t>
      </w:r>
    </w:p>
    <w:p w14:paraId="0039CEE8" w14:textId="3E67F97A" w:rsidR="004D2F86" w:rsidRPr="005D74D1" w:rsidRDefault="004D2F86" w:rsidP="003E20E6">
      <w:pPr>
        <w:pStyle w:val="BodyText"/>
        <w:rPr>
          <w:rFonts w:cs="Arial"/>
          <w:i/>
          <w:iCs/>
        </w:rPr>
      </w:pPr>
      <w:r w:rsidRPr="00A134A7">
        <w:rPr>
          <w:rFonts w:cs="Arial"/>
          <w:i/>
          <w:iCs/>
          <w:noProof/>
        </w:rPr>
        <w:drawing>
          <wp:inline distT="0" distB="0" distL="0" distR="0" wp14:anchorId="125D0ABB" wp14:editId="3C9D72A0">
            <wp:extent cx="6108192" cy="2909878"/>
            <wp:effectExtent l="0" t="0" r="6985" b="5080"/>
            <wp:docPr id="1157484318" name="Picture 1157484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6108192" cy="2909878"/>
                    </a:xfrm>
                    <a:prstGeom prst="rect">
                      <a:avLst/>
                    </a:prstGeom>
                    <a:noFill/>
                  </pic:spPr>
                </pic:pic>
              </a:graphicData>
            </a:graphic>
          </wp:inline>
        </w:drawing>
      </w:r>
    </w:p>
    <w:p w14:paraId="149B8431" w14:textId="77777777" w:rsidR="00D80658" w:rsidRPr="005D74D1" w:rsidRDefault="00D80658" w:rsidP="009A76C8">
      <w:pPr>
        <w:pStyle w:val="BodyTexItalic"/>
        <w:keepNext/>
        <w:keepLines/>
        <w:rPr>
          <w:rFonts w:cs="Arial"/>
        </w:rPr>
      </w:pPr>
      <w:r w:rsidRPr="005D74D1">
        <w:rPr>
          <w:rFonts w:cs="Arial"/>
        </w:rPr>
        <w:lastRenderedPageBreak/>
        <w:t>6.7 Learning and improvement were effectively incorporated into the initiative, to foster a culture of continual improvement</w:t>
      </w:r>
    </w:p>
    <w:p w14:paraId="796949C9" w14:textId="2F6D799B" w:rsidR="005F4582" w:rsidRPr="005D74D1" w:rsidRDefault="005F4582" w:rsidP="009A76C8">
      <w:pPr>
        <w:rPr>
          <w:rFonts w:cs="Arial"/>
          <w:i/>
          <w:iCs/>
        </w:rPr>
      </w:pPr>
      <w:r w:rsidRPr="00A134A7">
        <w:rPr>
          <w:rFonts w:cs="Arial"/>
          <w:i/>
          <w:iCs/>
          <w:noProof/>
        </w:rPr>
        <w:drawing>
          <wp:inline distT="0" distB="0" distL="0" distR="0" wp14:anchorId="603F45AC" wp14:editId="0205B13F">
            <wp:extent cx="6108700" cy="2712720"/>
            <wp:effectExtent l="0" t="0" r="6350" b="0"/>
            <wp:docPr id="1157484319" name="Picture 1157484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6108700" cy="2712720"/>
                    </a:xfrm>
                    <a:prstGeom prst="rect">
                      <a:avLst/>
                    </a:prstGeom>
                    <a:noFill/>
                  </pic:spPr>
                </pic:pic>
              </a:graphicData>
            </a:graphic>
          </wp:inline>
        </w:drawing>
      </w:r>
    </w:p>
    <w:p w14:paraId="2A46E741" w14:textId="77777777" w:rsidR="00B64A10" w:rsidRPr="005D74D1" w:rsidRDefault="00B64A10" w:rsidP="00DF3D53">
      <w:pPr>
        <w:pStyle w:val="BodyTexItalic"/>
        <w:rPr>
          <w:rFonts w:cs="Arial"/>
        </w:rPr>
      </w:pPr>
      <w:r w:rsidRPr="005D74D1">
        <w:rPr>
          <w:rFonts w:cs="Arial"/>
        </w:rPr>
        <w:t>6.8 Partnerships that were developed throughout tranche 5 were valuable in achieving initiative outcomes</w:t>
      </w:r>
    </w:p>
    <w:p w14:paraId="7D77D4E8" w14:textId="586FF729" w:rsidR="00D6572B" w:rsidRPr="005D74D1" w:rsidRDefault="00D6572B" w:rsidP="00B64A10">
      <w:pPr>
        <w:rPr>
          <w:rFonts w:cs="Arial"/>
          <w:i/>
          <w:iCs/>
        </w:rPr>
      </w:pPr>
      <w:r w:rsidRPr="00A134A7">
        <w:rPr>
          <w:rFonts w:cs="Arial"/>
          <w:i/>
          <w:iCs/>
          <w:noProof/>
        </w:rPr>
        <w:drawing>
          <wp:inline distT="0" distB="0" distL="0" distR="0" wp14:anchorId="51C31B6D" wp14:editId="45995F5B">
            <wp:extent cx="6108192" cy="2901089"/>
            <wp:effectExtent l="0" t="0" r="6985"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6108192" cy="2901089"/>
                    </a:xfrm>
                    <a:prstGeom prst="rect">
                      <a:avLst/>
                    </a:prstGeom>
                    <a:noFill/>
                  </pic:spPr>
                </pic:pic>
              </a:graphicData>
            </a:graphic>
          </wp:inline>
        </w:drawing>
      </w:r>
    </w:p>
    <w:p w14:paraId="7C7DD435" w14:textId="77777777" w:rsidR="00A50E7D" w:rsidRPr="005D74D1" w:rsidRDefault="00D6572B" w:rsidP="009A76C8">
      <w:pPr>
        <w:pStyle w:val="BodyTexItalic"/>
        <w:keepNext/>
        <w:keepLines/>
        <w:rPr>
          <w:rFonts w:cs="Arial"/>
        </w:rPr>
      </w:pPr>
      <w:r w:rsidRPr="005D74D1">
        <w:rPr>
          <w:rFonts w:cs="Arial"/>
        </w:rPr>
        <w:lastRenderedPageBreak/>
        <w:t>6.9 Efficiencies were gained through working together with other initiatives to achieve better outcomes.</w:t>
      </w:r>
    </w:p>
    <w:p w14:paraId="2E7CE880" w14:textId="3E3E70E5" w:rsidR="00D6572B" w:rsidRPr="00A134A7" w:rsidRDefault="00D6572B" w:rsidP="009A76C8">
      <w:pPr>
        <w:rPr>
          <w:rFonts w:eastAsia="Times New Roman" w:cs="Arial"/>
          <w:color w:val="000000"/>
          <w:sz w:val="22"/>
          <w:szCs w:val="22"/>
        </w:rPr>
      </w:pPr>
      <w:r w:rsidRPr="00A134A7">
        <w:rPr>
          <w:rFonts w:eastAsia="Times New Roman" w:cs="Arial"/>
          <w:noProof/>
          <w:color w:val="000000"/>
          <w:sz w:val="22"/>
          <w:szCs w:val="22"/>
        </w:rPr>
        <w:drawing>
          <wp:inline distT="0" distB="0" distL="0" distR="0" wp14:anchorId="041F041D" wp14:editId="2EB36BB9">
            <wp:extent cx="6108192" cy="2846375"/>
            <wp:effectExtent l="0" t="0" r="6985"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6108192" cy="2846375"/>
                    </a:xfrm>
                    <a:prstGeom prst="rect">
                      <a:avLst/>
                    </a:prstGeom>
                    <a:noFill/>
                  </pic:spPr>
                </pic:pic>
              </a:graphicData>
            </a:graphic>
          </wp:inline>
        </w:drawing>
      </w:r>
    </w:p>
    <w:p w14:paraId="258014DB" w14:textId="77777777" w:rsidR="007159D6" w:rsidRPr="005D74D1" w:rsidRDefault="007159D6" w:rsidP="00DF3D53">
      <w:pPr>
        <w:pStyle w:val="BodyTexItalic"/>
        <w:rPr>
          <w:rFonts w:cs="Arial"/>
        </w:rPr>
      </w:pPr>
      <w:r w:rsidRPr="005D74D1">
        <w:rPr>
          <w:rFonts w:cs="Arial"/>
        </w:rPr>
        <w:t>6.10 The initiative is increasing community participation and inclusion of community values in water management</w:t>
      </w:r>
    </w:p>
    <w:p w14:paraId="5942F4B1" w14:textId="52E184A3" w:rsidR="007159D6" w:rsidRPr="005D74D1" w:rsidRDefault="007159D6" w:rsidP="007159D6">
      <w:pPr>
        <w:rPr>
          <w:rFonts w:cs="Arial"/>
          <w:i/>
          <w:iCs/>
        </w:rPr>
      </w:pPr>
      <w:r w:rsidRPr="00A134A7">
        <w:rPr>
          <w:rFonts w:cs="Arial"/>
          <w:i/>
          <w:iCs/>
          <w:noProof/>
        </w:rPr>
        <w:drawing>
          <wp:inline distT="0" distB="0" distL="0" distR="0" wp14:anchorId="2C510C6F" wp14:editId="03A7AE97">
            <wp:extent cx="6108700" cy="2761615"/>
            <wp:effectExtent l="0" t="0" r="6350" b="635"/>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6108700" cy="2761615"/>
                    </a:xfrm>
                    <a:prstGeom prst="rect">
                      <a:avLst/>
                    </a:prstGeom>
                    <a:noFill/>
                  </pic:spPr>
                </pic:pic>
              </a:graphicData>
            </a:graphic>
          </wp:inline>
        </w:drawing>
      </w:r>
    </w:p>
    <w:p w14:paraId="1E4E4A8C" w14:textId="77777777" w:rsidR="00A50E7D" w:rsidRPr="005D74D1" w:rsidRDefault="00A5558A" w:rsidP="009A76C8">
      <w:pPr>
        <w:pStyle w:val="BodyTexItalic"/>
        <w:keepNext/>
        <w:keepLines/>
        <w:rPr>
          <w:rFonts w:cs="Arial"/>
        </w:rPr>
      </w:pPr>
      <w:r w:rsidRPr="005D74D1">
        <w:rPr>
          <w:rFonts w:cs="Arial"/>
        </w:rPr>
        <w:lastRenderedPageBreak/>
        <w:t>6.11 Did the initiative foster partnerships with others?</w:t>
      </w:r>
    </w:p>
    <w:p w14:paraId="5C8C49BA" w14:textId="533B202D" w:rsidR="00A5558A" w:rsidRPr="005D74D1" w:rsidRDefault="00A5558A" w:rsidP="009A76C8">
      <w:pPr>
        <w:pStyle w:val="BodyText"/>
        <w:rPr>
          <w:rFonts w:cs="Arial"/>
          <w:i/>
          <w:iCs/>
        </w:rPr>
      </w:pPr>
      <w:r w:rsidRPr="00A134A7">
        <w:rPr>
          <w:rFonts w:cs="Arial"/>
          <w:i/>
          <w:iCs/>
          <w:noProof/>
        </w:rPr>
        <w:drawing>
          <wp:inline distT="0" distB="0" distL="0" distR="0" wp14:anchorId="3884A704" wp14:editId="30FFD253">
            <wp:extent cx="6108192" cy="3546141"/>
            <wp:effectExtent l="0" t="0" r="6985" b="0"/>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6108192" cy="3546141"/>
                    </a:xfrm>
                    <a:prstGeom prst="rect">
                      <a:avLst/>
                    </a:prstGeom>
                    <a:noFill/>
                  </pic:spPr>
                </pic:pic>
              </a:graphicData>
            </a:graphic>
          </wp:inline>
        </w:drawing>
      </w:r>
    </w:p>
    <w:p w14:paraId="59351A46" w14:textId="0BEA20A4" w:rsidR="00C94943" w:rsidRPr="005D74D1" w:rsidRDefault="00C94943" w:rsidP="00DF3D53">
      <w:pPr>
        <w:pStyle w:val="BodyTexItalic"/>
        <w:rPr>
          <w:rFonts w:cs="Arial"/>
        </w:rPr>
      </w:pPr>
      <w:r w:rsidRPr="005D74D1">
        <w:rPr>
          <w:rFonts w:cs="Arial"/>
        </w:rPr>
        <w:t>6.12 Is the initiative contributing to the promotion of sustainable management of water?</w:t>
      </w:r>
    </w:p>
    <w:p w14:paraId="73292E11" w14:textId="0E219A10" w:rsidR="00C94943" w:rsidRPr="005D74D1" w:rsidRDefault="00C94943" w:rsidP="009A76C8">
      <w:pPr>
        <w:pStyle w:val="BodyText"/>
        <w:rPr>
          <w:rFonts w:cs="Arial"/>
          <w:i/>
          <w:iCs/>
        </w:rPr>
      </w:pPr>
      <w:r w:rsidRPr="00A134A7">
        <w:rPr>
          <w:rFonts w:cs="Arial"/>
          <w:i/>
          <w:iCs/>
          <w:noProof/>
        </w:rPr>
        <w:drawing>
          <wp:inline distT="0" distB="0" distL="0" distR="0" wp14:anchorId="3B140540" wp14:editId="69B4704C">
            <wp:extent cx="6108192" cy="2990750"/>
            <wp:effectExtent l="0" t="0" r="6985" b="635"/>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6108192" cy="2990750"/>
                    </a:xfrm>
                    <a:prstGeom prst="rect">
                      <a:avLst/>
                    </a:prstGeom>
                    <a:noFill/>
                  </pic:spPr>
                </pic:pic>
              </a:graphicData>
            </a:graphic>
          </wp:inline>
        </w:drawing>
      </w:r>
    </w:p>
    <w:p w14:paraId="7637078F" w14:textId="60626B17" w:rsidR="001156E5" w:rsidRPr="005D74D1" w:rsidRDefault="001156E5" w:rsidP="009A76C8">
      <w:pPr>
        <w:pStyle w:val="BodyTexItalic"/>
        <w:keepNext/>
        <w:keepLines/>
        <w:rPr>
          <w:rFonts w:cs="Arial"/>
        </w:rPr>
      </w:pPr>
      <w:r w:rsidRPr="005D74D1">
        <w:rPr>
          <w:rFonts w:cs="Arial"/>
        </w:rPr>
        <w:lastRenderedPageBreak/>
        <w:t>6.12 Is the initiative addressing adverse water-related environmental impacts?</w:t>
      </w:r>
    </w:p>
    <w:p w14:paraId="4A2B8D57" w14:textId="2154F953" w:rsidR="001156E5" w:rsidRPr="005D74D1" w:rsidRDefault="00BD6708" w:rsidP="009A76C8">
      <w:pPr>
        <w:pStyle w:val="BodyText"/>
        <w:rPr>
          <w:rFonts w:cs="Arial"/>
          <w:i/>
          <w:iCs/>
        </w:rPr>
      </w:pPr>
      <w:r w:rsidRPr="00A134A7">
        <w:rPr>
          <w:rFonts w:cs="Arial"/>
          <w:i/>
          <w:iCs/>
          <w:noProof/>
        </w:rPr>
        <w:drawing>
          <wp:inline distT="0" distB="0" distL="0" distR="0" wp14:anchorId="4B87E53C" wp14:editId="42E11F8F">
            <wp:extent cx="6108192" cy="2990750"/>
            <wp:effectExtent l="0" t="0" r="6985" b="635"/>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6108192" cy="2990750"/>
                    </a:xfrm>
                    <a:prstGeom prst="rect">
                      <a:avLst/>
                    </a:prstGeom>
                    <a:noFill/>
                  </pic:spPr>
                </pic:pic>
              </a:graphicData>
            </a:graphic>
          </wp:inline>
        </w:drawing>
      </w:r>
    </w:p>
    <w:p w14:paraId="4CB99B4A" w14:textId="77777777" w:rsidR="00A50E7D" w:rsidRPr="005D74D1" w:rsidRDefault="007D3F28" w:rsidP="00DF3D53">
      <w:pPr>
        <w:pStyle w:val="BodyTexItalic"/>
        <w:rPr>
          <w:rFonts w:cs="Arial"/>
        </w:rPr>
      </w:pPr>
      <w:r w:rsidRPr="005D74D1">
        <w:rPr>
          <w:rFonts w:cs="Arial"/>
        </w:rPr>
        <w:t>7.3 Does the initiative include work that is of an ‘ongoing’ nature (i.e. was part of prior EC tranches, and will continue on into future tranches indefinitely)?</w:t>
      </w:r>
    </w:p>
    <w:p w14:paraId="4FE7C782" w14:textId="41329637" w:rsidR="00BD6708" w:rsidRPr="005D74D1" w:rsidRDefault="007D3F28" w:rsidP="009A76C8">
      <w:pPr>
        <w:pStyle w:val="BodyText"/>
        <w:rPr>
          <w:rFonts w:cs="Arial"/>
          <w:i/>
          <w:iCs/>
        </w:rPr>
      </w:pPr>
      <w:r w:rsidRPr="00A134A7">
        <w:rPr>
          <w:rFonts w:cs="Arial"/>
          <w:i/>
          <w:iCs/>
          <w:noProof/>
        </w:rPr>
        <w:drawing>
          <wp:inline distT="0" distB="0" distL="0" distR="0" wp14:anchorId="307223AF" wp14:editId="5141984F">
            <wp:extent cx="6108192" cy="2984789"/>
            <wp:effectExtent l="0" t="0" r="6985" b="6350"/>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108192" cy="2984789"/>
                    </a:xfrm>
                    <a:prstGeom prst="rect">
                      <a:avLst/>
                    </a:prstGeom>
                    <a:noFill/>
                  </pic:spPr>
                </pic:pic>
              </a:graphicData>
            </a:graphic>
          </wp:inline>
        </w:drawing>
      </w:r>
    </w:p>
    <w:sectPr w:rsidR="00BD6708" w:rsidRPr="005D74D1" w:rsidSect="0064586A">
      <w:footerReference w:type="default" r:id="rId103"/>
      <w:pgSz w:w="11906" w:h="16838" w:code="9"/>
      <w:pgMar w:top="1134" w:right="1134" w:bottom="567" w:left="1134" w:header="567"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54990" w14:textId="77777777" w:rsidR="006840BC" w:rsidRDefault="006840BC" w:rsidP="00066DE7">
      <w:r>
        <w:separator/>
      </w:r>
    </w:p>
    <w:p w14:paraId="66E42128" w14:textId="77777777" w:rsidR="006840BC" w:rsidRDefault="006840BC"/>
  </w:endnote>
  <w:endnote w:type="continuationSeparator" w:id="0">
    <w:p w14:paraId="13501A3C" w14:textId="77777777" w:rsidR="006840BC" w:rsidRDefault="006840BC" w:rsidP="00066DE7">
      <w:r>
        <w:continuationSeparator/>
      </w:r>
    </w:p>
    <w:p w14:paraId="030B39C1" w14:textId="77777777" w:rsidR="006840BC" w:rsidRDefault="006840BC"/>
  </w:endnote>
  <w:endnote w:type="continuationNotice" w:id="1">
    <w:p w14:paraId="5C5C0409" w14:textId="77777777" w:rsidR="006840BC" w:rsidRDefault="006840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Jacobs Chronos">
    <w:altName w:val="Cambria"/>
    <w:panose1 w:val="020B0603030503030204"/>
    <w:charset w:val="00"/>
    <w:family w:val="swiss"/>
    <w:pitch w:val="variable"/>
    <w:sig w:usb0="A00000EF" w:usb1="0000E0EB" w:usb2="00000008" w:usb3="00000000" w:csb0="00000001" w:csb1="00000000"/>
    <w:embedRegular r:id="rId1" w:fontKey="{90F949CD-047B-4514-9F8E-82720B875DB9}"/>
    <w:embedBold r:id="rId2" w:fontKey="{F07DC7EF-C1DB-4698-8FC8-DABC7CE5DA6A}"/>
    <w:embedItalic r:id="rId3" w:fontKey="{620B7A83-FDBA-41BC-8D73-D01536EEA75D}"/>
    <w:embedBoldItalic r:id="rId4" w:fontKey="{755CF507-892C-4A75-97EF-53D3094084F1}"/>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Jacobs Chronos Light">
    <w:panose1 w:val="020B0403030503030204"/>
    <w:charset w:val="00"/>
    <w:family w:val="swiss"/>
    <w:pitch w:val="variable"/>
    <w:sig w:usb0="A00000EF" w:usb1="0000E0EB" w:usb2="00000008" w:usb3="00000000" w:csb0="00000001" w:csb1="00000000"/>
    <w:embedRegular r:id="rId5" w:fontKey="{94E294E6-87BC-4551-AD35-181B92C8543A}"/>
    <w:embedBold r:id="rId6" w:fontKey="{C7EDEA16-FC49-4B9E-B008-5EA32BA9D466}"/>
    <w:embedItalic r:id="rId7" w:fontKey="{043A6D7B-C823-475B-AE13-5224AFFBEE88}"/>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8" w:fontKey="{7FFA29C2-4D2D-4C39-AC4A-4CB8BA9FA035}"/>
  </w:font>
  <w:font w:name="Jacobs Chronos Cd">
    <w:altName w:val="Calibri"/>
    <w:panose1 w:val="020B0506030503030204"/>
    <w:charset w:val="00"/>
    <w:family w:val="swiss"/>
    <w:pitch w:val="variable"/>
    <w:sig w:usb0="A00000EF" w:usb1="0000E0EB" w:usb2="00000008" w:usb3="00000000" w:csb0="00000001" w:csb1="00000000"/>
    <w:embedRegular r:id="rId9" w:fontKey="{1EC68AA4-F533-460A-9619-9622D618A083}"/>
    <w:embedBold r:id="rId10" w:fontKey="{B4D2C095-72A2-4618-A51D-B6FC1EF317DF}"/>
    <w:embedItalic r:id="rId11" w:fontKey="{10E9268E-2C99-462E-B726-397980EDF748}"/>
  </w:font>
  <w:font w:name="Consolas">
    <w:panose1 w:val="020B0609020204030204"/>
    <w:charset w:val="00"/>
    <w:family w:val="modern"/>
    <w:pitch w:val="fixed"/>
    <w:sig w:usb0="E00006FF" w:usb1="0000FCFF" w:usb2="00000001" w:usb3="00000000" w:csb0="0000019F" w:csb1="00000000"/>
    <w:embedRegular r:id="rId12" w:fontKey="{8FD42806-C5CB-467A-9213-C6CFBFED6A6C}"/>
  </w:font>
  <w:font w:name="Calibri">
    <w:panose1 w:val="020F0502020204030204"/>
    <w:charset w:val="00"/>
    <w:family w:val="swiss"/>
    <w:pitch w:val="variable"/>
    <w:sig w:usb0="E4002EFF" w:usb1="C200247B" w:usb2="00000009" w:usb3="00000000" w:csb0="000001FF" w:csb1="00000000"/>
    <w:embedRegular r:id="rId13" w:fontKey="{6BEF811F-13F8-4885-84D4-5DA77452D911}"/>
  </w:font>
  <w:font w:name="Segoe UI Symbol">
    <w:panose1 w:val="020B0502040204020203"/>
    <w:charset w:val="00"/>
    <w:family w:val="swiss"/>
    <w:pitch w:val="variable"/>
    <w:sig w:usb0="800001E3" w:usb1="1200FFEF" w:usb2="00040000" w:usb3="00000000" w:csb0="00000001" w:csb1="00000000"/>
    <w:embedRegular r:id="rId14" w:fontKey="{70FF0694-39A7-4F2E-8DC5-3288B86574A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9F22B" w14:textId="4BC36748" w:rsidR="004C5460" w:rsidRDefault="00700591">
    <w:pPr>
      <w:pStyle w:val="Footer"/>
    </w:pPr>
    <w:r>
      <w:rPr>
        <w:rFonts w:hint="eastAsia"/>
        <w:noProof/>
      </w:rPr>
      <mc:AlternateContent>
        <mc:Choice Requires="wps">
          <w:drawing>
            <wp:anchor distT="0" distB="0" distL="114300" distR="114300" simplePos="0" relativeHeight="251644928" behindDoc="0" locked="0" layoutInCell="0" allowOverlap="1" wp14:anchorId="225E22C7" wp14:editId="05740F74">
              <wp:simplePos x="0" y="9403953"/>
              <wp:positionH relativeFrom="page">
                <wp:align>center</wp:align>
              </wp:positionH>
              <wp:positionV relativeFrom="page">
                <wp:align>bottom</wp:align>
              </wp:positionV>
              <wp:extent cx="7772400" cy="463550"/>
              <wp:effectExtent l="0" t="0" r="0" b="12700"/>
              <wp:wrapNone/>
              <wp:docPr id="29" name="Text Box 29" descr="{&quot;HashCode&quot;:-1503706877,&quot;Height&quot;:841.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9EC93A" w14:textId="6AB4FD06" w:rsidR="00700591" w:rsidRPr="00700591" w:rsidRDefault="00700591" w:rsidP="00700591">
                          <w:pPr>
                            <w:jc w:val="center"/>
                            <w:rPr>
                              <w:rFonts w:ascii="Calibri" w:hAnsi="Calibri" w:cs="Calibri"/>
                              <w:color w:val="000000"/>
                              <w:sz w:val="24"/>
                            </w:rPr>
                          </w:pPr>
                          <w:r w:rsidRPr="00700591">
                            <w:rPr>
                              <w:rFonts w:ascii="Calibri" w:hAnsi="Calibri" w:cs="Calibri"/>
                              <w:color w:val="000000"/>
                              <w:sz w:val="24"/>
                            </w:rPr>
                            <w:t>OFFICIAL-Sensitive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225E22C7" id="_x0000_t202" coordsize="21600,21600" o:spt="202" path="m,l,21600r21600,l21600,xe">
              <v:stroke joinstyle="miter"/>
              <v:path gradientshapeok="t" o:connecttype="rect"/>
            </v:shapetype>
            <v:shape id="Text Box 29" o:spid="_x0000_s1031" type="#_x0000_t202" alt="{&quot;HashCode&quot;:-1503706877,&quot;Height&quot;:841.0,&quot;Width&quot;:9999999.0,&quot;Placement&quot;:&quot;Footer&quot;,&quot;Index&quot;:&quot;Primary&quot;,&quot;Section&quot;:1,&quot;Top&quot;:0.0,&quot;Left&quot;:0.0}" style="position:absolute;margin-left:0;margin-top:0;width:612pt;height:36.5pt;z-index:251644928;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" o:allowincell="f" filled="f" stroked="f" strokeweight=".5pt">
              <v:textbox inset=",0,,0">
                <w:txbxContent>
                  <w:p w14:paraId="269EC93A" w14:textId="6AB4FD06" w:rsidR="00700591" w:rsidRPr="00700591" w:rsidRDefault="00700591" w:rsidP="00700591">
                    <w:pPr>
                      <w:jc w:val="center"/>
                      <w:rPr>
                        <w:rFonts w:ascii="Calibri" w:hAnsi="Calibri" w:cs="Calibri"/>
                        <w:color w:val="000000"/>
                        <w:sz w:val="24"/>
                      </w:rPr>
                    </w:pPr>
                    <w:r w:rsidRPr="00700591">
                      <w:rPr>
                        <w:rFonts w:ascii="Calibri" w:hAnsi="Calibri" w:cs="Calibri"/>
                        <w:color w:val="000000"/>
                        <w:sz w:val="24"/>
                      </w:rPr>
                      <w:t>OFFICIAL-Sensitive</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1C870" w14:textId="4F271084" w:rsidR="00BA0541" w:rsidRDefault="00BA0541" w:rsidP="00BA0541"/>
  <w:tbl>
    <w:tblPr>
      <w:tblStyle w:val="TableGrid"/>
      <w:tblW w:w="5000" w:type="pct"/>
      <w:tblBorders>
        <w:top w:val="single" w:sz="4" w:space="0" w:color="231EDC" w:themeColor="accent1"/>
        <w:left w:val="none" w:sz="0" w:space="0" w:color="auto"/>
        <w:bottom w:val="none" w:sz="0" w:space="0" w:color="auto"/>
        <w:right w:val="none" w:sz="0" w:space="0" w:color="auto"/>
        <w:insideV w:val="none" w:sz="0" w:space="0" w:color="auto"/>
      </w:tblBorders>
      <w:tblLook w:val="04A0" w:firstRow="1" w:lastRow="0" w:firstColumn="1" w:lastColumn="0" w:noHBand="0" w:noVBand="1"/>
      <w:tblCaption w:val="Footer table 2"/>
    </w:tblPr>
    <w:tblGrid>
      <w:gridCol w:w="8327"/>
      <w:gridCol w:w="1311"/>
    </w:tblGrid>
    <w:tr w:rsidR="00BA0541" w:rsidRPr="003B766C" w14:paraId="177FBC09" w14:textId="77777777">
      <w:trPr>
        <w:trHeight w:val="737"/>
      </w:trPr>
      <w:tc>
        <w:tcPr>
          <w:tcW w:w="8327" w:type="dxa"/>
          <w:tcBorders>
            <w:top w:val="single" w:sz="2" w:space="0" w:color="231EDC" w:themeColor="accent1"/>
            <w:bottom w:val="nil"/>
          </w:tcBorders>
          <w:tcMar>
            <w:top w:w="113" w:type="dxa"/>
            <w:left w:w="0" w:type="dxa"/>
            <w:right w:w="0" w:type="dxa"/>
          </w:tcMar>
        </w:tcPr>
        <w:p w14:paraId="49E31913" w14:textId="57CDC941" w:rsidR="00BA0541" w:rsidRPr="009F3BD9" w:rsidRDefault="00000000" w:rsidP="00BA0541">
          <w:pPr>
            <w:pStyle w:val="Footer"/>
            <w:spacing w:before="120"/>
          </w:pPr>
          <w:sdt>
            <w:sdtPr>
              <w:alias w:val="[Document number]"/>
              <w:tag w:val="&lt;?xml version=&quot;1.0&quot; encoding=&quot;utf-16&quot;?&gt;&#10;&lt;PrecedentInstruction&gt;&#10;  &lt;Command&gt;DeleteLineIf&lt;/Command&gt;&#10;  &lt;Expression&gt;string.IsNullOrEmpty(obj.DocumentNumber)&lt;/Expression&gt;&#10;  &lt;UpdateAfterVariables /&gt;&#10;&lt;/PrecedentInstruction&gt;"/>
              <w:id w:val="-1696533917"/>
              <w:dataBinding w:xpath="/*[local-name()='root']/*[local-name()='DocumentNumber']" w:storeItemID="{8F33FB8F-8118-4915-86A8-F93B7C2B254E}"/>
              <w:text w:multiLine="1"/>
            </w:sdtPr>
            <w:sdtContent>
              <w:r w:rsidR="00923E25">
                <w:t>Final</w:t>
              </w:r>
            </w:sdtContent>
          </w:sdt>
          <w:r w:rsidR="00BA0541">
            <w:t xml:space="preserve"> </w:t>
          </w:r>
        </w:p>
      </w:tc>
      <w:tc>
        <w:tcPr>
          <w:tcW w:w="1311" w:type="dxa"/>
          <w:tcBorders>
            <w:top w:val="single" w:sz="2" w:space="0" w:color="231EDC" w:themeColor="accent1"/>
            <w:bottom w:val="nil"/>
          </w:tcBorders>
          <w:tcMar>
            <w:top w:w="113" w:type="dxa"/>
            <w:right w:w="0" w:type="dxa"/>
          </w:tcMar>
        </w:tcPr>
        <w:p w14:paraId="2845C412" w14:textId="77777777" w:rsidR="00BA0541" w:rsidRPr="00F970F2" w:rsidRDefault="00BA0541" w:rsidP="00BA0541">
          <w:pPr>
            <w:pStyle w:val="Footer"/>
            <w:spacing w:before="120"/>
            <w:ind w:left="3131" w:hanging="3131"/>
            <w:jc w:val="right"/>
            <w:rPr>
              <w:rFonts w:cs="Arial"/>
              <w:szCs w:val="16"/>
            </w:rPr>
          </w:pPr>
          <w:r w:rsidRPr="00F970F2">
            <w:rPr>
              <w:rFonts w:cs="Arial"/>
              <w:szCs w:val="16"/>
            </w:rPr>
            <w:fldChar w:fldCharType="begin"/>
          </w:r>
          <w:r w:rsidRPr="00F970F2">
            <w:rPr>
              <w:rFonts w:cs="Arial"/>
              <w:szCs w:val="16"/>
            </w:rPr>
            <w:instrText xml:space="preserve"> PAGE   \* MERGEFORMAT </w:instrText>
          </w:r>
          <w:r w:rsidRPr="00F970F2">
            <w:rPr>
              <w:rFonts w:cs="Arial"/>
              <w:szCs w:val="16"/>
            </w:rPr>
            <w:fldChar w:fldCharType="separate"/>
          </w:r>
          <w:r>
            <w:rPr>
              <w:rFonts w:cs="Arial"/>
              <w:szCs w:val="16"/>
            </w:rPr>
            <w:t>i</w:t>
          </w:r>
          <w:r w:rsidRPr="00F970F2">
            <w:rPr>
              <w:rFonts w:cs="Arial"/>
              <w:szCs w:val="16"/>
            </w:rPr>
            <w:fldChar w:fldCharType="end"/>
          </w:r>
        </w:p>
      </w:tc>
    </w:tr>
  </w:tbl>
  <w:p w14:paraId="2F51CD04" w14:textId="6AEFAE6A" w:rsidR="00C61A1D" w:rsidRPr="006902C0" w:rsidRDefault="00C61A1D">
    <w:pPr>
      <w:pStyle w:val="HeaderSpac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FC3D0" w14:textId="06E40AE9" w:rsidR="004C5460" w:rsidRDefault="004C5460">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B0944" w14:textId="76DFA22E" w:rsidR="004C5460" w:rsidRDefault="004C5460">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3C186" w14:textId="63565F69" w:rsidR="00BA0541" w:rsidRDefault="00BA0541" w:rsidP="00BA0541"/>
  <w:tbl>
    <w:tblPr>
      <w:tblStyle w:val="TableGrid"/>
      <w:tblW w:w="5000" w:type="pct"/>
      <w:tblBorders>
        <w:top w:val="single" w:sz="4" w:space="0" w:color="231EDC" w:themeColor="accent1"/>
        <w:left w:val="none" w:sz="0" w:space="0" w:color="auto"/>
        <w:bottom w:val="none" w:sz="0" w:space="0" w:color="auto"/>
        <w:right w:val="none" w:sz="0" w:space="0" w:color="auto"/>
        <w:insideV w:val="none" w:sz="0" w:space="0" w:color="auto"/>
      </w:tblBorders>
      <w:tblLook w:val="04A0" w:firstRow="1" w:lastRow="0" w:firstColumn="1" w:lastColumn="0" w:noHBand="0" w:noVBand="1"/>
      <w:tblCaption w:val="Footer table 2"/>
    </w:tblPr>
    <w:tblGrid>
      <w:gridCol w:w="8327"/>
      <w:gridCol w:w="1311"/>
    </w:tblGrid>
    <w:tr w:rsidR="00BA0541" w:rsidRPr="003B766C" w14:paraId="0BF73324" w14:textId="77777777">
      <w:trPr>
        <w:trHeight w:val="737"/>
      </w:trPr>
      <w:tc>
        <w:tcPr>
          <w:tcW w:w="8327" w:type="dxa"/>
          <w:tcBorders>
            <w:top w:val="single" w:sz="2" w:space="0" w:color="231EDC" w:themeColor="accent1"/>
            <w:bottom w:val="nil"/>
          </w:tcBorders>
          <w:tcMar>
            <w:top w:w="113" w:type="dxa"/>
            <w:left w:w="0" w:type="dxa"/>
            <w:right w:w="0" w:type="dxa"/>
          </w:tcMar>
        </w:tcPr>
        <w:p w14:paraId="36F41C14" w14:textId="0F6A4D6E" w:rsidR="00BA0541" w:rsidRPr="009F3BD9" w:rsidRDefault="00000000" w:rsidP="00BA0541">
          <w:pPr>
            <w:pStyle w:val="Footer"/>
            <w:spacing w:before="120"/>
          </w:pPr>
          <w:sdt>
            <w:sdtPr>
              <w:alias w:val="[Document number]"/>
              <w:tag w:val="&lt;?xml version=&quot;1.0&quot; encoding=&quot;utf-16&quot;?&gt;&#10;&lt;PrecedentInstruction&gt;&#10;  &lt;Command&gt;DeleteLineIf&lt;/Command&gt;&#10;  &lt;Expression&gt;string.IsNullOrEmpty(obj.DocumentNumber)&lt;/Expression&gt;&#10;  &lt;UpdateAfterVariables /&gt;&#10;&lt;/PrecedentInstruction&gt;"/>
              <w:id w:val="-1091003654"/>
              <w:dataBinding w:xpath="/*[local-name()='root']/*[local-name()='DocumentNumber']" w:storeItemID="{8F33FB8F-8118-4915-86A8-F93B7C2B254E}"/>
              <w:text w:multiLine="1"/>
            </w:sdtPr>
            <w:sdtContent>
              <w:r w:rsidR="00923E25">
                <w:t>Final</w:t>
              </w:r>
            </w:sdtContent>
          </w:sdt>
          <w:r w:rsidR="00BA0541">
            <w:t xml:space="preserve"> </w:t>
          </w:r>
        </w:p>
      </w:tc>
      <w:tc>
        <w:tcPr>
          <w:tcW w:w="1311" w:type="dxa"/>
          <w:tcBorders>
            <w:top w:val="single" w:sz="2" w:space="0" w:color="231EDC" w:themeColor="accent1"/>
            <w:bottom w:val="nil"/>
          </w:tcBorders>
          <w:tcMar>
            <w:top w:w="113" w:type="dxa"/>
            <w:right w:w="0" w:type="dxa"/>
          </w:tcMar>
        </w:tcPr>
        <w:p w14:paraId="4DE60268" w14:textId="77777777" w:rsidR="00BA0541" w:rsidRPr="00F970F2" w:rsidRDefault="00BA0541" w:rsidP="00BA0541">
          <w:pPr>
            <w:pStyle w:val="Footer"/>
            <w:spacing w:before="120"/>
            <w:ind w:left="3131" w:hanging="3131"/>
            <w:jc w:val="right"/>
            <w:rPr>
              <w:rFonts w:cs="Arial"/>
              <w:szCs w:val="16"/>
            </w:rPr>
          </w:pPr>
          <w:r w:rsidRPr="00F970F2">
            <w:rPr>
              <w:rFonts w:cs="Arial"/>
              <w:szCs w:val="16"/>
            </w:rPr>
            <w:fldChar w:fldCharType="begin"/>
          </w:r>
          <w:r w:rsidRPr="00F970F2">
            <w:rPr>
              <w:rFonts w:cs="Arial"/>
              <w:szCs w:val="16"/>
            </w:rPr>
            <w:instrText xml:space="preserve"> PAGE   \* MERGEFORMAT </w:instrText>
          </w:r>
          <w:r w:rsidRPr="00F970F2">
            <w:rPr>
              <w:rFonts w:cs="Arial"/>
              <w:szCs w:val="16"/>
            </w:rPr>
            <w:fldChar w:fldCharType="separate"/>
          </w:r>
          <w:r>
            <w:rPr>
              <w:rFonts w:cs="Arial"/>
              <w:szCs w:val="16"/>
            </w:rPr>
            <w:t>i</w:t>
          </w:r>
          <w:r w:rsidRPr="00F970F2">
            <w:rPr>
              <w:rFonts w:cs="Arial"/>
              <w:szCs w:val="16"/>
            </w:rPr>
            <w:fldChar w:fldCharType="end"/>
          </w:r>
        </w:p>
      </w:tc>
    </w:tr>
  </w:tbl>
  <w:p w14:paraId="0A61588D" w14:textId="0CBA1677" w:rsidR="001B46EB" w:rsidRPr="006902C0" w:rsidRDefault="001B46EB">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A299" w14:textId="43AEA97C" w:rsidR="004C5460" w:rsidRDefault="004C5460">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EA29C" w14:textId="77777777" w:rsidR="006C0776" w:rsidRDefault="006C0776" w:rsidP="00BA0541"/>
  <w:tbl>
    <w:tblPr>
      <w:tblStyle w:val="TableGrid"/>
      <w:tblW w:w="5000" w:type="pct"/>
      <w:tblBorders>
        <w:top w:val="single" w:sz="4" w:space="0" w:color="231EDC" w:themeColor="accent1"/>
        <w:left w:val="none" w:sz="0" w:space="0" w:color="auto"/>
        <w:bottom w:val="none" w:sz="0" w:space="0" w:color="auto"/>
        <w:right w:val="none" w:sz="0" w:space="0" w:color="auto"/>
        <w:insideV w:val="none" w:sz="0" w:space="0" w:color="auto"/>
      </w:tblBorders>
      <w:tblLook w:val="04A0" w:firstRow="1" w:lastRow="0" w:firstColumn="1" w:lastColumn="0" w:noHBand="0" w:noVBand="1"/>
      <w:tblCaption w:val="Footer table 2"/>
    </w:tblPr>
    <w:tblGrid>
      <w:gridCol w:w="19103"/>
      <w:gridCol w:w="3007"/>
    </w:tblGrid>
    <w:tr w:rsidR="006C0776" w:rsidRPr="003B766C" w14:paraId="0C2F6819" w14:textId="77777777">
      <w:trPr>
        <w:trHeight w:val="737"/>
      </w:trPr>
      <w:tc>
        <w:tcPr>
          <w:tcW w:w="8327" w:type="dxa"/>
          <w:tcBorders>
            <w:top w:val="single" w:sz="2" w:space="0" w:color="231EDC" w:themeColor="accent1"/>
            <w:bottom w:val="nil"/>
          </w:tcBorders>
          <w:tcMar>
            <w:top w:w="113" w:type="dxa"/>
            <w:left w:w="0" w:type="dxa"/>
            <w:right w:w="0" w:type="dxa"/>
          </w:tcMar>
        </w:tcPr>
        <w:p w14:paraId="10F10321" w14:textId="10026B91" w:rsidR="006C0776" w:rsidRPr="009F3BD9" w:rsidRDefault="00000000" w:rsidP="00BA0541">
          <w:pPr>
            <w:pStyle w:val="Footer"/>
            <w:spacing w:before="120"/>
          </w:pPr>
          <w:sdt>
            <w:sdtPr>
              <w:alias w:val="[Document number]"/>
              <w:tag w:val="&lt;?xml version=&quot;1.0&quot; encoding=&quot;utf-16&quot;?&gt;&#10;&lt;PrecedentInstruction&gt;&#10;  &lt;Command&gt;DeleteLineIf&lt;/Command&gt;&#10;  &lt;Expression&gt;string.IsNullOrEmpty(obj.DocumentNumber)&lt;/Expression&gt;&#10;  &lt;UpdateAfterVariables /&gt;&#10;&lt;/PrecedentInstruction&gt;"/>
              <w:id w:val="-1021711038"/>
              <w:dataBinding w:xpath="/*[local-name()='root']/*[local-name()='DocumentNumber']" w:storeItemID="{8F33FB8F-8118-4915-86A8-F93B7C2B254E}"/>
              <w:text w:multiLine="1"/>
            </w:sdtPr>
            <w:sdtContent>
              <w:r w:rsidR="00923E25">
                <w:t>Final</w:t>
              </w:r>
            </w:sdtContent>
          </w:sdt>
          <w:r w:rsidR="006C0776">
            <w:t xml:space="preserve"> </w:t>
          </w:r>
        </w:p>
      </w:tc>
      <w:tc>
        <w:tcPr>
          <w:tcW w:w="1311" w:type="dxa"/>
          <w:tcBorders>
            <w:top w:val="single" w:sz="2" w:space="0" w:color="231EDC" w:themeColor="accent1"/>
            <w:bottom w:val="nil"/>
          </w:tcBorders>
          <w:tcMar>
            <w:top w:w="113" w:type="dxa"/>
            <w:right w:w="0" w:type="dxa"/>
          </w:tcMar>
        </w:tcPr>
        <w:p w14:paraId="0911D545" w14:textId="77777777" w:rsidR="006C0776" w:rsidRPr="00F970F2" w:rsidRDefault="006C0776" w:rsidP="00BA0541">
          <w:pPr>
            <w:pStyle w:val="Footer"/>
            <w:spacing w:before="120"/>
            <w:ind w:left="3131" w:hanging="3131"/>
            <w:jc w:val="right"/>
            <w:rPr>
              <w:rFonts w:cs="Arial"/>
              <w:szCs w:val="16"/>
            </w:rPr>
          </w:pPr>
          <w:r w:rsidRPr="00F970F2">
            <w:rPr>
              <w:rFonts w:cs="Arial"/>
              <w:szCs w:val="16"/>
            </w:rPr>
            <w:fldChar w:fldCharType="begin"/>
          </w:r>
          <w:r w:rsidRPr="00F970F2">
            <w:rPr>
              <w:rFonts w:cs="Arial"/>
              <w:szCs w:val="16"/>
            </w:rPr>
            <w:instrText xml:space="preserve"> PAGE   \* MERGEFORMAT </w:instrText>
          </w:r>
          <w:r w:rsidRPr="00F970F2">
            <w:rPr>
              <w:rFonts w:cs="Arial"/>
              <w:szCs w:val="16"/>
            </w:rPr>
            <w:fldChar w:fldCharType="separate"/>
          </w:r>
          <w:r>
            <w:rPr>
              <w:rFonts w:cs="Arial"/>
              <w:szCs w:val="16"/>
            </w:rPr>
            <w:t>i</w:t>
          </w:r>
          <w:r w:rsidRPr="00F970F2">
            <w:rPr>
              <w:rFonts w:cs="Arial"/>
              <w:szCs w:val="16"/>
            </w:rPr>
            <w:fldChar w:fldCharType="end"/>
          </w:r>
        </w:p>
      </w:tc>
    </w:tr>
  </w:tbl>
  <w:p w14:paraId="11B94B1F" w14:textId="77777777" w:rsidR="00755C8B" w:rsidRDefault="00755C8B">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single" w:sz="4" w:space="0" w:color="231EDC" w:themeColor="accent1"/>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276"/>
      <w:gridCol w:w="8362"/>
    </w:tblGrid>
    <w:tr w:rsidR="000D35CB" w:rsidRPr="007A1ECA" w14:paraId="6F26199E" w14:textId="77777777" w:rsidTr="004678CC">
      <w:trPr>
        <w:trHeight w:val="170"/>
      </w:trPr>
      <w:tc>
        <w:tcPr>
          <w:tcW w:w="1276" w:type="dxa"/>
          <w:tcBorders>
            <w:top w:val="nil"/>
            <w:bottom w:val="single" w:sz="2" w:space="0" w:color="231EDC" w:themeColor="accent1"/>
          </w:tcBorders>
          <w:tcMar>
            <w:top w:w="0" w:type="dxa"/>
            <w:left w:w="0" w:type="dxa"/>
            <w:right w:w="0" w:type="dxa"/>
          </w:tcMar>
          <w:vAlign w:val="center"/>
        </w:tcPr>
        <w:p w14:paraId="4B6A6AD3" w14:textId="748ABD78" w:rsidR="000D35CB" w:rsidRPr="007A1ECA" w:rsidRDefault="000D35CB" w:rsidP="00F23FC0">
          <w:pPr>
            <w:pStyle w:val="Footer"/>
            <w:spacing w:line="216" w:lineRule="auto"/>
          </w:pPr>
        </w:p>
      </w:tc>
      <w:tc>
        <w:tcPr>
          <w:tcW w:w="8362" w:type="dxa"/>
          <w:tcBorders>
            <w:top w:val="nil"/>
            <w:bottom w:val="single" w:sz="2" w:space="0" w:color="231EDC" w:themeColor="accent1"/>
          </w:tcBorders>
          <w:tcMar>
            <w:top w:w="0" w:type="dxa"/>
            <w:right w:w="0" w:type="dxa"/>
          </w:tcMar>
          <w:vAlign w:val="center"/>
        </w:tcPr>
        <w:p w14:paraId="4C90EECD" w14:textId="77777777" w:rsidR="000D35CB" w:rsidRPr="007A1ECA" w:rsidRDefault="000D35CB" w:rsidP="00F23FC0">
          <w:pPr>
            <w:pStyle w:val="Footer"/>
            <w:spacing w:line="216" w:lineRule="auto"/>
          </w:pPr>
        </w:p>
      </w:tc>
    </w:tr>
    <w:tr w:rsidR="000D35CB" w:rsidRPr="007A1ECA" w14:paraId="4C3923DF" w14:textId="77777777" w:rsidTr="00ED7BC5">
      <w:trPr>
        <w:trHeight w:val="737"/>
      </w:trPr>
      <w:tc>
        <w:tcPr>
          <w:tcW w:w="1276" w:type="dxa"/>
          <w:tcBorders>
            <w:top w:val="single" w:sz="2" w:space="0" w:color="231EDC" w:themeColor="accent1"/>
            <w:bottom w:val="nil"/>
          </w:tcBorders>
          <w:tcMar>
            <w:top w:w="113" w:type="dxa"/>
            <w:left w:w="0" w:type="dxa"/>
            <w:right w:w="0" w:type="dxa"/>
          </w:tcMar>
        </w:tcPr>
        <w:p w14:paraId="23B1B8DD" w14:textId="77777777" w:rsidR="000D35CB" w:rsidRPr="007A1ECA" w:rsidRDefault="000D35CB" w:rsidP="00F23FC0">
          <w:pPr>
            <w:pStyle w:val="Footer"/>
            <w:spacing w:line="216" w:lineRule="auto"/>
          </w:pPr>
          <w:r w:rsidRPr="00CF03A0">
            <w:fldChar w:fldCharType="begin"/>
          </w:r>
          <w:r w:rsidRPr="00CF03A0">
            <w:instrText xml:space="preserve"> PAGE  \* MERGEFORMAT </w:instrText>
          </w:r>
          <w:r w:rsidRPr="00CF03A0">
            <w:fldChar w:fldCharType="separate"/>
          </w:r>
          <w:r>
            <w:t>2</w:t>
          </w:r>
          <w:r w:rsidRPr="00CF03A0">
            <w:fldChar w:fldCharType="end"/>
          </w:r>
        </w:p>
      </w:tc>
      <w:tc>
        <w:tcPr>
          <w:tcW w:w="8362" w:type="dxa"/>
          <w:tcBorders>
            <w:top w:val="single" w:sz="2" w:space="0" w:color="231EDC" w:themeColor="accent1"/>
            <w:bottom w:val="nil"/>
          </w:tcBorders>
          <w:tcMar>
            <w:top w:w="113" w:type="dxa"/>
            <w:right w:w="0" w:type="dxa"/>
          </w:tcMar>
        </w:tcPr>
        <w:sdt>
          <w:sdtPr>
            <w:alias w:val="Document number"/>
            <w:tag w:val="&lt;?xml version=&quot;1.0&quot; encoding=&quot;utf-16&quot;?&gt;&#10;&lt;PrecedentInstruction&gt;&#10;  &lt;UpdateAfterVariables /&gt;&#10;&lt;/PrecedentInstruction&gt;"/>
            <w:id w:val="481427028"/>
            <w:placeholder>
              <w:docPart w:val="195C927C45684147BCAAC3D5F76068D4"/>
            </w:placeholder>
            <w:dataBinding w:xpath="/*[local-name()='root']/*[local-name()='DocumentNumber']" w:storeItemID="{8F33FB8F-8118-4915-86A8-F93B7C2B254E}"/>
            <w:text w:multiLine="1"/>
          </w:sdtPr>
          <w:sdtContent>
            <w:p w14:paraId="740DB080" w14:textId="1461AA03" w:rsidR="000D35CB" w:rsidRPr="007A1ECA" w:rsidRDefault="00923E25" w:rsidP="00FC5F07">
              <w:pPr>
                <w:pStyle w:val="Footer"/>
                <w:jc w:val="right"/>
              </w:pPr>
              <w:r>
                <w:t>Final</w:t>
              </w:r>
            </w:p>
          </w:sdtContent>
        </w:sdt>
      </w:tc>
    </w:tr>
  </w:tbl>
  <w:p w14:paraId="47220824" w14:textId="77777777" w:rsidR="000D35CB" w:rsidRPr="007A1ECA" w:rsidRDefault="000D35CB" w:rsidP="00F23FC0">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04F24" w14:textId="76B7C657" w:rsidR="00BE4B8E" w:rsidRDefault="00BE4B8E" w:rsidP="00BE4B8E"/>
  <w:tbl>
    <w:tblPr>
      <w:tblStyle w:val="TableGrid"/>
      <w:tblW w:w="5000" w:type="pct"/>
      <w:tblBorders>
        <w:top w:val="single" w:sz="4" w:space="0" w:color="231EDC" w:themeColor="accent1"/>
        <w:left w:val="none" w:sz="0" w:space="0" w:color="auto"/>
        <w:bottom w:val="none" w:sz="0" w:space="0" w:color="auto"/>
        <w:right w:val="none" w:sz="0" w:space="0" w:color="auto"/>
        <w:insideV w:val="none" w:sz="0" w:space="0" w:color="auto"/>
      </w:tblBorders>
      <w:tblLook w:val="04A0" w:firstRow="1" w:lastRow="0" w:firstColumn="1" w:lastColumn="0" w:noHBand="0" w:noVBand="1"/>
      <w:tblCaption w:val="Footer table 2"/>
    </w:tblPr>
    <w:tblGrid>
      <w:gridCol w:w="8327"/>
      <w:gridCol w:w="1311"/>
    </w:tblGrid>
    <w:tr w:rsidR="00BE4B8E" w:rsidRPr="003B766C" w14:paraId="0870EAD2" w14:textId="77777777">
      <w:trPr>
        <w:trHeight w:val="737"/>
      </w:trPr>
      <w:tc>
        <w:tcPr>
          <w:tcW w:w="8327" w:type="dxa"/>
          <w:tcBorders>
            <w:top w:val="single" w:sz="2" w:space="0" w:color="231EDC" w:themeColor="accent1"/>
            <w:bottom w:val="nil"/>
          </w:tcBorders>
          <w:tcMar>
            <w:top w:w="113" w:type="dxa"/>
            <w:left w:w="0" w:type="dxa"/>
            <w:right w:w="0" w:type="dxa"/>
          </w:tcMar>
        </w:tcPr>
        <w:p w14:paraId="2518E33C" w14:textId="69A0CDE9" w:rsidR="00BE4B8E" w:rsidRPr="009F3BD9" w:rsidRDefault="00000000" w:rsidP="00BE4B8E">
          <w:pPr>
            <w:pStyle w:val="Footer"/>
            <w:spacing w:before="120"/>
          </w:pPr>
          <w:sdt>
            <w:sdtPr>
              <w:alias w:val="[Document number]"/>
              <w:tag w:val="&lt;?xml version=&quot;1.0&quot; encoding=&quot;utf-16&quot;?&gt;&#10;&lt;PrecedentInstruction&gt;&#10;  &lt;Command&gt;DeleteLineIf&lt;/Command&gt;&#10;  &lt;Expression&gt;string.IsNullOrEmpty(obj.DocumentNumber)&lt;/Expression&gt;&#10;  &lt;UpdateAfterVariables /&gt;&#10;&lt;/PrecedentInstruction&gt;"/>
              <w:id w:val="59915813"/>
              <w:dataBinding w:xpath="/*[local-name()='root']/*[local-name()='DocumentNumber']" w:storeItemID="{8F33FB8F-8118-4915-86A8-F93B7C2B254E}"/>
              <w:text w:multiLine="1"/>
            </w:sdtPr>
            <w:sdtContent>
              <w:r w:rsidR="00923E25">
                <w:t>Final</w:t>
              </w:r>
            </w:sdtContent>
          </w:sdt>
          <w:r w:rsidR="00BE4B8E">
            <w:t xml:space="preserve"> </w:t>
          </w:r>
        </w:p>
      </w:tc>
      <w:tc>
        <w:tcPr>
          <w:tcW w:w="1311" w:type="dxa"/>
          <w:tcBorders>
            <w:top w:val="single" w:sz="2" w:space="0" w:color="231EDC" w:themeColor="accent1"/>
            <w:bottom w:val="nil"/>
          </w:tcBorders>
          <w:tcMar>
            <w:top w:w="113" w:type="dxa"/>
            <w:right w:w="0" w:type="dxa"/>
          </w:tcMar>
        </w:tcPr>
        <w:p w14:paraId="46D22F64" w14:textId="77777777" w:rsidR="00BE4B8E" w:rsidRPr="00F970F2" w:rsidRDefault="00BE4B8E" w:rsidP="00BE4B8E">
          <w:pPr>
            <w:pStyle w:val="Footer"/>
            <w:spacing w:before="120"/>
            <w:ind w:left="3131" w:hanging="3131"/>
            <w:jc w:val="right"/>
            <w:rPr>
              <w:rFonts w:cs="Arial"/>
              <w:szCs w:val="16"/>
            </w:rPr>
          </w:pPr>
          <w:r w:rsidRPr="00F970F2">
            <w:rPr>
              <w:rFonts w:cs="Arial"/>
              <w:szCs w:val="16"/>
            </w:rPr>
            <w:fldChar w:fldCharType="begin"/>
          </w:r>
          <w:r w:rsidRPr="00F970F2">
            <w:rPr>
              <w:rFonts w:cs="Arial"/>
              <w:szCs w:val="16"/>
            </w:rPr>
            <w:instrText xml:space="preserve"> PAGE   \* MERGEFORMAT </w:instrText>
          </w:r>
          <w:r w:rsidRPr="00F970F2">
            <w:rPr>
              <w:rFonts w:cs="Arial"/>
              <w:szCs w:val="16"/>
            </w:rPr>
            <w:fldChar w:fldCharType="separate"/>
          </w:r>
          <w:r>
            <w:rPr>
              <w:rFonts w:cs="Arial"/>
              <w:szCs w:val="16"/>
            </w:rPr>
            <w:t>i</w:t>
          </w:r>
          <w:r w:rsidRPr="00F970F2">
            <w:rPr>
              <w:rFonts w:cs="Arial"/>
              <w:szCs w:val="16"/>
            </w:rPr>
            <w:fldChar w:fldCharType="end"/>
          </w:r>
        </w:p>
      </w:tc>
    </w:tr>
  </w:tbl>
  <w:p w14:paraId="1DE3FC2B" w14:textId="0656AF39" w:rsidR="000D35CB" w:rsidRPr="006902C0" w:rsidRDefault="000D35CB">
    <w:pPr>
      <w:pStyle w:val="HeaderSpac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39F88" w14:textId="7AFB65F1" w:rsidR="004C5460" w:rsidRDefault="004C5460">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304B2" w14:textId="64E502A7" w:rsidR="004C5460" w:rsidRDefault="004C54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B5BED" w14:textId="776E5F3F" w:rsidR="004C5460" w:rsidRDefault="00700591">
    <w:pPr>
      <w:pStyle w:val="Footer"/>
    </w:pPr>
    <w:r>
      <w:rPr>
        <w:rFonts w:hint="eastAsia"/>
        <w:noProof/>
      </w:rPr>
      <mc:AlternateContent>
        <mc:Choice Requires="wps">
          <w:drawing>
            <wp:anchor distT="0" distB="0" distL="114300" distR="114300" simplePos="0" relativeHeight="251645952" behindDoc="0" locked="0" layoutInCell="0" allowOverlap="1" wp14:anchorId="6048E759" wp14:editId="42A59265">
              <wp:simplePos x="0" y="0"/>
              <wp:positionH relativeFrom="page">
                <wp:align>center</wp:align>
              </wp:positionH>
              <wp:positionV relativeFrom="page">
                <wp:align>bottom</wp:align>
              </wp:positionV>
              <wp:extent cx="7772400" cy="463550"/>
              <wp:effectExtent l="0" t="0" r="0" b="12700"/>
              <wp:wrapNone/>
              <wp:docPr id="56" name="Text Box 56" descr="{&quot;HashCode&quot;:-1503706877,&quot;Height&quot;:841.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0BABC65" w14:textId="50912A79" w:rsidR="00700591" w:rsidRPr="00700591" w:rsidRDefault="00700591" w:rsidP="00700591">
                          <w:pPr>
                            <w:jc w:val="center"/>
                            <w:rPr>
                              <w:rFonts w:ascii="Calibri" w:hAnsi="Calibri" w:cs="Calibri"/>
                              <w:color w:val="000000"/>
                              <w:sz w:val="24"/>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6048E759" id="_x0000_t202" coordsize="21600,21600" o:spt="202" path="m,l,21600r21600,l21600,xe">
              <v:stroke joinstyle="miter"/>
              <v:path gradientshapeok="t" o:connecttype="rect"/>
            </v:shapetype>
            <v:shape id="Text Box 56" o:spid="_x0000_s1032" type="#_x0000_t202" alt="{&quot;HashCode&quot;:-1503706877,&quot;Height&quot;:841.0,&quot;Width&quot;:9999999.0,&quot;Placement&quot;:&quot;Footer&quot;,&quot;Index&quot;:&quot;FirstPage&quot;,&quot;Section&quot;:1,&quot;Top&quot;:0.0,&quot;Left&quot;:0.0}" style="position:absolute;margin-left:0;margin-top:0;width:612pt;height:36.5pt;z-index:251645952;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" o:allowincell="f" filled="f" stroked="f" strokeweight=".5pt">
              <v:textbox inset=",0,,0">
                <w:txbxContent>
                  <w:p w14:paraId="20BABC65" w14:textId="50912A79" w:rsidR="00700591" w:rsidRPr="00700591" w:rsidRDefault="00700591" w:rsidP="00700591">
                    <w:pPr>
                      <w:jc w:val="center"/>
                      <w:rPr>
                        <w:rFonts w:ascii="Calibri" w:hAnsi="Calibri" w:cs="Calibri"/>
                        <w:color w:val="000000"/>
                        <w:sz w:val="24"/>
                      </w:rPr>
                    </w:pP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649FF" w14:textId="33DD91AA" w:rsidR="003F4D1C" w:rsidRDefault="003F4D1C" w:rsidP="003F4D1C"/>
  <w:tbl>
    <w:tblPr>
      <w:tblStyle w:val="TableGrid"/>
      <w:tblW w:w="5000" w:type="pct"/>
      <w:tblBorders>
        <w:top w:val="single" w:sz="4" w:space="0" w:color="231EDC" w:themeColor="accent1"/>
        <w:left w:val="none" w:sz="0" w:space="0" w:color="auto"/>
        <w:bottom w:val="none" w:sz="0" w:space="0" w:color="auto"/>
        <w:right w:val="none" w:sz="0" w:space="0" w:color="auto"/>
        <w:insideV w:val="none" w:sz="0" w:space="0" w:color="auto"/>
      </w:tblBorders>
      <w:tblLook w:val="04A0" w:firstRow="1" w:lastRow="0" w:firstColumn="1" w:lastColumn="0" w:noHBand="0" w:noVBand="1"/>
      <w:tblCaption w:val="Footer table 2"/>
    </w:tblPr>
    <w:tblGrid>
      <w:gridCol w:w="8327"/>
      <w:gridCol w:w="1311"/>
    </w:tblGrid>
    <w:tr w:rsidR="003F4D1C" w:rsidRPr="003B766C" w14:paraId="16600E34" w14:textId="77777777">
      <w:trPr>
        <w:trHeight w:val="737"/>
      </w:trPr>
      <w:tc>
        <w:tcPr>
          <w:tcW w:w="8327" w:type="dxa"/>
          <w:tcBorders>
            <w:top w:val="single" w:sz="2" w:space="0" w:color="231EDC" w:themeColor="accent1"/>
            <w:bottom w:val="nil"/>
          </w:tcBorders>
          <w:tcMar>
            <w:top w:w="113" w:type="dxa"/>
            <w:left w:w="0" w:type="dxa"/>
            <w:right w:w="0" w:type="dxa"/>
          </w:tcMar>
        </w:tcPr>
        <w:p w14:paraId="5D915C3B" w14:textId="07F65DEC" w:rsidR="003F4D1C" w:rsidRPr="009F3BD9" w:rsidRDefault="00000000" w:rsidP="003F4D1C">
          <w:pPr>
            <w:pStyle w:val="Footer"/>
            <w:spacing w:before="120"/>
          </w:pPr>
          <w:sdt>
            <w:sdtPr>
              <w:alias w:val="[Document number]"/>
              <w:tag w:val="&lt;?xml version=&quot;1.0&quot; encoding=&quot;utf-16&quot;?&gt;&#10;&lt;PrecedentInstruction&gt;&#10;  &lt;Command&gt;DeleteLineIf&lt;/Command&gt;&#10;  &lt;Expression&gt;string.IsNullOrEmpty(obj.DocumentNumber)&lt;/Expression&gt;&#10;  &lt;UpdateAfterVariables /&gt;&#10;&lt;/PrecedentInstruction&gt;"/>
              <w:id w:val="1255859525"/>
              <w:dataBinding w:xpath="/*[local-name()='root']/*[local-name()='DocumentNumber']" w:storeItemID="{8F33FB8F-8118-4915-86A8-F93B7C2B254E}"/>
              <w:text w:multiLine="1"/>
            </w:sdtPr>
            <w:sdtContent>
              <w:r w:rsidR="00923E25">
                <w:t>Final</w:t>
              </w:r>
            </w:sdtContent>
          </w:sdt>
          <w:r w:rsidR="003F4D1C">
            <w:t xml:space="preserve"> </w:t>
          </w:r>
        </w:p>
      </w:tc>
      <w:tc>
        <w:tcPr>
          <w:tcW w:w="1311" w:type="dxa"/>
          <w:tcBorders>
            <w:top w:val="single" w:sz="2" w:space="0" w:color="231EDC" w:themeColor="accent1"/>
            <w:bottom w:val="nil"/>
          </w:tcBorders>
          <w:tcMar>
            <w:top w:w="113" w:type="dxa"/>
            <w:right w:w="0" w:type="dxa"/>
          </w:tcMar>
        </w:tcPr>
        <w:p w14:paraId="2C8C1DCD" w14:textId="77777777" w:rsidR="003F4D1C" w:rsidRPr="00F970F2" w:rsidRDefault="003F4D1C" w:rsidP="003F4D1C">
          <w:pPr>
            <w:pStyle w:val="Footer"/>
            <w:spacing w:before="120"/>
            <w:ind w:left="3131" w:hanging="3131"/>
            <w:jc w:val="right"/>
            <w:rPr>
              <w:rFonts w:cs="Arial"/>
              <w:szCs w:val="16"/>
            </w:rPr>
          </w:pPr>
          <w:r w:rsidRPr="00F970F2">
            <w:rPr>
              <w:rFonts w:cs="Arial"/>
              <w:szCs w:val="16"/>
            </w:rPr>
            <w:fldChar w:fldCharType="begin"/>
          </w:r>
          <w:r w:rsidRPr="00F970F2">
            <w:rPr>
              <w:rFonts w:cs="Arial"/>
              <w:szCs w:val="16"/>
            </w:rPr>
            <w:instrText xml:space="preserve"> PAGE   \* MERGEFORMAT </w:instrText>
          </w:r>
          <w:r w:rsidRPr="00F970F2">
            <w:rPr>
              <w:rFonts w:cs="Arial"/>
              <w:szCs w:val="16"/>
            </w:rPr>
            <w:fldChar w:fldCharType="separate"/>
          </w:r>
          <w:r>
            <w:rPr>
              <w:rFonts w:cs="Arial"/>
              <w:szCs w:val="16"/>
            </w:rPr>
            <w:t>i</w:t>
          </w:r>
          <w:r w:rsidRPr="00F970F2">
            <w:rPr>
              <w:rFonts w:cs="Arial"/>
              <w:szCs w:val="16"/>
            </w:rPr>
            <w:fldChar w:fldCharType="end"/>
          </w:r>
        </w:p>
      </w:tc>
    </w:tr>
  </w:tbl>
  <w:p w14:paraId="5AB82C9C" w14:textId="6EEF05FD" w:rsidR="00C61A1D" w:rsidRPr="006902C0" w:rsidRDefault="00C61A1D" w:rsidP="003F4D1C">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A582E" w14:textId="2D982722" w:rsidR="004C5460" w:rsidRDefault="004C5460">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68247" w14:textId="77777777" w:rsidR="00A22898" w:rsidRDefault="00A22898" w:rsidP="003F4D1C"/>
  <w:tbl>
    <w:tblPr>
      <w:tblStyle w:val="TableGrid"/>
      <w:tblW w:w="5000" w:type="pct"/>
      <w:tblBorders>
        <w:top w:val="single" w:sz="4" w:space="0" w:color="231EDC" w:themeColor="accent1"/>
        <w:left w:val="none" w:sz="0" w:space="0" w:color="auto"/>
        <w:bottom w:val="none" w:sz="0" w:space="0" w:color="auto"/>
        <w:right w:val="none" w:sz="0" w:space="0" w:color="auto"/>
        <w:insideV w:val="none" w:sz="0" w:space="0" w:color="auto"/>
      </w:tblBorders>
      <w:tblLook w:val="04A0" w:firstRow="1" w:lastRow="0" w:firstColumn="1" w:lastColumn="0" w:noHBand="0" w:noVBand="1"/>
      <w:tblCaption w:val="Footer table 2"/>
    </w:tblPr>
    <w:tblGrid>
      <w:gridCol w:w="8327"/>
      <w:gridCol w:w="1311"/>
    </w:tblGrid>
    <w:tr w:rsidR="00A22898" w:rsidRPr="003B766C" w14:paraId="0499C4D1" w14:textId="77777777">
      <w:trPr>
        <w:trHeight w:val="737"/>
      </w:trPr>
      <w:tc>
        <w:tcPr>
          <w:tcW w:w="8327" w:type="dxa"/>
          <w:tcBorders>
            <w:top w:val="single" w:sz="2" w:space="0" w:color="231EDC" w:themeColor="accent1"/>
            <w:bottom w:val="nil"/>
          </w:tcBorders>
          <w:tcMar>
            <w:top w:w="113" w:type="dxa"/>
            <w:left w:w="0" w:type="dxa"/>
            <w:right w:w="0" w:type="dxa"/>
          </w:tcMar>
        </w:tcPr>
        <w:p w14:paraId="1F60ACD8" w14:textId="77777777" w:rsidR="00A22898" w:rsidRPr="009F3BD9" w:rsidRDefault="00000000" w:rsidP="003F4D1C">
          <w:pPr>
            <w:pStyle w:val="Footer"/>
            <w:spacing w:before="120"/>
          </w:pPr>
          <w:sdt>
            <w:sdtPr>
              <w:alias w:val="[Document number]"/>
              <w:tag w:val="&lt;?xml version=&quot;1.0&quot; encoding=&quot;utf-16&quot;?&gt;&#10;&lt;PrecedentInstruction&gt;&#10;  &lt;Command&gt;DeleteLineIf&lt;/Command&gt;&#10;  &lt;Expression&gt;string.IsNullOrEmpty(obj.DocumentNumber)&lt;/Expression&gt;&#10;  &lt;UpdateAfterVariables /&gt;&#10;&lt;/PrecedentInstruction&gt;"/>
              <w:id w:val="392787285"/>
              <w:dataBinding w:xpath="/*[local-name()='root']/*[local-name()='DocumentNumber']" w:storeItemID="{8F33FB8F-8118-4915-86A8-F93B7C2B254E}"/>
              <w:text w:multiLine="1"/>
            </w:sdtPr>
            <w:sdtContent>
              <w:r w:rsidR="00A22898">
                <w:t>Final</w:t>
              </w:r>
            </w:sdtContent>
          </w:sdt>
          <w:r w:rsidR="00A22898">
            <w:t xml:space="preserve"> </w:t>
          </w:r>
        </w:p>
      </w:tc>
      <w:tc>
        <w:tcPr>
          <w:tcW w:w="1311" w:type="dxa"/>
          <w:tcBorders>
            <w:top w:val="single" w:sz="2" w:space="0" w:color="231EDC" w:themeColor="accent1"/>
            <w:bottom w:val="nil"/>
          </w:tcBorders>
          <w:tcMar>
            <w:top w:w="113" w:type="dxa"/>
            <w:right w:w="0" w:type="dxa"/>
          </w:tcMar>
        </w:tcPr>
        <w:p w14:paraId="5AD3A625" w14:textId="62F342D2" w:rsidR="00A22898" w:rsidRPr="00F970F2" w:rsidRDefault="00A22898" w:rsidP="003F4D1C">
          <w:pPr>
            <w:pStyle w:val="Footer"/>
            <w:spacing w:before="120"/>
            <w:ind w:left="3131" w:hanging="3131"/>
            <w:jc w:val="right"/>
            <w:rPr>
              <w:rFonts w:cs="Arial"/>
              <w:szCs w:val="16"/>
            </w:rPr>
          </w:pPr>
        </w:p>
      </w:tc>
    </w:tr>
  </w:tbl>
  <w:p w14:paraId="1A204492" w14:textId="77777777" w:rsidR="00A22898" w:rsidRPr="006902C0" w:rsidRDefault="00A22898" w:rsidP="003F4D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6988A" w14:textId="4173E366" w:rsidR="005516D1" w:rsidRPr="005516D1" w:rsidRDefault="005516D1" w:rsidP="003E5FD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1514A" w14:textId="29551960" w:rsidR="005516D1" w:rsidRPr="005516D1" w:rsidRDefault="00700591" w:rsidP="003E5FDF">
    <w:pPr>
      <w:pStyle w:val="Footer"/>
    </w:pPr>
    <w:r>
      <w:rPr>
        <w:rFonts w:hint="eastAsia"/>
        <w:noProof/>
      </w:rPr>
      <mc:AlternateContent>
        <mc:Choice Requires="wps">
          <w:drawing>
            <wp:anchor distT="0" distB="0" distL="114300" distR="114300" simplePos="0" relativeHeight="251654144" behindDoc="0" locked="0" layoutInCell="0" allowOverlap="1" wp14:anchorId="40BB4161" wp14:editId="18B5B955">
              <wp:simplePos x="0" y="0"/>
              <wp:positionH relativeFrom="page">
                <wp:align>center</wp:align>
              </wp:positionH>
              <wp:positionV relativeFrom="page">
                <wp:align>bottom</wp:align>
              </wp:positionV>
              <wp:extent cx="7772400" cy="463550"/>
              <wp:effectExtent l="0" t="0" r="0" b="12700"/>
              <wp:wrapNone/>
              <wp:docPr id="57" name="Text Box 57" descr="{&quot;HashCode&quot;:-1503706877,&quot;Height&quot;:841.0,&quot;Width&quot;:9999999.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6CEA465" w14:textId="69E1EED7" w:rsidR="00700591" w:rsidRPr="00700591" w:rsidRDefault="00700591" w:rsidP="00700591">
                          <w:pPr>
                            <w:jc w:val="center"/>
                            <w:rPr>
                              <w:rFonts w:ascii="Calibri" w:hAnsi="Calibri" w:cs="Calibri"/>
                              <w:color w:val="000000"/>
                              <w:sz w:val="24"/>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0BB4161" id="_x0000_t202" coordsize="21600,21600" o:spt="202" path="m,l,21600r21600,l21600,xe">
              <v:stroke joinstyle="miter"/>
              <v:path gradientshapeok="t" o:connecttype="rect"/>
            </v:shapetype>
            <v:shape id="Text Box 57" o:spid="_x0000_s1033" type="#_x0000_t202" alt="{&quot;HashCode&quot;:-1503706877,&quot;Height&quot;:841.0,&quot;Width&quot;:9999999.0,&quot;Placement&quot;:&quot;Footer&quot;,&quot;Index&quot;:&quot;Primary&quot;,&quot;Section&quot;:2,&quot;Top&quot;:0.0,&quot;Left&quot;:0.0}" style="position:absolute;margin-left:0;margin-top:0;width:612pt;height:36.5pt;z-index:25165414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DmzffIZAgAALQQAAA4AAAAAAAAAAAAAAAAALgIAAGRycy9lMm9Eb2MueG1sUEsBAi0AFAAGAAgA&#10;AAAhAL4fCrfaAAAABQEAAA8AAAAAAAAAAAAAAAAAcwQAAGRycy9kb3ducmV2LnhtbFBLBQYAAAAA&#10;BAAEAPMAAAB6BQAAAAA=&#10;" o:allowincell="f" filled="f" stroked="f" strokeweight=".5pt">
              <v:textbox inset=",0,,0">
                <w:txbxContent>
                  <w:p w14:paraId="16CEA465" w14:textId="69E1EED7" w:rsidR="00700591" w:rsidRPr="00700591" w:rsidRDefault="00700591" w:rsidP="00700591">
                    <w:pPr>
                      <w:jc w:val="center"/>
                      <w:rPr>
                        <w:rFonts w:ascii="Calibri" w:hAnsi="Calibri" w:cs="Calibri"/>
                        <w:color w:val="000000"/>
                        <w:sz w:val="24"/>
                      </w:rPr>
                    </w:pP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7F952" w14:textId="53F02690" w:rsidR="005516D1" w:rsidRPr="005516D1" w:rsidRDefault="00700591" w:rsidP="003E5FDF">
    <w:pPr>
      <w:pStyle w:val="Footer"/>
    </w:pPr>
    <w:r>
      <w:rPr>
        <w:rFonts w:hint="eastAsia"/>
        <w:noProof/>
      </w:rPr>
      <mc:AlternateContent>
        <mc:Choice Requires="wps">
          <w:drawing>
            <wp:anchor distT="0" distB="0" distL="114300" distR="114300" simplePos="0" relativeHeight="251662336" behindDoc="0" locked="0" layoutInCell="0" allowOverlap="1" wp14:anchorId="3F043FF9" wp14:editId="010058D6">
              <wp:simplePos x="0" y="9403953"/>
              <wp:positionH relativeFrom="page">
                <wp:align>center</wp:align>
              </wp:positionH>
              <wp:positionV relativeFrom="page">
                <wp:align>bottom</wp:align>
              </wp:positionV>
              <wp:extent cx="7772400" cy="463550"/>
              <wp:effectExtent l="0" t="0" r="0" b="12700"/>
              <wp:wrapNone/>
              <wp:docPr id="58" name="Text Box 58" descr="{&quot;HashCode&quot;:-1503706877,&quot;Height&quot;:841.0,&quot;Width&quot;:9999999.0,&quot;Placement&quot;:&quot;Footer&quot;,&quot;Index&quot;:&quot;FirstPage&quot;,&quot;Section&quot;:2,&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CB0AAEC" w14:textId="0ADF46B5" w:rsidR="00700591" w:rsidRPr="00700591" w:rsidRDefault="00700591" w:rsidP="00700591">
                          <w:pPr>
                            <w:jc w:val="center"/>
                            <w:rPr>
                              <w:rFonts w:ascii="Calibri" w:hAnsi="Calibri" w:cs="Calibri"/>
                              <w:color w:val="000000"/>
                              <w:sz w:val="24"/>
                            </w:rPr>
                          </w:pPr>
                          <w:r w:rsidRPr="00700591">
                            <w:rPr>
                              <w:rFonts w:ascii="Calibri" w:hAnsi="Calibri" w:cs="Calibri" w:hint="eastAsia"/>
                              <w:color w:val="000000"/>
                              <w:sz w:val="24"/>
                            </w:rPr>
                            <w:t>OFFICIAL-Sensitive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3F043FF9" id="_x0000_t202" coordsize="21600,21600" o:spt="202" path="m,l,21600r21600,l21600,xe">
              <v:stroke joinstyle="miter"/>
              <v:path gradientshapeok="t" o:connecttype="rect"/>
            </v:shapetype>
            <v:shape id="Text Box 58" o:spid="_x0000_s1034" type="#_x0000_t202" alt="{&quot;HashCode&quot;:-1503706877,&quot;Height&quot;:841.0,&quot;Width&quot;:9999999.0,&quot;Placement&quot;:&quot;Footer&quot;,&quot;Index&quot;:&quot;FirstPage&quot;,&quot;Section&quot;:2,&quot;Top&quot;:0.0,&quot;Left&quot;:0.0}" style="position:absolute;margin-left:0;margin-top:0;width:612pt;height:36.5pt;z-index:251662336;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LRExpsZAgAALQQAAA4AAAAAAAAAAAAAAAAALgIAAGRycy9lMm9Eb2MueG1sUEsBAi0AFAAGAAgA&#10;AAAhAL4fCrfaAAAABQEAAA8AAAAAAAAAAAAAAAAAcwQAAGRycy9kb3ducmV2LnhtbFBLBQYAAAAA&#10;BAAEAPMAAAB6BQAAAAA=&#10;" o:allowincell="f" filled="f" stroked="f" strokeweight=".5pt">
              <v:textbox inset=",0,,0">
                <w:txbxContent>
                  <w:p w14:paraId="0CB0AAEC" w14:textId="0ADF46B5" w:rsidR="00700591" w:rsidRPr="00700591" w:rsidRDefault="00700591" w:rsidP="00700591">
                    <w:pPr>
                      <w:jc w:val="center"/>
                      <w:rPr>
                        <w:rFonts w:ascii="Calibri" w:hAnsi="Calibri" w:cs="Calibri"/>
                        <w:color w:val="000000"/>
                        <w:sz w:val="24"/>
                      </w:rPr>
                    </w:pPr>
                    <w:r w:rsidRPr="00700591">
                      <w:rPr>
                        <w:rFonts w:ascii="Calibri" w:hAnsi="Calibri" w:cs="Calibri" w:hint="eastAsia"/>
                        <w:color w:val="000000"/>
                        <w:sz w:val="24"/>
                      </w:rPr>
                      <w:t>OFFICIAL-Sensitive</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single" w:sz="4" w:space="0" w:color="231EDC" w:themeColor="accent1"/>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276"/>
      <w:gridCol w:w="8362"/>
    </w:tblGrid>
    <w:tr w:rsidR="00F23FC0" w:rsidRPr="007A1ECA" w14:paraId="705D9E7F" w14:textId="77777777" w:rsidTr="004678CC">
      <w:trPr>
        <w:trHeight w:val="170"/>
      </w:trPr>
      <w:tc>
        <w:tcPr>
          <w:tcW w:w="1276" w:type="dxa"/>
          <w:tcBorders>
            <w:top w:val="nil"/>
            <w:bottom w:val="single" w:sz="2" w:space="0" w:color="231EDC" w:themeColor="accent1"/>
          </w:tcBorders>
          <w:tcMar>
            <w:top w:w="0" w:type="dxa"/>
            <w:left w:w="0" w:type="dxa"/>
            <w:right w:w="0" w:type="dxa"/>
          </w:tcMar>
          <w:vAlign w:val="center"/>
        </w:tcPr>
        <w:p w14:paraId="7601C611" w14:textId="53179C42" w:rsidR="00F23FC0" w:rsidRPr="007A1ECA" w:rsidRDefault="00F23FC0" w:rsidP="00F23FC0">
          <w:pPr>
            <w:pStyle w:val="Footer"/>
            <w:spacing w:line="216" w:lineRule="auto"/>
          </w:pPr>
        </w:p>
      </w:tc>
      <w:tc>
        <w:tcPr>
          <w:tcW w:w="8362" w:type="dxa"/>
          <w:tcBorders>
            <w:top w:val="nil"/>
            <w:bottom w:val="single" w:sz="2" w:space="0" w:color="231EDC" w:themeColor="accent1"/>
          </w:tcBorders>
          <w:tcMar>
            <w:top w:w="0" w:type="dxa"/>
            <w:right w:w="0" w:type="dxa"/>
          </w:tcMar>
          <w:vAlign w:val="center"/>
        </w:tcPr>
        <w:p w14:paraId="3D1882C5" w14:textId="77777777" w:rsidR="00F23FC0" w:rsidRPr="007A1ECA" w:rsidRDefault="00F23FC0" w:rsidP="00F23FC0">
          <w:pPr>
            <w:pStyle w:val="Footer"/>
            <w:spacing w:line="216" w:lineRule="auto"/>
          </w:pPr>
        </w:p>
      </w:tc>
    </w:tr>
    <w:tr w:rsidR="00F23FC0" w:rsidRPr="007A1ECA" w14:paraId="58DD8829" w14:textId="77777777" w:rsidTr="00ED7BC5">
      <w:trPr>
        <w:trHeight w:val="737"/>
      </w:trPr>
      <w:tc>
        <w:tcPr>
          <w:tcW w:w="1276" w:type="dxa"/>
          <w:tcBorders>
            <w:top w:val="single" w:sz="2" w:space="0" w:color="231EDC" w:themeColor="accent1"/>
            <w:bottom w:val="nil"/>
          </w:tcBorders>
          <w:tcMar>
            <w:top w:w="113" w:type="dxa"/>
            <w:left w:w="0" w:type="dxa"/>
            <w:right w:w="0" w:type="dxa"/>
          </w:tcMar>
        </w:tcPr>
        <w:p w14:paraId="529673A8" w14:textId="77777777" w:rsidR="00F23FC0" w:rsidRPr="007A1ECA" w:rsidRDefault="00F23FC0" w:rsidP="00F23FC0">
          <w:pPr>
            <w:pStyle w:val="Footer"/>
            <w:spacing w:line="216" w:lineRule="auto"/>
          </w:pPr>
          <w:r w:rsidRPr="00CF03A0">
            <w:fldChar w:fldCharType="begin"/>
          </w:r>
          <w:r w:rsidRPr="00CF03A0">
            <w:instrText xml:space="preserve"> PAGE  \* MERGEFORMAT </w:instrText>
          </w:r>
          <w:r w:rsidRPr="00CF03A0">
            <w:fldChar w:fldCharType="separate"/>
          </w:r>
          <w:r>
            <w:t>2</w:t>
          </w:r>
          <w:r w:rsidRPr="00CF03A0">
            <w:fldChar w:fldCharType="end"/>
          </w:r>
        </w:p>
      </w:tc>
      <w:tc>
        <w:tcPr>
          <w:tcW w:w="8362" w:type="dxa"/>
          <w:tcBorders>
            <w:top w:val="single" w:sz="2" w:space="0" w:color="231EDC" w:themeColor="accent1"/>
            <w:bottom w:val="nil"/>
          </w:tcBorders>
          <w:tcMar>
            <w:top w:w="113" w:type="dxa"/>
            <w:right w:w="0" w:type="dxa"/>
          </w:tcMar>
        </w:tcPr>
        <w:sdt>
          <w:sdtPr>
            <w:alias w:val="Document number"/>
            <w:tag w:val="&lt;?xml version=&quot;1.0&quot; encoding=&quot;utf-16&quot;?&gt;&#10;&lt;PrecedentInstruction&gt;&#10;  &lt;UpdateAfterVariables /&gt;&#10;&lt;/PrecedentInstruction&gt;"/>
            <w:id w:val="1104621160"/>
            <w:placeholder>
              <w:docPart w:val="FE9C86D9E9B941908EC1140CC995E1E8"/>
            </w:placeholder>
            <w:dataBinding w:xpath="/*[local-name()='root']/*[local-name()='DocumentNumber']" w:storeItemID="{8F33FB8F-8118-4915-86A8-F93B7C2B254E}"/>
            <w:text w:multiLine="1"/>
          </w:sdtPr>
          <w:sdtContent>
            <w:p w14:paraId="70DFE83E" w14:textId="2ECFA1EF" w:rsidR="005516D1" w:rsidRPr="007A1ECA" w:rsidRDefault="00923E25" w:rsidP="00FC5F07">
              <w:pPr>
                <w:pStyle w:val="Footer"/>
                <w:jc w:val="right"/>
              </w:pPr>
              <w:r>
                <w:t>Final</w:t>
              </w:r>
            </w:p>
          </w:sdtContent>
        </w:sdt>
      </w:tc>
    </w:tr>
  </w:tbl>
  <w:p w14:paraId="45BD6DA0" w14:textId="77777777" w:rsidR="00F23FC0" w:rsidRPr="007A1ECA" w:rsidRDefault="00F23FC0" w:rsidP="00F23FC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A5509" w14:textId="10951B00" w:rsidR="00B32CF4" w:rsidRDefault="00B32CF4" w:rsidP="00B32CF4"/>
  <w:tbl>
    <w:tblPr>
      <w:tblStyle w:val="TableGrid"/>
      <w:tblW w:w="5000" w:type="pct"/>
      <w:tblBorders>
        <w:top w:val="single" w:sz="4" w:space="0" w:color="231EDC" w:themeColor="accent1"/>
        <w:left w:val="none" w:sz="0" w:space="0" w:color="auto"/>
        <w:bottom w:val="none" w:sz="0" w:space="0" w:color="auto"/>
        <w:right w:val="none" w:sz="0" w:space="0" w:color="auto"/>
        <w:insideV w:val="none" w:sz="0" w:space="0" w:color="auto"/>
      </w:tblBorders>
      <w:tblLook w:val="04A0" w:firstRow="1" w:lastRow="0" w:firstColumn="1" w:lastColumn="0" w:noHBand="0" w:noVBand="1"/>
      <w:tblCaption w:val="Footer table 2"/>
    </w:tblPr>
    <w:tblGrid>
      <w:gridCol w:w="8327"/>
      <w:gridCol w:w="1311"/>
    </w:tblGrid>
    <w:tr w:rsidR="00B32CF4" w:rsidRPr="003B766C" w14:paraId="4F617993" w14:textId="77777777">
      <w:trPr>
        <w:trHeight w:val="737"/>
      </w:trPr>
      <w:tc>
        <w:tcPr>
          <w:tcW w:w="8327" w:type="dxa"/>
          <w:tcBorders>
            <w:top w:val="single" w:sz="2" w:space="0" w:color="231EDC" w:themeColor="accent1"/>
            <w:bottom w:val="nil"/>
          </w:tcBorders>
          <w:tcMar>
            <w:top w:w="113" w:type="dxa"/>
            <w:left w:w="0" w:type="dxa"/>
            <w:right w:w="0" w:type="dxa"/>
          </w:tcMar>
        </w:tcPr>
        <w:p w14:paraId="258D0CC4" w14:textId="5D96A614" w:rsidR="00B32CF4" w:rsidRPr="009F3BD9" w:rsidRDefault="00000000" w:rsidP="00B32CF4">
          <w:pPr>
            <w:pStyle w:val="Footer"/>
            <w:spacing w:before="120"/>
          </w:pPr>
          <w:sdt>
            <w:sdtPr>
              <w:alias w:val="[Document number]"/>
              <w:tag w:val="&lt;?xml version=&quot;1.0&quot; encoding=&quot;utf-16&quot;?&gt;&#10;&lt;PrecedentInstruction&gt;&#10;  &lt;Command&gt;DeleteLineIf&lt;/Command&gt;&#10;  &lt;Expression&gt;string.IsNullOrEmpty(obj.DocumentNumber)&lt;/Expression&gt;&#10;  &lt;UpdateAfterVariables /&gt;&#10;&lt;/PrecedentInstruction&gt;"/>
              <w:id w:val="-927420962"/>
              <w:dataBinding w:xpath="/*[local-name()='root']/*[local-name()='DocumentNumber']" w:storeItemID="{8F33FB8F-8118-4915-86A8-F93B7C2B254E}"/>
              <w:text w:multiLine="1"/>
            </w:sdtPr>
            <w:sdtContent>
              <w:r w:rsidR="00923E25">
                <w:t>Final</w:t>
              </w:r>
            </w:sdtContent>
          </w:sdt>
          <w:r w:rsidR="00B32CF4">
            <w:t xml:space="preserve"> </w:t>
          </w:r>
        </w:p>
      </w:tc>
      <w:tc>
        <w:tcPr>
          <w:tcW w:w="1311" w:type="dxa"/>
          <w:tcBorders>
            <w:top w:val="single" w:sz="2" w:space="0" w:color="231EDC" w:themeColor="accent1"/>
            <w:bottom w:val="nil"/>
          </w:tcBorders>
          <w:tcMar>
            <w:top w:w="113" w:type="dxa"/>
            <w:right w:w="0" w:type="dxa"/>
          </w:tcMar>
        </w:tcPr>
        <w:p w14:paraId="2F2F9485" w14:textId="77777777" w:rsidR="00B32CF4" w:rsidRPr="00F970F2" w:rsidRDefault="00B32CF4" w:rsidP="00B32CF4">
          <w:pPr>
            <w:pStyle w:val="Footer"/>
            <w:spacing w:before="120"/>
            <w:ind w:left="3131" w:hanging="3131"/>
            <w:jc w:val="right"/>
            <w:rPr>
              <w:rFonts w:cs="Arial"/>
              <w:szCs w:val="16"/>
            </w:rPr>
          </w:pPr>
          <w:r w:rsidRPr="00F970F2">
            <w:rPr>
              <w:rFonts w:cs="Arial"/>
              <w:szCs w:val="16"/>
            </w:rPr>
            <w:fldChar w:fldCharType="begin"/>
          </w:r>
          <w:r w:rsidRPr="00F970F2">
            <w:rPr>
              <w:rFonts w:cs="Arial"/>
              <w:szCs w:val="16"/>
            </w:rPr>
            <w:instrText xml:space="preserve"> PAGE   \* MERGEFORMAT </w:instrText>
          </w:r>
          <w:r w:rsidRPr="00F970F2">
            <w:rPr>
              <w:rFonts w:cs="Arial"/>
              <w:szCs w:val="16"/>
            </w:rPr>
            <w:fldChar w:fldCharType="separate"/>
          </w:r>
          <w:r>
            <w:rPr>
              <w:rFonts w:cs="Arial"/>
              <w:szCs w:val="16"/>
            </w:rPr>
            <w:t>1</w:t>
          </w:r>
          <w:r w:rsidRPr="00F970F2">
            <w:rPr>
              <w:rFonts w:cs="Arial"/>
              <w:szCs w:val="16"/>
            </w:rPr>
            <w:fldChar w:fldCharType="end"/>
          </w:r>
        </w:p>
      </w:tc>
    </w:tr>
  </w:tbl>
  <w:p w14:paraId="322269D7" w14:textId="619E29C0" w:rsidR="00D25740" w:rsidRPr="006902C0" w:rsidRDefault="00D25740">
    <w:pPr>
      <w:pStyle w:val="HeaderSpac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A36D1" w14:textId="342D15E8" w:rsidR="004C5460" w:rsidRDefault="00700591">
    <w:pPr>
      <w:pStyle w:val="Footer"/>
    </w:pPr>
    <w:r>
      <w:rPr>
        <w:rFonts w:hint="eastAsia"/>
        <w:noProof/>
      </w:rPr>
      <mc:AlternateContent>
        <mc:Choice Requires="wps">
          <w:drawing>
            <wp:anchor distT="0" distB="0" distL="114300" distR="114300" simplePos="0" relativeHeight="251670528" behindDoc="0" locked="0" layoutInCell="0" allowOverlap="1" wp14:anchorId="40AE36BB" wp14:editId="103EBB6D">
              <wp:simplePos x="0" y="9403953"/>
              <wp:positionH relativeFrom="page">
                <wp:align>center</wp:align>
              </wp:positionH>
              <wp:positionV relativeFrom="page">
                <wp:align>bottom</wp:align>
              </wp:positionV>
              <wp:extent cx="7772400" cy="463550"/>
              <wp:effectExtent l="0" t="0" r="0" b="12700"/>
              <wp:wrapNone/>
              <wp:docPr id="60" name="Text Box 60" descr="{&quot;HashCode&quot;:-1503706877,&quot;Height&quot;:841.0,&quot;Width&quot;:9999999.0,&quot;Placement&quot;:&quot;Footer&quot;,&quot;Index&quot;:&quot;FirstPage&quot;,&quot;Section&quot;:3,&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790AB76" w14:textId="7B7A29EC" w:rsidR="00700591" w:rsidRPr="00700591" w:rsidRDefault="00700591" w:rsidP="00700591">
                          <w:pPr>
                            <w:jc w:val="center"/>
                            <w:rPr>
                              <w:rFonts w:ascii="Calibri" w:hAnsi="Calibri" w:cs="Calibri"/>
                              <w:color w:val="000000"/>
                              <w:sz w:val="24"/>
                            </w:rPr>
                          </w:pPr>
                          <w:r w:rsidRPr="00700591">
                            <w:rPr>
                              <w:rFonts w:ascii="Calibri" w:hAnsi="Calibri" w:cs="Calibri" w:hint="eastAsia"/>
                              <w:color w:val="000000"/>
                              <w:sz w:val="24"/>
                            </w:rPr>
                            <w:t>OFFICIAL-Sensitive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0AE36BB" id="_x0000_t202" coordsize="21600,21600" o:spt="202" path="m,l,21600r21600,l21600,xe">
              <v:stroke joinstyle="miter"/>
              <v:path gradientshapeok="t" o:connecttype="rect"/>
            </v:shapetype>
            <v:shape id="Text Box 60" o:spid="_x0000_s1035" type="#_x0000_t202" alt="{&quot;HashCode&quot;:-1503706877,&quot;Height&quot;:841.0,&quot;Width&quot;:9999999.0,&quot;Placement&quot;:&quot;Footer&quot;,&quot;Index&quot;:&quot;FirstPage&quot;,&quot;Section&quot;:3,&quot;Top&quot;:0.0,&quot;Left&quot;:0.0}" style="position:absolute;margin-left:0;margin-top:0;width:612pt;height:36.5pt;z-index:251670528;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" o:allowincell="f" filled="f" stroked="f" strokeweight=".5pt">
              <v:textbox inset=",0,,0">
                <w:txbxContent>
                  <w:p w14:paraId="3790AB76" w14:textId="7B7A29EC" w:rsidR="00700591" w:rsidRPr="00700591" w:rsidRDefault="00700591" w:rsidP="00700591">
                    <w:pPr>
                      <w:jc w:val="center"/>
                      <w:rPr>
                        <w:rFonts w:ascii="Calibri" w:hAnsi="Calibri" w:cs="Calibri"/>
                        <w:color w:val="000000"/>
                        <w:sz w:val="24"/>
                      </w:rPr>
                    </w:pPr>
                    <w:r w:rsidRPr="00700591">
                      <w:rPr>
                        <w:rFonts w:ascii="Calibri" w:hAnsi="Calibri" w:cs="Calibri" w:hint="eastAsia"/>
                        <w:color w:val="000000"/>
                        <w:sz w:val="24"/>
                      </w:rPr>
                      <w:t>OFFICIAL-Sensitive</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1ED3F" w14:textId="63BFB4E0" w:rsidR="004C5460" w:rsidRDefault="004C54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9FEAD" w14:textId="77777777" w:rsidR="006840BC" w:rsidRDefault="006840BC" w:rsidP="00066DE7">
      <w:r>
        <w:separator/>
      </w:r>
    </w:p>
    <w:p w14:paraId="433BF72F" w14:textId="77777777" w:rsidR="006840BC" w:rsidRDefault="006840BC"/>
  </w:footnote>
  <w:footnote w:type="continuationSeparator" w:id="0">
    <w:p w14:paraId="3BB7BC71" w14:textId="77777777" w:rsidR="006840BC" w:rsidRDefault="006840BC" w:rsidP="00066DE7">
      <w:r>
        <w:continuationSeparator/>
      </w:r>
    </w:p>
    <w:p w14:paraId="12C510FF" w14:textId="77777777" w:rsidR="006840BC" w:rsidRDefault="006840BC"/>
    <w:p w14:paraId="2D29C73A" w14:textId="77777777" w:rsidR="006840BC" w:rsidRDefault="006840BC"/>
    <w:p w14:paraId="36CCC593" w14:textId="77777777" w:rsidR="006840BC" w:rsidRDefault="006840BC"/>
    <w:p w14:paraId="68C47982" w14:textId="77777777" w:rsidR="006840BC" w:rsidRDefault="006840BC"/>
    <w:p w14:paraId="547659A6" w14:textId="77777777" w:rsidR="006840BC" w:rsidRDefault="006840BC"/>
    <w:p w14:paraId="5B5A24F2" w14:textId="77777777" w:rsidR="006840BC" w:rsidRDefault="006840BC"/>
    <w:p w14:paraId="2C484A7B" w14:textId="77777777" w:rsidR="006840BC" w:rsidRDefault="006840BC"/>
    <w:p w14:paraId="6C5E201B" w14:textId="77777777" w:rsidR="006840BC" w:rsidRDefault="006840BC"/>
  </w:footnote>
  <w:footnote w:type="continuationNotice" w:id="1">
    <w:p w14:paraId="68E75F5B" w14:textId="77777777" w:rsidR="006840BC" w:rsidRDefault="006840BC"/>
  </w:footnote>
  <w:footnote w:id="2">
    <w:p w14:paraId="40BF8422" w14:textId="4A995C51" w:rsidR="001F1796" w:rsidRPr="001F1796" w:rsidRDefault="001F1796">
      <w:pPr>
        <w:pStyle w:val="FootnoteText"/>
        <w:rPr>
          <w:lang w:val="en-US"/>
        </w:rPr>
      </w:pPr>
      <w:r>
        <w:rPr>
          <w:rStyle w:val="FootnoteReference"/>
        </w:rPr>
        <w:footnoteRef/>
      </w:r>
      <w:r>
        <w:t xml:space="preserve"> </w:t>
      </w:r>
      <w:r w:rsidR="00DA748F">
        <w:t>Australian Government Dept of Finance (2023) Commonwealth Evaluation Policy and Toolkit</w:t>
      </w:r>
      <w:r w:rsidR="004A591E">
        <w:t xml:space="preserve">, </w:t>
      </w:r>
      <w:r w:rsidRPr="001F1796">
        <w:t>https://www.finance.gov.au/about-us/news/2021/commonwealth-evaluation-policy-and-toolkit</w:t>
      </w:r>
    </w:p>
  </w:footnote>
  <w:footnote w:id="3">
    <w:p w14:paraId="0A5C88F6" w14:textId="3D78CA97" w:rsidR="007D6410" w:rsidRPr="007D6410" w:rsidRDefault="007D6410">
      <w:pPr>
        <w:pStyle w:val="FootnoteText"/>
        <w:rPr>
          <w:lang w:val="en-US"/>
        </w:rPr>
      </w:pPr>
      <w:r>
        <w:rPr>
          <w:rStyle w:val="FootnoteReference"/>
        </w:rPr>
        <w:footnoteRef/>
      </w:r>
      <w:r>
        <w:t xml:space="preserve"> </w:t>
      </w:r>
      <w:r>
        <w:rPr>
          <w:lang w:val="en-US"/>
        </w:rPr>
        <w:t>Jacobs</w:t>
      </w:r>
      <w:r w:rsidR="00076841">
        <w:rPr>
          <w:lang w:val="en-US"/>
        </w:rPr>
        <w:t xml:space="preserve"> (2023)</w:t>
      </w:r>
      <w:r w:rsidR="000F6D82">
        <w:rPr>
          <w:lang w:val="en-US"/>
        </w:rPr>
        <w:t xml:space="preserve"> Environmental Contribution Tranche 5 Evaluation Plan, Final 15 March 2023</w:t>
      </w:r>
    </w:p>
  </w:footnote>
  <w:footnote w:id="4">
    <w:p w14:paraId="600CEBA3" w14:textId="2715F231" w:rsidR="00165DF1" w:rsidRDefault="00165DF1" w:rsidP="00B3339E">
      <w:pPr>
        <w:pStyle w:val="FootnoteText"/>
      </w:pPr>
      <w:r>
        <w:rPr>
          <w:rStyle w:val="FootnoteReference"/>
        </w:rPr>
        <w:footnoteRef/>
      </w:r>
      <w:r>
        <w:t xml:space="preserve"> Victorian Environmental Flows Monitoring and Assessment Program</w:t>
      </w:r>
    </w:p>
  </w:footnote>
  <w:footnote w:id="5">
    <w:p w14:paraId="6AB8AA9F" w14:textId="17E69FB3" w:rsidR="00165DF1" w:rsidRDefault="00165DF1" w:rsidP="00B3339E">
      <w:pPr>
        <w:pStyle w:val="FootnoteText"/>
      </w:pPr>
      <w:r>
        <w:rPr>
          <w:rStyle w:val="FootnoteReference"/>
        </w:rPr>
        <w:footnoteRef/>
      </w:r>
      <w:r>
        <w:t xml:space="preserve"> Wetland Monitoring and Assessment Program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2DD97" w14:textId="77777777" w:rsidR="00A50E7D" w:rsidRDefault="00372B54" w:rsidP="00AB2F71">
    <w:pPr>
      <w:pStyle w:val="HeaderSpacer"/>
    </w:pPr>
    <w:r>
      <w:rPr>
        <w:noProof/>
      </w:rPr>
      <w:drawing>
        <wp:inline distT="0" distB="0" distL="0" distR="0" wp14:anchorId="2244B535" wp14:editId="40E87205">
          <wp:extent cx="1371600" cy="321107"/>
          <wp:effectExtent l="0" t="0" r="0" b="3175"/>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acobs_logo_rgb_BL.emf"/>
                  <pic:cNvPicPr/>
                </pic:nvPicPr>
                <pic:blipFill>
                  <a:blip r:embed="rId1">
                    <a:extLst>
                      <a:ext uri="{28A0092B-C50C-407E-A947-70E740481C1C}">
                        <a14:useLocalDpi xmlns:a14="http://schemas.microsoft.com/office/drawing/2010/main" val="0"/>
                      </a:ext>
                    </a:extLst>
                  </a:blip>
                  <a:stretch>
                    <a:fillRect/>
                  </a:stretch>
                </pic:blipFill>
                <pic:spPr>
                  <a:xfrm>
                    <a:off x="0" y="0"/>
                    <a:ext cx="1371600" cy="321107"/>
                  </a:xfrm>
                  <a:prstGeom prst="rect">
                    <a:avLst/>
                  </a:prstGeom>
                </pic:spPr>
              </pic:pic>
            </a:graphicData>
          </a:graphic>
        </wp:inline>
      </w:drawing>
    </w:r>
  </w:p>
  <w:p w14:paraId="55558653" w14:textId="7C7C09DA" w:rsidR="00372B54" w:rsidRDefault="00372B54" w:rsidP="002A0C7E"/>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A21A5" w14:textId="5B314458" w:rsidR="00C95399" w:rsidRDefault="00C95399" w:rsidP="00C95399"/>
  <w:tbl>
    <w:tblPr>
      <w:tblStyle w:val="TableGrid"/>
      <w:tblW w:w="5000" w:type="pct"/>
      <w:tblBorders>
        <w:top w:val="none" w:sz="0" w:space="0" w:color="auto"/>
        <w:left w:val="none" w:sz="0" w:space="0" w:color="auto"/>
        <w:bottom w:val="single" w:sz="2" w:space="0" w:color="231EDC" w:themeColor="accent1"/>
        <w:right w:val="none" w:sz="0" w:space="0" w:color="auto"/>
        <w:insideH w:val="none" w:sz="0" w:space="0" w:color="auto"/>
        <w:insideV w:val="none" w:sz="0" w:space="0" w:color="auto"/>
      </w:tblBorders>
      <w:tblLayout w:type="fixed"/>
      <w:tblCellMar>
        <w:left w:w="0" w:type="dxa"/>
        <w:bottom w:w="113" w:type="dxa"/>
        <w:right w:w="0" w:type="dxa"/>
      </w:tblCellMar>
      <w:tblLook w:val="04A0" w:firstRow="1" w:lastRow="0" w:firstColumn="1" w:lastColumn="0" w:noHBand="0" w:noVBand="1"/>
    </w:tblPr>
    <w:tblGrid>
      <w:gridCol w:w="6178"/>
      <w:gridCol w:w="3460"/>
    </w:tblGrid>
    <w:tr w:rsidR="00C95399" w:rsidRPr="00066DE7" w14:paraId="03DDC3A2" w14:textId="77777777">
      <w:trPr>
        <w:trHeight w:val="652"/>
      </w:trPr>
      <w:tc>
        <w:tcPr>
          <w:tcW w:w="6178" w:type="dxa"/>
          <w:vAlign w:val="bottom"/>
        </w:tcPr>
        <w:sdt>
          <w:sdtPr>
            <w:rPr>
              <w:rFonts w:ascii="Arial" w:hAnsi="Arial" w:cs="Arial"/>
            </w:rPr>
            <w:alias w:val="Document title"/>
            <w:tag w:val="Document title"/>
            <w:id w:val="1348371492"/>
            <w:dataBinding w:xpath="/*[local-name()='root']/*[local-name()='DocumentTitle']" w:storeItemID="{8F33FB8F-8118-4915-86A8-F93B7C2B254E}"/>
            <w:text w:multiLine="1"/>
          </w:sdtPr>
          <w:sdtContent>
            <w:p w14:paraId="571997D3" w14:textId="77777777" w:rsidR="00C95399" w:rsidRPr="00B35690" w:rsidRDefault="00C95399" w:rsidP="00C95399">
              <w:pPr>
                <w:pStyle w:val="Header"/>
              </w:pPr>
              <w:r>
                <w:rPr>
                  <w:rFonts w:ascii="Arial" w:hAnsi="Arial" w:cs="Arial"/>
                </w:rPr>
                <w:t>Evaluation of the Fifth Tranche of the Environmental Contribution – 2024 End-Of-Tranche Evaluation</w:t>
              </w:r>
            </w:p>
          </w:sdtContent>
        </w:sdt>
      </w:tc>
      <w:tc>
        <w:tcPr>
          <w:tcW w:w="3460" w:type="dxa"/>
          <w:vAlign w:val="bottom"/>
        </w:tcPr>
        <w:p w14:paraId="0BE24E2D" w14:textId="77777777" w:rsidR="00C95399" w:rsidRPr="00066DE7" w:rsidRDefault="00C95399" w:rsidP="00C95399">
          <w:pPr>
            <w:pStyle w:val="Header"/>
            <w:spacing w:before="120" w:after="120"/>
            <w:jc w:val="right"/>
            <w:rPr>
              <w:b/>
              <w:bCs/>
              <w:sz w:val="18"/>
              <w:szCs w:val="18"/>
            </w:rPr>
          </w:pPr>
          <w:r>
            <w:rPr>
              <w:b/>
              <w:bCs/>
              <w:noProof/>
              <w:sz w:val="18"/>
              <w:szCs w:val="18"/>
            </w:rPr>
            <w:drawing>
              <wp:inline distT="0" distB="0" distL="0" distR="0" wp14:anchorId="31830EAA" wp14:editId="0BD66F72">
                <wp:extent cx="1231392" cy="286512"/>
                <wp:effectExtent l="0" t="0" r="6985" b="0"/>
                <wp:docPr id="2087053961" name="Picture 2087053961" descr="Brand Logo"/>
                <wp:cNvGraphicFramePr/>
                <a:graphic xmlns:a="http://schemas.openxmlformats.org/drawingml/2006/main">
                  <a:graphicData uri="http://schemas.openxmlformats.org/drawingml/2006/picture">
                    <pic:pic xmlns:pic="http://schemas.openxmlformats.org/drawingml/2006/picture">
                      <pic:nvPicPr>
                        <pic:cNvPr id="1" name="Picture 1" descr="Brand Logo"/>
                        <pic:cNvPicPr/>
                      </pic:nvPicPr>
                      <pic:blipFill>
                        <a:blip r:embed="rId1">
                          <a:extLst>
                            <a:ext uri="{28A0092B-C50C-407E-A947-70E740481C1C}">
                              <a14:useLocalDpi xmlns:a14="http://schemas.microsoft.com/office/drawing/2010/main" val="0"/>
                            </a:ext>
                          </a:extLst>
                        </a:blip>
                        <a:stretch>
                          <a:fillRect/>
                        </a:stretch>
                      </pic:blipFill>
                      <pic:spPr>
                        <a:xfrm>
                          <a:off x="0" y="0"/>
                          <a:ext cx="1231392" cy="286512"/>
                        </a:xfrm>
                        <a:prstGeom prst="rect">
                          <a:avLst/>
                        </a:prstGeom>
                      </pic:spPr>
                    </pic:pic>
                  </a:graphicData>
                </a:graphic>
              </wp:inline>
            </w:drawing>
          </w:r>
        </w:p>
      </w:tc>
    </w:tr>
  </w:tbl>
  <w:p w14:paraId="5D997C3B" w14:textId="114B55F7" w:rsidR="001B46EB" w:rsidRPr="00E52712" w:rsidRDefault="001B46EB" w:rsidP="00E97F5E">
    <w:pPr>
      <w:pStyle w:val="HeaderSpac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54BDC" w14:textId="77777777" w:rsidR="00ED5F9A" w:rsidRDefault="00ED5F9A" w:rsidP="00C95399"/>
  <w:tbl>
    <w:tblPr>
      <w:tblStyle w:val="TableGrid"/>
      <w:tblW w:w="5000" w:type="pct"/>
      <w:tblBorders>
        <w:top w:val="none" w:sz="0" w:space="0" w:color="auto"/>
        <w:left w:val="none" w:sz="0" w:space="0" w:color="auto"/>
        <w:bottom w:val="single" w:sz="2" w:space="0" w:color="231EDC" w:themeColor="accent1"/>
        <w:right w:val="none" w:sz="0" w:space="0" w:color="auto"/>
        <w:insideH w:val="none" w:sz="0" w:space="0" w:color="auto"/>
        <w:insideV w:val="none" w:sz="0" w:space="0" w:color="auto"/>
      </w:tblBorders>
      <w:tblLayout w:type="fixed"/>
      <w:tblCellMar>
        <w:left w:w="0" w:type="dxa"/>
        <w:bottom w:w="113" w:type="dxa"/>
        <w:right w:w="0" w:type="dxa"/>
      </w:tblCellMar>
      <w:tblLook w:val="04A0" w:firstRow="1" w:lastRow="0" w:firstColumn="1" w:lastColumn="0" w:noHBand="0" w:noVBand="1"/>
    </w:tblPr>
    <w:tblGrid>
      <w:gridCol w:w="5785"/>
      <w:gridCol w:w="3241"/>
    </w:tblGrid>
    <w:tr w:rsidR="00ED5F9A" w:rsidRPr="00066DE7" w14:paraId="6C2CA051" w14:textId="77777777">
      <w:trPr>
        <w:trHeight w:val="652"/>
      </w:trPr>
      <w:tc>
        <w:tcPr>
          <w:tcW w:w="6178" w:type="dxa"/>
          <w:vAlign w:val="bottom"/>
        </w:tcPr>
        <w:sdt>
          <w:sdtPr>
            <w:rPr>
              <w:rFonts w:ascii="Arial" w:hAnsi="Arial" w:cs="Arial"/>
            </w:rPr>
            <w:alias w:val="Document title"/>
            <w:tag w:val="Document title"/>
            <w:id w:val="-242494379"/>
            <w:dataBinding w:xpath="/*[local-name()='root']/*[local-name()='DocumentTitle']" w:storeItemID="{8F33FB8F-8118-4915-86A8-F93B7C2B254E}"/>
            <w:text w:multiLine="1"/>
          </w:sdtPr>
          <w:sdtContent>
            <w:p w14:paraId="01DBE6BB" w14:textId="77777777" w:rsidR="00ED5F9A" w:rsidRPr="00B35690" w:rsidRDefault="00ED5F9A" w:rsidP="00C95399">
              <w:pPr>
                <w:pStyle w:val="Header"/>
              </w:pPr>
              <w:r>
                <w:rPr>
                  <w:rFonts w:ascii="Arial" w:hAnsi="Arial" w:cs="Arial"/>
                </w:rPr>
                <w:t>Evaluation of the Fifth Tranche of the Environmental Contribution – 2024 End-Of-Tranche Evaluation</w:t>
              </w:r>
            </w:p>
          </w:sdtContent>
        </w:sdt>
      </w:tc>
      <w:tc>
        <w:tcPr>
          <w:tcW w:w="3460" w:type="dxa"/>
          <w:vAlign w:val="bottom"/>
        </w:tcPr>
        <w:p w14:paraId="6C2F4310" w14:textId="77777777" w:rsidR="00ED5F9A" w:rsidRPr="00066DE7" w:rsidRDefault="00ED5F9A" w:rsidP="00C95399">
          <w:pPr>
            <w:pStyle w:val="Header"/>
            <w:spacing w:before="120" w:after="120"/>
            <w:jc w:val="right"/>
            <w:rPr>
              <w:b/>
              <w:bCs/>
              <w:sz w:val="18"/>
              <w:szCs w:val="18"/>
            </w:rPr>
          </w:pPr>
          <w:r>
            <w:rPr>
              <w:b/>
              <w:bCs/>
              <w:noProof/>
              <w:sz w:val="18"/>
              <w:szCs w:val="18"/>
            </w:rPr>
            <w:drawing>
              <wp:inline distT="0" distB="0" distL="0" distR="0" wp14:anchorId="6E99D521" wp14:editId="1E925537">
                <wp:extent cx="1231392" cy="286512"/>
                <wp:effectExtent l="0" t="0" r="6985" b="0"/>
                <wp:docPr id="797378860" name="Picture 797378860" descr="Brand Logo"/>
                <wp:cNvGraphicFramePr/>
                <a:graphic xmlns:a="http://schemas.openxmlformats.org/drawingml/2006/main">
                  <a:graphicData uri="http://schemas.openxmlformats.org/drawingml/2006/picture">
                    <pic:pic xmlns:pic="http://schemas.openxmlformats.org/drawingml/2006/picture">
                      <pic:nvPicPr>
                        <pic:cNvPr id="1" name="Picture 1" descr="Brand Logo"/>
                        <pic:cNvPicPr/>
                      </pic:nvPicPr>
                      <pic:blipFill>
                        <a:blip r:embed="rId1">
                          <a:extLst>
                            <a:ext uri="{28A0092B-C50C-407E-A947-70E740481C1C}">
                              <a14:useLocalDpi xmlns:a14="http://schemas.microsoft.com/office/drawing/2010/main" val="0"/>
                            </a:ext>
                          </a:extLst>
                        </a:blip>
                        <a:stretch>
                          <a:fillRect/>
                        </a:stretch>
                      </pic:blipFill>
                      <pic:spPr>
                        <a:xfrm>
                          <a:off x="0" y="0"/>
                          <a:ext cx="1231392" cy="286512"/>
                        </a:xfrm>
                        <a:prstGeom prst="rect">
                          <a:avLst/>
                        </a:prstGeom>
                      </pic:spPr>
                    </pic:pic>
                  </a:graphicData>
                </a:graphic>
              </wp:inline>
            </w:drawing>
          </w:r>
        </w:p>
      </w:tc>
    </w:tr>
  </w:tbl>
  <w:p w14:paraId="070F3CBD" w14:textId="77777777" w:rsidR="00ED5F9A" w:rsidRPr="00E52712" w:rsidRDefault="00ED5F9A" w:rsidP="00E97F5E">
    <w:pPr>
      <w:pStyle w:val="HeaderSpac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bottom w:val="single" w:sz="2" w:space="0" w:color="231EDC" w:themeColor="accent1"/>
        <w:right w:val="none" w:sz="0" w:space="0" w:color="auto"/>
        <w:insideH w:val="none" w:sz="0" w:space="0" w:color="auto"/>
        <w:insideV w:val="none" w:sz="0" w:space="0" w:color="auto"/>
      </w:tblBorders>
      <w:tblCellMar>
        <w:bottom w:w="108" w:type="dxa"/>
      </w:tblCellMar>
      <w:tblLook w:val="04A0" w:firstRow="1" w:lastRow="0" w:firstColumn="1" w:lastColumn="0" w:noHBand="0" w:noVBand="1"/>
    </w:tblPr>
    <w:tblGrid>
      <w:gridCol w:w="9026"/>
    </w:tblGrid>
    <w:tr w:rsidR="000D35CB" w14:paraId="7BCF0ED6" w14:textId="77777777" w:rsidTr="00BB12DE">
      <w:trPr>
        <w:trHeight w:val="851"/>
      </w:trPr>
      <w:tc>
        <w:tcPr>
          <w:tcW w:w="5000" w:type="pct"/>
          <w:tcMar>
            <w:left w:w="0" w:type="dxa"/>
          </w:tcMar>
          <w:vAlign w:val="bottom"/>
        </w:tcPr>
        <w:p w14:paraId="608F7D84" w14:textId="5E04415D" w:rsidR="000D35CB" w:rsidRPr="00934315" w:rsidRDefault="00000000" w:rsidP="00B64A2E">
          <w:pPr>
            <w:pStyle w:val="Header"/>
            <w:jc w:val="right"/>
          </w:pPr>
          <w:sdt>
            <w:sdtPr>
              <w:alias w:val="Document title"/>
              <w:tag w:val="Document title"/>
              <w:id w:val="-944607694"/>
              <w:placeholder>
                <w:docPart w:val="7691FCBF74FF4CF79569198AAA7F7F94"/>
              </w:placeholder>
              <w:dataBinding w:xpath="/*[local-name()='root']/*[local-name()='DocumentTitle']" w:storeItemID="{8F33FB8F-8118-4915-86A8-F93B7C2B254E}"/>
              <w:text w:multiLine="1"/>
            </w:sdtPr>
            <w:sdtContent>
              <w:r w:rsidR="001C2714">
                <w:t>Evaluation of the Fifth Tranche of the Environmental Contribution – 2024 End-Of-Tranche Evaluation</w:t>
              </w:r>
            </w:sdtContent>
          </w:sdt>
        </w:p>
      </w:tc>
    </w:tr>
  </w:tbl>
  <w:p w14:paraId="5179186F" w14:textId="77777777" w:rsidR="00EB645F" w:rsidRDefault="00000000" w:rsidP="00AB2F71">
    <w:pPr>
      <w:pStyle w:val="HeaderSpacer"/>
      <w:rPr>
        <w:rFonts w:asciiTheme="minorHAnsi" w:hAnsiTheme="minorHAnsi"/>
        <w:color w:val="auto"/>
        <w:sz w:val="20"/>
      </w:rPr>
    </w:pPr>
    <w:r>
      <w:rPr>
        <w:noProof/>
      </w:rPr>
      <w:pict w14:anchorId="1D5B4E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8" type="#_x0000_t136" style="position:absolute;margin-left:0;margin-top:0;width:412.4pt;height:247.45pt;rotation:315;z-index:-25165823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p w14:paraId="2DAB3B5C" w14:textId="77777777" w:rsidR="00EB645F" w:rsidRDefault="00000000" w:rsidP="00AB2F71">
    <w:pPr>
      <w:pStyle w:val="HeaderSpacer"/>
      <w:rPr>
        <w:rFonts w:asciiTheme="minorHAnsi" w:hAnsiTheme="minorHAnsi"/>
        <w:color w:val="auto"/>
        <w:sz w:val="20"/>
      </w:rPr>
    </w:pPr>
    <w:r>
      <w:rPr>
        <w:noProof/>
      </w:rPr>
      <w:pict w14:anchorId="52E58ABA">
        <v:shape id="_x0000_s1049" type="#_x0000_t136" style="position:absolute;margin-left:0;margin-top:0;width:412.4pt;height:247.45pt;rotation:315;z-index:-251658233;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p w14:paraId="1D10F484" w14:textId="77777777" w:rsidR="000D35CB" w:rsidRPr="00E52712" w:rsidRDefault="000D35CB" w:rsidP="00B64A2E">
    <w:pPr>
      <w:pStyle w:val="HeaderSpac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8DCE8" w14:textId="77777777" w:rsidR="00D43D4D" w:rsidRDefault="00D43D4D" w:rsidP="00C95399"/>
  <w:tbl>
    <w:tblPr>
      <w:tblStyle w:val="TableGrid"/>
      <w:tblW w:w="5000" w:type="pct"/>
      <w:tblBorders>
        <w:top w:val="none" w:sz="0" w:space="0" w:color="auto"/>
        <w:left w:val="none" w:sz="0" w:space="0" w:color="auto"/>
        <w:bottom w:val="single" w:sz="2" w:space="0" w:color="231EDC" w:themeColor="accent1"/>
        <w:right w:val="none" w:sz="0" w:space="0" w:color="auto"/>
        <w:insideH w:val="none" w:sz="0" w:space="0" w:color="auto"/>
        <w:insideV w:val="none" w:sz="0" w:space="0" w:color="auto"/>
      </w:tblBorders>
      <w:tblLayout w:type="fixed"/>
      <w:tblCellMar>
        <w:left w:w="0" w:type="dxa"/>
        <w:bottom w:w="113" w:type="dxa"/>
        <w:right w:w="0" w:type="dxa"/>
      </w:tblCellMar>
      <w:tblLook w:val="04A0" w:firstRow="1" w:lastRow="0" w:firstColumn="1" w:lastColumn="0" w:noHBand="0" w:noVBand="1"/>
    </w:tblPr>
    <w:tblGrid>
      <w:gridCol w:w="6178"/>
      <w:gridCol w:w="3460"/>
    </w:tblGrid>
    <w:tr w:rsidR="00D43D4D" w:rsidRPr="00066DE7" w14:paraId="4392E135" w14:textId="77777777">
      <w:trPr>
        <w:trHeight w:val="652"/>
      </w:trPr>
      <w:tc>
        <w:tcPr>
          <w:tcW w:w="6178" w:type="dxa"/>
          <w:vAlign w:val="bottom"/>
        </w:tcPr>
        <w:sdt>
          <w:sdtPr>
            <w:rPr>
              <w:rFonts w:ascii="Arial" w:hAnsi="Arial" w:cs="Arial"/>
            </w:rPr>
            <w:alias w:val="Document title"/>
            <w:tag w:val="Document title"/>
            <w:id w:val="845978752"/>
            <w:dataBinding w:xpath="/*[local-name()='root']/*[local-name()='DocumentTitle']" w:storeItemID="{8F33FB8F-8118-4915-86A8-F93B7C2B254E}"/>
            <w:text w:multiLine="1"/>
          </w:sdtPr>
          <w:sdtContent>
            <w:p w14:paraId="100F5AD8" w14:textId="77777777" w:rsidR="00D43D4D" w:rsidRPr="00B35690" w:rsidRDefault="00D43D4D" w:rsidP="00C95399">
              <w:pPr>
                <w:pStyle w:val="Header"/>
              </w:pPr>
              <w:r>
                <w:rPr>
                  <w:rFonts w:ascii="Arial" w:hAnsi="Arial" w:cs="Arial"/>
                </w:rPr>
                <w:t>Evaluation of the Fifth Tranche of the Environmental Contribution – 2024 End-Of-Tranche Evaluation</w:t>
              </w:r>
            </w:p>
          </w:sdtContent>
        </w:sdt>
      </w:tc>
      <w:tc>
        <w:tcPr>
          <w:tcW w:w="3460" w:type="dxa"/>
          <w:vAlign w:val="bottom"/>
        </w:tcPr>
        <w:p w14:paraId="381CCA8A" w14:textId="77777777" w:rsidR="00D43D4D" w:rsidRPr="00066DE7" w:rsidRDefault="00D43D4D" w:rsidP="00C95399">
          <w:pPr>
            <w:pStyle w:val="Header"/>
            <w:spacing w:before="120" w:after="120"/>
            <w:jc w:val="right"/>
            <w:rPr>
              <w:b/>
              <w:bCs/>
              <w:sz w:val="18"/>
              <w:szCs w:val="18"/>
            </w:rPr>
          </w:pPr>
          <w:r>
            <w:rPr>
              <w:b/>
              <w:bCs/>
              <w:noProof/>
              <w:sz w:val="18"/>
              <w:szCs w:val="18"/>
            </w:rPr>
            <w:drawing>
              <wp:inline distT="0" distB="0" distL="0" distR="0" wp14:anchorId="6283B12B" wp14:editId="7130ADBD">
                <wp:extent cx="1231392" cy="286512"/>
                <wp:effectExtent l="0" t="0" r="6985" b="0"/>
                <wp:docPr id="187785673" name="Picture 187785673" descr="Brand Logo"/>
                <wp:cNvGraphicFramePr/>
                <a:graphic xmlns:a="http://schemas.openxmlformats.org/drawingml/2006/main">
                  <a:graphicData uri="http://schemas.openxmlformats.org/drawingml/2006/picture">
                    <pic:pic xmlns:pic="http://schemas.openxmlformats.org/drawingml/2006/picture">
                      <pic:nvPicPr>
                        <pic:cNvPr id="1" name="Picture 1" descr="Brand Logo"/>
                        <pic:cNvPicPr/>
                      </pic:nvPicPr>
                      <pic:blipFill>
                        <a:blip r:embed="rId1">
                          <a:extLst>
                            <a:ext uri="{28A0092B-C50C-407E-A947-70E740481C1C}">
                              <a14:useLocalDpi xmlns:a14="http://schemas.microsoft.com/office/drawing/2010/main" val="0"/>
                            </a:ext>
                          </a:extLst>
                        </a:blip>
                        <a:stretch>
                          <a:fillRect/>
                        </a:stretch>
                      </pic:blipFill>
                      <pic:spPr>
                        <a:xfrm>
                          <a:off x="0" y="0"/>
                          <a:ext cx="1231392" cy="286512"/>
                        </a:xfrm>
                        <a:prstGeom prst="rect">
                          <a:avLst/>
                        </a:prstGeom>
                      </pic:spPr>
                    </pic:pic>
                  </a:graphicData>
                </a:graphic>
              </wp:inline>
            </w:drawing>
          </w:r>
        </w:p>
      </w:tc>
    </w:tr>
  </w:tbl>
  <w:p w14:paraId="74D67642" w14:textId="77777777" w:rsidR="00D43D4D" w:rsidRPr="00E52712" w:rsidRDefault="00D43D4D" w:rsidP="00E97F5E">
    <w:pPr>
      <w:pStyle w:val="HeaderSpac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F1473" w14:textId="0A4D5EC3" w:rsidR="00BA0541" w:rsidRDefault="00BA0541" w:rsidP="00BA0541"/>
  <w:tbl>
    <w:tblPr>
      <w:tblStyle w:val="TableGrid"/>
      <w:tblW w:w="5000" w:type="pct"/>
      <w:tblBorders>
        <w:top w:val="none" w:sz="0" w:space="0" w:color="auto"/>
        <w:left w:val="none" w:sz="0" w:space="0" w:color="auto"/>
        <w:bottom w:val="single" w:sz="2" w:space="0" w:color="231EDC" w:themeColor="accent1"/>
        <w:right w:val="none" w:sz="0" w:space="0" w:color="auto"/>
        <w:insideH w:val="none" w:sz="0" w:space="0" w:color="auto"/>
        <w:insideV w:val="none" w:sz="0" w:space="0" w:color="auto"/>
      </w:tblBorders>
      <w:tblLayout w:type="fixed"/>
      <w:tblCellMar>
        <w:left w:w="0" w:type="dxa"/>
        <w:bottom w:w="113" w:type="dxa"/>
        <w:right w:w="0" w:type="dxa"/>
      </w:tblCellMar>
      <w:tblLook w:val="04A0" w:firstRow="1" w:lastRow="0" w:firstColumn="1" w:lastColumn="0" w:noHBand="0" w:noVBand="1"/>
    </w:tblPr>
    <w:tblGrid>
      <w:gridCol w:w="6178"/>
      <w:gridCol w:w="3460"/>
    </w:tblGrid>
    <w:tr w:rsidR="00BA0541" w:rsidRPr="00066DE7" w14:paraId="709DEF71" w14:textId="77777777">
      <w:trPr>
        <w:trHeight w:val="652"/>
      </w:trPr>
      <w:tc>
        <w:tcPr>
          <w:tcW w:w="6178" w:type="dxa"/>
          <w:vAlign w:val="bottom"/>
        </w:tcPr>
        <w:sdt>
          <w:sdtPr>
            <w:rPr>
              <w:rFonts w:ascii="Arial" w:hAnsi="Arial" w:cs="Arial"/>
            </w:rPr>
            <w:alias w:val="Document title"/>
            <w:tag w:val="Document title"/>
            <w:id w:val="-857264453"/>
            <w:dataBinding w:xpath="/*[local-name()='root']/*[local-name()='DocumentTitle']" w:storeItemID="{8F33FB8F-8118-4915-86A8-F93B7C2B254E}"/>
            <w:text w:multiLine="1"/>
          </w:sdtPr>
          <w:sdtContent>
            <w:p w14:paraId="57703BCB" w14:textId="77777777" w:rsidR="00BA0541" w:rsidRPr="00B35690" w:rsidRDefault="00BA0541" w:rsidP="00BA0541">
              <w:pPr>
                <w:pStyle w:val="Header"/>
              </w:pPr>
              <w:r>
                <w:rPr>
                  <w:rFonts w:ascii="Arial" w:hAnsi="Arial" w:cs="Arial"/>
                </w:rPr>
                <w:t>Evaluation of the Fifth Tranche of the Environmental Contribution – 2024 End-Of-Tranche Evaluation</w:t>
              </w:r>
            </w:p>
          </w:sdtContent>
        </w:sdt>
      </w:tc>
      <w:tc>
        <w:tcPr>
          <w:tcW w:w="3460" w:type="dxa"/>
          <w:vAlign w:val="bottom"/>
        </w:tcPr>
        <w:p w14:paraId="07B2C78C" w14:textId="77777777" w:rsidR="00BA0541" w:rsidRPr="00066DE7" w:rsidRDefault="00BA0541" w:rsidP="00BA0541">
          <w:pPr>
            <w:pStyle w:val="Header"/>
            <w:spacing w:before="120" w:after="120"/>
            <w:jc w:val="right"/>
            <w:rPr>
              <w:b/>
              <w:bCs/>
              <w:sz w:val="18"/>
              <w:szCs w:val="18"/>
            </w:rPr>
          </w:pPr>
          <w:r>
            <w:rPr>
              <w:b/>
              <w:bCs/>
              <w:noProof/>
              <w:sz w:val="18"/>
              <w:szCs w:val="18"/>
            </w:rPr>
            <w:drawing>
              <wp:inline distT="0" distB="0" distL="0" distR="0" wp14:anchorId="3BCD35FB" wp14:editId="4A9CAF55">
                <wp:extent cx="1231392" cy="286512"/>
                <wp:effectExtent l="0" t="0" r="6985" b="0"/>
                <wp:docPr id="371064656" name="Picture 371064656" descr="Brand Logo"/>
                <wp:cNvGraphicFramePr/>
                <a:graphic xmlns:a="http://schemas.openxmlformats.org/drawingml/2006/main">
                  <a:graphicData uri="http://schemas.openxmlformats.org/drawingml/2006/picture">
                    <pic:pic xmlns:pic="http://schemas.openxmlformats.org/drawingml/2006/picture">
                      <pic:nvPicPr>
                        <pic:cNvPr id="1" name="Picture 1" descr="Brand Logo"/>
                        <pic:cNvPicPr/>
                      </pic:nvPicPr>
                      <pic:blipFill>
                        <a:blip r:embed="rId1">
                          <a:extLst>
                            <a:ext uri="{28A0092B-C50C-407E-A947-70E740481C1C}">
                              <a14:useLocalDpi xmlns:a14="http://schemas.microsoft.com/office/drawing/2010/main" val="0"/>
                            </a:ext>
                          </a:extLst>
                        </a:blip>
                        <a:stretch>
                          <a:fillRect/>
                        </a:stretch>
                      </pic:blipFill>
                      <pic:spPr>
                        <a:xfrm>
                          <a:off x="0" y="0"/>
                          <a:ext cx="1231392" cy="286512"/>
                        </a:xfrm>
                        <a:prstGeom prst="rect">
                          <a:avLst/>
                        </a:prstGeom>
                      </pic:spPr>
                    </pic:pic>
                  </a:graphicData>
                </a:graphic>
              </wp:inline>
            </w:drawing>
          </w:r>
        </w:p>
      </w:tc>
    </w:tr>
  </w:tbl>
  <w:p w14:paraId="73619F09" w14:textId="5CFE9733" w:rsidR="00C61A1D" w:rsidRPr="00E52712" w:rsidRDefault="00C61A1D">
    <w:pPr>
      <w:pStyle w:val="HeaderSpac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C2F99" w14:textId="5FBB2850" w:rsidR="00AB2F71" w:rsidRDefault="00AB2F71" w:rsidP="00AB2F71">
    <w:pPr>
      <w:pStyle w:val="HeaderSpacer"/>
      <w:rPr>
        <w:rFonts w:asciiTheme="minorHAnsi" w:hAnsiTheme="minorHAnsi"/>
        <w:color w:val="auto"/>
        <w:sz w:val="20"/>
      </w:rPr>
    </w:pPr>
  </w:p>
  <w:p w14:paraId="615475D1" w14:textId="77777777" w:rsidR="00C37608" w:rsidRDefault="00C376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43EB5" w14:textId="5460CCBF" w:rsidR="00372B54" w:rsidRDefault="00B04814">
    <w:pPr>
      <w:pStyle w:val="Header"/>
      <w:tabs>
        <w:tab w:val="left" w:pos="3829"/>
        <w:tab w:val="left" w:pos="4150"/>
      </w:tabs>
      <w:jc w:val="right"/>
    </w:pPr>
    <w:r>
      <w:rPr>
        <w:noProof/>
      </w:rPr>
      <w:drawing>
        <wp:inline distT="0" distB="0" distL="0" distR="0" wp14:anchorId="209B9A53" wp14:editId="0C7C1AF4">
          <wp:extent cx="1971675" cy="457200"/>
          <wp:effectExtent l="0" t="0" r="9525" b="0"/>
          <wp:docPr id="6" name="Graphic 6" descr="Brand Cover Logo"/>
          <wp:cNvGraphicFramePr/>
          <a:graphic xmlns:a="http://schemas.openxmlformats.org/drawingml/2006/main">
            <a:graphicData uri="http://schemas.openxmlformats.org/drawingml/2006/picture">
              <pic:pic xmlns:pic="http://schemas.openxmlformats.org/drawingml/2006/picture">
                <pic:nvPicPr>
                  <pic:cNvPr id="6" name="Graphic 6" descr="Brand Cover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971675" cy="457200"/>
                  </a:xfrm>
                  <a:prstGeom prst="rect">
                    <a:avLst/>
                  </a:prstGeom>
                </pic:spPr>
              </pic:pic>
            </a:graphicData>
          </a:graphic>
        </wp:inline>
      </w:drawing>
    </w:r>
  </w:p>
  <w:p w14:paraId="13F678B4" w14:textId="77777777" w:rsidR="00372B54" w:rsidRDefault="00372B54" w:rsidP="00D676D9">
    <w:pPr>
      <w:pStyle w:val="Header"/>
      <w:tabs>
        <w:tab w:val="left" w:pos="4150"/>
      </w:tabs>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E1BB7" w14:textId="76731A81" w:rsidR="00A8503A" w:rsidRPr="00A8503A" w:rsidRDefault="00A8503A" w:rsidP="00F916F3">
    <w:pPr>
      <w:pStyle w:val="Header"/>
      <w:jc w:val="right"/>
    </w:pPr>
  </w:p>
  <w:p w14:paraId="13183012" w14:textId="77777777" w:rsidR="00AB2F71" w:rsidRDefault="00000000" w:rsidP="00AB2F71">
    <w:pPr>
      <w:pStyle w:val="HeaderSpacer"/>
      <w:rPr>
        <w:rFonts w:asciiTheme="minorHAnsi" w:hAnsiTheme="minorHAnsi"/>
        <w:color w:val="auto"/>
        <w:sz w:val="20"/>
      </w:rPr>
    </w:pPr>
    <w:r>
      <w:rPr>
        <w:noProof/>
      </w:rPr>
      <w:pict w14:anchorId="05713C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2" type="#_x0000_t136" style="position:absolute;margin-left:0;margin-top:0;width:412.4pt;height:247.45pt;rotation:315;z-index:-251658239;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p w14:paraId="3C4407FB" w14:textId="77777777" w:rsidR="00AB2F71" w:rsidRDefault="00000000" w:rsidP="00AB2F71">
    <w:pPr>
      <w:pStyle w:val="HeaderSpacer"/>
      <w:rPr>
        <w:rFonts w:asciiTheme="minorHAnsi" w:hAnsiTheme="minorHAnsi"/>
        <w:color w:val="auto"/>
        <w:sz w:val="20"/>
      </w:rPr>
    </w:pPr>
    <w:r>
      <w:rPr>
        <w:noProof/>
      </w:rPr>
      <w:pict w14:anchorId="7CE88FBA">
        <v:shape id="_x0000_s1033" type="#_x0000_t136" style="position:absolute;margin-left:0;margin-top:0;width:412.4pt;height:247.45pt;rotation:315;z-index:-25165823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p w14:paraId="191A1339" w14:textId="77777777" w:rsidR="00A8503A" w:rsidRPr="00A8503A" w:rsidRDefault="00A8503A" w:rsidP="00A8503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73F52" w14:textId="3CB2B52F" w:rsidR="00894C74" w:rsidRDefault="00127CEF" w:rsidP="00046B55">
    <w:pPr>
      <w:pStyle w:val="HeaderSpacer"/>
      <w:jc w:val="right"/>
    </w:pPr>
    <w:r>
      <w:rPr>
        <w:noProof/>
      </w:rPr>
      <w:drawing>
        <wp:inline distT="0" distB="0" distL="0" distR="0" wp14:anchorId="2EDD9894" wp14:editId="06332AB4">
          <wp:extent cx="1971675" cy="457200"/>
          <wp:effectExtent l="0" t="0" r="9525" b="0"/>
          <wp:docPr id="1285229436" name="Graphic 1285229436" descr="Brand Cover Logo"/>
          <wp:cNvGraphicFramePr/>
          <a:graphic xmlns:a="http://schemas.openxmlformats.org/drawingml/2006/main">
            <a:graphicData uri="http://schemas.openxmlformats.org/drawingml/2006/picture">
              <pic:pic xmlns:pic="http://schemas.openxmlformats.org/drawingml/2006/picture">
                <pic:nvPicPr>
                  <pic:cNvPr id="3" name="Graphic 3" descr="Brand Cover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971675" cy="457200"/>
                  </a:xfrm>
                  <a:prstGeom prst="rect">
                    <a:avLst/>
                  </a:prstGeom>
                </pic:spPr>
              </pic:pic>
            </a:graphicData>
          </a:graphic>
        </wp:inline>
      </w:drawing>
    </w:r>
  </w:p>
  <w:p w14:paraId="4294F086" w14:textId="77777777" w:rsidR="00894C74" w:rsidRPr="00017D9E" w:rsidRDefault="00894C74" w:rsidP="00A8503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3C4D5" w14:textId="77777777" w:rsidR="00AB2F71" w:rsidRDefault="00000000" w:rsidP="00AB2F71">
    <w:pPr>
      <w:pStyle w:val="HeaderSpacer"/>
      <w:rPr>
        <w:rFonts w:asciiTheme="minorHAnsi" w:hAnsiTheme="minorHAnsi"/>
        <w:color w:val="auto"/>
        <w:sz w:val="20"/>
      </w:rPr>
    </w:pPr>
    <w:r>
      <w:rPr>
        <w:noProof/>
      </w:rPr>
      <w:pict w14:anchorId="720D6B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6"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p w14:paraId="2D690817" w14:textId="77777777" w:rsidR="00AB2F71" w:rsidRDefault="00000000" w:rsidP="00AB2F71">
    <w:pPr>
      <w:pStyle w:val="HeaderSpacer"/>
      <w:rPr>
        <w:rFonts w:asciiTheme="minorHAnsi" w:hAnsiTheme="minorHAnsi"/>
        <w:color w:val="auto"/>
        <w:sz w:val="20"/>
      </w:rPr>
    </w:pPr>
    <w:r>
      <w:rPr>
        <w:noProof/>
      </w:rPr>
      <w:pict w14:anchorId="7F0AE938">
        <v:shape id="_x0000_s1037" type="#_x0000_t136" style="position:absolute;margin-left:0;margin-top:0;width:412.4pt;height:247.45pt;rotation:315;z-index:-251658237;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p w14:paraId="2A7F1068" w14:textId="77777777" w:rsidR="00547F9A" w:rsidRPr="005516D1" w:rsidRDefault="00547F9A" w:rsidP="003E5FD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bottom w:val="single" w:sz="2" w:space="0" w:color="231EDC" w:themeColor="accent1"/>
        <w:right w:val="none" w:sz="0" w:space="0" w:color="auto"/>
        <w:insideH w:val="none" w:sz="0" w:space="0" w:color="auto"/>
        <w:insideV w:val="none" w:sz="0" w:space="0" w:color="auto"/>
      </w:tblBorders>
      <w:tblCellMar>
        <w:bottom w:w="108" w:type="dxa"/>
      </w:tblCellMar>
      <w:tblLook w:val="04A0" w:firstRow="1" w:lastRow="0" w:firstColumn="1" w:lastColumn="0" w:noHBand="0" w:noVBand="1"/>
    </w:tblPr>
    <w:tblGrid>
      <w:gridCol w:w="9026"/>
    </w:tblGrid>
    <w:tr w:rsidR="00B64A2E" w14:paraId="1CB8372E" w14:textId="77777777" w:rsidTr="00BB12DE">
      <w:trPr>
        <w:trHeight w:val="851"/>
      </w:trPr>
      <w:tc>
        <w:tcPr>
          <w:tcW w:w="5000" w:type="pct"/>
          <w:tcMar>
            <w:left w:w="0" w:type="dxa"/>
          </w:tcMar>
          <w:vAlign w:val="bottom"/>
        </w:tcPr>
        <w:p w14:paraId="7B7A450E" w14:textId="1F2FF189" w:rsidR="00B64A2E" w:rsidRPr="00934315" w:rsidRDefault="00000000" w:rsidP="00B64A2E">
          <w:pPr>
            <w:pStyle w:val="Header"/>
            <w:jc w:val="right"/>
          </w:pPr>
          <w:sdt>
            <w:sdtPr>
              <w:alias w:val="Document title"/>
              <w:tag w:val="Document title"/>
              <w:id w:val="658500831"/>
              <w:placeholder>
                <w:docPart w:val="A6A68A69967048EDA615D5D99260FEE0"/>
              </w:placeholder>
              <w:dataBinding w:xpath="/*[local-name()='root']/*[local-name()='DocumentTitle']" w:storeItemID="{8F33FB8F-8118-4915-86A8-F93B7C2B254E}"/>
              <w:text w:multiLine="1"/>
            </w:sdtPr>
            <w:sdtContent>
              <w:r w:rsidR="001C2714">
                <w:t>Evaluation of the Fifth Tranche of the Environmental Contribution – 2024 End-Of-Tranche Evaluation</w:t>
              </w:r>
            </w:sdtContent>
          </w:sdt>
        </w:p>
      </w:tc>
    </w:tr>
  </w:tbl>
  <w:p w14:paraId="1122DBAC" w14:textId="77777777" w:rsidR="00AB2F71" w:rsidRDefault="00000000" w:rsidP="00AB2F71">
    <w:pPr>
      <w:pStyle w:val="HeaderSpacer"/>
      <w:rPr>
        <w:rFonts w:asciiTheme="minorHAnsi" w:hAnsiTheme="minorHAnsi"/>
        <w:color w:val="auto"/>
        <w:sz w:val="20"/>
      </w:rPr>
    </w:pPr>
    <w:r>
      <w:rPr>
        <w:noProof/>
      </w:rPr>
      <w:pict w14:anchorId="63E2D5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8" type="#_x0000_t136" style="position:absolute;margin-left:0;margin-top:0;width:412.4pt;height:247.45pt;rotation:315;z-index:-25165823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p w14:paraId="587F04E5" w14:textId="77777777" w:rsidR="00AB2F71" w:rsidRDefault="00000000" w:rsidP="00AB2F71">
    <w:pPr>
      <w:pStyle w:val="HeaderSpacer"/>
      <w:rPr>
        <w:rFonts w:asciiTheme="minorHAnsi" w:hAnsiTheme="minorHAnsi"/>
        <w:color w:val="auto"/>
        <w:sz w:val="20"/>
      </w:rPr>
    </w:pPr>
    <w:r>
      <w:rPr>
        <w:noProof/>
      </w:rPr>
      <w:pict w14:anchorId="44B0C7E8">
        <v:shape id="_x0000_s1039" type="#_x0000_t136" style="position:absolute;margin-left:0;margin-top:0;width:412.4pt;height:247.45pt;rotation:315;z-index:-251658235;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p w14:paraId="62299462" w14:textId="77777777" w:rsidR="00B64A2E" w:rsidRPr="00E52712" w:rsidRDefault="00B64A2E" w:rsidP="00B64A2E">
    <w:pPr>
      <w:pStyle w:val="HeaderSpac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568E1" w14:textId="0C359A45" w:rsidR="008F191B" w:rsidRDefault="008F191B" w:rsidP="008F191B"/>
  <w:tbl>
    <w:tblPr>
      <w:tblStyle w:val="TableGrid"/>
      <w:tblW w:w="5000" w:type="pct"/>
      <w:tblBorders>
        <w:top w:val="none" w:sz="0" w:space="0" w:color="auto"/>
        <w:left w:val="none" w:sz="0" w:space="0" w:color="auto"/>
        <w:bottom w:val="single" w:sz="2" w:space="0" w:color="231EDC" w:themeColor="accent1"/>
        <w:right w:val="none" w:sz="0" w:space="0" w:color="auto"/>
        <w:insideH w:val="none" w:sz="0" w:space="0" w:color="auto"/>
        <w:insideV w:val="none" w:sz="0" w:space="0" w:color="auto"/>
      </w:tblBorders>
      <w:tblCellMar>
        <w:left w:w="0" w:type="dxa"/>
        <w:bottom w:w="113" w:type="dxa"/>
        <w:right w:w="0" w:type="dxa"/>
      </w:tblCellMar>
      <w:tblLook w:val="04A0" w:firstRow="1" w:lastRow="0" w:firstColumn="1" w:lastColumn="0" w:noHBand="0" w:noVBand="1"/>
    </w:tblPr>
    <w:tblGrid>
      <w:gridCol w:w="6178"/>
      <w:gridCol w:w="3460"/>
    </w:tblGrid>
    <w:tr w:rsidR="008F191B" w:rsidRPr="00066DE7" w14:paraId="17878325" w14:textId="77777777" w:rsidTr="00B45DCB">
      <w:trPr>
        <w:trHeight w:val="652"/>
      </w:trPr>
      <w:tc>
        <w:tcPr>
          <w:tcW w:w="3205" w:type="pct"/>
          <w:vAlign w:val="bottom"/>
        </w:tcPr>
        <w:sdt>
          <w:sdtPr>
            <w:rPr>
              <w:rFonts w:ascii="Arial" w:hAnsi="Arial" w:cs="Arial"/>
            </w:rPr>
            <w:alias w:val="Document title"/>
            <w:tag w:val="Document title"/>
            <w:id w:val="-879170055"/>
            <w:dataBinding w:xpath="/*[local-name()='root']/*[local-name()='DocumentTitle']" w:storeItemID="{8F33FB8F-8118-4915-86A8-F93B7C2B254E}"/>
            <w:text w:multiLine="1"/>
          </w:sdtPr>
          <w:sdtContent>
            <w:p w14:paraId="09F56113" w14:textId="6FD7E1AE" w:rsidR="008F191B" w:rsidRPr="00B35690" w:rsidRDefault="008F191B" w:rsidP="008F191B">
              <w:pPr>
                <w:pStyle w:val="Header"/>
              </w:pPr>
              <w:r>
                <w:rPr>
                  <w:rFonts w:ascii="Arial" w:hAnsi="Arial" w:cs="Arial"/>
                </w:rPr>
                <w:t>Evaluation of the Fifth Tranche of the Environmental Contribution – 2024 End-Of-Tranche Evaluation</w:t>
              </w:r>
            </w:p>
          </w:sdtContent>
        </w:sdt>
      </w:tc>
      <w:tc>
        <w:tcPr>
          <w:tcW w:w="1795" w:type="pct"/>
          <w:vAlign w:val="bottom"/>
        </w:tcPr>
        <w:p w14:paraId="2599C782" w14:textId="77777777" w:rsidR="008F191B" w:rsidRPr="00066DE7" w:rsidRDefault="008F191B" w:rsidP="008F191B">
          <w:pPr>
            <w:pStyle w:val="Header"/>
            <w:spacing w:before="120" w:after="120"/>
            <w:jc w:val="right"/>
            <w:rPr>
              <w:b/>
              <w:bCs/>
              <w:sz w:val="18"/>
              <w:szCs w:val="18"/>
            </w:rPr>
          </w:pPr>
          <w:r>
            <w:rPr>
              <w:b/>
              <w:bCs/>
              <w:noProof/>
              <w:sz w:val="18"/>
              <w:szCs w:val="18"/>
            </w:rPr>
            <w:drawing>
              <wp:inline distT="0" distB="0" distL="0" distR="0" wp14:anchorId="6C011D6C" wp14:editId="01D2B5AB">
                <wp:extent cx="1231392" cy="286512"/>
                <wp:effectExtent l="0" t="0" r="6985" b="0"/>
                <wp:docPr id="1388343842" name="Picture 1388343842" descr="Brand Logo"/>
                <wp:cNvGraphicFramePr/>
                <a:graphic xmlns:a="http://schemas.openxmlformats.org/drawingml/2006/main">
                  <a:graphicData uri="http://schemas.openxmlformats.org/drawingml/2006/picture">
                    <pic:pic xmlns:pic="http://schemas.openxmlformats.org/drawingml/2006/picture">
                      <pic:nvPicPr>
                        <pic:cNvPr id="1" name="Picture 1" descr="Brand Logo"/>
                        <pic:cNvPicPr/>
                      </pic:nvPicPr>
                      <pic:blipFill>
                        <a:blip r:embed="rId1">
                          <a:extLst>
                            <a:ext uri="{28A0092B-C50C-407E-A947-70E740481C1C}">
                              <a14:useLocalDpi xmlns:a14="http://schemas.microsoft.com/office/drawing/2010/main" val="0"/>
                            </a:ext>
                          </a:extLst>
                        </a:blip>
                        <a:stretch>
                          <a:fillRect/>
                        </a:stretch>
                      </pic:blipFill>
                      <pic:spPr>
                        <a:xfrm>
                          <a:off x="0" y="0"/>
                          <a:ext cx="1231392" cy="286512"/>
                        </a:xfrm>
                        <a:prstGeom prst="rect">
                          <a:avLst/>
                        </a:prstGeom>
                      </pic:spPr>
                    </pic:pic>
                  </a:graphicData>
                </a:graphic>
              </wp:inline>
            </w:drawing>
          </w:r>
        </w:p>
      </w:tc>
    </w:tr>
  </w:tbl>
  <w:p w14:paraId="2FD66C30" w14:textId="3F4E8E17" w:rsidR="00AB2F71" w:rsidRPr="008F191B" w:rsidRDefault="00AB2F71" w:rsidP="008F191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1ED26" w14:textId="3A931C0F" w:rsidR="0088075A" w:rsidRDefault="0088075A" w:rsidP="0088075A"/>
  <w:tbl>
    <w:tblPr>
      <w:tblStyle w:val="TableGrid"/>
      <w:tblW w:w="5000" w:type="pct"/>
      <w:tblBorders>
        <w:top w:val="none" w:sz="0" w:space="0" w:color="auto"/>
        <w:left w:val="none" w:sz="0" w:space="0" w:color="auto"/>
        <w:bottom w:val="single" w:sz="2" w:space="0" w:color="231EDC" w:themeColor="accent1"/>
        <w:right w:val="none" w:sz="0" w:space="0" w:color="auto"/>
        <w:insideH w:val="none" w:sz="0" w:space="0" w:color="auto"/>
        <w:insideV w:val="none" w:sz="0" w:space="0" w:color="auto"/>
      </w:tblBorders>
      <w:tblLayout w:type="fixed"/>
      <w:tblCellMar>
        <w:left w:w="0" w:type="dxa"/>
        <w:bottom w:w="113" w:type="dxa"/>
        <w:right w:w="0" w:type="dxa"/>
      </w:tblCellMar>
      <w:tblLook w:val="04A0" w:firstRow="1" w:lastRow="0" w:firstColumn="1" w:lastColumn="0" w:noHBand="0" w:noVBand="1"/>
    </w:tblPr>
    <w:tblGrid>
      <w:gridCol w:w="5785"/>
      <w:gridCol w:w="3241"/>
    </w:tblGrid>
    <w:tr w:rsidR="0088075A" w:rsidRPr="00066DE7" w14:paraId="4004EF25" w14:textId="77777777">
      <w:trPr>
        <w:trHeight w:val="652"/>
      </w:trPr>
      <w:tc>
        <w:tcPr>
          <w:tcW w:w="6178" w:type="dxa"/>
          <w:vAlign w:val="bottom"/>
        </w:tcPr>
        <w:sdt>
          <w:sdtPr>
            <w:rPr>
              <w:rFonts w:ascii="Arial" w:hAnsi="Arial" w:cs="Arial"/>
            </w:rPr>
            <w:alias w:val="Document title"/>
            <w:tag w:val="Document title"/>
            <w:id w:val="-512767946"/>
            <w:dataBinding w:xpath="/*[local-name()='root']/*[local-name()='DocumentTitle']" w:storeItemID="{8F33FB8F-8118-4915-86A8-F93B7C2B254E}"/>
            <w:text w:multiLine="1"/>
          </w:sdtPr>
          <w:sdtContent>
            <w:p w14:paraId="2F138ACB" w14:textId="77777777" w:rsidR="0088075A" w:rsidRPr="00B35690" w:rsidRDefault="0088075A" w:rsidP="0088075A">
              <w:pPr>
                <w:pStyle w:val="Header"/>
              </w:pPr>
              <w:r>
                <w:rPr>
                  <w:rFonts w:ascii="Arial" w:hAnsi="Arial" w:cs="Arial"/>
                </w:rPr>
                <w:t>Evaluation of the Fifth Tranche of the Environmental Contribution – 2024 End-Of-Tranche Evaluation</w:t>
              </w:r>
            </w:p>
          </w:sdtContent>
        </w:sdt>
      </w:tc>
      <w:tc>
        <w:tcPr>
          <w:tcW w:w="3460" w:type="dxa"/>
          <w:vAlign w:val="bottom"/>
        </w:tcPr>
        <w:p w14:paraId="1BC06C3C" w14:textId="77777777" w:rsidR="0088075A" w:rsidRPr="00066DE7" w:rsidRDefault="0088075A" w:rsidP="0088075A">
          <w:pPr>
            <w:pStyle w:val="Header"/>
            <w:spacing w:before="120" w:after="120"/>
            <w:jc w:val="right"/>
            <w:rPr>
              <w:b/>
              <w:bCs/>
              <w:sz w:val="18"/>
              <w:szCs w:val="18"/>
            </w:rPr>
          </w:pPr>
          <w:r>
            <w:rPr>
              <w:b/>
              <w:bCs/>
              <w:noProof/>
              <w:sz w:val="18"/>
              <w:szCs w:val="18"/>
            </w:rPr>
            <w:drawing>
              <wp:inline distT="0" distB="0" distL="0" distR="0" wp14:anchorId="66F9DE19" wp14:editId="1ACA630A">
                <wp:extent cx="1231392" cy="286512"/>
                <wp:effectExtent l="0" t="0" r="6985" b="0"/>
                <wp:docPr id="1059765996" name="Picture 1059765996" descr="Brand Logo"/>
                <wp:cNvGraphicFramePr/>
                <a:graphic xmlns:a="http://schemas.openxmlformats.org/drawingml/2006/main">
                  <a:graphicData uri="http://schemas.openxmlformats.org/drawingml/2006/picture">
                    <pic:pic xmlns:pic="http://schemas.openxmlformats.org/drawingml/2006/picture">
                      <pic:nvPicPr>
                        <pic:cNvPr id="1" name="Picture 1" descr="Brand Logo"/>
                        <pic:cNvPicPr/>
                      </pic:nvPicPr>
                      <pic:blipFill>
                        <a:blip r:embed="rId1">
                          <a:extLst>
                            <a:ext uri="{28A0092B-C50C-407E-A947-70E740481C1C}">
                              <a14:useLocalDpi xmlns:a14="http://schemas.microsoft.com/office/drawing/2010/main" val="0"/>
                            </a:ext>
                          </a:extLst>
                        </a:blip>
                        <a:stretch>
                          <a:fillRect/>
                        </a:stretch>
                      </pic:blipFill>
                      <pic:spPr>
                        <a:xfrm>
                          <a:off x="0" y="0"/>
                          <a:ext cx="1231392" cy="286512"/>
                        </a:xfrm>
                        <a:prstGeom prst="rect">
                          <a:avLst/>
                        </a:prstGeom>
                      </pic:spPr>
                    </pic:pic>
                  </a:graphicData>
                </a:graphic>
              </wp:inline>
            </w:drawing>
          </w:r>
        </w:p>
      </w:tc>
    </w:tr>
  </w:tbl>
  <w:p w14:paraId="2DCF449E" w14:textId="6A150176" w:rsidR="00704ADC" w:rsidRPr="00E52712" w:rsidRDefault="00704ADC">
    <w:pPr>
      <w:pStyle w:val="HeaderSpacer"/>
    </w:pPr>
  </w:p>
</w:hdr>
</file>

<file path=word/intelligence2.xml><?xml version="1.0" encoding="utf-8"?>
<int2:intelligence xmlns:int2="http://schemas.microsoft.com/office/intelligence/2020/intelligence" xmlns:oel="http://schemas.microsoft.com/office/2019/extlst">
  <int2:observations>
    <int2:textHash int2:hashCode="kByidkXaRxGvMx" int2:id="IY7EX89m">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E24F7"/>
    <w:multiLevelType w:val="multilevel"/>
    <w:tmpl w:val="1ACC8A0C"/>
    <w:styleLink w:val="TableBullets"/>
    <w:lvl w:ilvl="0">
      <w:start w:val="1"/>
      <w:numFmt w:val="bullet"/>
      <w:pStyle w:val="TableBullet"/>
      <w:lvlText w:val=""/>
      <w:lvlJc w:val="left"/>
      <w:pPr>
        <w:ind w:left="284" w:hanging="284"/>
      </w:pPr>
      <w:rPr>
        <w:rFonts w:ascii="Wingdings" w:hAnsi="Wingdings" w:hint="default"/>
      </w:rPr>
    </w:lvl>
    <w:lvl w:ilvl="1">
      <w:start w:val="1"/>
      <w:numFmt w:val="bullet"/>
      <w:pStyle w:val="TableBullet2"/>
      <w:lvlText w:val="-"/>
      <w:lvlJc w:val="left"/>
      <w:pPr>
        <w:ind w:left="567" w:hanging="283"/>
      </w:pPr>
      <w:rPr>
        <w:rFonts w:ascii="Arial" w:hAnsi="Arial" w:hint="default"/>
      </w:rPr>
    </w:lvl>
    <w:lvl w:ilvl="2">
      <w:start w:val="1"/>
      <w:numFmt w:val="bullet"/>
      <w:pStyle w:val="TableBullet3"/>
      <w:lvlText w:val=""/>
      <w:lvlJc w:val="left"/>
      <w:pPr>
        <w:ind w:left="851" w:hanging="284"/>
      </w:pPr>
      <w:rPr>
        <w:rFonts w:ascii="Wingdings" w:hAnsi="Wingdings" w:hint="default"/>
      </w:rPr>
    </w:lvl>
    <w:lvl w:ilvl="3">
      <w:start w:val="1"/>
      <w:numFmt w:val="bullet"/>
      <w:pStyle w:val="TableBullet4"/>
      <w:lvlText w:val="-"/>
      <w:lvlJc w:val="left"/>
      <w:pPr>
        <w:ind w:left="1440" w:hanging="360"/>
      </w:pPr>
      <w:rPr>
        <w:rFonts w:ascii="Jacobs Chronos" w:hAnsi="Jacobs Chronos" w:hint="default"/>
      </w:rPr>
    </w:lvl>
    <w:lvl w:ilvl="4">
      <w:start w:val="1"/>
      <w:numFmt w:val="bullet"/>
      <w:pStyle w:val="TableBullet5"/>
      <w:lvlText w:val=""/>
      <w:lvlJc w:val="left"/>
      <w:pPr>
        <w:ind w:left="1800" w:hanging="360"/>
      </w:pPr>
      <w:rPr>
        <w:rFonts w:ascii="Wingdings" w:hAnsi="Wingdings" w:hint="default"/>
      </w:rPr>
    </w:lvl>
    <w:lvl w:ilvl="5">
      <w:start w:val="1"/>
      <w:numFmt w:val="bullet"/>
      <w:pStyle w:val="TableBullet6"/>
      <w:lvlText w:val="-"/>
      <w:lvlJc w:val="left"/>
      <w:pPr>
        <w:ind w:left="2160" w:hanging="360"/>
      </w:pPr>
      <w:rPr>
        <w:rFonts w:ascii="Jacobs Chronos" w:hAnsi="Jacobs Chronos" w:hint="default"/>
      </w:rPr>
    </w:lvl>
    <w:lvl w:ilvl="6">
      <w:start w:val="1"/>
      <w:numFmt w:val="bullet"/>
      <w:pStyle w:val="TableBullet7"/>
      <w:lvlText w:val=""/>
      <w:lvlJc w:val="left"/>
      <w:pPr>
        <w:ind w:left="2520" w:hanging="360"/>
      </w:pPr>
      <w:rPr>
        <w:rFonts w:ascii="Wingdings" w:hAnsi="Wingdings" w:hint="default"/>
      </w:rPr>
    </w:lvl>
    <w:lvl w:ilvl="7">
      <w:start w:val="1"/>
      <w:numFmt w:val="bullet"/>
      <w:pStyle w:val="TableBullet8"/>
      <w:lvlText w:val=""/>
      <w:lvlJc w:val="left"/>
      <w:pPr>
        <w:ind w:left="2880" w:hanging="360"/>
      </w:pPr>
      <w:rPr>
        <w:rFonts w:ascii="Wingdings" w:hAnsi="Wingdings" w:hint="default"/>
      </w:rPr>
    </w:lvl>
    <w:lvl w:ilvl="8">
      <w:start w:val="1"/>
      <w:numFmt w:val="bullet"/>
      <w:pStyle w:val="TableBullet9"/>
      <w:lvlText w:val=""/>
      <w:lvlJc w:val="left"/>
      <w:pPr>
        <w:ind w:left="3240" w:hanging="360"/>
      </w:pPr>
      <w:rPr>
        <w:rFonts w:ascii="Wingdings" w:hAnsi="Wingdings" w:hint="default"/>
      </w:rPr>
    </w:lvl>
  </w:abstractNum>
  <w:abstractNum w:abstractNumId="1" w15:restartNumberingAfterBreak="0">
    <w:nsid w:val="0AEE08CD"/>
    <w:multiLevelType w:val="hybridMultilevel"/>
    <w:tmpl w:val="27ECEF0E"/>
    <w:styleLink w:val="BodyTextNumbering"/>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E73C3E"/>
    <w:multiLevelType w:val="multilevel"/>
    <w:tmpl w:val="6C26566E"/>
    <w:styleLink w:val="Headings"/>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134" w:hanging="1134"/>
      </w:pPr>
      <w:rPr>
        <w:rFonts w:hint="default"/>
      </w:rPr>
    </w:lvl>
    <w:lvl w:ilvl="7">
      <w:start w:val="1"/>
      <w:numFmt w:val="decimal"/>
      <w:lvlText w:val="%1.%2.%3.%4.%5.%6.%7.%8"/>
      <w:lvlJc w:val="left"/>
      <w:pPr>
        <w:ind w:left="1134" w:hanging="1134"/>
      </w:pPr>
      <w:rPr>
        <w:rFonts w:hint="default"/>
      </w:rPr>
    </w:lvl>
    <w:lvl w:ilvl="8">
      <w:start w:val="1"/>
      <w:numFmt w:val="decimal"/>
      <w:lvlText w:val="%1.%2.%3.%4.%5.%6.%7.%8.%9"/>
      <w:lvlJc w:val="left"/>
      <w:pPr>
        <w:ind w:left="1134" w:hanging="1134"/>
      </w:pPr>
      <w:rPr>
        <w:rFonts w:hint="default"/>
      </w:rPr>
    </w:lvl>
  </w:abstractNum>
  <w:abstractNum w:abstractNumId="3" w15:restartNumberingAfterBreak="0">
    <w:nsid w:val="0C832BEE"/>
    <w:multiLevelType w:val="multilevel"/>
    <w:tmpl w:val="5F86F79A"/>
    <w:styleLink w:val="PhotologNumberList"/>
    <w:lvl w:ilvl="0">
      <w:start w:val="1"/>
      <w:numFmt w:val="decimal"/>
      <w:pStyle w:val="PhotologNumber"/>
      <w:suff w:val="space"/>
      <w:lvlText w:val="Photograph %1:"/>
      <w:lvlJc w:val="left"/>
      <w:pPr>
        <w:ind w:left="360" w:hanging="360"/>
      </w:pPr>
      <w:rPr>
        <w:rFonts w:asciiTheme="majorHAnsi" w:hAnsiTheme="majorHAnsi" w:hint="default"/>
        <w:b/>
        <w:i w:val="0"/>
        <w:color w:val="auto"/>
        <w:sz w:val="20"/>
      </w:rPr>
    </w:lvl>
    <w:lvl w:ilvl="1">
      <w:start w:val="1"/>
      <w:numFmt w:val="lowerLetter"/>
      <w:pStyle w:val="PhotologNumber2"/>
      <w:lvlText w:val="%2)"/>
      <w:lvlJc w:val="left"/>
      <w:pPr>
        <w:ind w:left="720" w:hanging="360"/>
      </w:pPr>
      <w:rPr>
        <w:rFonts w:hint="default"/>
      </w:rPr>
    </w:lvl>
    <w:lvl w:ilvl="2">
      <w:start w:val="1"/>
      <w:numFmt w:val="lowerRoman"/>
      <w:pStyle w:val="PhotologNumber3"/>
      <w:lvlText w:val="%3)"/>
      <w:lvlJc w:val="left"/>
      <w:pPr>
        <w:ind w:left="1080" w:hanging="360"/>
      </w:pPr>
      <w:rPr>
        <w:rFonts w:hint="default"/>
      </w:rPr>
    </w:lvl>
    <w:lvl w:ilvl="3">
      <w:start w:val="1"/>
      <w:numFmt w:val="decimal"/>
      <w:pStyle w:val="PhotologNumber4"/>
      <w:lvlText w:val="(%4)"/>
      <w:lvlJc w:val="left"/>
      <w:pPr>
        <w:ind w:left="1440" w:hanging="360"/>
      </w:pPr>
      <w:rPr>
        <w:rFonts w:hint="default"/>
      </w:rPr>
    </w:lvl>
    <w:lvl w:ilvl="4">
      <w:start w:val="1"/>
      <w:numFmt w:val="lowerLetter"/>
      <w:pStyle w:val="PhotologNumber5"/>
      <w:lvlText w:val="(%5)"/>
      <w:lvlJc w:val="left"/>
      <w:pPr>
        <w:ind w:left="1800" w:hanging="360"/>
      </w:pPr>
      <w:rPr>
        <w:rFonts w:hint="default"/>
      </w:rPr>
    </w:lvl>
    <w:lvl w:ilvl="5">
      <w:start w:val="1"/>
      <w:numFmt w:val="lowerRoman"/>
      <w:pStyle w:val="PhotologNumber6"/>
      <w:lvlText w:val="(%6)"/>
      <w:lvlJc w:val="left"/>
      <w:pPr>
        <w:ind w:left="2160" w:hanging="360"/>
      </w:pPr>
      <w:rPr>
        <w:rFonts w:hint="default"/>
      </w:rPr>
    </w:lvl>
    <w:lvl w:ilvl="6">
      <w:start w:val="1"/>
      <w:numFmt w:val="decimal"/>
      <w:pStyle w:val="PhotologNumber7"/>
      <w:lvlText w:val="%7."/>
      <w:lvlJc w:val="left"/>
      <w:pPr>
        <w:ind w:left="2520" w:hanging="360"/>
      </w:pPr>
      <w:rPr>
        <w:rFonts w:hint="default"/>
      </w:rPr>
    </w:lvl>
    <w:lvl w:ilvl="7">
      <w:start w:val="1"/>
      <w:numFmt w:val="lowerLetter"/>
      <w:pStyle w:val="PhotologNumber8"/>
      <w:lvlText w:val="%8."/>
      <w:lvlJc w:val="left"/>
      <w:pPr>
        <w:ind w:left="2880" w:hanging="360"/>
      </w:pPr>
      <w:rPr>
        <w:rFonts w:hint="default"/>
      </w:rPr>
    </w:lvl>
    <w:lvl w:ilvl="8">
      <w:start w:val="1"/>
      <w:numFmt w:val="lowerRoman"/>
      <w:pStyle w:val="PhotologNumber9"/>
      <w:lvlText w:val="%9."/>
      <w:lvlJc w:val="left"/>
      <w:pPr>
        <w:ind w:left="3240" w:hanging="360"/>
      </w:pPr>
      <w:rPr>
        <w:rFonts w:hint="default"/>
      </w:rPr>
    </w:lvl>
  </w:abstractNum>
  <w:abstractNum w:abstractNumId="4" w15:restartNumberingAfterBreak="0">
    <w:nsid w:val="120164BC"/>
    <w:multiLevelType w:val="multilevel"/>
    <w:tmpl w:val="5F86F79A"/>
    <w:numStyleLink w:val="PhotologNumberList"/>
  </w:abstractNum>
  <w:abstractNum w:abstractNumId="5" w15:restartNumberingAfterBreak="0">
    <w:nsid w:val="16520CF1"/>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A1B4193"/>
    <w:multiLevelType w:val="multilevel"/>
    <w:tmpl w:val="1CF68600"/>
    <w:styleLink w:val="ProjectBullets"/>
    <w:lvl w:ilvl="0">
      <w:start w:val="1"/>
      <w:numFmt w:val="bullet"/>
      <w:pStyle w:val="ProjectBullet"/>
      <w:lvlText w:val=""/>
      <w:lvlJc w:val="left"/>
      <w:pPr>
        <w:ind w:left="170" w:hanging="170"/>
      </w:pPr>
      <w:rPr>
        <w:rFonts w:ascii="Wingdings" w:hAnsi="Wingdings" w:hint="default"/>
      </w:rPr>
    </w:lvl>
    <w:lvl w:ilvl="1">
      <w:start w:val="1"/>
      <w:numFmt w:val="bullet"/>
      <w:pStyle w:val="ProjectBullet2ndLevel"/>
      <w:lvlText w:val="-"/>
      <w:lvlJc w:val="left"/>
      <w:pPr>
        <w:ind w:left="340" w:hanging="170"/>
      </w:pPr>
      <w:rPr>
        <w:rFonts w:ascii="Arial" w:hAnsi="Arial" w:cs="Times New Roman" w:hint="default"/>
      </w:rPr>
    </w:lvl>
    <w:lvl w:ilvl="2">
      <w:start w:val="1"/>
      <w:numFmt w:val="bullet"/>
      <w:pStyle w:val="ProjectBullet3"/>
      <w:lvlText w:val="-"/>
      <w:lvlJc w:val="left"/>
      <w:pPr>
        <w:ind w:left="1080" w:hanging="360"/>
      </w:pPr>
      <w:rPr>
        <w:rFonts w:ascii="Jacobs Chronos" w:hAnsi="Jacobs Chronos" w:hint="default"/>
      </w:rPr>
    </w:lvl>
    <w:lvl w:ilvl="3">
      <w:start w:val="1"/>
      <w:numFmt w:val="bullet"/>
      <w:pStyle w:val="ProjectBullet4"/>
      <w:lvlText w:val="-"/>
      <w:lvlJc w:val="left"/>
      <w:pPr>
        <w:ind w:left="1440" w:hanging="360"/>
      </w:pPr>
      <w:rPr>
        <w:rFonts w:ascii="Jacobs Chronos" w:hAnsi="Jacobs Chronos" w:hint="default"/>
      </w:rPr>
    </w:lvl>
    <w:lvl w:ilvl="4">
      <w:start w:val="1"/>
      <w:numFmt w:val="bullet"/>
      <w:pStyle w:val="ProjectBullet5"/>
      <w:lvlText w:val="-"/>
      <w:lvlJc w:val="left"/>
      <w:pPr>
        <w:ind w:left="1800" w:hanging="360"/>
      </w:pPr>
      <w:rPr>
        <w:rFonts w:ascii="Jacobs Chronos" w:hAnsi="Jacobs Chronos" w:hint="default"/>
      </w:rPr>
    </w:lvl>
    <w:lvl w:ilvl="5">
      <w:start w:val="1"/>
      <w:numFmt w:val="bullet"/>
      <w:pStyle w:val="ProjectBullet6"/>
      <w:lvlText w:val="-"/>
      <w:lvlJc w:val="left"/>
      <w:pPr>
        <w:ind w:left="2160" w:hanging="360"/>
      </w:pPr>
      <w:rPr>
        <w:rFonts w:ascii="Jacobs Chronos" w:hAnsi="Jacobs Chronos" w:hint="default"/>
      </w:rPr>
    </w:lvl>
    <w:lvl w:ilvl="6">
      <w:start w:val="1"/>
      <w:numFmt w:val="bullet"/>
      <w:pStyle w:val="ProjectBullet7"/>
      <w:lvlText w:val="-"/>
      <w:lvlJc w:val="left"/>
      <w:pPr>
        <w:ind w:left="2520" w:hanging="360"/>
      </w:pPr>
      <w:rPr>
        <w:rFonts w:ascii="Jacobs Chronos" w:hAnsi="Jacobs Chronos" w:hint="default"/>
      </w:rPr>
    </w:lvl>
    <w:lvl w:ilvl="7">
      <w:start w:val="1"/>
      <w:numFmt w:val="bullet"/>
      <w:pStyle w:val="ProjectBullet8"/>
      <w:lvlText w:val="-"/>
      <w:lvlJc w:val="left"/>
      <w:pPr>
        <w:ind w:left="2880" w:hanging="360"/>
      </w:pPr>
      <w:rPr>
        <w:rFonts w:ascii="Jacobs Chronos" w:hAnsi="Jacobs Chronos" w:hint="default"/>
      </w:rPr>
    </w:lvl>
    <w:lvl w:ilvl="8">
      <w:start w:val="1"/>
      <w:numFmt w:val="bullet"/>
      <w:pStyle w:val="ProjectBullet9"/>
      <w:lvlText w:val="-"/>
      <w:lvlJc w:val="left"/>
      <w:pPr>
        <w:ind w:left="3240" w:hanging="360"/>
      </w:pPr>
      <w:rPr>
        <w:rFonts w:ascii="Jacobs Chronos" w:hAnsi="Jacobs Chronos" w:hint="default"/>
      </w:rPr>
    </w:lvl>
  </w:abstractNum>
  <w:abstractNum w:abstractNumId="7" w15:restartNumberingAfterBreak="0">
    <w:nsid w:val="1C6634C9"/>
    <w:multiLevelType w:val="multilevel"/>
    <w:tmpl w:val="88AE1E06"/>
    <w:styleLink w:val="Bullets"/>
    <w:lvl w:ilvl="0">
      <w:start w:val="1"/>
      <w:numFmt w:val="bullet"/>
      <w:lvlText w:val=""/>
      <w:lvlJc w:val="left"/>
      <w:pPr>
        <w:ind w:left="357" w:hanging="357"/>
      </w:pPr>
      <w:rPr>
        <w:rFonts w:ascii="Wingdings" w:hAnsi="Wingdings" w:hint="default"/>
      </w:rPr>
    </w:lvl>
    <w:lvl w:ilvl="1">
      <w:start w:val="1"/>
      <w:numFmt w:val="bullet"/>
      <w:lvlText w:val="-"/>
      <w:lvlJc w:val="left"/>
      <w:pPr>
        <w:ind w:left="714" w:hanging="357"/>
      </w:pPr>
      <w:rPr>
        <w:rFonts w:ascii="Jacobs Chronos" w:hAnsi="Jacobs Chronos" w:hint="default"/>
      </w:rPr>
    </w:lvl>
    <w:lvl w:ilvl="2">
      <w:start w:val="1"/>
      <w:numFmt w:val="bullet"/>
      <w:lvlText w:val=""/>
      <w:lvlJc w:val="left"/>
      <w:pPr>
        <w:ind w:left="1077" w:hanging="363"/>
      </w:pPr>
      <w:rPr>
        <w:rFonts w:ascii="Wingdings" w:hAnsi="Wingdings" w:hint="default"/>
      </w:rPr>
    </w:lvl>
    <w:lvl w:ilvl="3">
      <w:start w:val="1"/>
      <w:numFmt w:val="bullet"/>
      <w:lvlText w:val="-"/>
      <w:lvlJc w:val="left"/>
      <w:pPr>
        <w:ind w:left="1361" w:hanging="284"/>
      </w:pPr>
      <w:rPr>
        <w:rFonts w:ascii="Jacobs Chronos" w:hAnsi="Jacobs Chronos" w:hint="default"/>
      </w:rPr>
    </w:lvl>
    <w:lvl w:ilvl="4">
      <w:start w:val="1"/>
      <w:numFmt w:val="bullet"/>
      <w:lvlText w:val=""/>
      <w:lvlJc w:val="left"/>
      <w:pPr>
        <w:ind w:left="1644" w:hanging="283"/>
      </w:pPr>
      <w:rPr>
        <w:rFonts w:ascii="Wingdings" w:hAnsi="Wingdings" w:hint="default"/>
      </w:rPr>
    </w:lvl>
    <w:lvl w:ilvl="5">
      <w:start w:val="1"/>
      <w:numFmt w:val="bullet"/>
      <w:lvlText w:val="-"/>
      <w:lvlJc w:val="left"/>
      <w:pPr>
        <w:ind w:left="1985" w:hanging="341"/>
      </w:pPr>
      <w:rPr>
        <w:rFonts w:ascii="Jacobs Chronos" w:hAnsi="Jacobs Chrono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Wingdings" w:hAnsi="Wingdings" w:hint="default"/>
      </w:rPr>
    </w:lvl>
    <w:lvl w:ilvl="8">
      <w:start w:val="1"/>
      <w:numFmt w:val="bullet"/>
      <w:lvlText w:val=""/>
      <w:lvlJc w:val="left"/>
      <w:pPr>
        <w:ind w:left="3240" w:hanging="360"/>
      </w:pPr>
      <w:rPr>
        <w:rFonts w:ascii="Wingdings" w:hAnsi="Wingdings" w:hint="default"/>
      </w:rPr>
    </w:lvl>
  </w:abstractNum>
  <w:abstractNum w:abstractNumId="8" w15:restartNumberingAfterBreak="0">
    <w:nsid w:val="1D591D7F"/>
    <w:multiLevelType w:val="multilevel"/>
    <w:tmpl w:val="254A0E6C"/>
    <w:styleLink w:val="CapabilityBullets"/>
    <w:lvl w:ilvl="0">
      <w:start w:val="1"/>
      <w:numFmt w:val="bullet"/>
      <w:lvlText w:val=""/>
      <w:lvlJc w:val="left"/>
      <w:pPr>
        <w:ind w:left="170" w:hanging="170"/>
      </w:pPr>
      <w:rPr>
        <w:rFonts w:ascii="Wingdings" w:hAnsi="Wingdings" w:hint="default"/>
      </w:rPr>
    </w:lvl>
    <w:lvl w:ilvl="1">
      <w:start w:val="1"/>
      <w:numFmt w:val="bullet"/>
      <w:lvlText w:val="-"/>
      <w:lvlJc w:val="left"/>
      <w:pPr>
        <w:ind w:left="340" w:hanging="170"/>
      </w:pPr>
      <w:rPr>
        <w:rFonts w:ascii="Arial" w:hAnsi="Arial" w:cs="Times New Roman" w:hint="default"/>
      </w:rPr>
    </w:lvl>
    <w:lvl w:ilvl="2">
      <w:start w:val="1"/>
      <w:numFmt w:val="bullet"/>
      <w:lvlText w:val="-"/>
      <w:lvlJc w:val="left"/>
      <w:pPr>
        <w:ind w:left="1080" w:hanging="360"/>
      </w:pPr>
      <w:rPr>
        <w:rFonts w:ascii="Jacobs Chronos" w:hAnsi="Jacobs Chronos" w:hint="default"/>
      </w:rPr>
    </w:lvl>
    <w:lvl w:ilvl="3">
      <w:start w:val="1"/>
      <w:numFmt w:val="bullet"/>
      <w:lvlText w:val="-"/>
      <w:lvlJc w:val="left"/>
      <w:pPr>
        <w:ind w:left="1440" w:hanging="360"/>
      </w:pPr>
      <w:rPr>
        <w:rFonts w:ascii="Jacobs Chronos" w:hAnsi="Jacobs Chronos" w:hint="default"/>
      </w:rPr>
    </w:lvl>
    <w:lvl w:ilvl="4">
      <w:start w:val="1"/>
      <w:numFmt w:val="bullet"/>
      <w:lvlText w:val="-"/>
      <w:lvlJc w:val="left"/>
      <w:pPr>
        <w:ind w:left="1800" w:hanging="360"/>
      </w:pPr>
      <w:rPr>
        <w:rFonts w:ascii="Jacobs Chronos" w:hAnsi="Jacobs Chronos" w:hint="default"/>
      </w:rPr>
    </w:lvl>
    <w:lvl w:ilvl="5">
      <w:start w:val="1"/>
      <w:numFmt w:val="bullet"/>
      <w:lvlText w:val="-"/>
      <w:lvlJc w:val="left"/>
      <w:pPr>
        <w:ind w:left="2160" w:hanging="360"/>
      </w:pPr>
      <w:rPr>
        <w:rFonts w:ascii="Jacobs Chronos" w:hAnsi="Jacobs Chronos" w:hint="default"/>
      </w:rPr>
    </w:lvl>
    <w:lvl w:ilvl="6">
      <w:start w:val="1"/>
      <w:numFmt w:val="bullet"/>
      <w:lvlText w:val="-"/>
      <w:lvlJc w:val="left"/>
      <w:pPr>
        <w:ind w:left="2520" w:hanging="360"/>
      </w:pPr>
      <w:rPr>
        <w:rFonts w:ascii="Jacobs Chronos" w:hAnsi="Jacobs Chronos" w:hint="default"/>
      </w:rPr>
    </w:lvl>
    <w:lvl w:ilvl="7">
      <w:start w:val="1"/>
      <w:numFmt w:val="bullet"/>
      <w:lvlText w:val="-"/>
      <w:lvlJc w:val="left"/>
      <w:pPr>
        <w:ind w:left="2880" w:hanging="360"/>
      </w:pPr>
      <w:rPr>
        <w:rFonts w:ascii="Jacobs Chronos" w:hAnsi="Jacobs Chronos" w:hint="default"/>
      </w:rPr>
    </w:lvl>
    <w:lvl w:ilvl="8">
      <w:start w:val="1"/>
      <w:numFmt w:val="bullet"/>
      <w:lvlText w:val="-"/>
      <w:lvlJc w:val="left"/>
      <w:pPr>
        <w:ind w:left="3240" w:hanging="360"/>
      </w:pPr>
      <w:rPr>
        <w:rFonts w:ascii="Jacobs Chronos" w:hAnsi="Jacobs Chronos" w:hint="default"/>
      </w:rPr>
    </w:lvl>
  </w:abstractNum>
  <w:abstractNum w:abstractNumId="9" w15:restartNumberingAfterBreak="0">
    <w:nsid w:val="1DBE2BFD"/>
    <w:multiLevelType w:val="hybridMultilevel"/>
    <w:tmpl w:val="9A24018E"/>
    <w:styleLink w:val="AppendixHeadings"/>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0A7D9B"/>
    <w:multiLevelType w:val="multilevel"/>
    <w:tmpl w:val="FD3EDA9E"/>
    <w:styleLink w:val="SequentialNumbering"/>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9472479"/>
    <w:multiLevelType w:val="multilevel"/>
    <w:tmpl w:val="1CF68600"/>
    <w:numStyleLink w:val="ProjectBullets"/>
  </w:abstractNum>
  <w:abstractNum w:abstractNumId="12" w15:restartNumberingAfterBreak="0">
    <w:nsid w:val="39C02F23"/>
    <w:multiLevelType w:val="hybridMultilevel"/>
    <w:tmpl w:val="09E61F80"/>
    <w:lvl w:ilvl="0" w:tplc="E31E9090">
      <w:start w:val="1"/>
      <w:numFmt w:val="bullet"/>
      <w:pStyle w:val="TableBullet2ndLevel"/>
      <w:lvlText w:val="-"/>
      <w:lvlJc w:val="left"/>
      <w:pPr>
        <w:ind w:left="890" w:hanging="360"/>
      </w:pPr>
      <w:rPr>
        <w:rFonts w:ascii="Jacobs Chronos" w:hAnsi="Jacobs Chronos" w:hint="default"/>
      </w:rPr>
    </w:lvl>
    <w:lvl w:ilvl="1" w:tplc="AD8C6614" w:tentative="1">
      <w:start w:val="1"/>
      <w:numFmt w:val="bullet"/>
      <w:lvlText w:val="o"/>
      <w:lvlJc w:val="left"/>
      <w:pPr>
        <w:ind w:left="1610" w:hanging="360"/>
      </w:pPr>
      <w:rPr>
        <w:rFonts w:ascii="Courier New" w:hAnsi="Courier New" w:cs="Courier New" w:hint="default"/>
      </w:rPr>
    </w:lvl>
    <w:lvl w:ilvl="2" w:tplc="79F08AC2" w:tentative="1">
      <w:start w:val="1"/>
      <w:numFmt w:val="bullet"/>
      <w:lvlText w:val=""/>
      <w:lvlJc w:val="left"/>
      <w:pPr>
        <w:ind w:left="2330" w:hanging="360"/>
      </w:pPr>
      <w:rPr>
        <w:rFonts w:ascii="Wingdings" w:hAnsi="Wingdings" w:hint="default"/>
      </w:rPr>
    </w:lvl>
    <w:lvl w:ilvl="3" w:tplc="A8C04D1A" w:tentative="1">
      <w:start w:val="1"/>
      <w:numFmt w:val="bullet"/>
      <w:lvlText w:val=""/>
      <w:lvlJc w:val="left"/>
      <w:pPr>
        <w:ind w:left="3050" w:hanging="360"/>
      </w:pPr>
      <w:rPr>
        <w:rFonts w:ascii="Symbol" w:hAnsi="Symbol" w:hint="default"/>
      </w:rPr>
    </w:lvl>
    <w:lvl w:ilvl="4" w:tplc="573C031C" w:tentative="1">
      <w:start w:val="1"/>
      <w:numFmt w:val="bullet"/>
      <w:lvlText w:val="o"/>
      <w:lvlJc w:val="left"/>
      <w:pPr>
        <w:ind w:left="3770" w:hanging="360"/>
      </w:pPr>
      <w:rPr>
        <w:rFonts w:ascii="Courier New" w:hAnsi="Courier New" w:cs="Courier New" w:hint="default"/>
      </w:rPr>
    </w:lvl>
    <w:lvl w:ilvl="5" w:tplc="A31E4A58" w:tentative="1">
      <w:start w:val="1"/>
      <w:numFmt w:val="bullet"/>
      <w:lvlText w:val=""/>
      <w:lvlJc w:val="left"/>
      <w:pPr>
        <w:ind w:left="4490" w:hanging="360"/>
      </w:pPr>
      <w:rPr>
        <w:rFonts w:ascii="Wingdings" w:hAnsi="Wingdings" w:hint="default"/>
      </w:rPr>
    </w:lvl>
    <w:lvl w:ilvl="6" w:tplc="6E5ADCBA" w:tentative="1">
      <w:start w:val="1"/>
      <w:numFmt w:val="bullet"/>
      <w:lvlText w:val=""/>
      <w:lvlJc w:val="left"/>
      <w:pPr>
        <w:ind w:left="5210" w:hanging="360"/>
      </w:pPr>
      <w:rPr>
        <w:rFonts w:ascii="Symbol" w:hAnsi="Symbol" w:hint="default"/>
      </w:rPr>
    </w:lvl>
    <w:lvl w:ilvl="7" w:tplc="79ECEFC6" w:tentative="1">
      <w:start w:val="1"/>
      <w:numFmt w:val="bullet"/>
      <w:lvlText w:val="o"/>
      <w:lvlJc w:val="left"/>
      <w:pPr>
        <w:ind w:left="5930" w:hanging="360"/>
      </w:pPr>
      <w:rPr>
        <w:rFonts w:ascii="Courier New" w:hAnsi="Courier New" w:cs="Courier New" w:hint="default"/>
      </w:rPr>
    </w:lvl>
    <w:lvl w:ilvl="8" w:tplc="03DC882A" w:tentative="1">
      <w:start w:val="1"/>
      <w:numFmt w:val="bullet"/>
      <w:lvlText w:val=""/>
      <w:lvlJc w:val="left"/>
      <w:pPr>
        <w:ind w:left="6650" w:hanging="360"/>
      </w:pPr>
      <w:rPr>
        <w:rFonts w:ascii="Wingdings" w:hAnsi="Wingdings" w:hint="default"/>
      </w:rPr>
    </w:lvl>
  </w:abstractNum>
  <w:abstractNum w:abstractNumId="13" w15:restartNumberingAfterBreak="0">
    <w:nsid w:val="3B254C16"/>
    <w:multiLevelType w:val="hybridMultilevel"/>
    <w:tmpl w:val="1ACC8A0C"/>
    <w:numStyleLink w:val="TableBullets"/>
  </w:abstractNum>
  <w:abstractNum w:abstractNumId="14" w15:restartNumberingAfterBreak="0">
    <w:nsid w:val="3D1164DC"/>
    <w:multiLevelType w:val="multilevel"/>
    <w:tmpl w:val="88AE1E06"/>
    <w:styleLink w:val="CVResumeBullets"/>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F107EE6"/>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8AB7BBD"/>
    <w:multiLevelType w:val="hybridMultilevel"/>
    <w:tmpl w:val="D144A650"/>
    <w:lvl w:ilvl="0" w:tplc="8B20F716">
      <w:start w:val="1"/>
      <w:numFmt w:val="bullet"/>
      <w:pStyle w:val="TableBullet3rdLevel"/>
      <w:lvlText w:val=""/>
      <w:lvlJc w:val="left"/>
      <w:pPr>
        <w:ind w:left="700" w:hanging="360"/>
      </w:pPr>
      <w:rPr>
        <w:rFonts w:ascii="Wingdings" w:hAnsi="Wingdings"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7" w15:restartNumberingAfterBreak="0">
    <w:nsid w:val="4D7D6ECC"/>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54016FAD"/>
    <w:multiLevelType w:val="multilevel"/>
    <w:tmpl w:val="19567D56"/>
    <w:lvl w:ilvl="0">
      <w:numFmt w:val="decimal"/>
      <w:pStyle w:val="TableNumberandTitle"/>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58225DF"/>
    <w:multiLevelType w:val="hybridMultilevel"/>
    <w:tmpl w:val="3342D378"/>
    <w:styleLink w:val="TableNumbers"/>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4CF6D22E">
      <w:numFmt w:val="bullet"/>
      <w:lvlText w:val="✓"/>
      <w:lvlJc w:val="left"/>
      <w:pPr>
        <w:ind w:left="1800" w:hanging="360"/>
      </w:pPr>
      <w:rPr>
        <w:rFonts w:ascii="Jacobs Chronos" w:eastAsiaTheme="minorEastAsia" w:hAnsi="Jacobs Chronos" w:cs="Jacobs Chrono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5D8914B7"/>
    <w:multiLevelType w:val="multilevel"/>
    <w:tmpl w:val="F69C49C8"/>
    <w:lvl w:ilvl="0">
      <w:start w:val="1"/>
      <w:numFmt w:val="bullet"/>
      <w:pStyle w:val="BulletLevel1"/>
      <w:lvlText w:val=""/>
      <w:lvlJc w:val="left"/>
      <w:pPr>
        <w:ind w:left="357" w:hanging="357"/>
      </w:pPr>
      <w:rPr>
        <w:rFonts w:ascii="Wingdings" w:hAnsi="Wingdings" w:hint="default"/>
        <w:color w:val="auto"/>
      </w:rPr>
    </w:lvl>
    <w:lvl w:ilvl="1">
      <w:start w:val="1"/>
      <w:numFmt w:val="bullet"/>
      <w:pStyle w:val="BulletLevel2"/>
      <w:lvlText w:val="-"/>
      <w:lvlJc w:val="left"/>
      <w:pPr>
        <w:ind w:left="714" w:hanging="357"/>
      </w:pPr>
      <w:rPr>
        <w:rFonts w:ascii="Jacobs Chronos" w:hAnsi="Jacobs Chronos" w:hint="default"/>
      </w:rPr>
    </w:lvl>
    <w:lvl w:ilvl="2">
      <w:start w:val="1"/>
      <w:numFmt w:val="bullet"/>
      <w:pStyle w:val="BulletLevel3"/>
      <w:lvlText w:val=""/>
      <w:lvlJc w:val="left"/>
      <w:pPr>
        <w:ind w:left="1077" w:hanging="363"/>
      </w:pPr>
      <w:rPr>
        <w:rFonts w:ascii="Wingdings" w:hAnsi="Wingdings" w:hint="default"/>
      </w:rPr>
    </w:lvl>
    <w:lvl w:ilvl="3">
      <w:start w:val="1"/>
      <w:numFmt w:val="bullet"/>
      <w:pStyle w:val="BulletLevel4"/>
      <w:lvlText w:val="-"/>
      <w:lvlJc w:val="left"/>
      <w:pPr>
        <w:ind w:left="1361" w:hanging="284"/>
      </w:pPr>
      <w:rPr>
        <w:rFonts w:ascii="Jacobs Chronos" w:hAnsi="Jacobs Chronos" w:hint="default"/>
      </w:rPr>
    </w:lvl>
    <w:lvl w:ilvl="4">
      <w:start w:val="1"/>
      <w:numFmt w:val="bullet"/>
      <w:pStyle w:val="BulletLevel5"/>
      <w:lvlText w:val=""/>
      <w:lvlJc w:val="left"/>
      <w:pPr>
        <w:ind w:left="1644" w:hanging="283"/>
      </w:pPr>
      <w:rPr>
        <w:rFonts w:ascii="Wingdings" w:hAnsi="Wingdings" w:hint="default"/>
      </w:rPr>
    </w:lvl>
    <w:lvl w:ilvl="5">
      <w:start w:val="1"/>
      <w:numFmt w:val="bullet"/>
      <w:pStyle w:val="BulletLevel6"/>
      <w:lvlText w:val="-"/>
      <w:lvlJc w:val="left"/>
      <w:pPr>
        <w:ind w:left="1985" w:hanging="341"/>
      </w:pPr>
      <w:rPr>
        <w:rFonts w:ascii="Jacobs Chronos" w:hAnsi="Jacobs Chronos" w:hint="default"/>
      </w:rPr>
    </w:lvl>
    <w:lvl w:ilvl="6">
      <w:start w:val="1"/>
      <w:numFmt w:val="bullet"/>
      <w:pStyle w:val="BulletLevel7"/>
      <w:lvlText w:val=""/>
      <w:lvlJc w:val="left"/>
      <w:pPr>
        <w:ind w:left="2520" w:hanging="360"/>
      </w:pPr>
      <w:rPr>
        <w:rFonts w:ascii="Wingdings" w:hAnsi="Wingdings" w:hint="default"/>
      </w:rPr>
    </w:lvl>
    <w:lvl w:ilvl="7">
      <w:start w:val="1"/>
      <w:numFmt w:val="bullet"/>
      <w:pStyle w:val="BulletLevel8"/>
      <w:lvlText w:val=""/>
      <w:lvlJc w:val="left"/>
      <w:pPr>
        <w:ind w:left="2880" w:hanging="360"/>
      </w:pPr>
      <w:rPr>
        <w:rFonts w:ascii="Wingdings" w:hAnsi="Wingdings" w:hint="default"/>
      </w:rPr>
    </w:lvl>
    <w:lvl w:ilvl="8">
      <w:start w:val="1"/>
      <w:numFmt w:val="bullet"/>
      <w:pStyle w:val="BulletLevel9"/>
      <w:lvlText w:val=""/>
      <w:lvlJc w:val="left"/>
      <w:pPr>
        <w:ind w:left="3240" w:hanging="360"/>
      </w:pPr>
      <w:rPr>
        <w:rFonts w:ascii="Wingdings" w:hAnsi="Wingdings" w:hint="default"/>
      </w:rPr>
    </w:lvl>
  </w:abstractNum>
  <w:abstractNum w:abstractNumId="21" w15:restartNumberingAfterBreak="0">
    <w:nsid w:val="617B76AD"/>
    <w:multiLevelType w:val="multilevel"/>
    <w:tmpl w:val="6C26566E"/>
    <w:styleLink w:val="InstructionNumbering"/>
    <w:lvl w:ilvl="0">
      <w:start w:val="1"/>
      <w:numFmt w:val="decimal"/>
      <w:pStyle w:val="Heading1"/>
      <w:lvlText w:val="%1."/>
      <w:lvlJc w:val="left"/>
      <w:pPr>
        <w:ind w:left="1134" w:hanging="1134"/>
      </w:pPr>
      <w:rPr>
        <w:rFonts w:hint="default"/>
      </w:rPr>
    </w:lvl>
    <w:lvl w:ilvl="1">
      <w:start w:val="1"/>
      <w:numFmt w:val="decimal"/>
      <w:pStyle w:val="Heading2"/>
      <w:lvlText w:val="%1.%2"/>
      <w:lvlJc w:val="left"/>
      <w:pPr>
        <w:ind w:left="1134" w:hanging="1134"/>
      </w:pPr>
      <w:rPr>
        <w:rFonts w:hint="default"/>
      </w:rPr>
    </w:lvl>
    <w:lvl w:ilvl="2">
      <w:start w:val="1"/>
      <w:numFmt w:val="decimal"/>
      <w:pStyle w:val="Heading3"/>
      <w:lvlText w:val="%1.%2.%3"/>
      <w:lvlJc w:val="left"/>
      <w:pPr>
        <w:ind w:left="1134" w:hanging="1134"/>
      </w:pPr>
      <w:rPr>
        <w:rFonts w:hint="default"/>
      </w:rPr>
    </w:lvl>
    <w:lvl w:ilvl="3">
      <w:start w:val="1"/>
      <w:numFmt w:val="decimal"/>
      <w:pStyle w:val="Heading4"/>
      <w:lvlText w:val="%1.%2.%3.%4"/>
      <w:lvlJc w:val="left"/>
      <w:pPr>
        <w:ind w:left="1134" w:hanging="1134"/>
      </w:pPr>
      <w:rPr>
        <w:rFonts w:hint="default"/>
      </w:rPr>
    </w:lvl>
    <w:lvl w:ilvl="4">
      <w:start w:val="1"/>
      <w:numFmt w:val="decimal"/>
      <w:pStyle w:val="Heading5"/>
      <w:lvlText w:val="%1.%2.%3.%4.%5"/>
      <w:lvlJc w:val="left"/>
      <w:pPr>
        <w:ind w:left="1134" w:hanging="1134"/>
      </w:pPr>
      <w:rPr>
        <w:rFonts w:hint="default"/>
      </w:rPr>
    </w:lvl>
    <w:lvl w:ilvl="5">
      <w:start w:val="1"/>
      <w:numFmt w:val="decimal"/>
      <w:pStyle w:val="Heading6"/>
      <w:lvlText w:val="%1.%2.%3.%4.%5.%6"/>
      <w:lvlJc w:val="left"/>
      <w:pPr>
        <w:ind w:left="1134" w:hanging="1134"/>
      </w:pPr>
      <w:rPr>
        <w:rFonts w:hint="default"/>
      </w:rPr>
    </w:lvl>
    <w:lvl w:ilvl="6">
      <w:start w:val="1"/>
      <w:numFmt w:val="decimal"/>
      <w:pStyle w:val="Heading7"/>
      <w:lvlText w:val="%1.%2.%3.%4.%5.%6.%7"/>
      <w:lvlJc w:val="left"/>
      <w:pPr>
        <w:ind w:left="1134" w:hanging="1134"/>
      </w:pPr>
      <w:rPr>
        <w:rFonts w:hint="default"/>
      </w:rPr>
    </w:lvl>
    <w:lvl w:ilvl="7">
      <w:start w:val="1"/>
      <w:numFmt w:val="decimal"/>
      <w:pStyle w:val="Heading8"/>
      <w:lvlText w:val="%1.%2.%3.%4.%5.%6.%7.%8"/>
      <w:lvlJc w:val="left"/>
      <w:pPr>
        <w:ind w:left="1134" w:hanging="1134"/>
      </w:pPr>
      <w:rPr>
        <w:rFonts w:hint="default"/>
      </w:rPr>
    </w:lvl>
    <w:lvl w:ilvl="8">
      <w:start w:val="1"/>
      <w:numFmt w:val="decimal"/>
      <w:pStyle w:val="Heading9Fill-In"/>
      <w:lvlText w:val="%1.%2.%3.%4.%5.%6.%7.%8.%9"/>
      <w:lvlJc w:val="left"/>
      <w:pPr>
        <w:ind w:left="1134" w:hanging="1134"/>
      </w:pPr>
      <w:rPr>
        <w:rFonts w:hint="default"/>
      </w:rPr>
    </w:lvl>
  </w:abstractNum>
  <w:abstractNum w:abstractNumId="22" w15:restartNumberingAfterBreak="0">
    <w:nsid w:val="63230E7C"/>
    <w:multiLevelType w:val="hybridMultilevel"/>
    <w:tmpl w:val="1988CF56"/>
    <w:lvl w:ilvl="0" w:tplc="A348698E">
      <w:start w:val="1"/>
      <w:numFmt w:val="decimal"/>
      <w:pStyle w:val="Footnote"/>
      <w:lvlText w:val="%1"/>
      <w:lvlJc w:val="left"/>
      <w:pPr>
        <w:ind w:left="360" w:hanging="360"/>
      </w:pPr>
      <w:rPr>
        <w:rFonts w:ascii="Jacobs Chronos Light" w:hAnsi="Jacobs Chronos Light" w:hint="default"/>
        <w:b w:val="0"/>
        <w:i w:val="0"/>
        <w:caps w:val="0"/>
        <w:strike w:val="0"/>
        <w:dstrike w:val="0"/>
        <w:vanish w:val="0"/>
        <w:color w:val="auto"/>
        <w:sz w:val="16"/>
        <w:vertAlign w:val="superscript"/>
      </w:rPr>
    </w:lvl>
    <w:lvl w:ilvl="1" w:tplc="D322472A" w:tentative="1">
      <w:start w:val="1"/>
      <w:numFmt w:val="lowerLetter"/>
      <w:lvlText w:val="%2."/>
      <w:lvlJc w:val="left"/>
      <w:pPr>
        <w:ind w:left="1440" w:hanging="360"/>
      </w:pPr>
    </w:lvl>
    <w:lvl w:ilvl="2" w:tplc="9948DDEE" w:tentative="1">
      <w:start w:val="1"/>
      <w:numFmt w:val="lowerRoman"/>
      <w:lvlText w:val="%3."/>
      <w:lvlJc w:val="right"/>
      <w:pPr>
        <w:ind w:left="2160" w:hanging="180"/>
      </w:pPr>
    </w:lvl>
    <w:lvl w:ilvl="3" w:tplc="AC363A22" w:tentative="1">
      <w:start w:val="1"/>
      <w:numFmt w:val="decimal"/>
      <w:lvlText w:val="%4."/>
      <w:lvlJc w:val="left"/>
      <w:pPr>
        <w:ind w:left="2880" w:hanging="360"/>
      </w:pPr>
    </w:lvl>
    <w:lvl w:ilvl="4" w:tplc="A4B8BB58" w:tentative="1">
      <w:start w:val="1"/>
      <w:numFmt w:val="lowerLetter"/>
      <w:lvlText w:val="%5."/>
      <w:lvlJc w:val="left"/>
      <w:pPr>
        <w:ind w:left="3600" w:hanging="360"/>
      </w:pPr>
    </w:lvl>
    <w:lvl w:ilvl="5" w:tplc="979831B0" w:tentative="1">
      <w:start w:val="1"/>
      <w:numFmt w:val="lowerRoman"/>
      <w:lvlText w:val="%6."/>
      <w:lvlJc w:val="right"/>
      <w:pPr>
        <w:ind w:left="4320" w:hanging="180"/>
      </w:pPr>
    </w:lvl>
    <w:lvl w:ilvl="6" w:tplc="932A2B16" w:tentative="1">
      <w:start w:val="1"/>
      <w:numFmt w:val="decimal"/>
      <w:lvlText w:val="%7."/>
      <w:lvlJc w:val="left"/>
      <w:pPr>
        <w:ind w:left="5040" w:hanging="360"/>
      </w:pPr>
    </w:lvl>
    <w:lvl w:ilvl="7" w:tplc="4F8E5E14" w:tentative="1">
      <w:start w:val="1"/>
      <w:numFmt w:val="lowerLetter"/>
      <w:lvlText w:val="%8."/>
      <w:lvlJc w:val="left"/>
      <w:pPr>
        <w:ind w:left="5760" w:hanging="360"/>
      </w:pPr>
    </w:lvl>
    <w:lvl w:ilvl="8" w:tplc="7F9E6782" w:tentative="1">
      <w:start w:val="1"/>
      <w:numFmt w:val="lowerRoman"/>
      <w:lvlText w:val="%9."/>
      <w:lvlJc w:val="right"/>
      <w:pPr>
        <w:ind w:left="6480" w:hanging="180"/>
      </w:pPr>
    </w:lvl>
  </w:abstractNum>
  <w:abstractNum w:abstractNumId="23" w15:restartNumberingAfterBreak="0">
    <w:nsid w:val="799E735C"/>
    <w:multiLevelType w:val="hybridMultilevel"/>
    <w:tmpl w:val="185CCA44"/>
    <w:lvl w:ilvl="0" w:tplc="225221BA">
      <w:start w:val="1"/>
      <w:numFmt w:val="decimal"/>
      <w:pStyle w:val="TableNumb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414622490">
    <w:abstractNumId w:val="17"/>
  </w:num>
  <w:num w:numId="2" w16cid:durableId="814762859">
    <w:abstractNumId w:val="22"/>
  </w:num>
  <w:num w:numId="3" w16cid:durableId="1502428791">
    <w:abstractNumId w:val="12"/>
  </w:num>
  <w:num w:numId="4" w16cid:durableId="598758787">
    <w:abstractNumId w:val="16"/>
  </w:num>
  <w:num w:numId="5" w16cid:durableId="197478141">
    <w:abstractNumId w:val="18"/>
  </w:num>
  <w:num w:numId="6" w16cid:durableId="390274809">
    <w:abstractNumId w:val="15"/>
  </w:num>
  <w:num w:numId="7" w16cid:durableId="1063405042">
    <w:abstractNumId w:val="5"/>
  </w:num>
  <w:num w:numId="8" w16cid:durableId="1299144596">
    <w:abstractNumId w:val="2"/>
  </w:num>
  <w:num w:numId="9" w16cid:durableId="942223446">
    <w:abstractNumId w:val="0"/>
  </w:num>
  <w:num w:numId="10" w16cid:durableId="1191070372">
    <w:abstractNumId w:val="3"/>
  </w:num>
  <w:num w:numId="11" w16cid:durableId="402064708">
    <w:abstractNumId w:val="6"/>
  </w:num>
  <w:num w:numId="12" w16cid:durableId="701367008">
    <w:abstractNumId w:val="7"/>
  </w:num>
  <w:num w:numId="13" w16cid:durableId="1895189071">
    <w:abstractNumId w:val="8"/>
  </w:num>
  <w:num w:numId="14" w16cid:durableId="56558142">
    <w:abstractNumId w:val="4"/>
  </w:num>
  <w:num w:numId="15" w16cid:durableId="490947298">
    <w:abstractNumId w:val="11"/>
  </w:num>
  <w:num w:numId="16" w16cid:durableId="322050277">
    <w:abstractNumId w:val="19"/>
  </w:num>
  <w:num w:numId="17" w16cid:durableId="1921256509">
    <w:abstractNumId w:val="13"/>
  </w:num>
  <w:num w:numId="18" w16cid:durableId="670912912">
    <w:abstractNumId w:val="20"/>
  </w:num>
  <w:num w:numId="19" w16cid:durableId="2040661205">
    <w:abstractNumId w:val="1"/>
  </w:num>
  <w:num w:numId="20" w16cid:durableId="122775104">
    <w:abstractNumId w:val="14"/>
  </w:num>
  <w:num w:numId="21" w16cid:durableId="1077895819">
    <w:abstractNumId w:val="21"/>
  </w:num>
  <w:num w:numId="22" w16cid:durableId="144443226">
    <w:abstractNumId w:val="10"/>
  </w:num>
  <w:num w:numId="23" w16cid:durableId="707797171">
    <w:abstractNumId w:val="9"/>
  </w:num>
  <w:num w:numId="24" w16cid:durableId="2140301206">
    <w:abstractNumId w:val="23"/>
    <w:lvlOverride w:ilvl="0">
      <w:startOverride w:val="1"/>
    </w:lvlOverride>
  </w:num>
  <w:num w:numId="25" w16cid:durableId="1255439528">
    <w:abstractNumId w:val="23"/>
    <w:lvlOverride w:ilvl="0">
      <w:startOverride w:val="1"/>
    </w:lvlOverride>
  </w:num>
  <w:num w:numId="26" w16cid:durableId="568464769">
    <w:abstractNumId w:val="23"/>
  </w:num>
  <w:num w:numId="27" w16cid:durableId="1648704561">
    <w:abstractNumId w:val="23"/>
    <w:lvlOverride w:ilvl="0">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embedTrueTypeFonts/>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efaultTableStyle w:val="JacobsTable1accentprimarythemes"/>
  <w:drawingGridHorizontalSpacing w:val="144"/>
  <w:drawingGridVerticalSpacing w:val="144"/>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electedNamespace" w:val="http://schemas.macroview.com.au/StyleVisibilitySettingsCollection"/>
  </w:docVars>
  <w:rsids>
    <w:rsidRoot w:val="00963A13"/>
    <w:rsid w:val="00000004"/>
    <w:rsid w:val="0000045F"/>
    <w:rsid w:val="0000059C"/>
    <w:rsid w:val="00000F95"/>
    <w:rsid w:val="0000134C"/>
    <w:rsid w:val="00001372"/>
    <w:rsid w:val="000013C6"/>
    <w:rsid w:val="0000151A"/>
    <w:rsid w:val="00001608"/>
    <w:rsid w:val="00001942"/>
    <w:rsid w:val="00001A3F"/>
    <w:rsid w:val="00001F83"/>
    <w:rsid w:val="00001FD9"/>
    <w:rsid w:val="00002088"/>
    <w:rsid w:val="0000246A"/>
    <w:rsid w:val="000025F2"/>
    <w:rsid w:val="000025FC"/>
    <w:rsid w:val="0000271B"/>
    <w:rsid w:val="00002D39"/>
    <w:rsid w:val="00002D68"/>
    <w:rsid w:val="00002E13"/>
    <w:rsid w:val="00002F67"/>
    <w:rsid w:val="00002F73"/>
    <w:rsid w:val="0000371B"/>
    <w:rsid w:val="00003927"/>
    <w:rsid w:val="00003A70"/>
    <w:rsid w:val="00003E2F"/>
    <w:rsid w:val="000040C4"/>
    <w:rsid w:val="000041B8"/>
    <w:rsid w:val="00004A2A"/>
    <w:rsid w:val="00004BA2"/>
    <w:rsid w:val="00004EFC"/>
    <w:rsid w:val="0000504E"/>
    <w:rsid w:val="00005237"/>
    <w:rsid w:val="0000524F"/>
    <w:rsid w:val="000054B4"/>
    <w:rsid w:val="00005597"/>
    <w:rsid w:val="00005662"/>
    <w:rsid w:val="000058A6"/>
    <w:rsid w:val="000059B7"/>
    <w:rsid w:val="00005AAA"/>
    <w:rsid w:val="00006534"/>
    <w:rsid w:val="00006876"/>
    <w:rsid w:val="00006C62"/>
    <w:rsid w:val="00006E9E"/>
    <w:rsid w:val="00006F5F"/>
    <w:rsid w:val="00007054"/>
    <w:rsid w:val="000072FE"/>
    <w:rsid w:val="0000758D"/>
    <w:rsid w:val="000076C2"/>
    <w:rsid w:val="00007CDB"/>
    <w:rsid w:val="00007F26"/>
    <w:rsid w:val="0001000E"/>
    <w:rsid w:val="000100CE"/>
    <w:rsid w:val="00010444"/>
    <w:rsid w:val="000104EA"/>
    <w:rsid w:val="000108DD"/>
    <w:rsid w:val="00010951"/>
    <w:rsid w:val="00010FEF"/>
    <w:rsid w:val="000118C0"/>
    <w:rsid w:val="00011BA7"/>
    <w:rsid w:val="00011BAB"/>
    <w:rsid w:val="00011C24"/>
    <w:rsid w:val="00011D0C"/>
    <w:rsid w:val="000120DC"/>
    <w:rsid w:val="0001212B"/>
    <w:rsid w:val="0001212E"/>
    <w:rsid w:val="0001236B"/>
    <w:rsid w:val="0001247D"/>
    <w:rsid w:val="00012504"/>
    <w:rsid w:val="00012BED"/>
    <w:rsid w:val="00012D1B"/>
    <w:rsid w:val="000135AF"/>
    <w:rsid w:val="00013857"/>
    <w:rsid w:val="00013C51"/>
    <w:rsid w:val="00013C9C"/>
    <w:rsid w:val="000144C5"/>
    <w:rsid w:val="000147AD"/>
    <w:rsid w:val="00014BA8"/>
    <w:rsid w:val="00014F00"/>
    <w:rsid w:val="0001511C"/>
    <w:rsid w:val="0001517D"/>
    <w:rsid w:val="00015304"/>
    <w:rsid w:val="00015349"/>
    <w:rsid w:val="0001572D"/>
    <w:rsid w:val="00015B66"/>
    <w:rsid w:val="00015FE5"/>
    <w:rsid w:val="00016A30"/>
    <w:rsid w:val="0001754F"/>
    <w:rsid w:val="0001759E"/>
    <w:rsid w:val="000178B2"/>
    <w:rsid w:val="000178E3"/>
    <w:rsid w:val="00017A00"/>
    <w:rsid w:val="00017B1A"/>
    <w:rsid w:val="00017B6A"/>
    <w:rsid w:val="00017C08"/>
    <w:rsid w:val="00017CB3"/>
    <w:rsid w:val="00017CFA"/>
    <w:rsid w:val="00017D9E"/>
    <w:rsid w:val="00017E98"/>
    <w:rsid w:val="00017F8F"/>
    <w:rsid w:val="00020196"/>
    <w:rsid w:val="00020534"/>
    <w:rsid w:val="0002065E"/>
    <w:rsid w:val="000209E2"/>
    <w:rsid w:val="00020A68"/>
    <w:rsid w:val="00020D8C"/>
    <w:rsid w:val="00020DB3"/>
    <w:rsid w:val="00021036"/>
    <w:rsid w:val="000214FF"/>
    <w:rsid w:val="00021568"/>
    <w:rsid w:val="00021BA4"/>
    <w:rsid w:val="00021CB2"/>
    <w:rsid w:val="00022182"/>
    <w:rsid w:val="0002237F"/>
    <w:rsid w:val="0002285E"/>
    <w:rsid w:val="00022881"/>
    <w:rsid w:val="00022A52"/>
    <w:rsid w:val="00022B53"/>
    <w:rsid w:val="00022C5C"/>
    <w:rsid w:val="00022CB3"/>
    <w:rsid w:val="00023200"/>
    <w:rsid w:val="00023244"/>
    <w:rsid w:val="00023589"/>
    <w:rsid w:val="0002410C"/>
    <w:rsid w:val="0002443C"/>
    <w:rsid w:val="00024587"/>
    <w:rsid w:val="00024715"/>
    <w:rsid w:val="000249A7"/>
    <w:rsid w:val="000249BB"/>
    <w:rsid w:val="000252D8"/>
    <w:rsid w:val="00025929"/>
    <w:rsid w:val="00025ABA"/>
    <w:rsid w:val="00025ACF"/>
    <w:rsid w:val="00025E39"/>
    <w:rsid w:val="00026115"/>
    <w:rsid w:val="00026261"/>
    <w:rsid w:val="0002637E"/>
    <w:rsid w:val="00026895"/>
    <w:rsid w:val="000269BC"/>
    <w:rsid w:val="00026A18"/>
    <w:rsid w:val="00026A8C"/>
    <w:rsid w:val="00026AB3"/>
    <w:rsid w:val="00026C3A"/>
    <w:rsid w:val="0002743E"/>
    <w:rsid w:val="00027469"/>
    <w:rsid w:val="000276D3"/>
    <w:rsid w:val="000277EF"/>
    <w:rsid w:val="0002782F"/>
    <w:rsid w:val="00027BCB"/>
    <w:rsid w:val="00027CC2"/>
    <w:rsid w:val="00027CD7"/>
    <w:rsid w:val="00027EC0"/>
    <w:rsid w:val="00030189"/>
    <w:rsid w:val="000302A2"/>
    <w:rsid w:val="00030EEC"/>
    <w:rsid w:val="000314BB"/>
    <w:rsid w:val="00031974"/>
    <w:rsid w:val="00031BE3"/>
    <w:rsid w:val="00031D26"/>
    <w:rsid w:val="00031DA4"/>
    <w:rsid w:val="0003217E"/>
    <w:rsid w:val="000321EF"/>
    <w:rsid w:val="0003271A"/>
    <w:rsid w:val="00032CBB"/>
    <w:rsid w:val="00032D27"/>
    <w:rsid w:val="00032ED6"/>
    <w:rsid w:val="0003309C"/>
    <w:rsid w:val="000330C8"/>
    <w:rsid w:val="000333B1"/>
    <w:rsid w:val="000333B5"/>
    <w:rsid w:val="00033520"/>
    <w:rsid w:val="0003357E"/>
    <w:rsid w:val="00033C36"/>
    <w:rsid w:val="00033D2B"/>
    <w:rsid w:val="00034177"/>
    <w:rsid w:val="00034436"/>
    <w:rsid w:val="00034816"/>
    <w:rsid w:val="00034969"/>
    <w:rsid w:val="00034A07"/>
    <w:rsid w:val="00034DBF"/>
    <w:rsid w:val="00034F60"/>
    <w:rsid w:val="000352A3"/>
    <w:rsid w:val="00035849"/>
    <w:rsid w:val="00035A2E"/>
    <w:rsid w:val="00036089"/>
    <w:rsid w:val="000361D3"/>
    <w:rsid w:val="0003632B"/>
    <w:rsid w:val="000365E1"/>
    <w:rsid w:val="0003671D"/>
    <w:rsid w:val="00036C8F"/>
    <w:rsid w:val="00036CDA"/>
    <w:rsid w:val="00036D9F"/>
    <w:rsid w:val="00036E0D"/>
    <w:rsid w:val="00036E76"/>
    <w:rsid w:val="00037205"/>
    <w:rsid w:val="0003740B"/>
    <w:rsid w:val="00037513"/>
    <w:rsid w:val="00037BA6"/>
    <w:rsid w:val="00037CD2"/>
    <w:rsid w:val="00037E08"/>
    <w:rsid w:val="000401FC"/>
    <w:rsid w:val="0004043F"/>
    <w:rsid w:val="00040449"/>
    <w:rsid w:val="000404DA"/>
    <w:rsid w:val="00040549"/>
    <w:rsid w:val="00040598"/>
    <w:rsid w:val="00040C36"/>
    <w:rsid w:val="00041161"/>
    <w:rsid w:val="000411FE"/>
    <w:rsid w:val="00041532"/>
    <w:rsid w:val="00041829"/>
    <w:rsid w:val="000419BD"/>
    <w:rsid w:val="00041A16"/>
    <w:rsid w:val="00041D97"/>
    <w:rsid w:val="00042366"/>
    <w:rsid w:val="000424A2"/>
    <w:rsid w:val="0004259C"/>
    <w:rsid w:val="00042728"/>
    <w:rsid w:val="00042918"/>
    <w:rsid w:val="00042DC9"/>
    <w:rsid w:val="00042F85"/>
    <w:rsid w:val="00042F90"/>
    <w:rsid w:val="00043142"/>
    <w:rsid w:val="000431D2"/>
    <w:rsid w:val="000431F0"/>
    <w:rsid w:val="000434F8"/>
    <w:rsid w:val="00043574"/>
    <w:rsid w:val="000439B8"/>
    <w:rsid w:val="00043B12"/>
    <w:rsid w:val="00043CAA"/>
    <w:rsid w:val="00043EBC"/>
    <w:rsid w:val="00043F33"/>
    <w:rsid w:val="00044048"/>
    <w:rsid w:val="0004481A"/>
    <w:rsid w:val="00044873"/>
    <w:rsid w:val="000449AA"/>
    <w:rsid w:val="00044D80"/>
    <w:rsid w:val="00044DEB"/>
    <w:rsid w:val="000452FE"/>
    <w:rsid w:val="0004562E"/>
    <w:rsid w:val="000456FC"/>
    <w:rsid w:val="000457DB"/>
    <w:rsid w:val="000459EF"/>
    <w:rsid w:val="00045A78"/>
    <w:rsid w:val="00045D54"/>
    <w:rsid w:val="00045DDA"/>
    <w:rsid w:val="00046130"/>
    <w:rsid w:val="0004646C"/>
    <w:rsid w:val="000464CA"/>
    <w:rsid w:val="000465D3"/>
    <w:rsid w:val="00046A74"/>
    <w:rsid w:val="00046ACD"/>
    <w:rsid w:val="00046B55"/>
    <w:rsid w:val="00046BC6"/>
    <w:rsid w:val="000470D0"/>
    <w:rsid w:val="00047346"/>
    <w:rsid w:val="000473A1"/>
    <w:rsid w:val="0004742A"/>
    <w:rsid w:val="00047AA4"/>
    <w:rsid w:val="00047E48"/>
    <w:rsid w:val="00047FAE"/>
    <w:rsid w:val="000501F1"/>
    <w:rsid w:val="00050340"/>
    <w:rsid w:val="00050454"/>
    <w:rsid w:val="000505CC"/>
    <w:rsid w:val="000508CE"/>
    <w:rsid w:val="000508E0"/>
    <w:rsid w:val="00050B63"/>
    <w:rsid w:val="00050D16"/>
    <w:rsid w:val="00050ED9"/>
    <w:rsid w:val="0005104F"/>
    <w:rsid w:val="000510EF"/>
    <w:rsid w:val="00051462"/>
    <w:rsid w:val="00051B83"/>
    <w:rsid w:val="00051DEB"/>
    <w:rsid w:val="00051E69"/>
    <w:rsid w:val="00051F0B"/>
    <w:rsid w:val="00052148"/>
    <w:rsid w:val="0005229D"/>
    <w:rsid w:val="000524A8"/>
    <w:rsid w:val="00052905"/>
    <w:rsid w:val="00052C5D"/>
    <w:rsid w:val="00052C9B"/>
    <w:rsid w:val="00053183"/>
    <w:rsid w:val="00053296"/>
    <w:rsid w:val="000532EE"/>
    <w:rsid w:val="000533EE"/>
    <w:rsid w:val="0005376B"/>
    <w:rsid w:val="00053A30"/>
    <w:rsid w:val="00053F8D"/>
    <w:rsid w:val="000542FF"/>
    <w:rsid w:val="000544EA"/>
    <w:rsid w:val="000546DA"/>
    <w:rsid w:val="000547D9"/>
    <w:rsid w:val="00054DE6"/>
    <w:rsid w:val="00054FFF"/>
    <w:rsid w:val="00055208"/>
    <w:rsid w:val="00055284"/>
    <w:rsid w:val="000552B0"/>
    <w:rsid w:val="000552C9"/>
    <w:rsid w:val="0005559E"/>
    <w:rsid w:val="0005579A"/>
    <w:rsid w:val="0005583B"/>
    <w:rsid w:val="00055A1C"/>
    <w:rsid w:val="0005613B"/>
    <w:rsid w:val="000562C7"/>
    <w:rsid w:val="00056304"/>
    <w:rsid w:val="000564A1"/>
    <w:rsid w:val="0005681F"/>
    <w:rsid w:val="00056878"/>
    <w:rsid w:val="000569E8"/>
    <w:rsid w:val="00056A8D"/>
    <w:rsid w:val="00056CDB"/>
    <w:rsid w:val="00056DDD"/>
    <w:rsid w:val="00057139"/>
    <w:rsid w:val="000574F1"/>
    <w:rsid w:val="000576FC"/>
    <w:rsid w:val="000578C3"/>
    <w:rsid w:val="000578C5"/>
    <w:rsid w:val="0005799E"/>
    <w:rsid w:val="00057CE2"/>
    <w:rsid w:val="00057DAA"/>
    <w:rsid w:val="00057E76"/>
    <w:rsid w:val="0005C7F4"/>
    <w:rsid w:val="00060223"/>
    <w:rsid w:val="00060315"/>
    <w:rsid w:val="000604D0"/>
    <w:rsid w:val="000604EE"/>
    <w:rsid w:val="000604FB"/>
    <w:rsid w:val="00060680"/>
    <w:rsid w:val="000608F9"/>
    <w:rsid w:val="00060A77"/>
    <w:rsid w:val="00060B31"/>
    <w:rsid w:val="00060C12"/>
    <w:rsid w:val="00060C7A"/>
    <w:rsid w:val="00060DA7"/>
    <w:rsid w:val="00061171"/>
    <w:rsid w:val="000616DE"/>
    <w:rsid w:val="00061A3E"/>
    <w:rsid w:val="00061BA0"/>
    <w:rsid w:val="000623DD"/>
    <w:rsid w:val="00062532"/>
    <w:rsid w:val="00062906"/>
    <w:rsid w:val="00062E2C"/>
    <w:rsid w:val="00062F22"/>
    <w:rsid w:val="00063278"/>
    <w:rsid w:val="000632D5"/>
    <w:rsid w:val="000635AF"/>
    <w:rsid w:val="00063687"/>
    <w:rsid w:val="0006382D"/>
    <w:rsid w:val="00063937"/>
    <w:rsid w:val="00063973"/>
    <w:rsid w:val="00063AB2"/>
    <w:rsid w:val="00063BC9"/>
    <w:rsid w:val="0006462B"/>
    <w:rsid w:val="0006489E"/>
    <w:rsid w:val="00064A2B"/>
    <w:rsid w:val="00064A81"/>
    <w:rsid w:val="00064E36"/>
    <w:rsid w:val="00064E61"/>
    <w:rsid w:val="00065121"/>
    <w:rsid w:val="00065248"/>
    <w:rsid w:val="00065515"/>
    <w:rsid w:val="0006586A"/>
    <w:rsid w:val="000658FB"/>
    <w:rsid w:val="000659B8"/>
    <w:rsid w:val="00065A2A"/>
    <w:rsid w:val="000666A2"/>
    <w:rsid w:val="00066906"/>
    <w:rsid w:val="00066DE7"/>
    <w:rsid w:val="00067090"/>
    <w:rsid w:val="00067114"/>
    <w:rsid w:val="0006712E"/>
    <w:rsid w:val="00067312"/>
    <w:rsid w:val="000675BA"/>
    <w:rsid w:val="00067A66"/>
    <w:rsid w:val="00067E13"/>
    <w:rsid w:val="000701B5"/>
    <w:rsid w:val="00070518"/>
    <w:rsid w:val="000705AB"/>
    <w:rsid w:val="0007079A"/>
    <w:rsid w:val="0007085D"/>
    <w:rsid w:val="00070A2E"/>
    <w:rsid w:val="00070AC8"/>
    <w:rsid w:val="00070AE9"/>
    <w:rsid w:val="00070CF3"/>
    <w:rsid w:val="000710B5"/>
    <w:rsid w:val="00071345"/>
    <w:rsid w:val="00071669"/>
    <w:rsid w:val="00071674"/>
    <w:rsid w:val="000719C7"/>
    <w:rsid w:val="00071A27"/>
    <w:rsid w:val="00071DCC"/>
    <w:rsid w:val="000720D2"/>
    <w:rsid w:val="0007262D"/>
    <w:rsid w:val="000728FB"/>
    <w:rsid w:val="0007292A"/>
    <w:rsid w:val="0007297D"/>
    <w:rsid w:val="000729F8"/>
    <w:rsid w:val="00072B82"/>
    <w:rsid w:val="00072BB1"/>
    <w:rsid w:val="00072CFE"/>
    <w:rsid w:val="00072E52"/>
    <w:rsid w:val="00072F2A"/>
    <w:rsid w:val="00073316"/>
    <w:rsid w:val="0007371B"/>
    <w:rsid w:val="00073950"/>
    <w:rsid w:val="00073D38"/>
    <w:rsid w:val="00073D3F"/>
    <w:rsid w:val="00073FAD"/>
    <w:rsid w:val="00074249"/>
    <w:rsid w:val="0007438F"/>
    <w:rsid w:val="0007470B"/>
    <w:rsid w:val="00074716"/>
    <w:rsid w:val="00074886"/>
    <w:rsid w:val="000749D1"/>
    <w:rsid w:val="00075302"/>
    <w:rsid w:val="000753C4"/>
    <w:rsid w:val="000754F0"/>
    <w:rsid w:val="00075A4D"/>
    <w:rsid w:val="00075D0A"/>
    <w:rsid w:val="000761D9"/>
    <w:rsid w:val="000764BB"/>
    <w:rsid w:val="00076841"/>
    <w:rsid w:val="00076C07"/>
    <w:rsid w:val="00076F0C"/>
    <w:rsid w:val="00076FFA"/>
    <w:rsid w:val="0007714F"/>
    <w:rsid w:val="00077172"/>
    <w:rsid w:val="000773B9"/>
    <w:rsid w:val="000776E7"/>
    <w:rsid w:val="0007771F"/>
    <w:rsid w:val="000778E0"/>
    <w:rsid w:val="00077959"/>
    <w:rsid w:val="00077F3B"/>
    <w:rsid w:val="0008086C"/>
    <w:rsid w:val="00080BB2"/>
    <w:rsid w:val="00080C8A"/>
    <w:rsid w:val="0008125B"/>
    <w:rsid w:val="00081447"/>
    <w:rsid w:val="0008155E"/>
    <w:rsid w:val="000815A6"/>
    <w:rsid w:val="0008178A"/>
    <w:rsid w:val="00081810"/>
    <w:rsid w:val="00081999"/>
    <w:rsid w:val="00081BAD"/>
    <w:rsid w:val="00081C55"/>
    <w:rsid w:val="0008208A"/>
    <w:rsid w:val="000820FF"/>
    <w:rsid w:val="0008210B"/>
    <w:rsid w:val="000822F4"/>
    <w:rsid w:val="00082304"/>
    <w:rsid w:val="00082319"/>
    <w:rsid w:val="000824D6"/>
    <w:rsid w:val="000825AA"/>
    <w:rsid w:val="000829F2"/>
    <w:rsid w:val="00082B5C"/>
    <w:rsid w:val="00082F81"/>
    <w:rsid w:val="00082FB5"/>
    <w:rsid w:val="00083615"/>
    <w:rsid w:val="00083AE1"/>
    <w:rsid w:val="00083B90"/>
    <w:rsid w:val="00083E71"/>
    <w:rsid w:val="00084308"/>
    <w:rsid w:val="00084422"/>
    <w:rsid w:val="0008474F"/>
    <w:rsid w:val="0008483E"/>
    <w:rsid w:val="000848D3"/>
    <w:rsid w:val="00084A35"/>
    <w:rsid w:val="00085248"/>
    <w:rsid w:val="00085787"/>
    <w:rsid w:val="00085BA8"/>
    <w:rsid w:val="000867BE"/>
    <w:rsid w:val="00086810"/>
    <w:rsid w:val="00086A62"/>
    <w:rsid w:val="00086B6E"/>
    <w:rsid w:val="00086BCD"/>
    <w:rsid w:val="00086EFA"/>
    <w:rsid w:val="00087046"/>
    <w:rsid w:val="0008735D"/>
    <w:rsid w:val="00087940"/>
    <w:rsid w:val="00087C89"/>
    <w:rsid w:val="00087CE1"/>
    <w:rsid w:val="000900DF"/>
    <w:rsid w:val="00090590"/>
    <w:rsid w:val="000907D9"/>
    <w:rsid w:val="00090AF4"/>
    <w:rsid w:val="00090C5F"/>
    <w:rsid w:val="000913C5"/>
    <w:rsid w:val="0009151E"/>
    <w:rsid w:val="00091582"/>
    <w:rsid w:val="000916C1"/>
    <w:rsid w:val="00091A24"/>
    <w:rsid w:val="00091CED"/>
    <w:rsid w:val="00091E1F"/>
    <w:rsid w:val="00092986"/>
    <w:rsid w:val="000929CF"/>
    <w:rsid w:val="00093287"/>
    <w:rsid w:val="000934D3"/>
    <w:rsid w:val="000938ED"/>
    <w:rsid w:val="00093A31"/>
    <w:rsid w:val="00093E92"/>
    <w:rsid w:val="0009456B"/>
    <w:rsid w:val="000946C6"/>
    <w:rsid w:val="00094897"/>
    <w:rsid w:val="00094B5A"/>
    <w:rsid w:val="00094BB0"/>
    <w:rsid w:val="00094C32"/>
    <w:rsid w:val="00094E89"/>
    <w:rsid w:val="00094E9E"/>
    <w:rsid w:val="00094FC0"/>
    <w:rsid w:val="00094FDA"/>
    <w:rsid w:val="00094FF2"/>
    <w:rsid w:val="0009510D"/>
    <w:rsid w:val="000952A8"/>
    <w:rsid w:val="000953EE"/>
    <w:rsid w:val="000954C6"/>
    <w:rsid w:val="00095532"/>
    <w:rsid w:val="0009567D"/>
    <w:rsid w:val="00095CAE"/>
    <w:rsid w:val="00095F1F"/>
    <w:rsid w:val="00095F4B"/>
    <w:rsid w:val="0009609F"/>
    <w:rsid w:val="0009610D"/>
    <w:rsid w:val="00096136"/>
    <w:rsid w:val="0009618B"/>
    <w:rsid w:val="000969A2"/>
    <w:rsid w:val="000969AF"/>
    <w:rsid w:val="00096FDB"/>
    <w:rsid w:val="000970B1"/>
    <w:rsid w:val="000972E2"/>
    <w:rsid w:val="00097343"/>
    <w:rsid w:val="00097414"/>
    <w:rsid w:val="00097945"/>
    <w:rsid w:val="00097E9D"/>
    <w:rsid w:val="00097FC0"/>
    <w:rsid w:val="000A0119"/>
    <w:rsid w:val="000A03D7"/>
    <w:rsid w:val="000A0544"/>
    <w:rsid w:val="000A089B"/>
    <w:rsid w:val="000A08C3"/>
    <w:rsid w:val="000A0ACE"/>
    <w:rsid w:val="000A0EDA"/>
    <w:rsid w:val="000A0F94"/>
    <w:rsid w:val="000A1375"/>
    <w:rsid w:val="000A1427"/>
    <w:rsid w:val="000A1B1C"/>
    <w:rsid w:val="000A1F9F"/>
    <w:rsid w:val="000A20CD"/>
    <w:rsid w:val="000A254F"/>
    <w:rsid w:val="000A2583"/>
    <w:rsid w:val="000A25AE"/>
    <w:rsid w:val="000A2B4A"/>
    <w:rsid w:val="000A2E7C"/>
    <w:rsid w:val="000A2F5F"/>
    <w:rsid w:val="000A305F"/>
    <w:rsid w:val="000A3429"/>
    <w:rsid w:val="000A34F7"/>
    <w:rsid w:val="000A34FC"/>
    <w:rsid w:val="000A363C"/>
    <w:rsid w:val="000A3756"/>
    <w:rsid w:val="000A385D"/>
    <w:rsid w:val="000A3C00"/>
    <w:rsid w:val="000A3C09"/>
    <w:rsid w:val="000A3C93"/>
    <w:rsid w:val="000A3D61"/>
    <w:rsid w:val="000A46A0"/>
    <w:rsid w:val="000A487E"/>
    <w:rsid w:val="000A48AA"/>
    <w:rsid w:val="000A4B95"/>
    <w:rsid w:val="000A4F47"/>
    <w:rsid w:val="000A4F50"/>
    <w:rsid w:val="000A4F95"/>
    <w:rsid w:val="000A516E"/>
    <w:rsid w:val="000A5254"/>
    <w:rsid w:val="000A5265"/>
    <w:rsid w:val="000A562A"/>
    <w:rsid w:val="000A5B6B"/>
    <w:rsid w:val="000A5B88"/>
    <w:rsid w:val="000A5D5E"/>
    <w:rsid w:val="000A5F1E"/>
    <w:rsid w:val="000A6153"/>
    <w:rsid w:val="000A6266"/>
    <w:rsid w:val="000A6359"/>
    <w:rsid w:val="000A67CE"/>
    <w:rsid w:val="000A6940"/>
    <w:rsid w:val="000A6D57"/>
    <w:rsid w:val="000A744C"/>
    <w:rsid w:val="000A74CF"/>
    <w:rsid w:val="000A7833"/>
    <w:rsid w:val="000A7C52"/>
    <w:rsid w:val="000A7E08"/>
    <w:rsid w:val="000A7F3D"/>
    <w:rsid w:val="000B0068"/>
    <w:rsid w:val="000B018F"/>
    <w:rsid w:val="000B01D7"/>
    <w:rsid w:val="000B03DD"/>
    <w:rsid w:val="000B0446"/>
    <w:rsid w:val="000B050F"/>
    <w:rsid w:val="000B07E3"/>
    <w:rsid w:val="000B0DAB"/>
    <w:rsid w:val="000B0E1D"/>
    <w:rsid w:val="000B0ED1"/>
    <w:rsid w:val="000B132D"/>
    <w:rsid w:val="000B15C0"/>
    <w:rsid w:val="000B15C2"/>
    <w:rsid w:val="000B15CD"/>
    <w:rsid w:val="000B17A7"/>
    <w:rsid w:val="000B1B24"/>
    <w:rsid w:val="000B1D08"/>
    <w:rsid w:val="000B1DA3"/>
    <w:rsid w:val="000B218E"/>
    <w:rsid w:val="000B25A0"/>
    <w:rsid w:val="000B2995"/>
    <w:rsid w:val="000B2A0B"/>
    <w:rsid w:val="000B2A1F"/>
    <w:rsid w:val="000B2A66"/>
    <w:rsid w:val="000B2C7C"/>
    <w:rsid w:val="000B2E37"/>
    <w:rsid w:val="000B2F72"/>
    <w:rsid w:val="000B3188"/>
    <w:rsid w:val="000B33DC"/>
    <w:rsid w:val="000B347E"/>
    <w:rsid w:val="000B34E1"/>
    <w:rsid w:val="000B36A8"/>
    <w:rsid w:val="000B3713"/>
    <w:rsid w:val="000B38EE"/>
    <w:rsid w:val="000B3904"/>
    <w:rsid w:val="000B3A2E"/>
    <w:rsid w:val="000B3AE5"/>
    <w:rsid w:val="000B3B8D"/>
    <w:rsid w:val="000B3FB3"/>
    <w:rsid w:val="000B3FC3"/>
    <w:rsid w:val="000B43EA"/>
    <w:rsid w:val="000B4645"/>
    <w:rsid w:val="000B47BC"/>
    <w:rsid w:val="000B4D37"/>
    <w:rsid w:val="000B4E0A"/>
    <w:rsid w:val="000B567F"/>
    <w:rsid w:val="000B58F1"/>
    <w:rsid w:val="000B5A9E"/>
    <w:rsid w:val="000B5CA7"/>
    <w:rsid w:val="000B5D0D"/>
    <w:rsid w:val="000B64EE"/>
    <w:rsid w:val="000B67BF"/>
    <w:rsid w:val="000B6D43"/>
    <w:rsid w:val="000B6DDE"/>
    <w:rsid w:val="000B7475"/>
    <w:rsid w:val="000B78E3"/>
    <w:rsid w:val="000B79DA"/>
    <w:rsid w:val="000B7BEC"/>
    <w:rsid w:val="000B7D96"/>
    <w:rsid w:val="000C00C1"/>
    <w:rsid w:val="000C0188"/>
    <w:rsid w:val="000C019E"/>
    <w:rsid w:val="000C036E"/>
    <w:rsid w:val="000C03A5"/>
    <w:rsid w:val="000C042B"/>
    <w:rsid w:val="000C0574"/>
    <w:rsid w:val="000C05F8"/>
    <w:rsid w:val="000C06BE"/>
    <w:rsid w:val="000C0B21"/>
    <w:rsid w:val="000C0C6A"/>
    <w:rsid w:val="000C0DC6"/>
    <w:rsid w:val="000C0FA5"/>
    <w:rsid w:val="000C125E"/>
    <w:rsid w:val="000C1396"/>
    <w:rsid w:val="000C171C"/>
    <w:rsid w:val="000C17DA"/>
    <w:rsid w:val="000C1BFD"/>
    <w:rsid w:val="000C1E21"/>
    <w:rsid w:val="000C1FF8"/>
    <w:rsid w:val="000C2046"/>
    <w:rsid w:val="000C2185"/>
    <w:rsid w:val="000C29F2"/>
    <w:rsid w:val="000C2C1D"/>
    <w:rsid w:val="000C2EBE"/>
    <w:rsid w:val="000C31C8"/>
    <w:rsid w:val="000C32DE"/>
    <w:rsid w:val="000C3584"/>
    <w:rsid w:val="000C35AA"/>
    <w:rsid w:val="000C382D"/>
    <w:rsid w:val="000C3919"/>
    <w:rsid w:val="000C3975"/>
    <w:rsid w:val="000C40BE"/>
    <w:rsid w:val="000C4415"/>
    <w:rsid w:val="000C466A"/>
    <w:rsid w:val="000C4751"/>
    <w:rsid w:val="000C4826"/>
    <w:rsid w:val="000C4A7A"/>
    <w:rsid w:val="000C50CF"/>
    <w:rsid w:val="000C5386"/>
    <w:rsid w:val="000C5506"/>
    <w:rsid w:val="000C55ED"/>
    <w:rsid w:val="000C56DD"/>
    <w:rsid w:val="000C5864"/>
    <w:rsid w:val="000C5BF0"/>
    <w:rsid w:val="000C5C28"/>
    <w:rsid w:val="000C5C63"/>
    <w:rsid w:val="000C5DEB"/>
    <w:rsid w:val="000C601A"/>
    <w:rsid w:val="000C636F"/>
    <w:rsid w:val="000C6405"/>
    <w:rsid w:val="000C658D"/>
    <w:rsid w:val="000C66AB"/>
    <w:rsid w:val="000C688F"/>
    <w:rsid w:val="000C68CC"/>
    <w:rsid w:val="000C68F8"/>
    <w:rsid w:val="000C6A63"/>
    <w:rsid w:val="000C6CFB"/>
    <w:rsid w:val="000C7270"/>
    <w:rsid w:val="000C72F1"/>
    <w:rsid w:val="000C74E4"/>
    <w:rsid w:val="000C74ED"/>
    <w:rsid w:val="000C7533"/>
    <w:rsid w:val="000C78FA"/>
    <w:rsid w:val="000C7A4C"/>
    <w:rsid w:val="000C7C60"/>
    <w:rsid w:val="000C7EE0"/>
    <w:rsid w:val="000C7F24"/>
    <w:rsid w:val="000D0810"/>
    <w:rsid w:val="000D0904"/>
    <w:rsid w:val="000D0B44"/>
    <w:rsid w:val="000D0C7B"/>
    <w:rsid w:val="000D0EE6"/>
    <w:rsid w:val="000D105B"/>
    <w:rsid w:val="000D189D"/>
    <w:rsid w:val="000D1D51"/>
    <w:rsid w:val="000D22FF"/>
    <w:rsid w:val="000D2569"/>
    <w:rsid w:val="000D259D"/>
    <w:rsid w:val="000D25B1"/>
    <w:rsid w:val="000D2619"/>
    <w:rsid w:val="000D268D"/>
    <w:rsid w:val="000D2792"/>
    <w:rsid w:val="000D2965"/>
    <w:rsid w:val="000D2D8B"/>
    <w:rsid w:val="000D2F1C"/>
    <w:rsid w:val="000D3031"/>
    <w:rsid w:val="000D30DB"/>
    <w:rsid w:val="000D3289"/>
    <w:rsid w:val="000D35CB"/>
    <w:rsid w:val="000D3698"/>
    <w:rsid w:val="000D36AE"/>
    <w:rsid w:val="000D3C86"/>
    <w:rsid w:val="000D3FC4"/>
    <w:rsid w:val="000D448A"/>
    <w:rsid w:val="000D4976"/>
    <w:rsid w:val="000D4A73"/>
    <w:rsid w:val="000D4C36"/>
    <w:rsid w:val="000D4CBF"/>
    <w:rsid w:val="000D55FF"/>
    <w:rsid w:val="000D5947"/>
    <w:rsid w:val="000D59B6"/>
    <w:rsid w:val="000D5A8F"/>
    <w:rsid w:val="000D5AC7"/>
    <w:rsid w:val="000D5E3B"/>
    <w:rsid w:val="000D5E9B"/>
    <w:rsid w:val="000D61D7"/>
    <w:rsid w:val="000D6698"/>
    <w:rsid w:val="000D66A3"/>
    <w:rsid w:val="000D6C99"/>
    <w:rsid w:val="000D6F9C"/>
    <w:rsid w:val="000D6FF3"/>
    <w:rsid w:val="000D7074"/>
    <w:rsid w:val="000D711B"/>
    <w:rsid w:val="000D7C1B"/>
    <w:rsid w:val="000E00E8"/>
    <w:rsid w:val="000E03F4"/>
    <w:rsid w:val="000E0759"/>
    <w:rsid w:val="000E07BA"/>
    <w:rsid w:val="000E07DF"/>
    <w:rsid w:val="000E0C00"/>
    <w:rsid w:val="000E1216"/>
    <w:rsid w:val="000E1754"/>
    <w:rsid w:val="000E1780"/>
    <w:rsid w:val="000E1D3B"/>
    <w:rsid w:val="000E21A7"/>
    <w:rsid w:val="000E2CFE"/>
    <w:rsid w:val="000E3087"/>
    <w:rsid w:val="000E30F3"/>
    <w:rsid w:val="000E3145"/>
    <w:rsid w:val="000E389D"/>
    <w:rsid w:val="000E3960"/>
    <w:rsid w:val="000E3B3E"/>
    <w:rsid w:val="000E3BD2"/>
    <w:rsid w:val="000E3C94"/>
    <w:rsid w:val="000E3EF6"/>
    <w:rsid w:val="000E4055"/>
    <w:rsid w:val="000E41B7"/>
    <w:rsid w:val="000E4398"/>
    <w:rsid w:val="000E4964"/>
    <w:rsid w:val="000E49CB"/>
    <w:rsid w:val="000E4C53"/>
    <w:rsid w:val="000E4C5E"/>
    <w:rsid w:val="000E4F78"/>
    <w:rsid w:val="000E50B7"/>
    <w:rsid w:val="000E52AD"/>
    <w:rsid w:val="000E5376"/>
    <w:rsid w:val="000E57A9"/>
    <w:rsid w:val="000E5960"/>
    <w:rsid w:val="000E5FAE"/>
    <w:rsid w:val="000E61D6"/>
    <w:rsid w:val="000E62FF"/>
    <w:rsid w:val="000E640B"/>
    <w:rsid w:val="000E67BE"/>
    <w:rsid w:val="000E6830"/>
    <w:rsid w:val="000E684A"/>
    <w:rsid w:val="000E720E"/>
    <w:rsid w:val="000E7267"/>
    <w:rsid w:val="000E7DBF"/>
    <w:rsid w:val="000E7DC0"/>
    <w:rsid w:val="000E7EB5"/>
    <w:rsid w:val="000F0219"/>
    <w:rsid w:val="000F0232"/>
    <w:rsid w:val="000F0239"/>
    <w:rsid w:val="000F0348"/>
    <w:rsid w:val="000F0518"/>
    <w:rsid w:val="000F0635"/>
    <w:rsid w:val="000F06BE"/>
    <w:rsid w:val="000F089D"/>
    <w:rsid w:val="000F0932"/>
    <w:rsid w:val="000F0C5C"/>
    <w:rsid w:val="000F0C83"/>
    <w:rsid w:val="000F124F"/>
    <w:rsid w:val="000F197C"/>
    <w:rsid w:val="000F1991"/>
    <w:rsid w:val="000F1D93"/>
    <w:rsid w:val="000F1F94"/>
    <w:rsid w:val="000F20A1"/>
    <w:rsid w:val="000F21B0"/>
    <w:rsid w:val="000F27CD"/>
    <w:rsid w:val="000F2EF8"/>
    <w:rsid w:val="000F32A2"/>
    <w:rsid w:val="000F364C"/>
    <w:rsid w:val="000F4182"/>
    <w:rsid w:val="000F464E"/>
    <w:rsid w:val="000F4829"/>
    <w:rsid w:val="000F4ACE"/>
    <w:rsid w:val="000F4B66"/>
    <w:rsid w:val="000F4BE5"/>
    <w:rsid w:val="000F4CD8"/>
    <w:rsid w:val="000F51FD"/>
    <w:rsid w:val="000F55EB"/>
    <w:rsid w:val="000F57EB"/>
    <w:rsid w:val="000F582D"/>
    <w:rsid w:val="000F59F9"/>
    <w:rsid w:val="000F5BF9"/>
    <w:rsid w:val="000F5DD5"/>
    <w:rsid w:val="000F5FDF"/>
    <w:rsid w:val="000F649A"/>
    <w:rsid w:val="000F66B7"/>
    <w:rsid w:val="000F6D82"/>
    <w:rsid w:val="000F6E1B"/>
    <w:rsid w:val="000F7A9F"/>
    <w:rsid w:val="00100310"/>
    <w:rsid w:val="0010044B"/>
    <w:rsid w:val="00100C07"/>
    <w:rsid w:val="001010FF"/>
    <w:rsid w:val="0010176A"/>
    <w:rsid w:val="001017F7"/>
    <w:rsid w:val="001018A7"/>
    <w:rsid w:val="00101BA7"/>
    <w:rsid w:val="00101BD3"/>
    <w:rsid w:val="00101E9C"/>
    <w:rsid w:val="0010252F"/>
    <w:rsid w:val="00102841"/>
    <w:rsid w:val="00102963"/>
    <w:rsid w:val="00102F87"/>
    <w:rsid w:val="00103700"/>
    <w:rsid w:val="0010372F"/>
    <w:rsid w:val="00103BF0"/>
    <w:rsid w:val="00103D1A"/>
    <w:rsid w:val="00103D25"/>
    <w:rsid w:val="00103DA4"/>
    <w:rsid w:val="00103E50"/>
    <w:rsid w:val="0010436F"/>
    <w:rsid w:val="00104371"/>
    <w:rsid w:val="0010437E"/>
    <w:rsid w:val="00104420"/>
    <w:rsid w:val="001045FF"/>
    <w:rsid w:val="00104697"/>
    <w:rsid w:val="00104897"/>
    <w:rsid w:val="001048E4"/>
    <w:rsid w:val="00104ADE"/>
    <w:rsid w:val="00104DC5"/>
    <w:rsid w:val="0010530D"/>
    <w:rsid w:val="00105803"/>
    <w:rsid w:val="001059F9"/>
    <w:rsid w:val="0010612F"/>
    <w:rsid w:val="001062A1"/>
    <w:rsid w:val="0010641A"/>
    <w:rsid w:val="00106706"/>
    <w:rsid w:val="001067DD"/>
    <w:rsid w:val="001068FC"/>
    <w:rsid w:val="00106C89"/>
    <w:rsid w:val="00106E31"/>
    <w:rsid w:val="00107057"/>
    <w:rsid w:val="001071D0"/>
    <w:rsid w:val="001073B7"/>
    <w:rsid w:val="001073BA"/>
    <w:rsid w:val="001075DB"/>
    <w:rsid w:val="00110073"/>
    <w:rsid w:val="0011009E"/>
    <w:rsid w:val="0011019D"/>
    <w:rsid w:val="00110248"/>
    <w:rsid w:val="0011058E"/>
    <w:rsid w:val="001105AF"/>
    <w:rsid w:val="00110714"/>
    <w:rsid w:val="00110CB2"/>
    <w:rsid w:val="0011130A"/>
    <w:rsid w:val="001113C0"/>
    <w:rsid w:val="00111403"/>
    <w:rsid w:val="001117CF"/>
    <w:rsid w:val="001119B6"/>
    <w:rsid w:val="00111D53"/>
    <w:rsid w:val="00111E71"/>
    <w:rsid w:val="0011206B"/>
    <w:rsid w:val="001121EC"/>
    <w:rsid w:val="00112305"/>
    <w:rsid w:val="001124F1"/>
    <w:rsid w:val="00112591"/>
    <w:rsid w:val="001125DA"/>
    <w:rsid w:val="00112686"/>
    <w:rsid w:val="00112A1F"/>
    <w:rsid w:val="00112D08"/>
    <w:rsid w:val="00112DCA"/>
    <w:rsid w:val="00112FC4"/>
    <w:rsid w:val="001137F6"/>
    <w:rsid w:val="00113C39"/>
    <w:rsid w:val="00113E36"/>
    <w:rsid w:val="00113FAB"/>
    <w:rsid w:val="001140B7"/>
    <w:rsid w:val="00114671"/>
    <w:rsid w:val="00114C60"/>
    <w:rsid w:val="00115310"/>
    <w:rsid w:val="001154E6"/>
    <w:rsid w:val="0011559D"/>
    <w:rsid w:val="001156E5"/>
    <w:rsid w:val="0011577A"/>
    <w:rsid w:val="001159E9"/>
    <w:rsid w:val="00115A45"/>
    <w:rsid w:val="001163BF"/>
    <w:rsid w:val="00116675"/>
    <w:rsid w:val="00116697"/>
    <w:rsid w:val="001168D1"/>
    <w:rsid w:val="001168E5"/>
    <w:rsid w:val="00116A47"/>
    <w:rsid w:val="00116E52"/>
    <w:rsid w:val="00117089"/>
    <w:rsid w:val="001172B4"/>
    <w:rsid w:val="0011730C"/>
    <w:rsid w:val="001174A1"/>
    <w:rsid w:val="001179C0"/>
    <w:rsid w:val="00117B20"/>
    <w:rsid w:val="00117B47"/>
    <w:rsid w:val="00117BE7"/>
    <w:rsid w:val="00117E22"/>
    <w:rsid w:val="00117E89"/>
    <w:rsid w:val="00120336"/>
    <w:rsid w:val="00120563"/>
    <w:rsid w:val="00120737"/>
    <w:rsid w:val="00120964"/>
    <w:rsid w:val="00120B87"/>
    <w:rsid w:val="0012117E"/>
    <w:rsid w:val="001211B1"/>
    <w:rsid w:val="0012121E"/>
    <w:rsid w:val="001213F7"/>
    <w:rsid w:val="00121E96"/>
    <w:rsid w:val="00121F2B"/>
    <w:rsid w:val="0012290C"/>
    <w:rsid w:val="00122A5B"/>
    <w:rsid w:val="00122AD8"/>
    <w:rsid w:val="00122C6F"/>
    <w:rsid w:val="00122DD1"/>
    <w:rsid w:val="00122FC5"/>
    <w:rsid w:val="0012301A"/>
    <w:rsid w:val="001231B7"/>
    <w:rsid w:val="0012333F"/>
    <w:rsid w:val="001235EA"/>
    <w:rsid w:val="00123669"/>
    <w:rsid w:val="00123E08"/>
    <w:rsid w:val="00123FC5"/>
    <w:rsid w:val="00123FE9"/>
    <w:rsid w:val="00124B65"/>
    <w:rsid w:val="00124CB4"/>
    <w:rsid w:val="00125056"/>
    <w:rsid w:val="00125152"/>
    <w:rsid w:val="001251E1"/>
    <w:rsid w:val="001257F8"/>
    <w:rsid w:val="00125BE0"/>
    <w:rsid w:val="001264DF"/>
    <w:rsid w:val="00126B28"/>
    <w:rsid w:val="00126F5D"/>
    <w:rsid w:val="00126F93"/>
    <w:rsid w:val="001273B5"/>
    <w:rsid w:val="001274F1"/>
    <w:rsid w:val="0012765E"/>
    <w:rsid w:val="001277DA"/>
    <w:rsid w:val="00127850"/>
    <w:rsid w:val="0012785F"/>
    <w:rsid w:val="001278B4"/>
    <w:rsid w:val="00127C9E"/>
    <w:rsid w:val="00127CEC"/>
    <w:rsid w:val="00127CEF"/>
    <w:rsid w:val="00127F63"/>
    <w:rsid w:val="001300EE"/>
    <w:rsid w:val="00130240"/>
    <w:rsid w:val="00130906"/>
    <w:rsid w:val="00130AD4"/>
    <w:rsid w:val="00130BEC"/>
    <w:rsid w:val="00130DE8"/>
    <w:rsid w:val="0013148F"/>
    <w:rsid w:val="00131537"/>
    <w:rsid w:val="001316D9"/>
    <w:rsid w:val="0013193F"/>
    <w:rsid w:val="00131A03"/>
    <w:rsid w:val="00131D75"/>
    <w:rsid w:val="00132022"/>
    <w:rsid w:val="00132151"/>
    <w:rsid w:val="001322B8"/>
    <w:rsid w:val="001328A0"/>
    <w:rsid w:val="001328BC"/>
    <w:rsid w:val="00132C86"/>
    <w:rsid w:val="00132E8E"/>
    <w:rsid w:val="00133065"/>
    <w:rsid w:val="0013324A"/>
    <w:rsid w:val="00133460"/>
    <w:rsid w:val="001335A9"/>
    <w:rsid w:val="00133647"/>
    <w:rsid w:val="0013391E"/>
    <w:rsid w:val="00133C9C"/>
    <w:rsid w:val="00133D71"/>
    <w:rsid w:val="00133F8A"/>
    <w:rsid w:val="00133FE3"/>
    <w:rsid w:val="001343F2"/>
    <w:rsid w:val="001345A1"/>
    <w:rsid w:val="001346A9"/>
    <w:rsid w:val="0013484F"/>
    <w:rsid w:val="0013485A"/>
    <w:rsid w:val="0013488C"/>
    <w:rsid w:val="001348D3"/>
    <w:rsid w:val="00134BE9"/>
    <w:rsid w:val="00135247"/>
    <w:rsid w:val="00135334"/>
    <w:rsid w:val="00135345"/>
    <w:rsid w:val="0013540C"/>
    <w:rsid w:val="0013575C"/>
    <w:rsid w:val="001358AD"/>
    <w:rsid w:val="00135C1E"/>
    <w:rsid w:val="00135DA9"/>
    <w:rsid w:val="00135E1C"/>
    <w:rsid w:val="00136205"/>
    <w:rsid w:val="001363A8"/>
    <w:rsid w:val="0013679B"/>
    <w:rsid w:val="001369FF"/>
    <w:rsid w:val="00136FD9"/>
    <w:rsid w:val="00137B02"/>
    <w:rsid w:val="00137BE3"/>
    <w:rsid w:val="00137C6A"/>
    <w:rsid w:val="00137E45"/>
    <w:rsid w:val="00137EE9"/>
    <w:rsid w:val="00137F15"/>
    <w:rsid w:val="001404F2"/>
    <w:rsid w:val="00140664"/>
    <w:rsid w:val="00140A32"/>
    <w:rsid w:val="00140EC7"/>
    <w:rsid w:val="00141007"/>
    <w:rsid w:val="0014124A"/>
    <w:rsid w:val="0014130A"/>
    <w:rsid w:val="00141A21"/>
    <w:rsid w:val="00141D73"/>
    <w:rsid w:val="00141E02"/>
    <w:rsid w:val="00141FD5"/>
    <w:rsid w:val="001420B4"/>
    <w:rsid w:val="00142129"/>
    <w:rsid w:val="001421BD"/>
    <w:rsid w:val="001421CF"/>
    <w:rsid w:val="0014261B"/>
    <w:rsid w:val="0014294D"/>
    <w:rsid w:val="00142AB7"/>
    <w:rsid w:val="00142ECD"/>
    <w:rsid w:val="00142F5F"/>
    <w:rsid w:val="00143234"/>
    <w:rsid w:val="0014332E"/>
    <w:rsid w:val="001434A2"/>
    <w:rsid w:val="00143516"/>
    <w:rsid w:val="00143524"/>
    <w:rsid w:val="00143595"/>
    <w:rsid w:val="00143B05"/>
    <w:rsid w:val="00143BA5"/>
    <w:rsid w:val="00143DAF"/>
    <w:rsid w:val="0014408E"/>
    <w:rsid w:val="001441EE"/>
    <w:rsid w:val="0014421B"/>
    <w:rsid w:val="0014495A"/>
    <w:rsid w:val="00144971"/>
    <w:rsid w:val="00144D70"/>
    <w:rsid w:val="001452FC"/>
    <w:rsid w:val="00145566"/>
    <w:rsid w:val="001458CB"/>
    <w:rsid w:val="00145B7B"/>
    <w:rsid w:val="001465F2"/>
    <w:rsid w:val="0014665D"/>
    <w:rsid w:val="00146C0B"/>
    <w:rsid w:val="00146C6E"/>
    <w:rsid w:val="00146DAB"/>
    <w:rsid w:val="00146DE6"/>
    <w:rsid w:val="00146DF9"/>
    <w:rsid w:val="00146E5A"/>
    <w:rsid w:val="00146EE6"/>
    <w:rsid w:val="00147074"/>
    <w:rsid w:val="0014751E"/>
    <w:rsid w:val="001476CF"/>
    <w:rsid w:val="0014781C"/>
    <w:rsid w:val="00147A7C"/>
    <w:rsid w:val="00147BC5"/>
    <w:rsid w:val="00147C51"/>
    <w:rsid w:val="00150843"/>
    <w:rsid w:val="001509DD"/>
    <w:rsid w:val="00150AE1"/>
    <w:rsid w:val="00150AFD"/>
    <w:rsid w:val="00150B2F"/>
    <w:rsid w:val="00150DDB"/>
    <w:rsid w:val="00150F39"/>
    <w:rsid w:val="00151007"/>
    <w:rsid w:val="001512DB"/>
    <w:rsid w:val="00151348"/>
    <w:rsid w:val="0015134D"/>
    <w:rsid w:val="0015134E"/>
    <w:rsid w:val="00151836"/>
    <w:rsid w:val="001519FB"/>
    <w:rsid w:val="00151EE2"/>
    <w:rsid w:val="00151F2C"/>
    <w:rsid w:val="001520D2"/>
    <w:rsid w:val="00152328"/>
    <w:rsid w:val="00152412"/>
    <w:rsid w:val="00152498"/>
    <w:rsid w:val="00153033"/>
    <w:rsid w:val="00153258"/>
    <w:rsid w:val="00153384"/>
    <w:rsid w:val="001534A1"/>
    <w:rsid w:val="00153646"/>
    <w:rsid w:val="0015381D"/>
    <w:rsid w:val="0015388D"/>
    <w:rsid w:val="001538EB"/>
    <w:rsid w:val="0015390E"/>
    <w:rsid w:val="00153A92"/>
    <w:rsid w:val="00153BBF"/>
    <w:rsid w:val="00153DA6"/>
    <w:rsid w:val="00153EE2"/>
    <w:rsid w:val="00154041"/>
    <w:rsid w:val="0015455D"/>
    <w:rsid w:val="00154D57"/>
    <w:rsid w:val="00154D63"/>
    <w:rsid w:val="00154FE9"/>
    <w:rsid w:val="00155026"/>
    <w:rsid w:val="00155113"/>
    <w:rsid w:val="00155309"/>
    <w:rsid w:val="0015574C"/>
    <w:rsid w:val="00155A1F"/>
    <w:rsid w:val="00155A2A"/>
    <w:rsid w:val="00155A70"/>
    <w:rsid w:val="00155B8B"/>
    <w:rsid w:val="00155C8F"/>
    <w:rsid w:val="0015625F"/>
    <w:rsid w:val="001564EB"/>
    <w:rsid w:val="001568D3"/>
    <w:rsid w:val="00156B2E"/>
    <w:rsid w:val="00156E4B"/>
    <w:rsid w:val="00157165"/>
    <w:rsid w:val="0015718F"/>
    <w:rsid w:val="0015726B"/>
    <w:rsid w:val="001575B1"/>
    <w:rsid w:val="00157A6F"/>
    <w:rsid w:val="00157B5A"/>
    <w:rsid w:val="001606C8"/>
    <w:rsid w:val="001608DA"/>
    <w:rsid w:val="00160E22"/>
    <w:rsid w:val="001610C4"/>
    <w:rsid w:val="00161741"/>
    <w:rsid w:val="00161AD8"/>
    <w:rsid w:val="00161B17"/>
    <w:rsid w:val="00161CE7"/>
    <w:rsid w:val="001626AB"/>
    <w:rsid w:val="00162741"/>
    <w:rsid w:val="001628DA"/>
    <w:rsid w:val="00162926"/>
    <w:rsid w:val="00162E31"/>
    <w:rsid w:val="00162EFC"/>
    <w:rsid w:val="00162FA5"/>
    <w:rsid w:val="001630D1"/>
    <w:rsid w:val="00163253"/>
    <w:rsid w:val="001638F5"/>
    <w:rsid w:val="00163A92"/>
    <w:rsid w:val="00163B98"/>
    <w:rsid w:val="0016410C"/>
    <w:rsid w:val="0016439C"/>
    <w:rsid w:val="001643C6"/>
    <w:rsid w:val="00164AEF"/>
    <w:rsid w:val="00164F6A"/>
    <w:rsid w:val="001652C8"/>
    <w:rsid w:val="0016566C"/>
    <w:rsid w:val="00165C0A"/>
    <w:rsid w:val="00165DF1"/>
    <w:rsid w:val="001661E6"/>
    <w:rsid w:val="00166A6B"/>
    <w:rsid w:val="00166AD7"/>
    <w:rsid w:val="00166D00"/>
    <w:rsid w:val="00166D91"/>
    <w:rsid w:val="00167195"/>
    <w:rsid w:val="001674EA"/>
    <w:rsid w:val="001674ED"/>
    <w:rsid w:val="001676FC"/>
    <w:rsid w:val="001678C0"/>
    <w:rsid w:val="00167978"/>
    <w:rsid w:val="00167B45"/>
    <w:rsid w:val="00167D32"/>
    <w:rsid w:val="00167F58"/>
    <w:rsid w:val="0017063B"/>
    <w:rsid w:val="00170666"/>
    <w:rsid w:val="001707FD"/>
    <w:rsid w:val="001708F4"/>
    <w:rsid w:val="001709AB"/>
    <w:rsid w:val="00170AFD"/>
    <w:rsid w:val="00171023"/>
    <w:rsid w:val="00171084"/>
    <w:rsid w:val="00171464"/>
    <w:rsid w:val="001714AD"/>
    <w:rsid w:val="0017168F"/>
    <w:rsid w:val="001719E6"/>
    <w:rsid w:val="00171D2A"/>
    <w:rsid w:val="00171E08"/>
    <w:rsid w:val="00171F7D"/>
    <w:rsid w:val="0017208E"/>
    <w:rsid w:val="00172409"/>
    <w:rsid w:val="0017267E"/>
    <w:rsid w:val="001728D4"/>
    <w:rsid w:val="00172A66"/>
    <w:rsid w:val="00172AF3"/>
    <w:rsid w:val="00172B10"/>
    <w:rsid w:val="00172B94"/>
    <w:rsid w:val="00172BD9"/>
    <w:rsid w:val="00172DCB"/>
    <w:rsid w:val="00172E93"/>
    <w:rsid w:val="00172EFF"/>
    <w:rsid w:val="00172FE4"/>
    <w:rsid w:val="00173060"/>
    <w:rsid w:val="0017362C"/>
    <w:rsid w:val="0017398D"/>
    <w:rsid w:val="00173ABA"/>
    <w:rsid w:val="00173D8C"/>
    <w:rsid w:val="001743B0"/>
    <w:rsid w:val="001744A4"/>
    <w:rsid w:val="001745AD"/>
    <w:rsid w:val="0017486D"/>
    <w:rsid w:val="0017508F"/>
    <w:rsid w:val="0017509A"/>
    <w:rsid w:val="001751B8"/>
    <w:rsid w:val="001758D3"/>
    <w:rsid w:val="00175DFF"/>
    <w:rsid w:val="00175E3A"/>
    <w:rsid w:val="001763E4"/>
    <w:rsid w:val="001766C6"/>
    <w:rsid w:val="001766CF"/>
    <w:rsid w:val="00176D7D"/>
    <w:rsid w:val="00176E7A"/>
    <w:rsid w:val="00177A37"/>
    <w:rsid w:val="00177A57"/>
    <w:rsid w:val="00177C6C"/>
    <w:rsid w:val="00177E47"/>
    <w:rsid w:val="001806EC"/>
    <w:rsid w:val="001807AF"/>
    <w:rsid w:val="001807F8"/>
    <w:rsid w:val="00180EF2"/>
    <w:rsid w:val="00180FB7"/>
    <w:rsid w:val="00180FF2"/>
    <w:rsid w:val="00181112"/>
    <w:rsid w:val="00181161"/>
    <w:rsid w:val="0018132B"/>
    <w:rsid w:val="0018147E"/>
    <w:rsid w:val="00181483"/>
    <w:rsid w:val="001817CB"/>
    <w:rsid w:val="001818D4"/>
    <w:rsid w:val="001819ED"/>
    <w:rsid w:val="00181C08"/>
    <w:rsid w:val="00181EB8"/>
    <w:rsid w:val="001825B1"/>
    <w:rsid w:val="0018266B"/>
    <w:rsid w:val="00182720"/>
    <w:rsid w:val="00182D93"/>
    <w:rsid w:val="00182EA5"/>
    <w:rsid w:val="00183204"/>
    <w:rsid w:val="00183AE5"/>
    <w:rsid w:val="00183F3B"/>
    <w:rsid w:val="001841C2"/>
    <w:rsid w:val="001849C5"/>
    <w:rsid w:val="00184BD3"/>
    <w:rsid w:val="0018512A"/>
    <w:rsid w:val="001853B4"/>
    <w:rsid w:val="00185ED0"/>
    <w:rsid w:val="00186011"/>
    <w:rsid w:val="001865F5"/>
    <w:rsid w:val="0018661F"/>
    <w:rsid w:val="00186A57"/>
    <w:rsid w:val="00186CE2"/>
    <w:rsid w:val="0018700A"/>
    <w:rsid w:val="001870A7"/>
    <w:rsid w:val="001872B0"/>
    <w:rsid w:val="001872E8"/>
    <w:rsid w:val="0018784E"/>
    <w:rsid w:val="0018786E"/>
    <w:rsid w:val="001878E4"/>
    <w:rsid w:val="00187FE4"/>
    <w:rsid w:val="0019016B"/>
    <w:rsid w:val="00190521"/>
    <w:rsid w:val="00190830"/>
    <w:rsid w:val="00190A5F"/>
    <w:rsid w:val="00190B1A"/>
    <w:rsid w:val="00191238"/>
    <w:rsid w:val="0019123E"/>
    <w:rsid w:val="00191285"/>
    <w:rsid w:val="00191568"/>
    <w:rsid w:val="00191688"/>
    <w:rsid w:val="00191713"/>
    <w:rsid w:val="00191817"/>
    <w:rsid w:val="00191900"/>
    <w:rsid w:val="00191924"/>
    <w:rsid w:val="00191954"/>
    <w:rsid w:val="00191EF6"/>
    <w:rsid w:val="001925C6"/>
    <w:rsid w:val="00192701"/>
    <w:rsid w:val="001928F5"/>
    <w:rsid w:val="00192915"/>
    <w:rsid w:val="00192E05"/>
    <w:rsid w:val="001930F5"/>
    <w:rsid w:val="0019315C"/>
    <w:rsid w:val="001931D8"/>
    <w:rsid w:val="001937C9"/>
    <w:rsid w:val="001938CB"/>
    <w:rsid w:val="00193969"/>
    <w:rsid w:val="00193E46"/>
    <w:rsid w:val="001948E1"/>
    <w:rsid w:val="00194A6E"/>
    <w:rsid w:val="00194E61"/>
    <w:rsid w:val="00194FEA"/>
    <w:rsid w:val="001954A3"/>
    <w:rsid w:val="00195768"/>
    <w:rsid w:val="001957F6"/>
    <w:rsid w:val="00195A80"/>
    <w:rsid w:val="00195AE0"/>
    <w:rsid w:val="00195D2F"/>
    <w:rsid w:val="00195D68"/>
    <w:rsid w:val="00195FD8"/>
    <w:rsid w:val="0019617A"/>
    <w:rsid w:val="001962D8"/>
    <w:rsid w:val="001966E3"/>
    <w:rsid w:val="00196942"/>
    <w:rsid w:val="00196D99"/>
    <w:rsid w:val="00196DD5"/>
    <w:rsid w:val="0019752A"/>
    <w:rsid w:val="0019762A"/>
    <w:rsid w:val="00197864"/>
    <w:rsid w:val="00197AF3"/>
    <w:rsid w:val="00197C80"/>
    <w:rsid w:val="001A0019"/>
    <w:rsid w:val="001A0150"/>
    <w:rsid w:val="001A07AA"/>
    <w:rsid w:val="001A09F7"/>
    <w:rsid w:val="001A119B"/>
    <w:rsid w:val="001A1566"/>
    <w:rsid w:val="001A1B17"/>
    <w:rsid w:val="001A1DFE"/>
    <w:rsid w:val="001A1F51"/>
    <w:rsid w:val="001A1FBD"/>
    <w:rsid w:val="001A2646"/>
    <w:rsid w:val="001A2832"/>
    <w:rsid w:val="001A294E"/>
    <w:rsid w:val="001A29C0"/>
    <w:rsid w:val="001A2A7F"/>
    <w:rsid w:val="001A2ACE"/>
    <w:rsid w:val="001A2AEA"/>
    <w:rsid w:val="001A2C2E"/>
    <w:rsid w:val="001A2C6A"/>
    <w:rsid w:val="001A3136"/>
    <w:rsid w:val="001A3173"/>
    <w:rsid w:val="001A31B2"/>
    <w:rsid w:val="001A36FB"/>
    <w:rsid w:val="001A3785"/>
    <w:rsid w:val="001A39B6"/>
    <w:rsid w:val="001A3F19"/>
    <w:rsid w:val="001A3F47"/>
    <w:rsid w:val="001A40B7"/>
    <w:rsid w:val="001A4252"/>
    <w:rsid w:val="001A444C"/>
    <w:rsid w:val="001A460C"/>
    <w:rsid w:val="001A4639"/>
    <w:rsid w:val="001A47B9"/>
    <w:rsid w:val="001A4854"/>
    <w:rsid w:val="001A4B93"/>
    <w:rsid w:val="001A4D66"/>
    <w:rsid w:val="001A4EAA"/>
    <w:rsid w:val="001A4F74"/>
    <w:rsid w:val="001A4FE8"/>
    <w:rsid w:val="001A55D1"/>
    <w:rsid w:val="001A56ED"/>
    <w:rsid w:val="001A5748"/>
    <w:rsid w:val="001A58CD"/>
    <w:rsid w:val="001A5D41"/>
    <w:rsid w:val="001A5F98"/>
    <w:rsid w:val="001A647C"/>
    <w:rsid w:val="001A6787"/>
    <w:rsid w:val="001A6F27"/>
    <w:rsid w:val="001A6F73"/>
    <w:rsid w:val="001A73EC"/>
    <w:rsid w:val="001A757D"/>
    <w:rsid w:val="001A7649"/>
    <w:rsid w:val="001A7753"/>
    <w:rsid w:val="001A77F2"/>
    <w:rsid w:val="001A7A23"/>
    <w:rsid w:val="001A7BDF"/>
    <w:rsid w:val="001B01BF"/>
    <w:rsid w:val="001B03CB"/>
    <w:rsid w:val="001B03CF"/>
    <w:rsid w:val="001B0645"/>
    <w:rsid w:val="001B0667"/>
    <w:rsid w:val="001B070A"/>
    <w:rsid w:val="001B078D"/>
    <w:rsid w:val="001B0948"/>
    <w:rsid w:val="001B0C5E"/>
    <w:rsid w:val="001B0D76"/>
    <w:rsid w:val="001B102C"/>
    <w:rsid w:val="001B10D9"/>
    <w:rsid w:val="001B1274"/>
    <w:rsid w:val="001B1327"/>
    <w:rsid w:val="001B144E"/>
    <w:rsid w:val="001B1802"/>
    <w:rsid w:val="001B1AA2"/>
    <w:rsid w:val="001B1B7F"/>
    <w:rsid w:val="001B1C4F"/>
    <w:rsid w:val="001B1E1F"/>
    <w:rsid w:val="001B1FDA"/>
    <w:rsid w:val="001B20C1"/>
    <w:rsid w:val="001B20CA"/>
    <w:rsid w:val="001B273D"/>
    <w:rsid w:val="001B2A0D"/>
    <w:rsid w:val="001B2F64"/>
    <w:rsid w:val="001B2F88"/>
    <w:rsid w:val="001B3831"/>
    <w:rsid w:val="001B3C8F"/>
    <w:rsid w:val="001B3EB2"/>
    <w:rsid w:val="001B3FE0"/>
    <w:rsid w:val="001B40F8"/>
    <w:rsid w:val="001B423D"/>
    <w:rsid w:val="001B42C8"/>
    <w:rsid w:val="001B46EB"/>
    <w:rsid w:val="001B4ED8"/>
    <w:rsid w:val="001B4ED9"/>
    <w:rsid w:val="001B507C"/>
    <w:rsid w:val="001B53ED"/>
    <w:rsid w:val="001B5588"/>
    <w:rsid w:val="001B5624"/>
    <w:rsid w:val="001B5641"/>
    <w:rsid w:val="001B5774"/>
    <w:rsid w:val="001B57B4"/>
    <w:rsid w:val="001B584B"/>
    <w:rsid w:val="001B5A6C"/>
    <w:rsid w:val="001B5A6D"/>
    <w:rsid w:val="001B5CAC"/>
    <w:rsid w:val="001B5F7F"/>
    <w:rsid w:val="001B60BB"/>
    <w:rsid w:val="001B619C"/>
    <w:rsid w:val="001B655F"/>
    <w:rsid w:val="001B65D3"/>
    <w:rsid w:val="001B66C0"/>
    <w:rsid w:val="001B672C"/>
    <w:rsid w:val="001B68BA"/>
    <w:rsid w:val="001B693B"/>
    <w:rsid w:val="001B6BEE"/>
    <w:rsid w:val="001B6C19"/>
    <w:rsid w:val="001B6CBD"/>
    <w:rsid w:val="001B6D1C"/>
    <w:rsid w:val="001B6E49"/>
    <w:rsid w:val="001B6FBA"/>
    <w:rsid w:val="001B7078"/>
    <w:rsid w:val="001B7081"/>
    <w:rsid w:val="001B7404"/>
    <w:rsid w:val="001B7913"/>
    <w:rsid w:val="001B79BA"/>
    <w:rsid w:val="001B7A9A"/>
    <w:rsid w:val="001B7E1B"/>
    <w:rsid w:val="001C0020"/>
    <w:rsid w:val="001C01A7"/>
    <w:rsid w:val="001C0356"/>
    <w:rsid w:val="001C03EB"/>
    <w:rsid w:val="001C05AE"/>
    <w:rsid w:val="001C0745"/>
    <w:rsid w:val="001C075D"/>
    <w:rsid w:val="001C07BE"/>
    <w:rsid w:val="001C0806"/>
    <w:rsid w:val="001C0EED"/>
    <w:rsid w:val="001C1180"/>
    <w:rsid w:val="001C1A9C"/>
    <w:rsid w:val="001C1D22"/>
    <w:rsid w:val="001C1D55"/>
    <w:rsid w:val="001C2358"/>
    <w:rsid w:val="001C2714"/>
    <w:rsid w:val="001C2FBD"/>
    <w:rsid w:val="001C305C"/>
    <w:rsid w:val="001C3119"/>
    <w:rsid w:val="001C3154"/>
    <w:rsid w:val="001C32F2"/>
    <w:rsid w:val="001C35C1"/>
    <w:rsid w:val="001C375A"/>
    <w:rsid w:val="001C38E9"/>
    <w:rsid w:val="001C4130"/>
    <w:rsid w:val="001C413E"/>
    <w:rsid w:val="001C43B2"/>
    <w:rsid w:val="001C45E3"/>
    <w:rsid w:val="001C4830"/>
    <w:rsid w:val="001C4CFB"/>
    <w:rsid w:val="001C541F"/>
    <w:rsid w:val="001C561B"/>
    <w:rsid w:val="001C5700"/>
    <w:rsid w:val="001C5924"/>
    <w:rsid w:val="001C5AC9"/>
    <w:rsid w:val="001C5AF8"/>
    <w:rsid w:val="001C5BE9"/>
    <w:rsid w:val="001C602D"/>
    <w:rsid w:val="001C62ED"/>
    <w:rsid w:val="001C6408"/>
    <w:rsid w:val="001C65AA"/>
    <w:rsid w:val="001C69E9"/>
    <w:rsid w:val="001C6A21"/>
    <w:rsid w:val="001C6DCF"/>
    <w:rsid w:val="001C6E4A"/>
    <w:rsid w:val="001C7AAF"/>
    <w:rsid w:val="001D010C"/>
    <w:rsid w:val="001D0269"/>
    <w:rsid w:val="001D037A"/>
    <w:rsid w:val="001D0418"/>
    <w:rsid w:val="001D084C"/>
    <w:rsid w:val="001D0963"/>
    <w:rsid w:val="001D09E8"/>
    <w:rsid w:val="001D0DC3"/>
    <w:rsid w:val="001D0E1E"/>
    <w:rsid w:val="001D0E6B"/>
    <w:rsid w:val="001D0F14"/>
    <w:rsid w:val="001D117B"/>
    <w:rsid w:val="001D13AE"/>
    <w:rsid w:val="001D15EE"/>
    <w:rsid w:val="001D16FD"/>
    <w:rsid w:val="001D18F4"/>
    <w:rsid w:val="001D1DB6"/>
    <w:rsid w:val="001D256E"/>
    <w:rsid w:val="001D2752"/>
    <w:rsid w:val="001D2BED"/>
    <w:rsid w:val="001D30D3"/>
    <w:rsid w:val="001D30FD"/>
    <w:rsid w:val="001D32EE"/>
    <w:rsid w:val="001D341F"/>
    <w:rsid w:val="001D34C7"/>
    <w:rsid w:val="001D3A7A"/>
    <w:rsid w:val="001D3BAF"/>
    <w:rsid w:val="001D40BE"/>
    <w:rsid w:val="001D4105"/>
    <w:rsid w:val="001D43F7"/>
    <w:rsid w:val="001D4434"/>
    <w:rsid w:val="001D4D1B"/>
    <w:rsid w:val="001D505C"/>
    <w:rsid w:val="001D51CA"/>
    <w:rsid w:val="001D5396"/>
    <w:rsid w:val="001D54A9"/>
    <w:rsid w:val="001D5F0F"/>
    <w:rsid w:val="001D62E0"/>
    <w:rsid w:val="001D6386"/>
    <w:rsid w:val="001D669C"/>
    <w:rsid w:val="001D6876"/>
    <w:rsid w:val="001D6B90"/>
    <w:rsid w:val="001D6DDF"/>
    <w:rsid w:val="001D73C4"/>
    <w:rsid w:val="001D788B"/>
    <w:rsid w:val="001D7A4B"/>
    <w:rsid w:val="001D7D35"/>
    <w:rsid w:val="001E03E2"/>
    <w:rsid w:val="001E09B6"/>
    <w:rsid w:val="001E11AF"/>
    <w:rsid w:val="001E170F"/>
    <w:rsid w:val="001E176F"/>
    <w:rsid w:val="001E1871"/>
    <w:rsid w:val="001E18E3"/>
    <w:rsid w:val="001E1A72"/>
    <w:rsid w:val="001E1A7A"/>
    <w:rsid w:val="001E1E61"/>
    <w:rsid w:val="001E2053"/>
    <w:rsid w:val="001E207D"/>
    <w:rsid w:val="001E2113"/>
    <w:rsid w:val="001E21F8"/>
    <w:rsid w:val="001E228F"/>
    <w:rsid w:val="001E2295"/>
    <w:rsid w:val="001E2425"/>
    <w:rsid w:val="001E2661"/>
    <w:rsid w:val="001E271B"/>
    <w:rsid w:val="001E2F42"/>
    <w:rsid w:val="001E2F4F"/>
    <w:rsid w:val="001E30B9"/>
    <w:rsid w:val="001E310A"/>
    <w:rsid w:val="001E316A"/>
    <w:rsid w:val="001E3B6A"/>
    <w:rsid w:val="001E3C56"/>
    <w:rsid w:val="001E3DD9"/>
    <w:rsid w:val="001E3E7E"/>
    <w:rsid w:val="001E4016"/>
    <w:rsid w:val="001E4074"/>
    <w:rsid w:val="001E4976"/>
    <w:rsid w:val="001E4A37"/>
    <w:rsid w:val="001E4D95"/>
    <w:rsid w:val="001E4FE7"/>
    <w:rsid w:val="001E547C"/>
    <w:rsid w:val="001E54B8"/>
    <w:rsid w:val="001E5E64"/>
    <w:rsid w:val="001E5F39"/>
    <w:rsid w:val="001E604C"/>
    <w:rsid w:val="001E608C"/>
    <w:rsid w:val="001E614B"/>
    <w:rsid w:val="001E61C4"/>
    <w:rsid w:val="001E6F46"/>
    <w:rsid w:val="001E7075"/>
    <w:rsid w:val="001E71EB"/>
    <w:rsid w:val="001E7323"/>
    <w:rsid w:val="001E77B0"/>
    <w:rsid w:val="001E7927"/>
    <w:rsid w:val="001E798B"/>
    <w:rsid w:val="001E7A15"/>
    <w:rsid w:val="001F0FD2"/>
    <w:rsid w:val="001F1222"/>
    <w:rsid w:val="001F1401"/>
    <w:rsid w:val="001F14D1"/>
    <w:rsid w:val="001F1523"/>
    <w:rsid w:val="001F1796"/>
    <w:rsid w:val="001F1AB9"/>
    <w:rsid w:val="001F1EE7"/>
    <w:rsid w:val="001F1F6C"/>
    <w:rsid w:val="001F1FC2"/>
    <w:rsid w:val="001F2221"/>
    <w:rsid w:val="001F2281"/>
    <w:rsid w:val="001F23DE"/>
    <w:rsid w:val="001F24F8"/>
    <w:rsid w:val="001F2A5B"/>
    <w:rsid w:val="001F2D69"/>
    <w:rsid w:val="001F2E10"/>
    <w:rsid w:val="001F3092"/>
    <w:rsid w:val="001F31FB"/>
    <w:rsid w:val="001F3221"/>
    <w:rsid w:val="001F381A"/>
    <w:rsid w:val="001F3E20"/>
    <w:rsid w:val="001F422E"/>
    <w:rsid w:val="001F4527"/>
    <w:rsid w:val="001F45E5"/>
    <w:rsid w:val="001F46E7"/>
    <w:rsid w:val="001F48A1"/>
    <w:rsid w:val="001F4984"/>
    <w:rsid w:val="001F4C7F"/>
    <w:rsid w:val="001F4C8F"/>
    <w:rsid w:val="001F4D50"/>
    <w:rsid w:val="001F4F5A"/>
    <w:rsid w:val="001F5219"/>
    <w:rsid w:val="001F529F"/>
    <w:rsid w:val="001F5410"/>
    <w:rsid w:val="001F57E9"/>
    <w:rsid w:val="001F596A"/>
    <w:rsid w:val="001F59AC"/>
    <w:rsid w:val="001F5CB9"/>
    <w:rsid w:val="001F5CDA"/>
    <w:rsid w:val="001F5ED5"/>
    <w:rsid w:val="001F611D"/>
    <w:rsid w:val="001F618F"/>
    <w:rsid w:val="001F624F"/>
    <w:rsid w:val="001F6309"/>
    <w:rsid w:val="001F64C0"/>
    <w:rsid w:val="001F66DD"/>
    <w:rsid w:val="001F66EC"/>
    <w:rsid w:val="001F66FF"/>
    <w:rsid w:val="001F672D"/>
    <w:rsid w:val="001F6964"/>
    <w:rsid w:val="001F6B32"/>
    <w:rsid w:val="001F6DCD"/>
    <w:rsid w:val="001F7192"/>
    <w:rsid w:val="001F728D"/>
    <w:rsid w:val="001F737A"/>
    <w:rsid w:val="001F77B3"/>
    <w:rsid w:val="001F7918"/>
    <w:rsid w:val="001F7D35"/>
    <w:rsid w:val="00200144"/>
    <w:rsid w:val="002004D7"/>
    <w:rsid w:val="002005D5"/>
    <w:rsid w:val="00200B53"/>
    <w:rsid w:val="00200FC5"/>
    <w:rsid w:val="0020107F"/>
    <w:rsid w:val="0020137E"/>
    <w:rsid w:val="002013EA"/>
    <w:rsid w:val="0020163F"/>
    <w:rsid w:val="00201689"/>
    <w:rsid w:val="002016A5"/>
    <w:rsid w:val="00201B9B"/>
    <w:rsid w:val="00201F98"/>
    <w:rsid w:val="00202110"/>
    <w:rsid w:val="0020260D"/>
    <w:rsid w:val="002027F0"/>
    <w:rsid w:val="0020292F"/>
    <w:rsid w:val="00202BCB"/>
    <w:rsid w:val="00202E4E"/>
    <w:rsid w:val="00203194"/>
    <w:rsid w:val="002034DD"/>
    <w:rsid w:val="0020487D"/>
    <w:rsid w:val="00204A46"/>
    <w:rsid w:val="00204AB1"/>
    <w:rsid w:val="00204C77"/>
    <w:rsid w:val="00204E0F"/>
    <w:rsid w:val="00204F93"/>
    <w:rsid w:val="00204FB0"/>
    <w:rsid w:val="00205166"/>
    <w:rsid w:val="002051D6"/>
    <w:rsid w:val="002052BC"/>
    <w:rsid w:val="002053FB"/>
    <w:rsid w:val="002055D1"/>
    <w:rsid w:val="00205843"/>
    <w:rsid w:val="00205BB1"/>
    <w:rsid w:val="00205D31"/>
    <w:rsid w:val="00205E94"/>
    <w:rsid w:val="00205EB3"/>
    <w:rsid w:val="00205F55"/>
    <w:rsid w:val="00205F70"/>
    <w:rsid w:val="002060D2"/>
    <w:rsid w:val="00206754"/>
    <w:rsid w:val="0020686B"/>
    <w:rsid w:val="00206A48"/>
    <w:rsid w:val="00206FAA"/>
    <w:rsid w:val="002072D6"/>
    <w:rsid w:val="002075C2"/>
    <w:rsid w:val="0020770C"/>
    <w:rsid w:val="00207718"/>
    <w:rsid w:val="0020771A"/>
    <w:rsid w:val="00207729"/>
    <w:rsid w:val="00207ED2"/>
    <w:rsid w:val="00207F18"/>
    <w:rsid w:val="002100CE"/>
    <w:rsid w:val="0021015B"/>
    <w:rsid w:val="002101E8"/>
    <w:rsid w:val="002104A4"/>
    <w:rsid w:val="0021064A"/>
    <w:rsid w:val="00210907"/>
    <w:rsid w:val="002111F6"/>
    <w:rsid w:val="00211410"/>
    <w:rsid w:val="002114FC"/>
    <w:rsid w:val="00211692"/>
    <w:rsid w:val="00211A29"/>
    <w:rsid w:val="00211C78"/>
    <w:rsid w:val="00211C9E"/>
    <w:rsid w:val="002120E3"/>
    <w:rsid w:val="00212313"/>
    <w:rsid w:val="002123EB"/>
    <w:rsid w:val="00212443"/>
    <w:rsid w:val="002127A3"/>
    <w:rsid w:val="0021299F"/>
    <w:rsid w:val="00213227"/>
    <w:rsid w:val="002132B2"/>
    <w:rsid w:val="002132F4"/>
    <w:rsid w:val="002133C9"/>
    <w:rsid w:val="002134A5"/>
    <w:rsid w:val="00213687"/>
    <w:rsid w:val="00213AF8"/>
    <w:rsid w:val="00213C38"/>
    <w:rsid w:val="00213E86"/>
    <w:rsid w:val="00213FB5"/>
    <w:rsid w:val="00214086"/>
    <w:rsid w:val="0021415D"/>
    <w:rsid w:val="00214223"/>
    <w:rsid w:val="002143B2"/>
    <w:rsid w:val="00214438"/>
    <w:rsid w:val="0021443C"/>
    <w:rsid w:val="00214665"/>
    <w:rsid w:val="002149D0"/>
    <w:rsid w:val="00214AD9"/>
    <w:rsid w:val="00215199"/>
    <w:rsid w:val="002152AC"/>
    <w:rsid w:val="0021564E"/>
    <w:rsid w:val="0021587F"/>
    <w:rsid w:val="00215E29"/>
    <w:rsid w:val="0021625A"/>
    <w:rsid w:val="00216520"/>
    <w:rsid w:val="0021659F"/>
    <w:rsid w:val="00216646"/>
    <w:rsid w:val="0021671A"/>
    <w:rsid w:val="00216912"/>
    <w:rsid w:val="00216FE0"/>
    <w:rsid w:val="0021728D"/>
    <w:rsid w:val="00217641"/>
    <w:rsid w:val="00217A55"/>
    <w:rsid w:val="00217B02"/>
    <w:rsid w:val="00217D74"/>
    <w:rsid w:val="00217E01"/>
    <w:rsid w:val="0022011E"/>
    <w:rsid w:val="00220272"/>
    <w:rsid w:val="00220522"/>
    <w:rsid w:val="00220544"/>
    <w:rsid w:val="00220778"/>
    <w:rsid w:val="002207BE"/>
    <w:rsid w:val="00220AFD"/>
    <w:rsid w:val="00220CF0"/>
    <w:rsid w:val="00220E58"/>
    <w:rsid w:val="00220F09"/>
    <w:rsid w:val="00220F40"/>
    <w:rsid w:val="00221056"/>
    <w:rsid w:val="00221156"/>
    <w:rsid w:val="0022118B"/>
    <w:rsid w:val="002212AE"/>
    <w:rsid w:val="00221A27"/>
    <w:rsid w:val="00221AE1"/>
    <w:rsid w:val="00221D18"/>
    <w:rsid w:val="00221F55"/>
    <w:rsid w:val="002224D9"/>
    <w:rsid w:val="00222566"/>
    <w:rsid w:val="00222658"/>
    <w:rsid w:val="0022284B"/>
    <w:rsid w:val="002228A1"/>
    <w:rsid w:val="00222CF3"/>
    <w:rsid w:val="00222F57"/>
    <w:rsid w:val="00222FB7"/>
    <w:rsid w:val="0022341E"/>
    <w:rsid w:val="00223704"/>
    <w:rsid w:val="0022374D"/>
    <w:rsid w:val="00223A3A"/>
    <w:rsid w:val="00223A82"/>
    <w:rsid w:val="00223D20"/>
    <w:rsid w:val="00223D47"/>
    <w:rsid w:val="0022409A"/>
    <w:rsid w:val="002242D9"/>
    <w:rsid w:val="0022441E"/>
    <w:rsid w:val="00224447"/>
    <w:rsid w:val="002247CF"/>
    <w:rsid w:val="00224C9E"/>
    <w:rsid w:val="00224F74"/>
    <w:rsid w:val="0022502A"/>
    <w:rsid w:val="00225495"/>
    <w:rsid w:val="00225669"/>
    <w:rsid w:val="002257B2"/>
    <w:rsid w:val="00225927"/>
    <w:rsid w:val="0022592E"/>
    <w:rsid w:val="002259FD"/>
    <w:rsid w:val="00225ECE"/>
    <w:rsid w:val="00225F5D"/>
    <w:rsid w:val="002262D6"/>
    <w:rsid w:val="00226348"/>
    <w:rsid w:val="00226472"/>
    <w:rsid w:val="00226590"/>
    <w:rsid w:val="002265AC"/>
    <w:rsid w:val="00226B44"/>
    <w:rsid w:val="00226BB2"/>
    <w:rsid w:val="00226BF4"/>
    <w:rsid w:val="00226D0B"/>
    <w:rsid w:val="00226F76"/>
    <w:rsid w:val="0022708D"/>
    <w:rsid w:val="002270A8"/>
    <w:rsid w:val="00227405"/>
    <w:rsid w:val="00227932"/>
    <w:rsid w:val="002279D9"/>
    <w:rsid w:val="00227AD1"/>
    <w:rsid w:val="00227E05"/>
    <w:rsid w:val="0023000C"/>
    <w:rsid w:val="0023016D"/>
    <w:rsid w:val="002301ED"/>
    <w:rsid w:val="00230380"/>
    <w:rsid w:val="0023041A"/>
    <w:rsid w:val="002308B1"/>
    <w:rsid w:val="00230D8E"/>
    <w:rsid w:val="00231138"/>
    <w:rsid w:val="00231399"/>
    <w:rsid w:val="002315FD"/>
    <w:rsid w:val="00231833"/>
    <w:rsid w:val="00231AA0"/>
    <w:rsid w:val="00231F93"/>
    <w:rsid w:val="0023206D"/>
    <w:rsid w:val="002322F3"/>
    <w:rsid w:val="002323E2"/>
    <w:rsid w:val="0023242A"/>
    <w:rsid w:val="00232471"/>
    <w:rsid w:val="002325E0"/>
    <w:rsid w:val="002326EA"/>
    <w:rsid w:val="00232713"/>
    <w:rsid w:val="0023291C"/>
    <w:rsid w:val="002333C7"/>
    <w:rsid w:val="00233F55"/>
    <w:rsid w:val="00233FFE"/>
    <w:rsid w:val="0023407D"/>
    <w:rsid w:val="0023438E"/>
    <w:rsid w:val="0023446A"/>
    <w:rsid w:val="00234694"/>
    <w:rsid w:val="0023479A"/>
    <w:rsid w:val="00234CFB"/>
    <w:rsid w:val="00234E16"/>
    <w:rsid w:val="00235378"/>
    <w:rsid w:val="0023539C"/>
    <w:rsid w:val="00235444"/>
    <w:rsid w:val="0023556B"/>
    <w:rsid w:val="002356A2"/>
    <w:rsid w:val="00236223"/>
    <w:rsid w:val="00236454"/>
    <w:rsid w:val="00236752"/>
    <w:rsid w:val="00236887"/>
    <w:rsid w:val="00236A12"/>
    <w:rsid w:val="00236B11"/>
    <w:rsid w:val="00236B7A"/>
    <w:rsid w:val="00236C1E"/>
    <w:rsid w:val="00236E67"/>
    <w:rsid w:val="0023713C"/>
    <w:rsid w:val="00237180"/>
    <w:rsid w:val="00237409"/>
    <w:rsid w:val="00237668"/>
    <w:rsid w:val="002376B9"/>
    <w:rsid w:val="002379D5"/>
    <w:rsid w:val="00237B39"/>
    <w:rsid w:val="00237F0D"/>
    <w:rsid w:val="00237F61"/>
    <w:rsid w:val="00240054"/>
    <w:rsid w:val="002400DB"/>
    <w:rsid w:val="00240C4E"/>
    <w:rsid w:val="002410AC"/>
    <w:rsid w:val="00241151"/>
    <w:rsid w:val="002415A7"/>
    <w:rsid w:val="002417CC"/>
    <w:rsid w:val="002419ED"/>
    <w:rsid w:val="00241A65"/>
    <w:rsid w:val="00241B66"/>
    <w:rsid w:val="00241C50"/>
    <w:rsid w:val="002426CB"/>
    <w:rsid w:val="002426CE"/>
    <w:rsid w:val="002426FE"/>
    <w:rsid w:val="00242B7E"/>
    <w:rsid w:val="002432DD"/>
    <w:rsid w:val="002432F7"/>
    <w:rsid w:val="00243349"/>
    <w:rsid w:val="0024355C"/>
    <w:rsid w:val="0024381A"/>
    <w:rsid w:val="00243F23"/>
    <w:rsid w:val="002442D6"/>
    <w:rsid w:val="0024430F"/>
    <w:rsid w:val="002446C0"/>
    <w:rsid w:val="00244E66"/>
    <w:rsid w:val="00244EDB"/>
    <w:rsid w:val="00245369"/>
    <w:rsid w:val="002456F8"/>
    <w:rsid w:val="00245730"/>
    <w:rsid w:val="00245A60"/>
    <w:rsid w:val="00245AE9"/>
    <w:rsid w:val="00245C01"/>
    <w:rsid w:val="00245E6A"/>
    <w:rsid w:val="00245F7B"/>
    <w:rsid w:val="002461FB"/>
    <w:rsid w:val="00246243"/>
    <w:rsid w:val="00246685"/>
    <w:rsid w:val="002468ED"/>
    <w:rsid w:val="002470BF"/>
    <w:rsid w:val="002471A3"/>
    <w:rsid w:val="002472C6"/>
    <w:rsid w:val="00247D06"/>
    <w:rsid w:val="002500F5"/>
    <w:rsid w:val="00250342"/>
    <w:rsid w:val="00250370"/>
    <w:rsid w:val="002503EF"/>
    <w:rsid w:val="00250D6E"/>
    <w:rsid w:val="0025110E"/>
    <w:rsid w:val="002518F1"/>
    <w:rsid w:val="00252165"/>
    <w:rsid w:val="00252587"/>
    <w:rsid w:val="002528EB"/>
    <w:rsid w:val="0025299F"/>
    <w:rsid w:val="00252F59"/>
    <w:rsid w:val="0025398B"/>
    <w:rsid w:val="00253B3F"/>
    <w:rsid w:val="00253C5C"/>
    <w:rsid w:val="00253C9E"/>
    <w:rsid w:val="00253CC2"/>
    <w:rsid w:val="00253D0C"/>
    <w:rsid w:val="00253DEE"/>
    <w:rsid w:val="00253F47"/>
    <w:rsid w:val="00253FFF"/>
    <w:rsid w:val="002541DC"/>
    <w:rsid w:val="002544BF"/>
    <w:rsid w:val="002544D0"/>
    <w:rsid w:val="002548CE"/>
    <w:rsid w:val="00254A1D"/>
    <w:rsid w:val="00254D92"/>
    <w:rsid w:val="00254DDE"/>
    <w:rsid w:val="00254F38"/>
    <w:rsid w:val="00255139"/>
    <w:rsid w:val="00255A9F"/>
    <w:rsid w:val="00255C2C"/>
    <w:rsid w:val="00256087"/>
    <w:rsid w:val="0025638A"/>
    <w:rsid w:val="002564F8"/>
    <w:rsid w:val="00256750"/>
    <w:rsid w:val="002567CB"/>
    <w:rsid w:val="00256BFA"/>
    <w:rsid w:val="00256DB0"/>
    <w:rsid w:val="00256F70"/>
    <w:rsid w:val="00257117"/>
    <w:rsid w:val="002571F8"/>
    <w:rsid w:val="002571FF"/>
    <w:rsid w:val="00257219"/>
    <w:rsid w:val="00257384"/>
    <w:rsid w:val="0025752A"/>
    <w:rsid w:val="002576F8"/>
    <w:rsid w:val="00257B86"/>
    <w:rsid w:val="00257F0A"/>
    <w:rsid w:val="00260132"/>
    <w:rsid w:val="00260231"/>
    <w:rsid w:val="00260424"/>
    <w:rsid w:val="0026052F"/>
    <w:rsid w:val="0026067E"/>
    <w:rsid w:val="0026082D"/>
    <w:rsid w:val="0026097F"/>
    <w:rsid w:val="0026099B"/>
    <w:rsid w:val="00260AF0"/>
    <w:rsid w:val="0026101B"/>
    <w:rsid w:val="00261090"/>
    <w:rsid w:val="00261760"/>
    <w:rsid w:val="00261BF1"/>
    <w:rsid w:val="00261D0D"/>
    <w:rsid w:val="00261D33"/>
    <w:rsid w:val="00261D77"/>
    <w:rsid w:val="0026276F"/>
    <w:rsid w:val="002627A6"/>
    <w:rsid w:val="0026294F"/>
    <w:rsid w:val="0026296E"/>
    <w:rsid w:val="00262B2B"/>
    <w:rsid w:val="00262E54"/>
    <w:rsid w:val="00262ED3"/>
    <w:rsid w:val="0026300D"/>
    <w:rsid w:val="002638FE"/>
    <w:rsid w:val="00263A3D"/>
    <w:rsid w:val="00263B8F"/>
    <w:rsid w:val="00263E34"/>
    <w:rsid w:val="00263EB6"/>
    <w:rsid w:val="00263EF6"/>
    <w:rsid w:val="00264289"/>
    <w:rsid w:val="0026476F"/>
    <w:rsid w:val="00264D17"/>
    <w:rsid w:val="00264F67"/>
    <w:rsid w:val="0026537D"/>
    <w:rsid w:val="0026539A"/>
    <w:rsid w:val="0026541F"/>
    <w:rsid w:val="00265723"/>
    <w:rsid w:val="00265993"/>
    <w:rsid w:val="00265CDA"/>
    <w:rsid w:val="00266038"/>
    <w:rsid w:val="002665F0"/>
    <w:rsid w:val="0026679E"/>
    <w:rsid w:val="002667C9"/>
    <w:rsid w:val="002668DD"/>
    <w:rsid w:val="00266BD5"/>
    <w:rsid w:val="00266C2E"/>
    <w:rsid w:val="00266C38"/>
    <w:rsid w:val="00266C58"/>
    <w:rsid w:val="0026706F"/>
    <w:rsid w:val="0026736D"/>
    <w:rsid w:val="00267378"/>
    <w:rsid w:val="0026767D"/>
    <w:rsid w:val="002676C9"/>
    <w:rsid w:val="002678D6"/>
    <w:rsid w:val="00267B3B"/>
    <w:rsid w:val="00267D5D"/>
    <w:rsid w:val="00267F1E"/>
    <w:rsid w:val="00267FA8"/>
    <w:rsid w:val="0027022C"/>
    <w:rsid w:val="00270235"/>
    <w:rsid w:val="002704D5"/>
    <w:rsid w:val="00270A6E"/>
    <w:rsid w:val="00270C5E"/>
    <w:rsid w:val="00270C6F"/>
    <w:rsid w:val="00270FF2"/>
    <w:rsid w:val="00271030"/>
    <w:rsid w:val="002710CF"/>
    <w:rsid w:val="002714A5"/>
    <w:rsid w:val="002718B7"/>
    <w:rsid w:val="00271983"/>
    <w:rsid w:val="00271B2E"/>
    <w:rsid w:val="00271B50"/>
    <w:rsid w:val="00271BBA"/>
    <w:rsid w:val="00271E3A"/>
    <w:rsid w:val="00271FE8"/>
    <w:rsid w:val="00272140"/>
    <w:rsid w:val="002728B4"/>
    <w:rsid w:val="00272A4F"/>
    <w:rsid w:val="002734C3"/>
    <w:rsid w:val="00273692"/>
    <w:rsid w:val="00273C13"/>
    <w:rsid w:val="00273DDE"/>
    <w:rsid w:val="00273E4E"/>
    <w:rsid w:val="00273FC0"/>
    <w:rsid w:val="00274563"/>
    <w:rsid w:val="00274E12"/>
    <w:rsid w:val="00275026"/>
    <w:rsid w:val="00275253"/>
    <w:rsid w:val="00275454"/>
    <w:rsid w:val="00275490"/>
    <w:rsid w:val="00275710"/>
    <w:rsid w:val="00275918"/>
    <w:rsid w:val="002759FA"/>
    <w:rsid w:val="00275A00"/>
    <w:rsid w:val="00275BDD"/>
    <w:rsid w:val="002761D4"/>
    <w:rsid w:val="002764EB"/>
    <w:rsid w:val="002766C4"/>
    <w:rsid w:val="00276C3F"/>
    <w:rsid w:val="0027725A"/>
    <w:rsid w:val="00277457"/>
    <w:rsid w:val="002777CD"/>
    <w:rsid w:val="0027782A"/>
    <w:rsid w:val="002779C6"/>
    <w:rsid w:val="00277B3B"/>
    <w:rsid w:val="00277B66"/>
    <w:rsid w:val="00277FCF"/>
    <w:rsid w:val="002800DE"/>
    <w:rsid w:val="0028011B"/>
    <w:rsid w:val="002801B7"/>
    <w:rsid w:val="00280583"/>
    <w:rsid w:val="002807E5"/>
    <w:rsid w:val="00280A17"/>
    <w:rsid w:val="00280C09"/>
    <w:rsid w:val="00280D41"/>
    <w:rsid w:val="002811C1"/>
    <w:rsid w:val="00281C77"/>
    <w:rsid w:val="00281DB0"/>
    <w:rsid w:val="00281F3E"/>
    <w:rsid w:val="0028212B"/>
    <w:rsid w:val="00282491"/>
    <w:rsid w:val="002824CB"/>
    <w:rsid w:val="0028289F"/>
    <w:rsid w:val="00282A90"/>
    <w:rsid w:val="00282A97"/>
    <w:rsid w:val="00282BD8"/>
    <w:rsid w:val="00282F00"/>
    <w:rsid w:val="00283063"/>
    <w:rsid w:val="002831F5"/>
    <w:rsid w:val="0028325D"/>
    <w:rsid w:val="0028327E"/>
    <w:rsid w:val="00283663"/>
    <w:rsid w:val="002838BC"/>
    <w:rsid w:val="00283B63"/>
    <w:rsid w:val="002843DC"/>
    <w:rsid w:val="002844C2"/>
    <w:rsid w:val="002844EB"/>
    <w:rsid w:val="002848A1"/>
    <w:rsid w:val="002849FE"/>
    <w:rsid w:val="00284ADB"/>
    <w:rsid w:val="00284C54"/>
    <w:rsid w:val="00284CE3"/>
    <w:rsid w:val="00284E01"/>
    <w:rsid w:val="00284F90"/>
    <w:rsid w:val="0028534F"/>
    <w:rsid w:val="00285763"/>
    <w:rsid w:val="002858DE"/>
    <w:rsid w:val="002858E3"/>
    <w:rsid w:val="00285C56"/>
    <w:rsid w:val="00285DA6"/>
    <w:rsid w:val="00285E35"/>
    <w:rsid w:val="00285E82"/>
    <w:rsid w:val="00286484"/>
    <w:rsid w:val="0028684B"/>
    <w:rsid w:val="00286A96"/>
    <w:rsid w:val="00286AB4"/>
    <w:rsid w:val="00286C13"/>
    <w:rsid w:val="00286C84"/>
    <w:rsid w:val="00286DEE"/>
    <w:rsid w:val="00286F90"/>
    <w:rsid w:val="002870B9"/>
    <w:rsid w:val="002870C7"/>
    <w:rsid w:val="00287294"/>
    <w:rsid w:val="002872CA"/>
    <w:rsid w:val="00287783"/>
    <w:rsid w:val="0028793E"/>
    <w:rsid w:val="00287A8A"/>
    <w:rsid w:val="00290813"/>
    <w:rsid w:val="00290815"/>
    <w:rsid w:val="00290908"/>
    <w:rsid w:val="00290913"/>
    <w:rsid w:val="00290D1E"/>
    <w:rsid w:val="0029117D"/>
    <w:rsid w:val="002912ED"/>
    <w:rsid w:val="00291394"/>
    <w:rsid w:val="0029179C"/>
    <w:rsid w:val="002917D8"/>
    <w:rsid w:val="002919CC"/>
    <w:rsid w:val="00291CFE"/>
    <w:rsid w:val="00291EBB"/>
    <w:rsid w:val="00291F5F"/>
    <w:rsid w:val="0029266D"/>
    <w:rsid w:val="00292682"/>
    <w:rsid w:val="002929A2"/>
    <w:rsid w:val="00292E5A"/>
    <w:rsid w:val="00293366"/>
    <w:rsid w:val="0029368E"/>
    <w:rsid w:val="00294102"/>
    <w:rsid w:val="00294270"/>
    <w:rsid w:val="0029464D"/>
    <w:rsid w:val="00294874"/>
    <w:rsid w:val="0029492C"/>
    <w:rsid w:val="00294B78"/>
    <w:rsid w:val="00294D2F"/>
    <w:rsid w:val="00294F03"/>
    <w:rsid w:val="00294F70"/>
    <w:rsid w:val="00295127"/>
    <w:rsid w:val="0029577F"/>
    <w:rsid w:val="0029604A"/>
    <w:rsid w:val="00296138"/>
    <w:rsid w:val="00296165"/>
    <w:rsid w:val="00296232"/>
    <w:rsid w:val="0029658E"/>
    <w:rsid w:val="002965BB"/>
    <w:rsid w:val="0029687E"/>
    <w:rsid w:val="002968D4"/>
    <w:rsid w:val="00296A61"/>
    <w:rsid w:val="00296AFD"/>
    <w:rsid w:val="00296BEE"/>
    <w:rsid w:val="00296CA6"/>
    <w:rsid w:val="00296E31"/>
    <w:rsid w:val="00296E8F"/>
    <w:rsid w:val="0029722A"/>
    <w:rsid w:val="002972C5"/>
    <w:rsid w:val="002972FE"/>
    <w:rsid w:val="002978C8"/>
    <w:rsid w:val="00297A1E"/>
    <w:rsid w:val="00297E96"/>
    <w:rsid w:val="00297F5C"/>
    <w:rsid w:val="002A0296"/>
    <w:rsid w:val="002A02BB"/>
    <w:rsid w:val="002A0442"/>
    <w:rsid w:val="002A08EE"/>
    <w:rsid w:val="002A0A44"/>
    <w:rsid w:val="002A0C7E"/>
    <w:rsid w:val="002A0CF6"/>
    <w:rsid w:val="002A0EF9"/>
    <w:rsid w:val="002A0F92"/>
    <w:rsid w:val="002A116C"/>
    <w:rsid w:val="002A161B"/>
    <w:rsid w:val="002A1665"/>
    <w:rsid w:val="002A1D5B"/>
    <w:rsid w:val="002A20D6"/>
    <w:rsid w:val="002A211F"/>
    <w:rsid w:val="002A226F"/>
    <w:rsid w:val="002A2348"/>
    <w:rsid w:val="002A23BB"/>
    <w:rsid w:val="002A249D"/>
    <w:rsid w:val="002A2747"/>
    <w:rsid w:val="002A29B6"/>
    <w:rsid w:val="002A2A3A"/>
    <w:rsid w:val="002A2ACC"/>
    <w:rsid w:val="002A2BB0"/>
    <w:rsid w:val="002A2F39"/>
    <w:rsid w:val="002A30D1"/>
    <w:rsid w:val="002A38F8"/>
    <w:rsid w:val="002A3B29"/>
    <w:rsid w:val="002A3C0D"/>
    <w:rsid w:val="002A3FB2"/>
    <w:rsid w:val="002A3FEA"/>
    <w:rsid w:val="002A4057"/>
    <w:rsid w:val="002A4202"/>
    <w:rsid w:val="002A42CC"/>
    <w:rsid w:val="002A4456"/>
    <w:rsid w:val="002A44B3"/>
    <w:rsid w:val="002A4896"/>
    <w:rsid w:val="002A49DA"/>
    <w:rsid w:val="002A4A71"/>
    <w:rsid w:val="002A4B46"/>
    <w:rsid w:val="002A4BDE"/>
    <w:rsid w:val="002A514E"/>
    <w:rsid w:val="002A52F5"/>
    <w:rsid w:val="002A532E"/>
    <w:rsid w:val="002A5406"/>
    <w:rsid w:val="002A5675"/>
    <w:rsid w:val="002A59BE"/>
    <w:rsid w:val="002A5A99"/>
    <w:rsid w:val="002A62F7"/>
    <w:rsid w:val="002A63FC"/>
    <w:rsid w:val="002A65B5"/>
    <w:rsid w:val="002A67DA"/>
    <w:rsid w:val="002A6A03"/>
    <w:rsid w:val="002A703D"/>
    <w:rsid w:val="002A7092"/>
    <w:rsid w:val="002A7221"/>
    <w:rsid w:val="002A727B"/>
    <w:rsid w:val="002A7347"/>
    <w:rsid w:val="002A738B"/>
    <w:rsid w:val="002A7540"/>
    <w:rsid w:val="002A7A25"/>
    <w:rsid w:val="002B01C4"/>
    <w:rsid w:val="002B02F3"/>
    <w:rsid w:val="002B03E7"/>
    <w:rsid w:val="002B0598"/>
    <w:rsid w:val="002B05A1"/>
    <w:rsid w:val="002B0833"/>
    <w:rsid w:val="002B0841"/>
    <w:rsid w:val="002B0A45"/>
    <w:rsid w:val="002B0D64"/>
    <w:rsid w:val="002B0E22"/>
    <w:rsid w:val="002B0E40"/>
    <w:rsid w:val="002B1721"/>
    <w:rsid w:val="002B1CE8"/>
    <w:rsid w:val="002B29BA"/>
    <w:rsid w:val="002B2B7F"/>
    <w:rsid w:val="002B2DDD"/>
    <w:rsid w:val="002B3522"/>
    <w:rsid w:val="002B389C"/>
    <w:rsid w:val="002B38F3"/>
    <w:rsid w:val="002B3AE6"/>
    <w:rsid w:val="002B3E71"/>
    <w:rsid w:val="002B406A"/>
    <w:rsid w:val="002B409C"/>
    <w:rsid w:val="002B43B7"/>
    <w:rsid w:val="002B453B"/>
    <w:rsid w:val="002B468A"/>
    <w:rsid w:val="002B46C5"/>
    <w:rsid w:val="002B47BE"/>
    <w:rsid w:val="002B4A4E"/>
    <w:rsid w:val="002B4DCF"/>
    <w:rsid w:val="002B4FA3"/>
    <w:rsid w:val="002B50C5"/>
    <w:rsid w:val="002B5153"/>
    <w:rsid w:val="002B52DB"/>
    <w:rsid w:val="002B5649"/>
    <w:rsid w:val="002B59A2"/>
    <w:rsid w:val="002B59D4"/>
    <w:rsid w:val="002B5A32"/>
    <w:rsid w:val="002B5A44"/>
    <w:rsid w:val="002B606F"/>
    <w:rsid w:val="002B6090"/>
    <w:rsid w:val="002B617F"/>
    <w:rsid w:val="002B6186"/>
    <w:rsid w:val="002B64D5"/>
    <w:rsid w:val="002B6522"/>
    <w:rsid w:val="002B6534"/>
    <w:rsid w:val="002B6869"/>
    <w:rsid w:val="002B6930"/>
    <w:rsid w:val="002B6D45"/>
    <w:rsid w:val="002B6E5D"/>
    <w:rsid w:val="002B7100"/>
    <w:rsid w:val="002B7437"/>
    <w:rsid w:val="002B74C4"/>
    <w:rsid w:val="002B7563"/>
    <w:rsid w:val="002B7789"/>
    <w:rsid w:val="002B7C3E"/>
    <w:rsid w:val="002B7C8C"/>
    <w:rsid w:val="002B7E37"/>
    <w:rsid w:val="002C014E"/>
    <w:rsid w:val="002C0269"/>
    <w:rsid w:val="002C028A"/>
    <w:rsid w:val="002C0441"/>
    <w:rsid w:val="002C05A9"/>
    <w:rsid w:val="002C05B3"/>
    <w:rsid w:val="002C06E6"/>
    <w:rsid w:val="002C0C16"/>
    <w:rsid w:val="002C0CFD"/>
    <w:rsid w:val="002C12BF"/>
    <w:rsid w:val="002C1477"/>
    <w:rsid w:val="002C1508"/>
    <w:rsid w:val="002C1718"/>
    <w:rsid w:val="002C1C50"/>
    <w:rsid w:val="002C1C67"/>
    <w:rsid w:val="002C1D79"/>
    <w:rsid w:val="002C1F26"/>
    <w:rsid w:val="002C21B7"/>
    <w:rsid w:val="002C2293"/>
    <w:rsid w:val="002C2419"/>
    <w:rsid w:val="002C24CD"/>
    <w:rsid w:val="002C25A0"/>
    <w:rsid w:val="002C25C9"/>
    <w:rsid w:val="002C2BF2"/>
    <w:rsid w:val="002C3193"/>
    <w:rsid w:val="002C338D"/>
    <w:rsid w:val="002C36CA"/>
    <w:rsid w:val="002C3784"/>
    <w:rsid w:val="002C39E7"/>
    <w:rsid w:val="002C3A2E"/>
    <w:rsid w:val="002C41C0"/>
    <w:rsid w:val="002C47A6"/>
    <w:rsid w:val="002C4AC4"/>
    <w:rsid w:val="002C4E09"/>
    <w:rsid w:val="002C4E0D"/>
    <w:rsid w:val="002C4FCB"/>
    <w:rsid w:val="002C5271"/>
    <w:rsid w:val="002C54B8"/>
    <w:rsid w:val="002C5542"/>
    <w:rsid w:val="002C567D"/>
    <w:rsid w:val="002C5776"/>
    <w:rsid w:val="002C5D6A"/>
    <w:rsid w:val="002C5DBC"/>
    <w:rsid w:val="002C5E85"/>
    <w:rsid w:val="002C65E0"/>
    <w:rsid w:val="002C6A3A"/>
    <w:rsid w:val="002C6D58"/>
    <w:rsid w:val="002C6D73"/>
    <w:rsid w:val="002C6DBA"/>
    <w:rsid w:val="002C6ED1"/>
    <w:rsid w:val="002C7046"/>
    <w:rsid w:val="002C70FE"/>
    <w:rsid w:val="002C714B"/>
    <w:rsid w:val="002C71E2"/>
    <w:rsid w:val="002C74EF"/>
    <w:rsid w:val="002C7933"/>
    <w:rsid w:val="002D0328"/>
    <w:rsid w:val="002D03CC"/>
    <w:rsid w:val="002D0B08"/>
    <w:rsid w:val="002D0C72"/>
    <w:rsid w:val="002D0DED"/>
    <w:rsid w:val="002D0E82"/>
    <w:rsid w:val="002D117F"/>
    <w:rsid w:val="002D1508"/>
    <w:rsid w:val="002D1AA3"/>
    <w:rsid w:val="002D1E04"/>
    <w:rsid w:val="002D1E41"/>
    <w:rsid w:val="002D20FC"/>
    <w:rsid w:val="002D247C"/>
    <w:rsid w:val="002D2C85"/>
    <w:rsid w:val="002D2D28"/>
    <w:rsid w:val="002D2F68"/>
    <w:rsid w:val="002D310B"/>
    <w:rsid w:val="002D3295"/>
    <w:rsid w:val="002D3B90"/>
    <w:rsid w:val="002D44A4"/>
    <w:rsid w:val="002D492F"/>
    <w:rsid w:val="002D4ECA"/>
    <w:rsid w:val="002D4F0D"/>
    <w:rsid w:val="002D4FA3"/>
    <w:rsid w:val="002D50DA"/>
    <w:rsid w:val="002D5100"/>
    <w:rsid w:val="002D5296"/>
    <w:rsid w:val="002D56C2"/>
    <w:rsid w:val="002D57D0"/>
    <w:rsid w:val="002D5854"/>
    <w:rsid w:val="002D607E"/>
    <w:rsid w:val="002D64CF"/>
    <w:rsid w:val="002D6A52"/>
    <w:rsid w:val="002D6A9D"/>
    <w:rsid w:val="002D6B28"/>
    <w:rsid w:val="002D7A04"/>
    <w:rsid w:val="002D7E7B"/>
    <w:rsid w:val="002E01F9"/>
    <w:rsid w:val="002E045F"/>
    <w:rsid w:val="002E04EF"/>
    <w:rsid w:val="002E065D"/>
    <w:rsid w:val="002E06D6"/>
    <w:rsid w:val="002E0745"/>
    <w:rsid w:val="002E0808"/>
    <w:rsid w:val="002E0BA6"/>
    <w:rsid w:val="002E0E83"/>
    <w:rsid w:val="002E1115"/>
    <w:rsid w:val="002E11F3"/>
    <w:rsid w:val="002E16C6"/>
    <w:rsid w:val="002E1A43"/>
    <w:rsid w:val="002E1B03"/>
    <w:rsid w:val="002E1B64"/>
    <w:rsid w:val="002E1D8F"/>
    <w:rsid w:val="002E26D4"/>
    <w:rsid w:val="002E28FC"/>
    <w:rsid w:val="002E2E61"/>
    <w:rsid w:val="002E309C"/>
    <w:rsid w:val="002E316B"/>
    <w:rsid w:val="002E31AC"/>
    <w:rsid w:val="002E31FF"/>
    <w:rsid w:val="002E3326"/>
    <w:rsid w:val="002E3AA9"/>
    <w:rsid w:val="002E3C38"/>
    <w:rsid w:val="002E3FEC"/>
    <w:rsid w:val="002E42D2"/>
    <w:rsid w:val="002E42D5"/>
    <w:rsid w:val="002E48C5"/>
    <w:rsid w:val="002E4B00"/>
    <w:rsid w:val="002E4CC5"/>
    <w:rsid w:val="002E4CDC"/>
    <w:rsid w:val="002E5085"/>
    <w:rsid w:val="002E51C0"/>
    <w:rsid w:val="002E5493"/>
    <w:rsid w:val="002E55D0"/>
    <w:rsid w:val="002E5899"/>
    <w:rsid w:val="002E5A16"/>
    <w:rsid w:val="002E6268"/>
    <w:rsid w:val="002E6374"/>
    <w:rsid w:val="002E6610"/>
    <w:rsid w:val="002E673B"/>
    <w:rsid w:val="002E697C"/>
    <w:rsid w:val="002E6BDB"/>
    <w:rsid w:val="002E6DCB"/>
    <w:rsid w:val="002E6E82"/>
    <w:rsid w:val="002E71DC"/>
    <w:rsid w:val="002E7316"/>
    <w:rsid w:val="002E731B"/>
    <w:rsid w:val="002E7334"/>
    <w:rsid w:val="002E76F6"/>
    <w:rsid w:val="002E7936"/>
    <w:rsid w:val="002E7A57"/>
    <w:rsid w:val="002E7ABF"/>
    <w:rsid w:val="002F01D2"/>
    <w:rsid w:val="002F0AC8"/>
    <w:rsid w:val="002F0DA3"/>
    <w:rsid w:val="002F0E43"/>
    <w:rsid w:val="002F0FA4"/>
    <w:rsid w:val="002F1004"/>
    <w:rsid w:val="002F1219"/>
    <w:rsid w:val="002F1642"/>
    <w:rsid w:val="002F17C8"/>
    <w:rsid w:val="002F20E0"/>
    <w:rsid w:val="002F2356"/>
    <w:rsid w:val="002F2684"/>
    <w:rsid w:val="002F2891"/>
    <w:rsid w:val="002F28C5"/>
    <w:rsid w:val="002F28F4"/>
    <w:rsid w:val="002F2C7E"/>
    <w:rsid w:val="002F2D06"/>
    <w:rsid w:val="002F2D51"/>
    <w:rsid w:val="002F318C"/>
    <w:rsid w:val="002F33BE"/>
    <w:rsid w:val="002F3415"/>
    <w:rsid w:val="002F3483"/>
    <w:rsid w:val="002F3E49"/>
    <w:rsid w:val="002F3F01"/>
    <w:rsid w:val="002F44B0"/>
    <w:rsid w:val="002F4502"/>
    <w:rsid w:val="002F4A98"/>
    <w:rsid w:val="002F4B18"/>
    <w:rsid w:val="002F4B4D"/>
    <w:rsid w:val="002F4F2B"/>
    <w:rsid w:val="002F5017"/>
    <w:rsid w:val="002F5029"/>
    <w:rsid w:val="002F5135"/>
    <w:rsid w:val="002F5187"/>
    <w:rsid w:val="002F5A07"/>
    <w:rsid w:val="002F5C52"/>
    <w:rsid w:val="002F5DAE"/>
    <w:rsid w:val="002F5EE5"/>
    <w:rsid w:val="002F628E"/>
    <w:rsid w:val="002F62B1"/>
    <w:rsid w:val="002F638C"/>
    <w:rsid w:val="002F6438"/>
    <w:rsid w:val="002F64F6"/>
    <w:rsid w:val="002F6A11"/>
    <w:rsid w:val="002F73A9"/>
    <w:rsid w:val="002F73FA"/>
    <w:rsid w:val="002F7B09"/>
    <w:rsid w:val="002F7B94"/>
    <w:rsid w:val="002F7E30"/>
    <w:rsid w:val="0030038E"/>
    <w:rsid w:val="00300796"/>
    <w:rsid w:val="00300F04"/>
    <w:rsid w:val="00301316"/>
    <w:rsid w:val="003014FF"/>
    <w:rsid w:val="00301626"/>
    <w:rsid w:val="00301AEA"/>
    <w:rsid w:val="00301E30"/>
    <w:rsid w:val="00301E5B"/>
    <w:rsid w:val="00301FFF"/>
    <w:rsid w:val="00302111"/>
    <w:rsid w:val="0030233D"/>
    <w:rsid w:val="003024D9"/>
    <w:rsid w:val="003025E7"/>
    <w:rsid w:val="003026A7"/>
    <w:rsid w:val="0030286B"/>
    <w:rsid w:val="00302A23"/>
    <w:rsid w:val="00302D4E"/>
    <w:rsid w:val="00302EFD"/>
    <w:rsid w:val="003031E0"/>
    <w:rsid w:val="003032FC"/>
    <w:rsid w:val="00303500"/>
    <w:rsid w:val="00303567"/>
    <w:rsid w:val="00303755"/>
    <w:rsid w:val="00303AAD"/>
    <w:rsid w:val="00303B3C"/>
    <w:rsid w:val="00303B8A"/>
    <w:rsid w:val="00303CB5"/>
    <w:rsid w:val="00303D30"/>
    <w:rsid w:val="00304131"/>
    <w:rsid w:val="00304643"/>
    <w:rsid w:val="003046E1"/>
    <w:rsid w:val="00304899"/>
    <w:rsid w:val="003048B7"/>
    <w:rsid w:val="00304BB7"/>
    <w:rsid w:val="00304C58"/>
    <w:rsid w:val="003050A8"/>
    <w:rsid w:val="0030512A"/>
    <w:rsid w:val="0030530B"/>
    <w:rsid w:val="00305929"/>
    <w:rsid w:val="00305C5F"/>
    <w:rsid w:val="00306253"/>
    <w:rsid w:val="0030625F"/>
    <w:rsid w:val="0030675B"/>
    <w:rsid w:val="00306D3A"/>
    <w:rsid w:val="00306DC9"/>
    <w:rsid w:val="00307141"/>
    <w:rsid w:val="00307746"/>
    <w:rsid w:val="003077CD"/>
    <w:rsid w:val="00307875"/>
    <w:rsid w:val="0030787F"/>
    <w:rsid w:val="00307BA7"/>
    <w:rsid w:val="003101D2"/>
    <w:rsid w:val="003102DD"/>
    <w:rsid w:val="003103C7"/>
    <w:rsid w:val="003106EA"/>
    <w:rsid w:val="00310724"/>
    <w:rsid w:val="00310781"/>
    <w:rsid w:val="003107DB"/>
    <w:rsid w:val="00310809"/>
    <w:rsid w:val="0031089B"/>
    <w:rsid w:val="003108C7"/>
    <w:rsid w:val="003109ED"/>
    <w:rsid w:val="00310C00"/>
    <w:rsid w:val="00310C46"/>
    <w:rsid w:val="00310DCE"/>
    <w:rsid w:val="00310E2F"/>
    <w:rsid w:val="0031104A"/>
    <w:rsid w:val="003111CD"/>
    <w:rsid w:val="003111E1"/>
    <w:rsid w:val="0031127A"/>
    <w:rsid w:val="00311896"/>
    <w:rsid w:val="003118EB"/>
    <w:rsid w:val="00311AF2"/>
    <w:rsid w:val="00311D25"/>
    <w:rsid w:val="003122A6"/>
    <w:rsid w:val="0031256A"/>
    <w:rsid w:val="0031259F"/>
    <w:rsid w:val="003125E9"/>
    <w:rsid w:val="00312A0A"/>
    <w:rsid w:val="00312C82"/>
    <w:rsid w:val="00312C92"/>
    <w:rsid w:val="00313009"/>
    <w:rsid w:val="0031318E"/>
    <w:rsid w:val="003138A1"/>
    <w:rsid w:val="00314148"/>
    <w:rsid w:val="003141BA"/>
    <w:rsid w:val="00314818"/>
    <w:rsid w:val="0031481B"/>
    <w:rsid w:val="003148F1"/>
    <w:rsid w:val="00314A4B"/>
    <w:rsid w:val="00314AAD"/>
    <w:rsid w:val="00314CF1"/>
    <w:rsid w:val="00314D76"/>
    <w:rsid w:val="00314F74"/>
    <w:rsid w:val="0031500C"/>
    <w:rsid w:val="00315092"/>
    <w:rsid w:val="003150DA"/>
    <w:rsid w:val="0031571C"/>
    <w:rsid w:val="0031575B"/>
    <w:rsid w:val="00315798"/>
    <w:rsid w:val="00315B39"/>
    <w:rsid w:val="00315D0A"/>
    <w:rsid w:val="00315DA6"/>
    <w:rsid w:val="00315F5F"/>
    <w:rsid w:val="003160D9"/>
    <w:rsid w:val="003160DC"/>
    <w:rsid w:val="003160F2"/>
    <w:rsid w:val="00316158"/>
    <w:rsid w:val="003166A2"/>
    <w:rsid w:val="00316AE5"/>
    <w:rsid w:val="00316B15"/>
    <w:rsid w:val="00316DF6"/>
    <w:rsid w:val="00317190"/>
    <w:rsid w:val="0031737B"/>
    <w:rsid w:val="0031747A"/>
    <w:rsid w:val="003177D7"/>
    <w:rsid w:val="00317CBA"/>
    <w:rsid w:val="0032047A"/>
    <w:rsid w:val="00320684"/>
    <w:rsid w:val="00321125"/>
    <w:rsid w:val="00321177"/>
    <w:rsid w:val="003212F2"/>
    <w:rsid w:val="00321AA5"/>
    <w:rsid w:val="00321D98"/>
    <w:rsid w:val="00321DD8"/>
    <w:rsid w:val="003223B1"/>
    <w:rsid w:val="00322475"/>
    <w:rsid w:val="00322A84"/>
    <w:rsid w:val="00322C12"/>
    <w:rsid w:val="00322E06"/>
    <w:rsid w:val="00322FBC"/>
    <w:rsid w:val="0032319A"/>
    <w:rsid w:val="003234B1"/>
    <w:rsid w:val="0032391F"/>
    <w:rsid w:val="00323CA5"/>
    <w:rsid w:val="00323DA7"/>
    <w:rsid w:val="00324368"/>
    <w:rsid w:val="00324587"/>
    <w:rsid w:val="003246D8"/>
    <w:rsid w:val="0032481F"/>
    <w:rsid w:val="00324977"/>
    <w:rsid w:val="00324A62"/>
    <w:rsid w:val="00324AD2"/>
    <w:rsid w:val="00324AEB"/>
    <w:rsid w:val="00324AFA"/>
    <w:rsid w:val="00324B89"/>
    <w:rsid w:val="00324E30"/>
    <w:rsid w:val="003252EC"/>
    <w:rsid w:val="003253F8"/>
    <w:rsid w:val="00325643"/>
    <w:rsid w:val="00325D6F"/>
    <w:rsid w:val="00326315"/>
    <w:rsid w:val="0032640C"/>
    <w:rsid w:val="00326524"/>
    <w:rsid w:val="00326635"/>
    <w:rsid w:val="00327298"/>
    <w:rsid w:val="003274A9"/>
    <w:rsid w:val="0032782C"/>
    <w:rsid w:val="00327B19"/>
    <w:rsid w:val="00327B5B"/>
    <w:rsid w:val="00327FE8"/>
    <w:rsid w:val="00330385"/>
    <w:rsid w:val="003303A0"/>
    <w:rsid w:val="0033058D"/>
    <w:rsid w:val="003305DE"/>
    <w:rsid w:val="00330D6D"/>
    <w:rsid w:val="00330D73"/>
    <w:rsid w:val="00330E1D"/>
    <w:rsid w:val="00330F18"/>
    <w:rsid w:val="00331507"/>
    <w:rsid w:val="003316FB"/>
    <w:rsid w:val="00331DB6"/>
    <w:rsid w:val="00331DC2"/>
    <w:rsid w:val="00331F64"/>
    <w:rsid w:val="00331F94"/>
    <w:rsid w:val="0033229D"/>
    <w:rsid w:val="00332396"/>
    <w:rsid w:val="003325BE"/>
    <w:rsid w:val="00332998"/>
    <w:rsid w:val="00332FFB"/>
    <w:rsid w:val="00333035"/>
    <w:rsid w:val="00333061"/>
    <w:rsid w:val="003336C3"/>
    <w:rsid w:val="003336E0"/>
    <w:rsid w:val="003339BC"/>
    <w:rsid w:val="00333ADC"/>
    <w:rsid w:val="00333AEF"/>
    <w:rsid w:val="00333CA8"/>
    <w:rsid w:val="00333D76"/>
    <w:rsid w:val="00334011"/>
    <w:rsid w:val="0033410D"/>
    <w:rsid w:val="003341DA"/>
    <w:rsid w:val="003342B7"/>
    <w:rsid w:val="003342CA"/>
    <w:rsid w:val="0033466B"/>
    <w:rsid w:val="0033475D"/>
    <w:rsid w:val="003348B2"/>
    <w:rsid w:val="00334F4B"/>
    <w:rsid w:val="00334F86"/>
    <w:rsid w:val="0033507C"/>
    <w:rsid w:val="0033552B"/>
    <w:rsid w:val="0033586F"/>
    <w:rsid w:val="003358C9"/>
    <w:rsid w:val="00335D05"/>
    <w:rsid w:val="00335D26"/>
    <w:rsid w:val="00335E60"/>
    <w:rsid w:val="0033612C"/>
    <w:rsid w:val="003361A6"/>
    <w:rsid w:val="003363F4"/>
    <w:rsid w:val="0033678B"/>
    <w:rsid w:val="0033732D"/>
    <w:rsid w:val="0033764D"/>
    <w:rsid w:val="0033788B"/>
    <w:rsid w:val="00337A94"/>
    <w:rsid w:val="00337E61"/>
    <w:rsid w:val="00337F7E"/>
    <w:rsid w:val="00340367"/>
    <w:rsid w:val="00340537"/>
    <w:rsid w:val="00340666"/>
    <w:rsid w:val="003407B6"/>
    <w:rsid w:val="00340972"/>
    <w:rsid w:val="00340B1F"/>
    <w:rsid w:val="00340D3E"/>
    <w:rsid w:val="003411FE"/>
    <w:rsid w:val="00341201"/>
    <w:rsid w:val="00341A74"/>
    <w:rsid w:val="00341DA7"/>
    <w:rsid w:val="00342000"/>
    <w:rsid w:val="00342215"/>
    <w:rsid w:val="003422CC"/>
    <w:rsid w:val="00342311"/>
    <w:rsid w:val="003424EC"/>
    <w:rsid w:val="0034291E"/>
    <w:rsid w:val="0034292F"/>
    <w:rsid w:val="00342BF4"/>
    <w:rsid w:val="00342D54"/>
    <w:rsid w:val="00342DAD"/>
    <w:rsid w:val="0034308F"/>
    <w:rsid w:val="003432BB"/>
    <w:rsid w:val="003432E2"/>
    <w:rsid w:val="003433F0"/>
    <w:rsid w:val="00343424"/>
    <w:rsid w:val="00343473"/>
    <w:rsid w:val="00343482"/>
    <w:rsid w:val="003436AA"/>
    <w:rsid w:val="0034388B"/>
    <w:rsid w:val="00343C77"/>
    <w:rsid w:val="0034410A"/>
    <w:rsid w:val="003444FE"/>
    <w:rsid w:val="00344E14"/>
    <w:rsid w:val="00344F2A"/>
    <w:rsid w:val="00344F4E"/>
    <w:rsid w:val="00345137"/>
    <w:rsid w:val="003452C0"/>
    <w:rsid w:val="003453F4"/>
    <w:rsid w:val="00345527"/>
    <w:rsid w:val="0034583D"/>
    <w:rsid w:val="00345A44"/>
    <w:rsid w:val="00345AA7"/>
    <w:rsid w:val="00345BCE"/>
    <w:rsid w:val="0034608E"/>
    <w:rsid w:val="00346107"/>
    <w:rsid w:val="003464A4"/>
    <w:rsid w:val="0034654A"/>
    <w:rsid w:val="003465F4"/>
    <w:rsid w:val="0034671C"/>
    <w:rsid w:val="00346B8C"/>
    <w:rsid w:val="00346CAD"/>
    <w:rsid w:val="00346F4F"/>
    <w:rsid w:val="00346FB8"/>
    <w:rsid w:val="0034718B"/>
    <w:rsid w:val="003471DD"/>
    <w:rsid w:val="003471F2"/>
    <w:rsid w:val="0034744B"/>
    <w:rsid w:val="003475E0"/>
    <w:rsid w:val="0034762E"/>
    <w:rsid w:val="00347B4C"/>
    <w:rsid w:val="00347C19"/>
    <w:rsid w:val="00347D51"/>
    <w:rsid w:val="003502C3"/>
    <w:rsid w:val="00350526"/>
    <w:rsid w:val="003505EE"/>
    <w:rsid w:val="00350CC2"/>
    <w:rsid w:val="00350F2B"/>
    <w:rsid w:val="0035118D"/>
    <w:rsid w:val="003513B7"/>
    <w:rsid w:val="0035153C"/>
    <w:rsid w:val="003516FC"/>
    <w:rsid w:val="003517C2"/>
    <w:rsid w:val="00351987"/>
    <w:rsid w:val="00351B33"/>
    <w:rsid w:val="00351E83"/>
    <w:rsid w:val="003521BF"/>
    <w:rsid w:val="00352B59"/>
    <w:rsid w:val="00352FE7"/>
    <w:rsid w:val="003532BE"/>
    <w:rsid w:val="0035349D"/>
    <w:rsid w:val="00353872"/>
    <w:rsid w:val="00353A34"/>
    <w:rsid w:val="00353B6E"/>
    <w:rsid w:val="0035406D"/>
    <w:rsid w:val="00354126"/>
    <w:rsid w:val="00354280"/>
    <w:rsid w:val="003542FD"/>
    <w:rsid w:val="0035443B"/>
    <w:rsid w:val="0035447E"/>
    <w:rsid w:val="003546F1"/>
    <w:rsid w:val="00354854"/>
    <w:rsid w:val="00355854"/>
    <w:rsid w:val="00355D1F"/>
    <w:rsid w:val="003562B2"/>
    <w:rsid w:val="00356634"/>
    <w:rsid w:val="00356886"/>
    <w:rsid w:val="00356D98"/>
    <w:rsid w:val="00357057"/>
    <w:rsid w:val="00357176"/>
    <w:rsid w:val="00357182"/>
    <w:rsid w:val="00357229"/>
    <w:rsid w:val="003577F5"/>
    <w:rsid w:val="00357B83"/>
    <w:rsid w:val="00357C58"/>
    <w:rsid w:val="00357CCA"/>
    <w:rsid w:val="0035EE8F"/>
    <w:rsid w:val="00360205"/>
    <w:rsid w:val="0036055D"/>
    <w:rsid w:val="00360972"/>
    <w:rsid w:val="003609C9"/>
    <w:rsid w:val="00360DAE"/>
    <w:rsid w:val="0036107F"/>
    <w:rsid w:val="00361395"/>
    <w:rsid w:val="00361455"/>
    <w:rsid w:val="003617D2"/>
    <w:rsid w:val="00361A7B"/>
    <w:rsid w:val="00361B96"/>
    <w:rsid w:val="00361C01"/>
    <w:rsid w:val="00361D9A"/>
    <w:rsid w:val="003622E9"/>
    <w:rsid w:val="00362498"/>
    <w:rsid w:val="00362742"/>
    <w:rsid w:val="00362A7E"/>
    <w:rsid w:val="00362B88"/>
    <w:rsid w:val="00363014"/>
    <w:rsid w:val="0036305B"/>
    <w:rsid w:val="003634B7"/>
    <w:rsid w:val="003634F6"/>
    <w:rsid w:val="00363A14"/>
    <w:rsid w:val="00363A85"/>
    <w:rsid w:val="00363E6F"/>
    <w:rsid w:val="00363F69"/>
    <w:rsid w:val="0036409E"/>
    <w:rsid w:val="00364408"/>
    <w:rsid w:val="003647C7"/>
    <w:rsid w:val="00364BE0"/>
    <w:rsid w:val="00364C05"/>
    <w:rsid w:val="00364FB4"/>
    <w:rsid w:val="003651DC"/>
    <w:rsid w:val="003651E9"/>
    <w:rsid w:val="00365787"/>
    <w:rsid w:val="00365804"/>
    <w:rsid w:val="00365DDD"/>
    <w:rsid w:val="00365DF3"/>
    <w:rsid w:val="003664E8"/>
    <w:rsid w:val="0036699F"/>
    <w:rsid w:val="00366A5F"/>
    <w:rsid w:val="00366C02"/>
    <w:rsid w:val="00366C90"/>
    <w:rsid w:val="00366D6B"/>
    <w:rsid w:val="00366E0B"/>
    <w:rsid w:val="00367340"/>
    <w:rsid w:val="0036741B"/>
    <w:rsid w:val="003674AF"/>
    <w:rsid w:val="0036777C"/>
    <w:rsid w:val="003678B4"/>
    <w:rsid w:val="00367BC7"/>
    <w:rsid w:val="003701E3"/>
    <w:rsid w:val="00370383"/>
    <w:rsid w:val="003705A5"/>
    <w:rsid w:val="00370B39"/>
    <w:rsid w:val="00370D28"/>
    <w:rsid w:val="00370DD8"/>
    <w:rsid w:val="00370FBC"/>
    <w:rsid w:val="00371027"/>
    <w:rsid w:val="0037106C"/>
    <w:rsid w:val="00371140"/>
    <w:rsid w:val="003714CD"/>
    <w:rsid w:val="00371780"/>
    <w:rsid w:val="00371AC6"/>
    <w:rsid w:val="00371AEA"/>
    <w:rsid w:val="0037232D"/>
    <w:rsid w:val="0037234F"/>
    <w:rsid w:val="00372437"/>
    <w:rsid w:val="003725B2"/>
    <w:rsid w:val="003727E4"/>
    <w:rsid w:val="00372846"/>
    <w:rsid w:val="00372B54"/>
    <w:rsid w:val="00372C15"/>
    <w:rsid w:val="00372C7C"/>
    <w:rsid w:val="00372E70"/>
    <w:rsid w:val="00372E89"/>
    <w:rsid w:val="00373294"/>
    <w:rsid w:val="00373A7A"/>
    <w:rsid w:val="00373F36"/>
    <w:rsid w:val="0037423B"/>
    <w:rsid w:val="0037458F"/>
    <w:rsid w:val="00374759"/>
    <w:rsid w:val="00374797"/>
    <w:rsid w:val="003748E3"/>
    <w:rsid w:val="00374EA5"/>
    <w:rsid w:val="003750BA"/>
    <w:rsid w:val="0037521A"/>
    <w:rsid w:val="00375562"/>
    <w:rsid w:val="003758A3"/>
    <w:rsid w:val="00375B62"/>
    <w:rsid w:val="00375B7B"/>
    <w:rsid w:val="00375DC8"/>
    <w:rsid w:val="00375EB5"/>
    <w:rsid w:val="00376526"/>
    <w:rsid w:val="00376C4E"/>
    <w:rsid w:val="00376DA9"/>
    <w:rsid w:val="003777F0"/>
    <w:rsid w:val="003801FC"/>
    <w:rsid w:val="0038068F"/>
    <w:rsid w:val="00380C01"/>
    <w:rsid w:val="00380C0D"/>
    <w:rsid w:val="00381DD8"/>
    <w:rsid w:val="0038283A"/>
    <w:rsid w:val="00382C71"/>
    <w:rsid w:val="00382E56"/>
    <w:rsid w:val="00383136"/>
    <w:rsid w:val="00383267"/>
    <w:rsid w:val="00383294"/>
    <w:rsid w:val="00383499"/>
    <w:rsid w:val="00383604"/>
    <w:rsid w:val="00383631"/>
    <w:rsid w:val="0038372A"/>
    <w:rsid w:val="0038375D"/>
    <w:rsid w:val="00383E4A"/>
    <w:rsid w:val="0038487F"/>
    <w:rsid w:val="0038489A"/>
    <w:rsid w:val="003848F8"/>
    <w:rsid w:val="00384941"/>
    <w:rsid w:val="0038497E"/>
    <w:rsid w:val="00384A2D"/>
    <w:rsid w:val="00384D06"/>
    <w:rsid w:val="00384DFD"/>
    <w:rsid w:val="00385087"/>
    <w:rsid w:val="00385876"/>
    <w:rsid w:val="00385BF4"/>
    <w:rsid w:val="003863B3"/>
    <w:rsid w:val="00386442"/>
    <w:rsid w:val="0038664E"/>
    <w:rsid w:val="0038676A"/>
    <w:rsid w:val="00386793"/>
    <w:rsid w:val="0038698D"/>
    <w:rsid w:val="00386D46"/>
    <w:rsid w:val="00386F6E"/>
    <w:rsid w:val="003870A0"/>
    <w:rsid w:val="0038726F"/>
    <w:rsid w:val="003872AA"/>
    <w:rsid w:val="003872C6"/>
    <w:rsid w:val="00387EF2"/>
    <w:rsid w:val="00390285"/>
    <w:rsid w:val="00390315"/>
    <w:rsid w:val="00390426"/>
    <w:rsid w:val="00390B9D"/>
    <w:rsid w:val="00390CF7"/>
    <w:rsid w:val="00391007"/>
    <w:rsid w:val="003913B7"/>
    <w:rsid w:val="00391650"/>
    <w:rsid w:val="00391A20"/>
    <w:rsid w:val="00391B51"/>
    <w:rsid w:val="00391BFC"/>
    <w:rsid w:val="00391C05"/>
    <w:rsid w:val="00392336"/>
    <w:rsid w:val="003924A0"/>
    <w:rsid w:val="00392B41"/>
    <w:rsid w:val="00392CA7"/>
    <w:rsid w:val="00392D1A"/>
    <w:rsid w:val="003933F3"/>
    <w:rsid w:val="0039340D"/>
    <w:rsid w:val="0039344B"/>
    <w:rsid w:val="0039375D"/>
    <w:rsid w:val="003939EE"/>
    <w:rsid w:val="00393C10"/>
    <w:rsid w:val="00393C7B"/>
    <w:rsid w:val="00393CBB"/>
    <w:rsid w:val="00393DFC"/>
    <w:rsid w:val="00393E9D"/>
    <w:rsid w:val="00394122"/>
    <w:rsid w:val="00394281"/>
    <w:rsid w:val="003945DD"/>
    <w:rsid w:val="00394BA7"/>
    <w:rsid w:val="00394BAD"/>
    <w:rsid w:val="00394D00"/>
    <w:rsid w:val="00394E5D"/>
    <w:rsid w:val="0039506B"/>
    <w:rsid w:val="0039533A"/>
    <w:rsid w:val="003957DE"/>
    <w:rsid w:val="003957EB"/>
    <w:rsid w:val="00395CD2"/>
    <w:rsid w:val="0039600A"/>
    <w:rsid w:val="0039604F"/>
    <w:rsid w:val="00396121"/>
    <w:rsid w:val="003966E1"/>
    <w:rsid w:val="003966E7"/>
    <w:rsid w:val="003968FC"/>
    <w:rsid w:val="00396903"/>
    <w:rsid w:val="0039692D"/>
    <w:rsid w:val="00396CE3"/>
    <w:rsid w:val="00396E7B"/>
    <w:rsid w:val="003973D0"/>
    <w:rsid w:val="00397548"/>
    <w:rsid w:val="00397732"/>
    <w:rsid w:val="003978AD"/>
    <w:rsid w:val="00397A85"/>
    <w:rsid w:val="00397B94"/>
    <w:rsid w:val="00397E28"/>
    <w:rsid w:val="00397E35"/>
    <w:rsid w:val="00397EB3"/>
    <w:rsid w:val="00397F27"/>
    <w:rsid w:val="003A00B2"/>
    <w:rsid w:val="003A0124"/>
    <w:rsid w:val="003A0265"/>
    <w:rsid w:val="003A02FC"/>
    <w:rsid w:val="003A032A"/>
    <w:rsid w:val="003A07B2"/>
    <w:rsid w:val="003A0B66"/>
    <w:rsid w:val="003A0C55"/>
    <w:rsid w:val="003A0D41"/>
    <w:rsid w:val="003A0FB8"/>
    <w:rsid w:val="003A135E"/>
    <w:rsid w:val="003A17CC"/>
    <w:rsid w:val="003A1964"/>
    <w:rsid w:val="003A1AA3"/>
    <w:rsid w:val="003A1E4D"/>
    <w:rsid w:val="003A2120"/>
    <w:rsid w:val="003A23FD"/>
    <w:rsid w:val="003A26AE"/>
    <w:rsid w:val="003A3558"/>
    <w:rsid w:val="003A3574"/>
    <w:rsid w:val="003A3AB4"/>
    <w:rsid w:val="003A3F64"/>
    <w:rsid w:val="003A3FCD"/>
    <w:rsid w:val="003A3FFE"/>
    <w:rsid w:val="003A4843"/>
    <w:rsid w:val="003A4A28"/>
    <w:rsid w:val="003A4B95"/>
    <w:rsid w:val="003A4B98"/>
    <w:rsid w:val="003A4FE4"/>
    <w:rsid w:val="003A566D"/>
    <w:rsid w:val="003A57E3"/>
    <w:rsid w:val="003A592F"/>
    <w:rsid w:val="003A6021"/>
    <w:rsid w:val="003A6130"/>
    <w:rsid w:val="003A6345"/>
    <w:rsid w:val="003A6675"/>
    <w:rsid w:val="003A6D30"/>
    <w:rsid w:val="003A6D91"/>
    <w:rsid w:val="003A706E"/>
    <w:rsid w:val="003A723D"/>
    <w:rsid w:val="003A7773"/>
    <w:rsid w:val="003A785C"/>
    <w:rsid w:val="003A79A9"/>
    <w:rsid w:val="003A7B52"/>
    <w:rsid w:val="003A7EB2"/>
    <w:rsid w:val="003A7EF0"/>
    <w:rsid w:val="003B0039"/>
    <w:rsid w:val="003B077C"/>
    <w:rsid w:val="003B0B5E"/>
    <w:rsid w:val="003B0C4D"/>
    <w:rsid w:val="003B0EC3"/>
    <w:rsid w:val="003B1074"/>
    <w:rsid w:val="003B117A"/>
    <w:rsid w:val="003B1246"/>
    <w:rsid w:val="003B127A"/>
    <w:rsid w:val="003B13B8"/>
    <w:rsid w:val="003B15B5"/>
    <w:rsid w:val="003B15B8"/>
    <w:rsid w:val="003B1CB9"/>
    <w:rsid w:val="003B1D8A"/>
    <w:rsid w:val="003B1DD5"/>
    <w:rsid w:val="003B1E03"/>
    <w:rsid w:val="003B2232"/>
    <w:rsid w:val="003B23EB"/>
    <w:rsid w:val="003B2470"/>
    <w:rsid w:val="003B268A"/>
    <w:rsid w:val="003B302A"/>
    <w:rsid w:val="003B332C"/>
    <w:rsid w:val="003B335B"/>
    <w:rsid w:val="003B38D7"/>
    <w:rsid w:val="003B3D5F"/>
    <w:rsid w:val="003B3D68"/>
    <w:rsid w:val="003B3D78"/>
    <w:rsid w:val="003B422F"/>
    <w:rsid w:val="003B4295"/>
    <w:rsid w:val="003B44B5"/>
    <w:rsid w:val="003B44D8"/>
    <w:rsid w:val="003B4546"/>
    <w:rsid w:val="003B454C"/>
    <w:rsid w:val="003B4739"/>
    <w:rsid w:val="003B51AD"/>
    <w:rsid w:val="003B53CC"/>
    <w:rsid w:val="003B53E3"/>
    <w:rsid w:val="003B56EB"/>
    <w:rsid w:val="003B5720"/>
    <w:rsid w:val="003B589D"/>
    <w:rsid w:val="003B5A52"/>
    <w:rsid w:val="003B5E0A"/>
    <w:rsid w:val="003B5FDF"/>
    <w:rsid w:val="003B6253"/>
    <w:rsid w:val="003B675B"/>
    <w:rsid w:val="003B6770"/>
    <w:rsid w:val="003B6941"/>
    <w:rsid w:val="003B6A50"/>
    <w:rsid w:val="003B6D61"/>
    <w:rsid w:val="003B6D8D"/>
    <w:rsid w:val="003B6EF3"/>
    <w:rsid w:val="003B6F1B"/>
    <w:rsid w:val="003B7007"/>
    <w:rsid w:val="003B72C0"/>
    <w:rsid w:val="003B76F9"/>
    <w:rsid w:val="003B77B0"/>
    <w:rsid w:val="003B7865"/>
    <w:rsid w:val="003B7952"/>
    <w:rsid w:val="003B7DAB"/>
    <w:rsid w:val="003C0028"/>
    <w:rsid w:val="003C0061"/>
    <w:rsid w:val="003C009D"/>
    <w:rsid w:val="003C00B8"/>
    <w:rsid w:val="003C0428"/>
    <w:rsid w:val="003C0503"/>
    <w:rsid w:val="003C0634"/>
    <w:rsid w:val="003C09C0"/>
    <w:rsid w:val="003C0CF4"/>
    <w:rsid w:val="003C0D41"/>
    <w:rsid w:val="003C0F55"/>
    <w:rsid w:val="003C11DB"/>
    <w:rsid w:val="003C12C5"/>
    <w:rsid w:val="003C12CA"/>
    <w:rsid w:val="003C1319"/>
    <w:rsid w:val="003C1368"/>
    <w:rsid w:val="003C1580"/>
    <w:rsid w:val="003C1AE0"/>
    <w:rsid w:val="003C1C62"/>
    <w:rsid w:val="003C1C9E"/>
    <w:rsid w:val="003C1E26"/>
    <w:rsid w:val="003C1E27"/>
    <w:rsid w:val="003C1E76"/>
    <w:rsid w:val="003C2214"/>
    <w:rsid w:val="003C227A"/>
    <w:rsid w:val="003C242E"/>
    <w:rsid w:val="003C2454"/>
    <w:rsid w:val="003C2883"/>
    <w:rsid w:val="003C2A55"/>
    <w:rsid w:val="003C30B3"/>
    <w:rsid w:val="003C32E9"/>
    <w:rsid w:val="003C3836"/>
    <w:rsid w:val="003C39EF"/>
    <w:rsid w:val="003C3BB3"/>
    <w:rsid w:val="003C3BBC"/>
    <w:rsid w:val="003C3D93"/>
    <w:rsid w:val="003C3DE7"/>
    <w:rsid w:val="003C3F34"/>
    <w:rsid w:val="003C3FA7"/>
    <w:rsid w:val="003C3FB3"/>
    <w:rsid w:val="003C41BD"/>
    <w:rsid w:val="003C440C"/>
    <w:rsid w:val="003C44C5"/>
    <w:rsid w:val="003C4576"/>
    <w:rsid w:val="003C4610"/>
    <w:rsid w:val="003C463E"/>
    <w:rsid w:val="003C4A70"/>
    <w:rsid w:val="003C4C9A"/>
    <w:rsid w:val="003C515C"/>
    <w:rsid w:val="003C5225"/>
    <w:rsid w:val="003C54ED"/>
    <w:rsid w:val="003C5960"/>
    <w:rsid w:val="003C5B93"/>
    <w:rsid w:val="003C5F6A"/>
    <w:rsid w:val="003C6ACF"/>
    <w:rsid w:val="003C6D93"/>
    <w:rsid w:val="003C712C"/>
    <w:rsid w:val="003C738C"/>
    <w:rsid w:val="003C73E3"/>
    <w:rsid w:val="003C788F"/>
    <w:rsid w:val="003C7990"/>
    <w:rsid w:val="003C7A90"/>
    <w:rsid w:val="003C7CE1"/>
    <w:rsid w:val="003D00FC"/>
    <w:rsid w:val="003D03A6"/>
    <w:rsid w:val="003D0717"/>
    <w:rsid w:val="003D0731"/>
    <w:rsid w:val="003D099E"/>
    <w:rsid w:val="003D0AD0"/>
    <w:rsid w:val="003D0F0B"/>
    <w:rsid w:val="003D1674"/>
    <w:rsid w:val="003D16F0"/>
    <w:rsid w:val="003D1DDB"/>
    <w:rsid w:val="003D2173"/>
    <w:rsid w:val="003D23FE"/>
    <w:rsid w:val="003D2544"/>
    <w:rsid w:val="003D2552"/>
    <w:rsid w:val="003D2807"/>
    <w:rsid w:val="003D28B5"/>
    <w:rsid w:val="003D28D9"/>
    <w:rsid w:val="003D2F2A"/>
    <w:rsid w:val="003D2FCC"/>
    <w:rsid w:val="003D3104"/>
    <w:rsid w:val="003D31B6"/>
    <w:rsid w:val="003D31EE"/>
    <w:rsid w:val="003D34A6"/>
    <w:rsid w:val="003D35F2"/>
    <w:rsid w:val="003D38EC"/>
    <w:rsid w:val="003D3947"/>
    <w:rsid w:val="003D3B94"/>
    <w:rsid w:val="003D3E90"/>
    <w:rsid w:val="003D3EC6"/>
    <w:rsid w:val="003D3FDC"/>
    <w:rsid w:val="003D4237"/>
    <w:rsid w:val="003D4386"/>
    <w:rsid w:val="003D47AD"/>
    <w:rsid w:val="003D47D8"/>
    <w:rsid w:val="003D4BA2"/>
    <w:rsid w:val="003D4E5E"/>
    <w:rsid w:val="003D5038"/>
    <w:rsid w:val="003D5447"/>
    <w:rsid w:val="003D5D69"/>
    <w:rsid w:val="003D5F8D"/>
    <w:rsid w:val="003D619C"/>
    <w:rsid w:val="003D6451"/>
    <w:rsid w:val="003D69EC"/>
    <w:rsid w:val="003D6ABC"/>
    <w:rsid w:val="003D6CD9"/>
    <w:rsid w:val="003D6E3B"/>
    <w:rsid w:val="003D6F9E"/>
    <w:rsid w:val="003D71CE"/>
    <w:rsid w:val="003D73B3"/>
    <w:rsid w:val="003D79EF"/>
    <w:rsid w:val="003D7AA5"/>
    <w:rsid w:val="003D7B6B"/>
    <w:rsid w:val="003D7C2D"/>
    <w:rsid w:val="003D7D0C"/>
    <w:rsid w:val="003D7D98"/>
    <w:rsid w:val="003E0128"/>
    <w:rsid w:val="003E06E9"/>
    <w:rsid w:val="003E084E"/>
    <w:rsid w:val="003E0CE1"/>
    <w:rsid w:val="003E0E73"/>
    <w:rsid w:val="003E0F15"/>
    <w:rsid w:val="003E15BA"/>
    <w:rsid w:val="003E1A01"/>
    <w:rsid w:val="003E1A33"/>
    <w:rsid w:val="003E1AC0"/>
    <w:rsid w:val="003E1D38"/>
    <w:rsid w:val="003E1FF1"/>
    <w:rsid w:val="003E20E6"/>
    <w:rsid w:val="003E25C7"/>
    <w:rsid w:val="003E2775"/>
    <w:rsid w:val="003E3206"/>
    <w:rsid w:val="003E320E"/>
    <w:rsid w:val="003E32D1"/>
    <w:rsid w:val="003E35A1"/>
    <w:rsid w:val="003E3A26"/>
    <w:rsid w:val="003E3ABE"/>
    <w:rsid w:val="003E3DA5"/>
    <w:rsid w:val="003E3E4B"/>
    <w:rsid w:val="003E3EE6"/>
    <w:rsid w:val="003E4233"/>
    <w:rsid w:val="003E4400"/>
    <w:rsid w:val="003E48EA"/>
    <w:rsid w:val="003E4CEB"/>
    <w:rsid w:val="003E4DDB"/>
    <w:rsid w:val="003E4EE4"/>
    <w:rsid w:val="003E51DF"/>
    <w:rsid w:val="003E5284"/>
    <w:rsid w:val="003E53A0"/>
    <w:rsid w:val="003E56EB"/>
    <w:rsid w:val="003E57D8"/>
    <w:rsid w:val="003E5867"/>
    <w:rsid w:val="003E5A42"/>
    <w:rsid w:val="003E5AC2"/>
    <w:rsid w:val="003E5D0D"/>
    <w:rsid w:val="003E5E08"/>
    <w:rsid w:val="003E5F5C"/>
    <w:rsid w:val="003E5FDF"/>
    <w:rsid w:val="003E60DC"/>
    <w:rsid w:val="003E6258"/>
    <w:rsid w:val="003E6391"/>
    <w:rsid w:val="003E64C9"/>
    <w:rsid w:val="003E6523"/>
    <w:rsid w:val="003E688E"/>
    <w:rsid w:val="003E69C1"/>
    <w:rsid w:val="003E6A3D"/>
    <w:rsid w:val="003E6CCB"/>
    <w:rsid w:val="003E6D1A"/>
    <w:rsid w:val="003E6E36"/>
    <w:rsid w:val="003E6E7B"/>
    <w:rsid w:val="003E6FC7"/>
    <w:rsid w:val="003E7111"/>
    <w:rsid w:val="003E71AA"/>
    <w:rsid w:val="003E7612"/>
    <w:rsid w:val="003E7769"/>
    <w:rsid w:val="003E7DA1"/>
    <w:rsid w:val="003E7F5C"/>
    <w:rsid w:val="003F0371"/>
    <w:rsid w:val="003F064F"/>
    <w:rsid w:val="003F0701"/>
    <w:rsid w:val="003F0D24"/>
    <w:rsid w:val="003F0F69"/>
    <w:rsid w:val="003F11D8"/>
    <w:rsid w:val="003F1213"/>
    <w:rsid w:val="003F1382"/>
    <w:rsid w:val="003F15FD"/>
    <w:rsid w:val="003F1609"/>
    <w:rsid w:val="003F1741"/>
    <w:rsid w:val="003F17B5"/>
    <w:rsid w:val="003F17E2"/>
    <w:rsid w:val="003F1C6F"/>
    <w:rsid w:val="003F20C7"/>
    <w:rsid w:val="003F2494"/>
    <w:rsid w:val="003F2630"/>
    <w:rsid w:val="003F273A"/>
    <w:rsid w:val="003F2822"/>
    <w:rsid w:val="003F28AC"/>
    <w:rsid w:val="003F2AD2"/>
    <w:rsid w:val="003F2B2B"/>
    <w:rsid w:val="003F2D1D"/>
    <w:rsid w:val="003F30F6"/>
    <w:rsid w:val="003F3204"/>
    <w:rsid w:val="003F385A"/>
    <w:rsid w:val="003F3D36"/>
    <w:rsid w:val="003F4117"/>
    <w:rsid w:val="003F457B"/>
    <w:rsid w:val="003F46E4"/>
    <w:rsid w:val="003F4D1C"/>
    <w:rsid w:val="003F4E12"/>
    <w:rsid w:val="003F4FF2"/>
    <w:rsid w:val="003F5148"/>
    <w:rsid w:val="003F5301"/>
    <w:rsid w:val="003F548B"/>
    <w:rsid w:val="003F5B4C"/>
    <w:rsid w:val="003F5FBE"/>
    <w:rsid w:val="003F6119"/>
    <w:rsid w:val="003F62F7"/>
    <w:rsid w:val="003F6600"/>
    <w:rsid w:val="003F6A20"/>
    <w:rsid w:val="003F7537"/>
    <w:rsid w:val="003F76D0"/>
    <w:rsid w:val="003F7E4D"/>
    <w:rsid w:val="00400063"/>
    <w:rsid w:val="00400086"/>
    <w:rsid w:val="004000AC"/>
    <w:rsid w:val="004004B6"/>
    <w:rsid w:val="00400805"/>
    <w:rsid w:val="0040081F"/>
    <w:rsid w:val="00400990"/>
    <w:rsid w:val="00400B59"/>
    <w:rsid w:val="00400F02"/>
    <w:rsid w:val="00400F41"/>
    <w:rsid w:val="004011A3"/>
    <w:rsid w:val="00401E36"/>
    <w:rsid w:val="00401FB7"/>
    <w:rsid w:val="0040202A"/>
    <w:rsid w:val="0040225B"/>
    <w:rsid w:val="00402578"/>
    <w:rsid w:val="00402611"/>
    <w:rsid w:val="00402DA1"/>
    <w:rsid w:val="00404079"/>
    <w:rsid w:val="004040BC"/>
    <w:rsid w:val="00404172"/>
    <w:rsid w:val="00404584"/>
    <w:rsid w:val="004045C6"/>
    <w:rsid w:val="00404685"/>
    <w:rsid w:val="00404938"/>
    <w:rsid w:val="004049D9"/>
    <w:rsid w:val="00404B3A"/>
    <w:rsid w:val="00404C40"/>
    <w:rsid w:val="00404EBF"/>
    <w:rsid w:val="00404F0F"/>
    <w:rsid w:val="00405061"/>
    <w:rsid w:val="0040533F"/>
    <w:rsid w:val="004054D5"/>
    <w:rsid w:val="004056DB"/>
    <w:rsid w:val="00405894"/>
    <w:rsid w:val="00406220"/>
    <w:rsid w:val="004064BF"/>
    <w:rsid w:val="00406505"/>
    <w:rsid w:val="0040654A"/>
    <w:rsid w:val="0040656C"/>
    <w:rsid w:val="00406575"/>
    <w:rsid w:val="00406B6B"/>
    <w:rsid w:val="00406C7F"/>
    <w:rsid w:val="00407207"/>
    <w:rsid w:val="00407F6A"/>
    <w:rsid w:val="004104B3"/>
    <w:rsid w:val="004104D3"/>
    <w:rsid w:val="00410798"/>
    <w:rsid w:val="00410962"/>
    <w:rsid w:val="00410991"/>
    <w:rsid w:val="00410B7D"/>
    <w:rsid w:val="004113D6"/>
    <w:rsid w:val="004115EB"/>
    <w:rsid w:val="004116EC"/>
    <w:rsid w:val="00411746"/>
    <w:rsid w:val="004119B1"/>
    <w:rsid w:val="00411DE2"/>
    <w:rsid w:val="004121E1"/>
    <w:rsid w:val="00412214"/>
    <w:rsid w:val="00412539"/>
    <w:rsid w:val="00412698"/>
    <w:rsid w:val="00412881"/>
    <w:rsid w:val="00412C03"/>
    <w:rsid w:val="00412CFB"/>
    <w:rsid w:val="00412DBA"/>
    <w:rsid w:val="00412DDE"/>
    <w:rsid w:val="00412FFB"/>
    <w:rsid w:val="0041302C"/>
    <w:rsid w:val="00413370"/>
    <w:rsid w:val="004134C8"/>
    <w:rsid w:val="004134E2"/>
    <w:rsid w:val="00413A98"/>
    <w:rsid w:val="00413D60"/>
    <w:rsid w:val="00413DB7"/>
    <w:rsid w:val="00413DEE"/>
    <w:rsid w:val="00413F70"/>
    <w:rsid w:val="004140A5"/>
    <w:rsid w:val="004144E8"/>
    <w:rsid w:val="00414541"/>
    <w:rsid w:val="004145D0"/>
    <w:rsid w:val="004145F3"/>
    <w:rsid w:val="00414754"/>
    <w:rsid w:val="004148E9"/>
    <w:rsid w:val="004149FD"/>
    <w:rsid w:val="00414E26"/>
    <w:rsid w:val="00414E37"/>
    <w:rsid w:val="00414F27"/>
    <w:rsid w:val="00414FFF"/>
    <w:rsid w:val="004152F0"/>
    <w:rsid w:val="004153BE"/>
    <w:rsid w:val="0041541D"/>
    <w:rsid w:val="0041574B"/>
    <w:rsid w:val="0041598E"/>
    <w:rsid w:val="00415E58"/>
    <w:rsid w:val="00415EA0"/>
    <w:rsid w:val="004161AA"/>
    <w:rsid w:val="0041621B"/>
    <w:rsid w:val="00416613"/>
    <w:rsid w:val="00416876"/>
    <w:rsid w:val="00416A7D"/>
    <w:rsid w:val="00416AC0"/>
    <w:rsid w:val="00416D56"/>
    <w:rsid w:val="004171E1"/>
    <w:rsid w:val="0041724F"/>
    <w:rsid w:val="00417899"/>
    <w:rsid w:val="00417961"/>
    <w:rsid w:val="00417E54"/>
    <w:rsid w:val="00417FD6"/>
    <w:rsid w:val="004200AF"/>
    <w:rsid w:val="004200FB"/>
    <w:rsid w:val="00420330"/>
    <w:rsid w:val="004203C1"/>
    <w:rsid w:val="00420987"/>
    <w:rsid w:val="00420EA8"/>
    <w:rsid w:val="004211A8"/>
    <w:rsid w:val="00421821"/>
    <w:rsid w:val="004219D6"/>
    <w:rsid w:val="00421B23"/>
    <w:rsid w:val="00421ED6"/>
    <w:rsid w:val="0042225F"/>
    <w:rsid w:val="004228BF"/>
    <w:rsid w:val="00422993"/>
    <w:rsid w:val="004229B6"/>
    <w:rsid w:val="00422BA0"/>
    <w:rsid w:val="00422D17"/>
    <w:rsid w:val="00422D3B"/>
    <w:rsid w:val="00422E43"/>
    <w:rsid w:val="0042323B"/>
    <w:rsid w:val="004233E3"/>
    <w:rsid w:val="0042360C"/>
    <w:rsid w:val="00423638"/>
    <w:rsid w:val="004238D9"/>
    <w:rsid w:val="00423D24"/>
    <w:rsid w:val="00424160"/>
    <w:rsid w:val="00424485"/>
    <w:rsid w:val="004247A3"/>
    <w:rsid w:val="004247AC"/>
    <w:rsid w:val="004248AC"/>
    <w:rsid w:val="00424A7E"/>
    <w:rsid w:val="004253AD"/>
    <w:rsid w:val="004254D4"/>
    <w:rsid w:val="00425601"/>
    <w:rsid w:val="0042585E"/>
    <w:rsid w:val="00425CAF"/>
    <w:rsid w:val="00425D34"/>
    <w:rsid w:val="0042641A"/>
    <w:rsid w:val="00426880"/>
    <w:rsid w:val="0042729D"/>
    <w:rsid w:val="004277FB"/>
    <w:rsid w:val="004279BD"/>
    <w:rsid w:val="00427D32"/>
    <w:rsid w:val="00427F30"/>
    <w:rsid w:val="00430462"/>
    <w:rsid w:val="004306B3"/>
    <w:rsid w:val="00430A78"/>
    <w:rsid w:val="00430B94"/>
    <w:rsid w:val="00430C4D"/>
    <w:rsid w:val="00430CDE"/>
    <w:rsid w:val="00430D09"/>
    <w:rsid w:val="00430EBE"/>
    <w:rsid w:val="004311D5"/>
    <w:rsid w:val="00431411"/>
    <w:rsid w:val="0043167B"/>
    <w:rsid w:val="0043189C"/>
    <w:rsid w:val="00431D66"/>
    <w:rsid w:val="00431EA5"/>
    <w:rsid w:val="004324E2"/>
    <w:rsid w:val="00432752"/>
    <w:rsid w:val="004327C1"/>
    <w:rsid w:val="004327D6"/>
    <w:rsid w:val="0043283C"/>
    <w:rsid w:val="00432AB1"/>
    <w:rsid w:val="00432C57"/>
    <w:rsid w:val="004333EC"/>
    <w:rsid w:val="0043349D"/>
    <w:rsid w:val="004335CB"/>
    <w:rsid w:val="0043393E"/>
    <w:rsid w:val="00433D42"/>
    <w:rsid w:val="00433E92"/>
    <w:rsid w:val="00433EB9"/>
    <w:rsid w:val="0043429D"/>
    <w:rsid w:val="0043448D"/>
    <w:rsid w:val="00434537"/>
    <w:rsid w:val="00434FDE"/>
    <w:rsid w:val="004350BA"/>
    <w:rsid w:val="004351F8"/>
    <w:rsid w:val="004353FA"/>
    <w:rsid w:val="00435AD3"/>
    <w:rsid w:val="00435B79"/>
    <w:rsid w:val="00435CEB"/>
    <w:rsid w:val="004363A3"/>
    <w:rsid w:val="00436485"/>
    <w:rsid w:val="004366A6"/>
    <w:rsid w:val="004366D0"/>
    <w:rsid w:val="00436A2E"/>
    <w:rsid w:val="00437FDD"/>
    <w:rsid w:val="004404E7"/>
    <w:rsid w:val="004405CC"/>
    <w:rsid w:val="00440625"/>
    <w:rsid w:val="00440646"/>
    <w:rsid w:val="00440653"/>
    <w:rsid w:val="0044095B"/>
    <w:rsid w:val="00440983"/>
    <w:rsid w:val="00440DEF"/>
    <w:rsid w:val="00440E59"/>
    <w:rsid w:val="00441091"/>
    <w:rsid w:val="004410AE"/>
    <w:rsid w:val="00441253"/>
    <w:rsid w:val="00441685"/>
    <w:rsid w:val="00441867"/>
    <w:rsid w:val="00441C03"/>
    <w:rsid w:val="00441C04"/>
    <w:rsid w:val="00442040"/>
    <w:rsid w:val="004421D1"/>
    <w:rsid w:val="0044244E"/>
    <w:rsid w:val="004425FC"/>
    <w:rsid w:val="004426F3"/>
    <w:rsid w:val="00442A61"/>
    <w:rsid w:val="00442D62"/>
    <w:rsid w:val="0044329E"/>
    <w:rsid w:val="004433FE"/>
    <w:rsid w:val="00443412"/>
    <w:rsid w:val="00443693"/>
    <w:rsid w:val="004436E5"/>
    <w:rsid w:val="00443E78"/>
    <w:rsid w:val="00444057"/>
    <w:rsid w:val="00444446"/>
    <w:rsid w:val="004444F4"/>
    <w:rsid w:val="00444AC2"/>
    <w:rsid w:val="00444B66"/>
    <w:rsid w:val="00444CD0"/>
    <w:rsid w:val="00444DE7"/>
    <w:rsid w:val="0044500E"/>
    <w:rsid w:val="0044521F"/>
    <w:rsid w:val="004452A9"/>
    <w:rsid w:val="004455F6"/>
    <w:rsid w:val="00445670"/>
    <w:rsid w:val="00445C24"/>
    <w:rsid w:val="00446029"/>
    <w:rsid w:val="004461F8"/>
    <w:rsid w:val="00446406"/>
    <w:rsid w:val="00446435"/>
    <w:rsid w:val="004464AC"/>
    <w:rsid w:val="004468EE"/>
    <w:rsid w:val="00446A0B"/>
    <w:rsid w:val="00446F51"/>
    <w:rsid w:val="004471E7"/>
    <w:rsid w:val="00447EFD"/>
    <w:rsid w:val="00450002"/>
    <w:rsid w:val="00450007"/>
    <w:rsid w:val="0045038A"/>
    <w:rsid w:val="00450739"/>
    <w:rsid w:val="00450799"/>
    <w:rsid w:val="004513B6"/>
    <w:rsid w:val="00451692"/>
    <w:rsid w:val="004516D1"/>
    <w:rsid w:val="004519FD"/>
    <w:rsid w:val="00451A7F"/>
    <w:rsid w:val="00451FCD"/>
    <w:rsid w:val="0045233D"/>
    <w:rsid w:val="004526C2"/>
    <w:rsid w:val="00452C36"/>
    <w:rsid w:val="004535D4"/>
    <w:rsid w:val="00453B0F"/>
    <w:rsid w:val="00453B91"/>
    <w:rsid w:val="00454150"/>
    <w:rsid w:val="0045428E"/>
    <w:rsid w:val="0045438A"/>
    <w:rsid w:val="00454665"/>
    <w:rsid w:val="00454D6E"/>
    <w:rsid w:val="00455008"/>
    <w:rsid w:val="00455101"/>
    <w:rsid w:val="0045516F"/>
    <w:rsid w:val="00455326"/>
    <w:rsid w:val="00455436"/>
    <w:rsid w:val="004558BD"/>
    <w:rsid w:val="00455CF1"/>
    <w:rsid w:val="00455E85"/>
    <w:rsid w:val="00456329"/>
    <w:rsid w:val="00456763"/>
    <w:rsid w:val="00456907"/>
    <w:rsid w:val="0045692D"/>
    <w:rsid w:val="004569EB"/>
    <w:rsid w:val="004571ED"/>
    <w:rsid w:val="00457257"/>
    <w:rsid w:val="00457493"/>
    <w:rsid w:val="00457B55"/>
    <w:rsid w:val="00457D7B"/>
    <w:rsid w:val="00457E2B"/>
    <w:rsid w:val="004600AA"/>
    <w:rsid w:val="00460941"/>
    <w:rsid w:val="00460CC4"/>
    <w:rsid w:val="00460EC1"/>
    <w:rsid w:val="00460FED"/>
    <w:rsid w:val="004611CA"/>
    <w:rsid w:val="0046121F"/>
    <w:rsid w:val="00461373"/>
    <w:rsid w:val="004618E1"/>
    <w:rsid w:val="00461BCE"/>
    <w:rsid w:val="00461E48"/>
    <w:rsid w:val="00462112"/>
    <w:rsid w:val="00462422"/>
    <w:rsid w:val="00462B57"/>
    <w:rsid w:val="00462C88"/>
    <w:rsid w:val="00462D06"/>
    <w:rsid w:val="0046307B"/>
    <w:rsid w:val="00463850"/>
    <w:rsid w:val="00464010"/>
    <w:rsid w:val="004640DA"/>
    <w:rsid w:val="0046437E"/>
    <w:rsid w:val="004646EA"/>
    <w:rsid w:val="00464805"/>
    <w:rsid w:val="00464854"/>
    <w:rsid w:val="00464B7F"/>
    <w:rsid w:val="00464C62"/>
    <w:rsid w:val="00464EC8"/>
    <w:rsid w:val="00464F26"/>
    <w:rsid w:val="004658ED"/>
    <w:rsid w:val="00465B3E"/>
    <w:rsid w:val="00465C08"/>
    <w:rsid w:val="00465CD6"/>
    <w:rsid w:val="00465D65"/>
    <w:rsid w:val="00466095"/>
    <w:rsid w:val="0046662B"/>
    <w:rsid w:val="00466630"/>
    <w:rsid w:val="0046675E"/>
    <w:rsid w:val="0046684C"/>
    <w:rsid w:val="004668D3"/>
    <w:rsid w:val="00466A17"/>
    <w:rsid w:val="00466C9D"/>
    <w:rsid w:val="00466D81"/>
    <w:rsid w:val="00466F63"/>
    <w:rsid w:val="004674D2"/>
    <w:rsid w:val="004674E7"/>
    <w:rsid w:val="00467719"/>
    <w:rsid w:val="00467765"/>
    <w:rsid w:val="004678CC"/>
    <w:rsid w:val="00467ED1"/>
    <w:rsid w:val="00467F3F"/>
    <w:rsid w:val="0047027F"/>
    <w:rsid w:val="00470468"/>
    <w:rsid w:val="00470674"/>
    <w:rsid w:val="00470788"/>
    <w:rsid w:val="004707B1"/>
    <w:rsid w:val="0047088C"/>
    <w:rsid w:val="00470AD7"/>
    <w:rsid w:val="00471501"/>
    <w:rsid w:val="004717D1"/>
    <w:rsid w:val="00471834"/>
    <w:rsid w:val="00471861"/>
    <w:rsid w:val="004719BB"/>
    <w:rsid w:val="00471AC5"/>
    <w:rsid w:val="00471ED9"/>
    <w:rsid w:val="00471F18"/>
    <w:rsid w:val="004720D2"/>
    <w:rsid w:val="004722B2"/>
    <w:rsid w:val="004723BD"/>
    <w:rsid w:val="00472683"/>
    <w:rsid w:val="0047268F"/>
    <w:rsid w:val="00472A73"/>
    <w:rsid w:val="00472B6A"/>
    <w:rsid w:val="00472B83"/>
    <w:rsid w:val="00472CF7"/>
    <w:rsid w:val="00472F8B"/>
    <w:rsid w:val="00473187"/>
    <w:rsid w:val="00473458"/>
    <w:rsid w:val="0047367C"/>
    <w:rsid w:val="00473A0D"/>
    <w:rsid w:val="00473D65"/>
    <w:rsid w:val="00473DD5"/>
    <w:rsid w:val="004746B6"/>
    <w:rsid w:val="0047496C"/>
    <w:rsid w:val="00474AFD"/>
    <w:rsid w:val="00474CF6"/>
    <w:rsid w:val="00474DE1"/>
    <w:rsid w:val="004753D8"/>
    <w:rsid w:val="0047554B"/>
    <w:rsid w:val="00475674"/>
    <w:rsid w:val="00475840"/>
    <w:rsid w:val="004759F6"/>
    <w:rsid w:val="00475AA3"/>
    <w:rsid w:val="00475DCA"/>
    <w:rsid w:val="00475F32"/>
    <w:rsid w:val="004763DA"/>
    <w:rsid w:val="0047657A"/>
    <w:rsid w:val="0047665A"/>
    <w:rsid w:val="004766C6"/>
    <w:rsid w:val="00476735"/>
    <w:rsid w:val="00476E78"/>
    <w:rsid w:val="00476F8E"/>
    <w:rsid w:val="00477311"/>
    <w:rsid w:val="00477377"/>
    <w:rsid w:val="004774A8"/>
    <w:rsid w:val="00477788"/>
    <w:rsid w:val="004777C9"/>
    <w:rsid w:val="004777E9"/>
    <w:rsid w:val="0047793E"/>
    <w:rsid w:val="004802C3"/>
    <w:rsid w:val="004805B8"/>
    <w:rsid w:val="00480981"/>
    <w:rsid w:val="00480993"/>
    <w:rsid w:val="004809F5"/>
    <w:rsid w:val="00480EB6"/>
    <w:rsid w:val="00480F3A"/>
    <w:rsid w:val="00481529"/>
    <w:rsid w:val="0048160E"/>
    <w:rsid w:val="00481675"/>
    <w:rsid w:val="004816F8"/>
    <w:rsid w:val="0048173A"/>
    <w:rsid w:val="004817BC"/>
    <w:rsid w:val="00481FA2"/>
    <w:rsid w:val="00481FD2"/>
    <w:rsid w:val="004821BD"/>
    <w:rsid w:val="004821FB"/>
    <w:rsid w:val="00482251"/>
    <w:rsid w:val="00482373"/>
    <w:rsid w:val="0048244F"/>
    <w:rsid w:val="004825F0"/>
    <w:rsid w:val="00482A22"/>
    <w:rsid w:val="00482E2B"/>
    <w:rsid w:val="00482FC1"/>
    <w:rsid w:val="004831FF"/>
    <w:rsid w:val="004832C7"/>
    <w:rsid w:val="00483391"/>
    <w:rsid w:val="00483742"/>
    <w:rsid w:val="00483843"/>
    <w:rsid w:val="004838A7"/>
    <w:rsid w:val="004839E3"/>
    <w:rsid w:val="00483EEC"/>
    <w:rsid w:val="004842CE"/>
    <w:rsid w:val="0048438D"/>
    <w:rsid w:val="00484698"/>
    <w:rsid w:val="004847AA"/>
    <w:rsid w:val="00484985"/>
    <w:rsid w:val="00484D20"/>
    <w:rsid w:val="00484D66"/>
    <w:rsid w:val="00484D7F"/>
    <w:rsid w:val="00484DCC"/>
    <w:rsid w:val="00484E46"/>
    <w:rsid w:val="00485085"/>
    <w:rsid w:val="00485086"/>
    <w:rsid w:val="004850C5"/>
    <w:rsid w:val="0048527C"/>
    <w:rsid w:val="00485765"/>
    <w:rsid w:val="00485A97"/>
    <w:rsid w:val="00485AE3"/>
    <w:rsid w:val="00485FA4"/>
    <w:rsid w:val="00486209"/>
    <w:rsid w:val="0048653E"/>
    <w:rsid w:val="004865FB"/>
    <w:rsid w:val="00486666"/>
    <w:rsid w:val="00486887"/>
    <w:rsid w:val="00486924"/>
    <w:rsid w:val="00486A97"/>
    <w:rsid w:val="00486C1E"/>
    <w:rsid w:val="00486D0B"/>
    <w:rsid w:val="00486D38"/>
    <w:rsid w:val="00486EAB"/>
    <w:rsid w:val="00487001"/>
    <w:rsid w:val="0048730A"/>
    <w:rsid w:val="00487485"/>
    <w:rsid w:val="0048748A"/>
    <w:rsid w:val="004879E5"/>
    <w:rsid w:val="00487AEE"/>
    <w:rsid w:val="00487BA4"/>
    <w:rsid w:val="0049005E"/>
    <w:rsid w:val="004901CF"/>
    <w:rsid w:val="00490210"/>
    <w:rsid w:val="004903D3"/>
    <w:rsid w:val="004905FB"/>
    <w:rsid w:val="0049065D"/>
    <w:rsid w:val="0049077A"/>
    <w:rsid w:val="00490A76"/>
    <w:rsid w:val="00490B4D"/>
    <w:rsid w:val="00490D95"/>
    <w:rsid w:val="00491240"/>
    <w:rsid w:val="004914F4"/>
    <w:rsid w:val="00491582"/>
    <w:rsid w:val="0049164D"/>
    <w:rsid w:val="0049170B"/>
    <w:rsid w:val="004917F7"/>
    <w:rsid w:val="00491939"/>
    <w:rsid w:val="00491EA6"/>
    <w:rsid w:val="004924BE"/>
    <w:rsid w:val="00492EA4"/>
    <w:rsid w:val="00492F73"/>
    <w:rsid w:val="00493133"/>
    <w:rsid w:val="004931A3"/>
    <w:rsid w:val="004933BB"/>
    <w:rsid w:val="00493BC8"/>
    <w:rsid w:val="00493CC7"/>
    <w:rsid w:val="00493D55"/>
    <w:rsid w:val="00493F4C"/>
    <w:rsid w:val="004942DB"/>
    <w:rsid w:val="00494370"/>
    <w:rsid w:val="004943ED"/>
    <w:rsid w:val="004949CC"/>
    <w:rsid w:val="00494A56"/>
    <w:rsid w:val="00495003"/>
    <w:rsid w:val="0049546C"/>
    <w:rsid w:val="0049564B"/>
    <w:rsid w:val="004957FA"/>
    <w:rsid w:val="00495951"/>
    <w:rsid w:val="00495E2D"/>
    <w:rsid w:val="00496332"/>
    <w:rsid w:val="004969BD"/>
    <w:rsid w:val="00496B35"/>
    <w:rsid w:val="00496ED2"/>
    <w:rsid w:val="00497036"/>
    <w:rsid w:val="00497081"/>
    <w:rsid w:val="0049718A"/>
    <w:rsid w:val="00497219"/>
    <w:rsid w:val="004972D1"/>
    <w:rsid w:val="0049735B"/>
    <w:rsid w:val="004977EA"/>
    <w:rsid w:val="00497B2A"/>
    <w:rsid w:val="00497C1F"/>
    <w:rsid w:val="004A0022"/>
    <w:rsid w:val="004A01C9"/>
    <w:rsid w:val="004A02A6"/>
    <w:rsid w:val="004A02C9"/>
    <w:rsid w:val="004A0587"/>
    <w:rsid w:val="004A08F5"/>
    <w:rsid w:val="004A09AD"/>
    <w:rsid w:val="004A0E2D"/>
    <w:rsid w:val="004A1140"/>
    <w:rsid w:val="004A124F"/>
    <w:rsid w:val="004A1490"/>
    <w:rsid w:val="004A15A9"/>
    <w:rsid w:val="004A1D9F"/>
    <w:rsid w:val="004A1EE4"/>
    <w:rsid w:val="004A1EF2"/>
    <w:rsid w:val="004A1F9C"/>
    <w:rsid w:val="004A23AB"/>
    <w:rsid w:val="004A240F"/>
    <w:rsid w:val="004A24B6"/>
    <w:rsid w:val="004A2559"/>
    <w:rsid w:val="004A26B7"/>
    <w:rsid w:val="004A26C3"/>
    <w:rsid w:val="004A2897"/>
    <w:rsid w:val="004A2A54"/>
    <w:rsid w:val="004A2CA3"/>
    <w:rsid w:val="004A2CAE"/>
    <w:rsid w:val="004A2CD8"/>
    <w:rsid w:val="004A2EC0"/>
    <w:rsid w:val="004A3987"/>
    <w:rsid w:val="004A3B9A"/>
    <w:rsid w:val="004A3D97"/>
    <w:rsid w:val="004A3E09"/>
    <w:rsid w:val="004A4AB4"/>
    <w:rsid w:val="004A4AF7"/>
    <w:rsid w:val="004A4C29"/>
    <w:rsid w:val="004A4CAD"/>
    <w:rsid w:val="004A4E1E"/>
    <w:rsid w:val="004A4F86"/>
    <w:rsid w:val="004A5083"/>
    <w:rsid w:val="004A5262"/>
    <w:rsid w:val="004A5641"/>
    <w:rsid w:val="004A591E"/>
    <w:rsid w:val="004A5C6D"/>
    <w:rsid w:val="004A5D86"/>
    <w:rsid w:val="004A5FD6"/>
    <w:rsid w:val="004A6AB0"/>
    <w:rsid w:val="004A6B22"/>
    <w:rsid w:val="004A6E67"/>
    <w:rsid w:val="004A711A"/>
    <w:rsid w:val="004A7305"/>
    <w:rsid w:val="004A753E"/>
    <w:rsid w:val="004A774E"/>
    <w:rsid w:val="004A7DEC"/>
    <w:rsid w:val="004A7F0D"/>
    <w:rsid w:val="004B051C"/>
    <w:rsid w:val="004B068B"/>
    <w:rsid w:val="004B0864"/>
    <w:rsid w:val="004B086F"/>
    <w:rsid w:val="004B0AE9"/>
    <w:rsid w:val="004B0CFD"/>
    <w:rsid w:val="004B0FB4"/>
    <w:rsid w:val="004B1275"/>
    <w:rsid w:val="004B1790"/>
    <w:rsid w:val="004B19DE"/>
    <w:rsid w:val="004B1B29"/>
    <w:rsid w:val="004B1BB7"/>
    <w:rsid w:val="004B1C0E"/>
    <w:rsid w:val="004B2105"/>
    <w:rsid w:val="004B29BA"/>
    <w:rsid w:val="004B2C43"/>
    <w:rsid w:val="004B332F"/>
    <w:rsid w:val="004B3895"/>
    <w:rsid w:val="004B395D"/>
    <w:rsid w:val="004B3B2C"/>
    <w:rsid w:val="004B3BA8"/>
    <w:rsid w:val="004B3D16"/>
    <w:rsid w:val="004B3E41"/>
    <w:rsid w:val="004B42A6"/>
    <w:rsid w:val="004B42FA"/>
    <w:rsid w:val="004B4F5C"/>
    <w:rsid w:val="004B55AD"/>
    <w:rsid w:val="004B5772"/>
    <w:rsid w:val="004B581D"/>
    <w:rsid w:val="004B5BEB"/>
    <w:rsid w:val="004B5EAA"/>
    <w:rsid w:val="004B6282"/>
    <w:rsid w:val="004B628D"/>
    <w:rsid w:val="004B645B"/>
    <w:rsid w:val="004B6644"/>
    <w:rsid w:val="004B668A"/>
    <w:rsid w:val="004B68CA"/>
    <w:rsid w:val="004B6B68"/>
    <w:rsid w:val="004B6C1E"/>
    <w:rsid w:val="004B6C96"/>
    <w:rsid w:val="004B711F"/>
    <w:rsid w:val="004B77AA"/>
    <w:rsid w:val="004B7A06"/>
    <w:rsid w:val="004B7B20"/>
    <w:rsid w:val="004B7CB9"/>
    <w:rsid w:val="004C0042"/>
    <w:rsid w:val="004C0153"/>
    <w:rsid w:val="004C0809"/>
    <w:rsid w:val="004C09DD"/>
    <w:rsid w:val="004C0A12"/>
    <w:rsid w:val="004C0AE7"/>
    <w:rsid w:val="004C0BCD"/>
    <w:rsid w:val="004C0C31"/>
    <w:rsid w:val="004C126F"/>
    <w:rsid w:val="004C1582"/>
    <w:rsid w:val="004C168D"/>
    <w:rsid w:val="004C1761"/>
    <w:rsid w:val="004C183C"/>
    <w:rsid w:val="004C1B9A"/>
    <w:rsid w:val="004C1BA1"/>
    <w:rsid w:val="004C1BCB"/>
    <w:rsid w:val="004C1DD7"/>
    <w:rsid w:val="004C1FAB"/>
    <w:rsid w:val="004C219F"/>
    <w:rsid w:val="004C23BB"/>
    <w:rsid w:val="004C23E6"/>
    <w:rsid w:val="004C266A"/>
    <w:rsid w:val="004C276E"/>
    <w:rsid w:val="004C2B97"/>
    <w:rsid w:val="004C2E02"/>
    <w:rsid w:val="004C2F10"/>
    <w:rsid w:val="004C2F52"/>
    <w:rsid w:val="004C3294"/>
    <w:rsid w:val="004C337C"/>
    <w:rsid w:val="004C341A"/>
    <w:rsid w:val="004C3867"/>
    <w:rsid w:val="004C38A7"/>
    <w:rsid w:val="004C3C03"/>
    <w:rsid w:val="004C4050"/>
    <w:rsid w:val="004C407C"/>
    <w:rsid w:val="004C40D6"/>
    <w:rsid w:val="004C424A"/>
    <w:rsid w:val="004C42BA"/>
    <w:rsid w:val="004C4330"/>
    <w:rsid w:val="004C43AF"/>
    <w:rsid w:val="004C4B3B"/>
    <w:rsid w:val="004C4F8E"/>
    <w:rsid w:val="004C4FEA"/>
    <w:rsid w:val="004C5224"/>
    <w:rsid w:val="004C5396"/>
    <w:rsid w:val="004C53C8"/>
    <w:rsid w:val="004C5460"/>
    <w:rsid w:val="004C55F6"/>
    <w:rsid w:val="004C5650"/>
    <w:rsid w:val="004C577E"/>
    <w:rsid w:val="004C59FB"/>
    <w:rsid w:val="004C5D55"/>
    <w:rsid w:val="004C5F6A"/>
    <w:rsid w:val="004C6C4F"/>
    <w:rsid w:val="004C6E33"/>
    <w:rsid w:val="004C6E91"/>
    <w:rsid w:val="004C7209"/>
    <w:rsid w:val="004C72C2"/>
    <w:rsid w:val="004C759C"/>
    <w:rsid w:val="004C7948"/>
    <w:rsid w:val="004C7B0B"/>
    <w:rsid w:val="004C7B70"/>
    <w:rsid w:val="004D0050"/>
    <w:rsid w:val="004D03E4"/>
    <w:rsid w:val="004D0535"/>
    <w:rsid w:val="004D0559"/>
    <w:rsid w:val="004D05AC"/>
    <w:rsid w:val="004D08D6"/>
    <w:rsid w:val="004D0BEE"/>
    <w:rsid w:val="004D0CA0"/>
    <w:rsid w:val="004D128D"/>
    <w:rsid w:val="004D1449"/>
    <w:rsid w:val="004D16FE"/>
    <w:rsid w:val="004D1729"/>
    <w:rsid w:val="004D17B0"/>
    <w:rsid w:val="004D1CB3"/>
    <w:rsid w:val="004D1D1C"/>
    <w:rsid w:val="004D1D92"/>
    <w:rsid w:val="004D1EF4"/>
    <w:rsid w:val="004D22BC"/>
    <w:rsid w:val="004D2397"/>
    <w:rsid w:val="004D253D"/>
    <w:rsid w:val="004D27B6"/>
    <w:rsid w:val="004D2869"/>
    <w:rsid w:val="004D2A21"/>
    <w:rsid w:val="004D2F86"/>
    <w:rsid w:val="004D3564"/>
    <w:rsid w:val="004D35B2"/>
    <w:rsid w:val="004D388C"/>
    <w:rsid w:val="004D3913"/>
    <w:rsid w:val="004D3DCF"/>
    <w:rsid w:val="004D4008"/>
    <w:rsid w:val="004D40B8"/>
    <w:rsid w:val="004D4389"/>
    <w:rsid w:val="004D45AF"/>
    <w:rsid w:val="004D460B"/>
    <w:rsid w:val="004D47DC"/>
    <w:rsid w:val="004D4A3D"/>
    <w:rsid w:val="004D4BD3"/>
    <w:rsid w:val="004D4CDD"/>
    <w:rsid w:val="004D4D3C"/>
    <w:rsid w:val="004D5236"/>
    <w:rsid w:val="004D5292"/>
    <w:rsid w:val="004D56F4"/>
    <w:rsid w:val="004D58EC"/>
    <w:rsid w:val="004D5B45"/>
    <w:rsid w:val="004D5DF2"/>
    <w:rsid w:val="004D602C"/>
    <w:rsid w:val="004D6590"/>
    <w:rsid w:val="004D67EF"/>
    <w:rsid w:val="004D6BBB"/>
    <w:rsid w:val="004D6C74"/>
    <w:rsid w:val="004D6DE1"/>
    <w:rsid w:val="004D74A5"/>
    <w:rsid w:val="004D76B8"/>
    <w:rsid w:val="004D778B"/>
    <w:rsid w:val="004D77B5"/>
    <w:rsid w:val="004D787B"/>
    <w:rsid w:val="004D79DF"/>
    <w:rsid w:val="004D7A0A"/>
    <w:rsid w:val="004E010B"/>
    <w:rsid w:val="004E01CD"/>
    <w:rsid w:val="004E0713"/>
    <w:rsid w:val="004E09AB"/>
    <w:rsid w:val="004E0B11"/>
    <w:rsid w:val="004E12BD"/>
    <w:rsid w:val="004E12BE"/>
    <w:rsid w:val="004E17D1"/>
    <w:rsid w:val="004E19C1"/>
    <w:rsid w:val="004E1A63"/>
    <w:rsid w:val="004E1D66"/>
    <w:rsid w:val="004E219D"/>
    <w:rsid w:val="004E270C"/>
    <w:rsid w:val="004E2B82"/>
    <w:rsid w:val="004E2C2E"/>
    <w:rsid w:val="004E2D7E"/>
    <w:rsid w:val="004E2D95"/>
    <w:rsid w:val="004E2DF5"/>
    <w:rsid w:val="004E2FD8"/>
    <w:rsid w:val="004E47F4"/>
    <w:rsid w:val="004E4880"/>
    <w:rsid w:val="004E4C29"/>
    <w:rsid w:val="004E517A"/>
    <w:rsid w:val="004E54AE"/>
    <w:rsid w:val="004E5791"/>
    <w:rsid w:val="004E5F77"/>
    <w:rsid w:val="004E6202"/>
    <w:rsid w:val="004E648E"/>
    <w:rsid w:val="004E69BE"/>
    <w:rsid w:val="004E6B17"/>
    <w:rsid w:val="004E711A"/>
    <w:rsid w:val="004E712D"/>
    <w:rsid w:val="004E73CC"/>
    <w:rsid w:val="004E73DA"/>
    <w:rsid w:val="004E745D"/>
    <w:rsid w:val="004E7483"/>
    <w:rsid w:val="004E74DE"/>
    <w:rsid w:val="004E755F"/>
    <w:rsid w:val="004E76E8"/>
    <w:rsid w:val="004E7A4E"/>
    <w:rsid w:val="004E7A5D"/>
    <w:rsid w:val="004E7AF7"/>
    <w:rsid w:val="004E7E0E"/>
    <w:rsid w:val="004E7F78"/>
    <w:rsid w:val="004E7FFC"/>
    <w:rsid w:val="004F0035"/>
    <w:rsid w:val="004F00E1"/>
    <w:rsid w:val="004F042E"/>
    <w:rsid w:val="004F06E3"/>
    <w:rsid w:val="004F0A41"/>
    <w:rsid w:val="004F0BF9"/>
    <w:rsid w:val="004F10A1"/>
    <w:rsid w:val="004F10ED"/>
    <w:rsid w:val="004F144E"/>
    <w:rsid w:val="004F1ABE"/>
    <w:rsid w:val="004F1FFD"/>
    <w:rsid w:val="004F2026"/>
    <w:rsid w:val="004F269B"/>
    <w:rsid w:val="004F2C66"/>
    <w:rsid w:val="004F2DE5"/>
    <w:rsid w:val="004F31D5"/>
    <w:rsid w:val="004F350F"/>
    <w:rsid w:val="004F3529"/>
    <w:rsid w:val="004F360A"/>
    <w:rsid w:val="004F3A07"/>
    <w:rsid w:val="004F3D30"/>
    <w:rsid w:val="004F3E26"/>
    <w:rsid w:val="004F3EC5"/>
    <w:rsid w:val="004F3ECD"/>
    <w:rsid w:val="004F40AC"/>
    <w:rsid w:val="004F41C1"/>
    <w:rsid w:val="004F4402"/>
    <w:rsid w:val="004F4437"/>
    <w:rsid w:val="004F4B47"/>
    <w:rsid w:val="004F4B61"/>
    <w:rsid w:val="004F4C41"/>
    <w:rsid w:val="004F4CB1"/>
    <w:rsid w:val="004F4F4D"/>
    <w:rsid w:val="004F51CE"/>
    <w:rsid w:val="004F5214"/>
    <w:rsid w:val="004F5838"/>
    <w:rsid w:val="004F6079"/>
    <w:rsid w:val="004F62C0"/>
    <w:rsid w:val="004F63BE"/>
    <w:rsid w:val="004F66CA"/>
    <w:rsid w:val="004F6E6A"/>
    <w:rsid w:val="004F7326"/>
    <w:rsid w:val="004F7BDF"/>
    <w:rsid w:val="004F7C33"/>
    <w:rsid w:val="00500165"/>
    <w:rsid w:val="0050034A"/>
    <w:rsid w:val="00500697"/>
    <w:rsid w:val="005007F8"/>
    <w:rsid w:val="00500994"/>
    <w:rsid w:val="00500EE4"/>
    <w:rsid w:val="0050118F"/>
    <w:rsid w:val="00501219"/>
    <w:rsid w:val="005015B2"/>
    <w:rsid w:val="0050166B"/>
    <w:rsid w:val="005018C6"/>
    <w:rsid w:val="0050197C"/>
    <w:rsid w:val="005019CF"/>
    <w:rsid w:val="00501B57"/>
    <w:rsid w:val="00501B59"/>
    <w:rsid w:val="00501CA3"/>
    <w:rsid w:val="005020C6"/>
    <w:rsid w:val="005021BC"/>
    <w:rsid w:val="005022D8"/>
    <w:rsid w:val="00502530"/>
    <w:rsid w:val="00502574"/>
    <w:rsid w:val="00502DE0"/>
    <w:rsid w:val="00503015"/>
    <w:rsid w:val="00503016"/>
    <w:rsid w:val="00503139"/>
    <w:rsid w:val="0050362E"/>
    <w:rsid w:val="00503650"/>
    <w:rsid w:val="00503706"/>
    <w:rsid w:val="00503723"/>
    <w:rsid w:val="00503B27"/>
    <w:rsid w:val="00503C37"/>
    <w:rsid w:val="00503E5B"/>
    <w:rsid w:val="00504227"/>
    <w:rsid w:val="00504E84"/>
    <w:rsid w:val="00504F50"/>
    <w:rsid w:val="005054CB"/>
    <w:rsid w:val="005058B8"/>
    <w:rsid w:val="00505993"/>
    <w:rsid w:val="00505A1C"/>
    <w:rsid w:val="00505D96"/>
    <w:rsid w:val="00506118"/>
    <w:rsid w:val="0050634F"/>
    <w:rsid w:val="0050663F"/>
    <w:rsid w:val="005066E6"/>
    <w:rsid w:val="00506821"/>
    <w:rsid w:val="005068F7"/>
    <w:rsid w:val="00506CF7"/>
    <w:rsid w:val="00506FC3"/>
    <w:rsid w:val="005070C7"/>
    <w:rsid w:val="00507496"/>
    <w:rsid w:val="005076F5"/>
    <w:rsid w:val="00507BB4"/>
    <w:rsid w:val="005104B0"/>
    <w:rsid w:val="0051052A"/>
    <w:rsid w:val="00510A2F"/>
    <w:rsid w:val="00510D7F"/>
    <w:rsid w:val="00510F77"/>
    <w:rsid w:val="005112E8"/>
    <w:rsid w:val="00511476"/>
    <w:rsid w:val="0051179A"/>
    <w:rsid w:val="00511896"/>
    <w:rsid w:val="00511B57"/>
    <w:rsid w:val="00511C3F"/>
    <w:rsid w:val="00511CDA"/>
    <w:rsid w:val="00511E7A"/>
    <w:rsid w:val="00512148"/>
    <w:rsid w:val="005122C0"/>
    <w:rsid w:val="0051240F"/>
    <w:rsid w:val="005124B8"/>
    <w:rsid w:val="00512898"/>
    <w:rsid w:val="005128B7"/>
    <w:rsid w:val="00512EDA"/>
    <w:rsid w:val="00513270"/>
    <w:rsid w:val="005133E6"/>
    <w:rsid w:val="0051379D"/>
    <w:rsid w:val="00513B12"/>
    <w:rsid w:val="00513CBA"/>
    <w:rsid w:val="00513E6B"/>
    <w:rsid w:val="00513F8A"/>
    <w:rsid w:val="00514156"/>
    <w:rsid w:val="00514204"/>
    <w:rsid w:val="00514219"/>
    <w:rsid w:val="00514246"/>
    <w:rsid w:val="005142F6"/>
    <w:rsid w:val="0051438D"/>
    <w:rsid w:val="00514456"/>
    <w:rsid w:val="005145FD"/>
    <w:rsid w:val="005147C1"/>
    <w:rsid w:val="00514870"/>
    <w:rsid w:val="00514C9B"/>
    <w:rsid w:val="00514D98"/>
    <w:rsid w:val="00514DAC"/>
    <w:rsid w:val="00514F7F"/>
    <w:rsid w:val="00515199"/>
    <w:rsid w:val="0051554B"/>
    <w:rsid w:val="00515D00"/>
    <w:rsid w:val="00515D95"/>
    <w:rsid w:val="00515EB5"/>
    <w:rsid w:val="00515F39"/>
    <w:rsid w:val="00516269"/>
    <w:rsid w:val="00516308"/>
    <w:rsid w:val="005163BB"/>
    <w:rsid w:val="005163BF"/>
    <w:rsid w:val="00516522"/>
    <w:rsid w:val="00516A01"/>
    <w:rsid w:val="00516F4E"/>
    <w:rsid w:val="00516F88"/>
    <w:rsid w:val="00516FBE"/>
    <w:rsid w:val="005173A4"/>
    <w:rsid w:val="00517536"/>
    <w:rsid w:val="00517934"/>
    <w:rsid w:val="005201CC"/>
    <w:rsid w:val="00520B5D"/>
    <w:rsid w:val="00521057"/>
    <w:rsid w:val="005212BB"/>
    <w:rsid w:val="00521458"/>
    <w:rsid w:val="00521676"/>
    <w:rsid w:val="00521AA7"/>
    <w:rsid w:val="00521EB2"/>
    <w:rsid w:val="00522656"/>
    <w:rsid w:val="00522842"/>
    <w:rsid w:val="0052287D"/>
    <w:rsid w:val="00522B2C"/>
    <w:rsid w:val="00522BB1"/>
    <w:rsid w:val="00523011"/>
    <w:rsid w:val="005232F5"/>
    <w:rsid w:val="00523400"/>
    <w:rsid w:val="005234CE"/>
    <w:rsid w:val="005235E4"/>
    <w:rsid w:val="00523A4A"/>
    <w:rsid w:val="00523A6B"/>
    <w:rsid w:val="00524149"/>
    <w:rsid w:val="00524D2B"/>
    <w:rsid w:val="00525056"/>
    <w:rsid w:val="0052529D"/>
    <w:rsid w:val="005254A5"/>
    <w:rsid w:val="00525F4D"/>
    <w:rsid w:val="005264D4"/>
    <w:rsid w:val="00526B4D"/>
    <w:rsid w:val="00526B56"/>
    <w:rsid w:val="00526E5C"/>
    <w:rsid w:val="00526FAB"/>
    <w:rsid w:val="00527030"/>
    <w:rsid w:val="00527759"/>
    <w:rsid w:val="00527C1D"/>
    <w:rsid w:val="00527D2E"/>
    <w:rsid w:val="005301D6"/>
    <w:rsid w:val="005306D6"/>
    <w:rsid w:val="00530C60"/>
    <w:rsid w:val="0053118E"/>
    <w:rsid w:val="00531973"/>
    <w:rsid w:val="00531D74"/>
    <w:rsid w:val="00531EC6"/>
    <w:rsid w:val="005323D7"/>
    <w:rsid w:val="005324D6"/>
    <w:rsid w:val="00532609"/>
    <w:rsid w:val="005327FE"/>
    <w:rsid w:val="00532A62"/>
    <w:rsid w:val="00532A6B"/>
    <w:rsid w:val="00532BF8"/>
    <w:rsid w:val="00533149"/>
    <w:rsid w:val="00533241"/>
    <w:rsid w:val="005333B8"/>
    <w:rsid w:val="005337FF"/>
    <w:rsid w:val="00533E25"/>
    <w:rsid w:val="00534174"/>
    <w:rsid w:val="005343D3"/>
    <w:rsid w:val="00534477"/>
    <w:rsid w:val="00534D3D"/>
    <w:rsid w:val="00534E2E"/>
    <w:rsid w:val="00534F68"/>
    <w:rsid w:val="0053519B"/>
    <w:rsid w:val="0053529A"/>
    <w:rsid w:val="00535462"/>
    <w:rsid w:val="0053550D"/>
    <w:rsid w:val="0053558F"/>
    <w:rsid w:val="005356F9"/>
    <w:rsid w:val="00535AE1"/>
    <w:rsid w:val="00535D66"/>
    <w:rsid w:val="00535F5A"/>
    <w:rsid w:val="0053615E"/>
    <w:rsid w:val="00536260"/>
    <w:rsid w:val="0053633B"/>
    <w:rsid w:val="0053634A"/>
    <w:rsid w:val="005363B6"/>
    <w:rsid w:val="00536874"/>
    <w:rsid w:val="005368E5"/>
    <w:rsid w:val="00536A42"/>
    <w:rsid w:val="00536CFA"/>
    <w:rsid w:val="00536D19"/>
    <w:rsid w:val="00537153"/>
    <w:rsid w:val="005371EC"/>
    <w:rsid w:val="005376C8"/>
    <w:rsid w:val="005378B9"/>
    <w:rsid w:val="0053793A"/>
    <w:rsid w:val="00537A14"/>
    <w:rsid w:val="00537B18"/>
    <w:rsid w:val="00537BF8"/>
    <w:rsid w:val="00537F0A"/>
    <w:rsid w:val="0054001E"/>
    <w:rsid w:val="005405F9"/>
    <w:rsid w:val="005407D9"/>
    <w:rsid w:val="00540A39"/>
    <w:rsid w:val="005411D7"/>
    <w:rsid w:val="00541231"/>
    <w:rsid w:val="00541403"/>
    <w:rsid w:val="0054158D"/>
    <w:rsid w:val="005417BA"/>
    <w:rsid w:val="005417D5"/>
    <w:rsid w:val="00541FFB"/>
    <w:rsid w:val="005420E0"/>
    <w:rsid w:val="005421DE"/>
    <w:rsid w:val="005421EA"/>
    <w:rsid w:val="00542942"/>
    <w:rsid w:val="00542E48"/>
    <w:rsid w:val="00542EDB"/>
    <w:rsid w:val="005433A5"/>
    <w:rsid w:val="0054345A"/>
    <w:rsid w:val="005434B2"/>
    <w:rsid w:val="005436ED"/>
    <w:rsid w:val="00543B37"/>
    <w:rsid w:val="00543F7C"/>
    <w:rsid w:val="00543F8B"/>
    <w:rsid w:val="005448FC"/>
    <w:rsid w:val="00544B61"/>
    <w:rsid w:val="00544CF4"/>
    <w:rsid w:val="00544D90"/>
    <w:rsid w:val="00544E00"/>
    <w:rsid w:val="00545220"/>
    <w:rsid w:val="005452C4"/>
    <w:rsid w:val="00545437"/>
    <w:rsid w:val="00545629"/>
    <w:rsid w:val="005456F9"/>
    <w:rsid w:val="0054588E"/>
    <w:rsid w:val="005458C1"/>
    <w:rsid w:val="005458F5"/>
    <w:rsid w:val="00545C18"/>
    <w:rsid w:val="005460FD"/>
    <w:rsid w:val="00546522"/>
    <w:rsid w:val="0054663D"/>
    <w:rsid w:val="0054665A"/>
    <w:rsid w:val="00546751"/>
    <w:rsid w:val="00546AE5"/>
    <w:rsid w:val="00546D61"/>
    <w:rsid w:val="0054740C"/>
    <w:rsid w:val="005474A7"/>
    <w:rsid w:val="0054770C"/>
    <w:rsid w:val="00547754"/>
    <w:rsid w:val="00547ED0"/>
    <w:rsid w:val="00547F9A"/>
    <w:rsid w:val="00550192"/>
    <w:rsid w:val="005501CA"/>
    <w:rsid w:val="00550253"/>
    <w:rsid w:val="00550526"/>
    <w:rsid w:val="005505AA"/>
    <w:rsid w:val="00550750"/>
    <w:rsid w:val="00550E24"/>
    <w:rsid w:val="00550FAC"/>
    <w:rsid w:val="005510A5"/>
    <w:rsid w:val="005510EC"/>
    <w:rsid w:val="005516D1"/>
    <w:rsid w:val="005517A5"/>
    <w:rsid w:val="00551982"/>
    <w:rsid w:val="00551F35"/>
    <w:rsid w:val="00552249"/>
    <w:rsid w:val="00552259"/>
    <w:rsid w:val="00552329"/>
    <w:rsid w:val="0055245E"/>
    <w:rsid w:val="005525B5"/>
    <w:rsid w:val="0055260A"/>
    <w:rsid w:val="005526D5"/>
    <w:rsid w:val="00552A48"/>
    <w:rsid w:val="00552A64"/>
    <w:rsid w:val="00552B1D"/>
    <w:rsid w:val="00553092"/>
    <w:rsid w:val="00553853"/>
    <w:rsid w:val="00553921"/>
    <w:rsid w:val="0055404B"/>
    <w:rsid w:val="00554156"/>
    <w:rsid w:val="00554186"/>
    <w:rsid w:val="0055452A"/>
    <w:rsid w:val="005547D4"/>
    <w:rsid w:val="00554A1E"/>
    <w:rsid w:val="00554E29"/>
    <w:rsid w:val="005550C3"/>
    <w:rsid w:val="00555442"/>
    <w:rsid w:val="0055584A"/>
    <w:rsid w:val="00555A41"/>
    <w:rsid w:val="005561D5"/>
    <w:rsid w:val="005566C2"/>
    <w:rsid w:val="005566C4"/>
    <w:rsid w:val="00556775"/>
    <w:rsid w:val="005567CD"/>
    <w:rsid w:val="00556893"/>
    <w:rsid w:val="005569A2"/>
    <w:rsid w:val="00556DEB"/>
    <w:rsid w:val="005571C2"/>
    <w:rsid w:val="00557691"/>
    <w:rsid w:val="005579B3"/>
    <w:rsid w:val="00557A3E"/>
    <w:rsid w:val="00557AC2"/>
    <w:rsid w:val="00557FA4"/>
    <w:rsid w:val="00560681"/>
    <w:rsid w:val="0056084E"/>
    <w:rsid w:val="00560AAA"/>
    <w:rsid w:val="00560BC6"/>
    <w:rsid w:val="00560C37"/>
    <w:rsid w:val="00560F64"/>
    <w:rsid w:val="00560FAE"/>
    <w:rsid w:val="00561276"/>
    <w:rsid w:val="00561636"/>
    <w:rsid w:val="0056180B"/>
    <w:rsid w:val="00561DCC"/>
    <w:rsid w:val="00561F74"/>
    <w:rsid w:val="005622EA"/>
    <w:rsid w:val="005623A5"/>
    <w:rsid w:val="005629BB"/>
    <w:rsid w:val="00562A6C"/>
    <w:rsid w:val="00562F4D"/>
    <w:rsid w:val="0056309A"/>
    <w:rsid w:val="005632CF"/>
    <w:rsid w:val="0056338A"/>
    <w:rsid w:val="00563405"/>
    <w:rsid w:val="00563436"/>
    <w:rsid w:val="00563445"/>
    <w:rsid w:val="005636CD"/>
    <w:rsid w:val="00563986"/>
    <w:rsid w:val="00563D06"/>
    <w:rsid w:val="00563E3A"/>
    <w:rsid w:val="00563E66"/>
    <w:rsid w:val="00564065"/>
    <w:rsid w:val="00564182"/>
    <w:rsid w:val="00564231"/>
    <w:rsid w:val="0056441F"/>
    <w:rsid w:val="00564B2F"/>
    <w:rsid w:val="00564B9F"/>
    <w:rsid w:val="00564DB5"/>
    <w:rsid w:val="00564E19"/>
    <w:rsid w:val="0056522F"/>
    <w:rsid w:val="005658E1"/>
    <w:rsid w:val="0056636F"/>
    <w:rsid w:val="00566888"/>
    <w:rsid w:val="00566AA6"/>
    <w:rsid w:val="00566BE7"/>
    <w:rsid w:val="00566CE7"/>
    <w:rsid w:val="00566F23"/>
    <w:rsid w:val="005672B6"/>
    <w:rsid w:val="00567478"/>
    <w:rsid w:val="00567828"/>
    <w:rsid w:val="00567CCA"/>
    <w:rsid w:val="00567FD2"/>
    <w:rsid w:val="00570064"/>
    <w:rsid w:val="0057049B"/>
    <w:rsid w:val="005706BA"/>
    <w:rsid w:val="005706F7"/>
    <w:rsid w:val="005707E5"/>
    <w:rsid w:val="00570C22"/>
    <w:rsid w:val="00570E5C"/>
    <w:rsid w:val="00570E62"/>
    <w:rsid w:val="00571690"/>
    <w:rsid w:val="00571816"/>
    <w:rsid w:val="00571F50"/>
    <w:rsid w:val="00572044"/>
    <w:rsid w:val="005721A4"/>
    <w:rsid w:val="0057236C"/>
    <w:rsid w:val="00572392"/>
    <w:rsid w:val="0057243F"/>
    <w:rsid w:val="005725E6"/>
    <w:rsid w:val="0057262F"/>
    <w:rsid w:val="005728F1"/>
    <w:rsid w:val="00572943"/>
    <w:rsid w:val="00572D06"/>
    <w:rsid w:val="00572DA1"/>
    <w:rsid w:val="00572E1C"/>
    <w:rsid w:val="00573339"/>
    <w:rsid w:val="00573493"/>
    <w:rsid w:val="005734D6"/>
    <w:rsid w:val="00573D0E"/>
    <w:rsid w:val="00574004"/>
    <w:rsid w:val="005742FC"/>
    <w:rsid w:val="00574562"/>
    <w:rsid w:val="0057470D"/>
    <w:rsid w:val="0057486F"/>
    <w:rsid w:val="0057491E"/>
    <w:rsid w:val="00574ACD"/>
    <w:rsid w:val="005751CC"/>
    <w:rsid w:val="0057528B"/>
    <w:rsid w:val="00575549"/>
    <w:rsid w:val="005755A5"/>
    <w:rsid w:val="00575721"/>
    <w:rsid w:val="005757F6"/>
    <w:rsid w:val="00575B6A"/>
    <w:rsid w:val="00575EBC"/>
    <w:rsid w:val="005760F9"/>
    <w:rsid w:val="00576A4E"/>
    <w:rsid w:val="00576BEC"/>
    <w:rsid w:val="00576C2D"/>
    <w:rsid w:val="00577108"/>
    <w:rsid w:val="005772EC"/>
    <w:rsid w:val="0057759F"/>
    <w:rsid w:val="00577773"/>
    <w:rsid w:val="00577A16"/>
    <w:rsid w:val="00577B1A"/>
    <w:rsid w:val="00577B2F"/>
    <w:rsid w:val="00577CA5"/>
    <w:rsid w:val="00580029"/>
    <w:rsid w:val="00580155"/>
    <w:rsid w:val="005807AE"/>
    <w:rsid w:val="00580944"/>
    <w:rsid w:val="00580F9D"/>
    <w:rsid w:val="00581179"/>
    <w:rsid w:val="00581247"/>
    <w:rsid w:val="005813D8"/>
    <w:rsid w:val="005815A7"/>
    <w:rsid w:val="005818B5"/>
    <w:rsid w:val="00581A3F"/>
    <w:rsid w:val="00581B7F"/>
    <w:rsid w:val="00582132"/>
    <w:rsid w:val="0058237D"/>
    <w:rsid w:val="00582501"/>
    <w:rsid w:val="00582869"/>
    <w:rsid w:val="005829EF"/>
    <w:rsid w:val="00582FB0"/>
    <w:rsid w:val="00583092"/>
    <w:rsid w:val="0058319F"/>
    <w:rsid w:val="0058320B"/>
    <w:rsid w:val="00583213"/>
    <w:rsid w:val="0058337F"/>
    <w:rsid w:val="005837F2"/>
    <w:rsid w:val="00583B3D"/>
    <w:rsid w:val="00583E66"/>
    <w:rsid w:val="00583ED1"/>
    <w:rsid w:val="00583F31"/>
    <w:rsid w:val="0058406D"/>
    <w:rsid w:val="0058425F"/>
    <w:rsid w:val="0058451A"/>
    <w:rsid w:val="005847BC"/>
    <w:rsid w:val="00584EDC"/>
    <w:rsid w:val="00584FF6"/>
    <w:rsid w:val="00585263"/>
    <w:rsid w:val="00585298"/>
    <w:rsid w:val="005852E7"/>
    <w:rsid w:val="00585456"/>
    <w:rsid w:val="005855B7"/>
    <w:rsid w:val="00585843"/>
    <w:rsid w:val="005858CA"/>
    <w:rsid w:val="00585947"/>
    <w:rsid w:val="0058596B"/>
    <w:rsid w:val="00585EB4"/>
    <w:rsid w:val="0058623C"/>
    <w:rsid w:val="005864F5"/>
    <w:rsid w:val="0058661E"/>
    <w:rsid w:val="00586638"/>
    <w:rsid w:val="00586740"/>
    <w:rsid w:val="0058689B"/>
    <w:rsid w:val="005869ED"/>
    <w:rsid w:val="00586B47"/>
    <w:rsid w:val="00586D05"/>
    <w:rsid w:val="00586E3F"/>
    <w:rsid w:val="00586FB1"/>
    <w:rsid w:val="0058717F"/>
    <w:rsid w:val="00587911"/>
    <w:rsid w:val="00587D4F"/>
    <w:rsid w:val="005904A9"/>
    <w:rsid w:val="0059074B"/>
    <w:rsid w:val="00590804"/>
    <w:rsid w:val="00590934"/>
    <w:rsid w:val="00590E7C"/>
    <w:rsid w:val="00590E90"/>
    <w:rsid w:val="005913AF"/>
    <w:rsid w:val="005913E0"/>
    <w:rsid w:val="005916BF"/>
    <w:rsid w:val="005919FA"/>
    <w:rsid w:val="00591CC6"/>
    <w:rsid w:val="00591DFD"/>
    <w:rsid w:val="00591F89"/>
    <w:rsid w:val="00592255"/>
    <w:rsid w:val="00592364"/>
    <w:rsid w:val="005923C1"/>
    <w:rsid w:val="005923E8"/>
    <w:rsid w:val="00592C36"/>
    <w:rsid w:val="00592DA0"/>
    <w:rsid w:val="00592ED4"/>
    <w:rsid w:val="00592FE0"/>
    <w:rsid w:val="00593279"/>
    <w:rsid w:val="005934A1"/>
    <w:rsid w:val="00593687"/>
    <w:rsid w:val="005936BE"/>
    <w:rsid w:val="00593701"/>
    <w:rsid w:val="00593ADC"/>
    <w:rsid w:val="00593B9C"/>
    <w:rsid w:val="00593DA0"/>
    <w:rsid w:val="00593DD3"/>
    <w:rsid w:val="00593EE1"/>
    <w:rsid w:val="00593F86"/>
    <w:rsid w:val="00593FEF"/>
    <w:rsid w:val="00594039"/>
    <w:rsid w:val="0059410B"/>
    <w:rsid w:val="00594592"/>
    <w:rsid w:val="00594798"/>
    <w:rsid w:val="00594858"/>
    <w:rsid w:val="00594CD2"/>
    <w:rsid w:val="0059503E"/>
    <w:rsid w:val="00595320"/>
    <w:rsid w:val="005956CA"/>
    <w:rsid w:val="00595A75"/>
    <w:rsid w:val="00595B45"/>
    <w:rsid w:val="00595C94"/>
    <w:rsid w:val="00595FFE"/>
    <w:rsid w:val="0059649A"/>
    <w:rsid w:val="0059668D"/>
    <w:rsid w:val="0059679E"/>
    <w:rsid w:val="00596B09"/>
    <w:rsid w:val="00596B25"/>
    <w:rsid w:val="00596B30"/>
    <w:rsid w:val="00596C1F"/>
    <w:rsid w:val="00597093"/>
    <w:rsid w:val="005972FE"/>
    <w:rsid w:val="00597484"/>
    <w:rsid w:val="005979B5"/>
    <w:rsid w:val="00597D3E"/>
    <w:rsid w:val="00597F7E"/>
    <w:rsid w:val="005A0799"/>
    <w:rsid w:val="005A0916"/>
    <w:rsid w:val="005A0E9C"/>
    <w:rsid w:val="005A11EE"/>
    <w:rsid w:val="005A194B"/>
    <w:rsid w:val="005A1C1B"/>
    <w:rsid w:val="005A1E81"/>
    <w:rsid w:val="005A2DC9"/>
    <w:rsid w:val="005A2FB4"/>
    <w:rsid w:val="005A307A"/>
    <w:rsid w:val="005A30C6"/>
    <w:rsid w:val="005A32F9"/>
    <w:rsid w:val="005A382B"/>
    <w:rsid w:val="005A3846"/>
    <w:rsid w:val="005A3959"/>
    <w:rsid w:val="005A3A77"/>
    <w:rsid w:val="005A3D52"/>
    <w:rsid w:val="005A3E7B"/>
    <w:rsid w:val="005A40B4"/>
    <w:rsid w:val="005A4378"/>
    <w:rsid w:val="005A4474"/>
    <w:rsid w:val="005A45AB"/>
    <w:rsid w:val="005A4D22"/>
    <w:rsid w:val="005A5056"/>
    <w:rsid w:val="005A526D"/>
    <w:rsid w:val="005A55B6"/>
    <w:rsid w:val="005A569D"/>
    <w:rsid w:val="005A56F0"/>
    <w:rsid w:val="005A5891"/>
    <w:rsid w:val="005A5912"/>
    <w:rsid w:val="005A5CD0"/>
    <w:rsid w:val="005A5E1A"/>
    <w:rsid w:val="005A5F81"/>
    <w:rsid w:val="005A6256"/>
    <w:rsid w:val="005A63B0"/>
    <w:rsid w:val="005A644B"/>
    <w:rsid w:val="005A64C1"/>
    <w:rsid w:val="005A65D2"/>
    <w:rsid w:val="005A67A5"/>
    <w:rsid w:val="005A7332"/>
    <w:rsid w:val="005A76E3"/>
    <w:rsid w:val="005A783E"/>
    <w:rsid w:val="005A7997"/>
    <w:rsid w:val="005A7BA1"/>
    <w:rsid w:val="005A7D65"/>
    <w:rsid w:val="005A7EB8"/>
    <w:rsid w:val="005A7ECB"/>
    <w:rsid w:val="005A7F41"/>
    <w:rsid w:val="005A7F43"/>
    <w:rsid w:val="005B00E0"/>
    <w:rsid w:val="005B0141"/>
    <w:rsid w:val="005B02C7"/>
    <w:rsid w:val="005B077C"/>
    <w:rsid w:val="005B0CAC"/>
    <w:rsid w:val="005B0FDB"/>
    <w:rsid w:val="005B1313"/>
    <w:rsid w:val="005B1986"/>
    <w:rsid w:val="005B2E41"/>
    <w:rsid w:val="005B2FE9"/>
    <w:rsid w:val="005B315F"/>
    <w:rsid w:val="005B31DA"/>
    <w:rsid w:val="005B3209"/>
    <w:rsid w:val="005B3450"/>
    <w:rsid w:val="005B345D"/>
    <w:rsid w:val="005B3986"/>
    <w:rsid w:val="005B3DF1"/>
    <w:rsid w:val="005B40BD"/>
    <w:rsid w:val="005B45AC"/>
    <w:rsid w:val="005B4632"/>
    <w:rsid w:val="005B4643"/>
    <w:rsid w:val="005B4C38"/>
    <w:rsid w:val="005B4C7B"/>
    <w:rsid w:val="005B52B1"/>
    <w:rsid w:val="005B5B4B"/>
    <w:rsid w:val="005B652E"/>
    <w:rsid w:val="005B6781"/>
    <w:rsid w:val="005B6A13"/>
    <w:rsid w:val="005B6B40"/>
    <w:rsid w:val="005B6E34"/>
    <w:rsid w:val="005B74E2"/>
    <w:rsid w:val="005B74E8"/>
    <w:rsid w:val="005B7525"/>
    <w:rsid w:val="005B7844"/>
    <w:rsid w:val="005B7BAB"/>
    <w:rsid w:val="005B7CCF"/>
    <w:rsid w:val="005C015B"/>
    <w:rsid w:val="005C0283"/>
    <w:rsid w:val="005C055E"/>
    <w:rsid w:val="005C095B"/>
    <w:rsid w:val="005C0A68"/>
    <w:rsid w:val="005C0A8B"/>
    <w:rsid w:val="005C0B21"/>
    <w:rsid w:val="005C0D11"/>
    <w:rsid w:val="005C0D93"/>
    <w:rsid w:val="005C0F47"/>
    <w:rsid w:val="005C1120"/>
    <w:rsid w:val="005C14BD"/>
    <w:rsid w:val="005C152A"/>
    <w:rsid w:val="005C177A"/>
    <w:rsid w:val="005C1A1D"/>
    <w:rsid w:val="005C1AC5"/>
    <w:rsid w:val="005C1B73"/>
    <w:rsid w:val="005C1D43"/>
    <w:rsid w:val="005C1EA5"/>
    <w:rsid w:val="005C1EF7"/>
    <w:rsid w:val="005C2011"/>
    <w:rsid w:val="005C234C"/>
    <w:rsid w:val="005C2AF1"/>
    <w:rsid w:val="005C2E90"/>
    <w:rsid w:val="005C2F7B"/>
    <w:rsid w:val="005C3088"/>
    <w:rsid w:val="005C32C9"/>
    <w:rsid w:val="005C35BE"/>
    <w:rsid w:val="005C35CC"/>
    <w:rsid w:val="005C3762"/>
    <w:rsid w:val="005C37B5"/>
    <w:rsid w:val="005C383D"/>
    <w:rsid w:val="005C3984"/>
    <w:rsid w:val="005C3A4F"/>
    <w:rsid w:val="005C3B50"/>
    <w:rsid w:val="005C3DA8"/>
    <w:rsid w:val="005C3E79"/>
    <w:rsid w:val="005C3FEE"/>
    <w:rsid w:val="005C41CC"/>
    <w:rsid w:val="005C425A"/>
    <w:rsid w:val="005C4363"/>
    <w:rsid w:val="005C44BD"/>
    <w:rsid w:val="005C44DF"/>
    <w:rsid w:val="005C4681"/>
    <w:rsid w:val="005C477F"/>
    <w:rsid w:val="005C49F4"/>
    <w:rsid w:val="005C4B4D"/>
    <w:rsid w:val="005C4EE2"/>
    <w:rsid w:val="005C4F39"/>
    <w:rsid w:val="005C5260"/>
    <w:rsid w:val="005C5452"/>
    <w:rsid w:val="005C55CD"/>
    <w:rsid w:val="005C57D6"/>
    <w:rsid w:val="005C590E"/>
    <w:rsid w:val="005C5947"/>
    <w:rsid w:val="005C5A3C"/>
    <w:rsid w:val="005C5E62"/>
    <w:rsid w:val="005C618F"/>
    <w:rsid w:val="005C62CC"/>
    <w:rsid w:val="005C633C"/>
    <w:rsid w:val="005C6433"/>
    <w:rsid w:val="005C6631"/>
    <w:rsid w:val="005C66D7"/>
    <w:rsid w:val="005C67E1"/>
    <w:rsid w:val="005C6B86"/>
    <w:rsid w:val="005C6E49"/>
    <w:rsid w:val="005C6E55"/>
    <w:rsid w:val="005C7178"/>
    <w:rsid w:val="005C74B1"/>
    <w:rsid w:val="005C76E4"/>
    <w:rsid w:val="005C7B92"/>
    <w:rsid w:val="005C7D83"/>
    <w:rsid w:val="005C7E46"/>
    <w:rsid w:val="005D010C"/>
    <w:rsid w:val="005D071B"/>
    <w:rsid w:val="005D0793"/>
    <w:rsid w:val="005D082C"/>
    <w:rsid w:val="005D0936"/>
    <w:rsid w:val="005D1E29"/>
    <w:rsid w:val="005D1E71"/>
    <w:rsid w:val="005D1F17"/>
    <w:rsid w:val="005D1F54"/>
    <w:rsid w:val="005D1FE5"/>
    <w:rsid w:val="005D20BB"/>
    <w:rsid w:val="005D21CF"/>
    <w:rsid w:val="005D239A"/>
    <w:rsid w:val="005D23DC"/>
    <w:rsid w:val="005D245B"/>
    <w:rsid w:val="005D271F"/>
    <w:rsid w:val="005D2764"/>
    <w:rsid w:val="005D2BC7"/>
    <w:rsid w:val="005D2E63"/>
    <w:rsid w:val="005D3023"/>
    <w:rsid w:val="005D318E"/>
    <w:rsid w:val="005D39D0"/>
    <w:rsid w:val="005D3A3B"/>
    <w:rsid w:val="005D3B68"/>
    <w:rsid w:val="005D3BC7"/>
    <w:rsid w:val="005D3E07"/>
    <w:rsid w:val="005D3E29"/>
    <w:rsid w:val="005D40CE"/>
    <w:rsid w:val="005D4279"/>
    <w:rsid w:val="005D4432"/>
    <w:rsid w:val="005D4637"/>
    <w:rsid w:val="005D46A6"/>
    <w:rsid w:val="005D485E"/>
    <w:rsid w:val="005D49BB"/>
    <w:rsid w:val="005D4D54"/>
    <w:rsid w:val="005D4F2A"/>
    <w:rsid w:val="005D582E"/>
    <w:rsid w:val="005D58F0"/>
    <w:rsid w:val="005D5EFC"/>
    <w:rsid w:val="005D5FE6"/>
    <w:rsid w:val="005D6085"/>
    <w:rsid w:val="005D60D6"/>
    <w:rsid w:val="005D6109"/>
    <w:rsid w:val="005D6577"/>
    <w:rsid w:val="005D67D9"/>
    <w:rsid w:val="005D6866"/>
    <w:rsid w:val="005D68A5"/>
    <w:rsid w:val="005D69F9"/>
    <w:rsid w:val="005D6C46"/>
    <w:rsid w:val="005D6EEE"/>
    <w:rsid w:val="005D6FE6"/>
    <w:rsid w:val="005D70E0"/>
    <w:rsid w:val="005D71F9"/>
    <w:rsid w:val="005D7430"/>
    <w:rsid w:val="005D74D1"/>
    <w:rsid w:val="005D7553"/>
    <w:rsid w:val="005D78C5"/>
    <w:rsid w:val="005D79C0"/>
    <w:rsid w:val="005D7A15"/>
    <w:rsid w:val="005D7A17"/>
    <w:rsid w:val="005D7A92"/>
    <w:rsid w:val="005D7E4B"/>
    <w:rsid w:val="005E0381"/>
    <w:rsid w:val="005E082F"/>
    <w:rsid w:val="005E0DDA"/>
    <w:rsid w:val="005E12D7"/>
    <w:rsid w:val="005E14C8"/>
    <w:rsid w:val="005E17D5"/>
    <w:rsid w:val="005E186E"/>
    <w:rsid w:val="005E186F"/>
    <w:rsid w:val="005E1D1A"/>
    <w:rsid w:val="005E1DAE"/>
    <w:rsid w:val="005E1DCD"/>
    <w:rsid w:val="005E247F"/>
    <w:rsid w:val="005E2A02"/>
    <w:rsid w:val="005E31F8"/>
    <w:rsid w:val="005E3575"/>
    <w:rsid w:val="005E35E6"/>
    <w:rsid w:val="005E383C"/>
    <w:rsid w:val="005E3E9A"/>
    <w:rsid w:val="005E404A"/>
    <w:rsid w:val="005E4190"/>
    <w:rsid w:val="005E41B1"/>
    <w:rsid w:val="005E43B2"/>
    <w:rsid w:val="005E4438"/>
    <w:rsid w:val="005E49C2"/>
    <w:rsid w:val="005E4A03"/>
    <w:rsid w:val="005E4A14"/>
    <w:rsid w:val="005E4AE8"/>
    <w:rsid w:val="005E5609"/>
    <w:rsid w:val="005E575C"/>
    <w:rsid w:val="005E5825"/>
    <w:rsid w:val="005E58AE"/>
    <w:rsid w:val="005E620C"/>
    <w:rsid w:val="005E632F"/>
    <w:rsid w:val="005E64A3"/>
    <w:rsid w:val="005E660B"/>
    <w:rsid w:val="005E667C"/>
    <w:rsid w:val="005E6828"/>
    <w:rsid w:val="005E69FE"/>
    <w:rsid w:val="005E704A"/>
    <w:rsid w:val="005E713F"/>
    <w:rsid w:val="005E752D"/>
    <w:rsid w:val="005E7919"/>
    <w:rsid w:val="005E7948"/>
    <w:rsid w:val="005E7BEC"/>
    <w:rsid w:val="005F0081"/>
    <w:rsid w:val="005F0084"/>
    <w:rsid w:val="005F03DF"/>
    <w:rsid w:val="005F0651"/>
    <w:rsid w:val="005F09C4"/>
    <w:rsid w:val="005F0A24"/>
    <w:rsid w:val="005F0AF7"/>
    <w:rsid w:val="005F0CB1"/>
    <w:rsid w:val="005F158D"/>
    <w:rsid w:val="005F181F"/>
    <w:rsid w:val="005F182F"/>
    <w:rsid w:val="005F1AD8"/>
    <w:rsid w:val="005F1B27"/>
    <w:rsid w:val="005F1E5D"/>
    <w:rsid w:val="005F21B7"/>
    <w:rsid w:val="005F2361"/>
    <w:rsid w:val="005F2815"/>
    <w:rsid w:val="005F2CD9"/>
    <w:rsid w:val="005F2D3C"/>
    <w:rsid w:val="005F3180"/>
    <w:rsid w:val="005F318D"/>
    <w:rsid w:val="005F33F8"/>
    <w:rsid w:val="005F34AD"/>
    <w:rsid w:val="005F36AF"/>
    <w:rsid w:val="005F3845"/>
    <w:rsid w:val="005F38B1"/>
    <w:rsid w:val="005F3A84"/>
    <w:rsid w:val="005F3DA3"/>
    <w:rsid w:val="005F3F0F"/>
    <w:rsid w:val="005F3F5D"/>
    <w:rsid w:val="005F40BC"/>
    <w:rsid w:val="005F42A7"/>
    <w:rsid w:val="005F434A"/>
    <w:rsid w:val="005F446D"/>
    <w:rsid w:val="005F4582"/>
    <w:rsid w:val="005F47E1"/>
    <w:rsid w:val="005F48BF"/>
    <w:rsid w:val="005F5722"/>
    <w:rsid w:val="005F585E"/>
    <w:rsid w:val="005F5A01"/>
    <w:rsid w:val="005F5BFF"/>
    <w:rsid w:val="005F61A5"/>
    <w:rsid w:val="005F6385"/>
    <w:rsid w:val="005F6508"/>
    <w:rsid w:val="005F67A3"/>
    <w:rsid w:val="005F6977"/>
    <w:rsid w:val="005F6B89"/>
    <w:rsid w:val="005F6BEB"/>
    <w:rsid w:val="005F6EB7"/>
    <w:rsid w:val="005F7315"/>
    <w:rsid w:val="005F739B"/>
    <w:rsid w:val="005F74E7"/>
    <w:rsid w:val="005F7558"/>
    <w:rsid w:val="005F7613"/>
    <w:rsid w:val="005F762C"/>
    <w:rsid w:val="005F7953"/>
    <w:rsid w:val="005F7D6B"/>
    <w:rsid w:val="005F7DCA"/>
    <w:rsid w:val="005F7FF4"/>
    <w:rsid w:val="006000D4"/>
    <w:rsid w:val="00600271"/>
    <w:rsid w:val="006007B0"/>
    <w:rsid w:val="00600845"/>
    <w:rsid w:val="00600B1A"/>
    <w:rsid w:val="00600B20"/>
    <w:rsid w:val="00600F08"/>
    <w:rsid w:val="00600F2E"/>
    <w:rsid w:val="0060117F"/>
    <w:rsid w:val="0060124D"/>
    <w:rsid w:val="006014A7"/>
    <w:rsid w:val="00601AD2"/>
    <w:rsid w:val="00601C2B"/>
    <w:rsid w:val="0060210E"/>
    <w:rsid w:val="006025ED"/>
    <w:rsid w:val="0060291B"/>
    <w:rsid w:val="006029BA"/>
    <w:rsid w:val="00603142"/>
    <w:rsid w:val="006032A0"/>
    <w:rsid w:val="006033E5"/>
    <w:rsid w:val="006035D1"/>
    <w:rsid w:val="0060388D"/>
    <w:rsid w:val="00603A26"/>
    <w:rsid w:val="00603AD8"/>
    <w:rsid w:val="00603B43"/>
    <w:rsid w:val="006040C7"/>
    <w:rsid w:val="00604287"/>
    <w:rsid w:val="00604469"/>
    <w:rsid w:val="006046DF"/>
    <w:rsid w:val="00604770"/>
    <w:rsid w:val="0060481F"/>
    <w:rsid w:val="0060487D"/>
    <w:rsid w:val="00604F25"/>
    <w:rsid w:val="00604FFD"/>
    <w:rsid w:val="00605559"/>
    <w:rsid w:val="0060567D"/>
    <w:rsid w:val="0060580B"/>
    <w:rsid w:val="00605CC5"/>
    <w:rsid w:val="00605D76"/>
    <w:rsid w:val="006061BE"/>
    <w:rsid w:val="006066F1"/>
    <w:rsid w:val="00606C4D"/>
    <w:rsid w:val="00606C85"/>
    <w:rsid w:val="00606F5E"/>
    <w:rsid w:val="0060745E"/>
    <w:rsid w:val="00607767"/>
    <w:rsid w:val="00607984"/>
    <w:rsid w:val="00607BFA"/>
    <w:rsid w:val="00607EF3"/>
    <w:rsid w:val="00607F64"/>
    <w:rsid w:val="00610143"/>
    <w:rsid w:val="006101E9"/>
    <w:rsid w:val="006103B3"/>
    <w:rsid w:val="00610C77"/>
    <w:rsid w:val="00610CC1"/>
    <w:rsid w:val="00610D06"/>
    <w:rsid w:val="00610D79"/>
    <w:rsid w:val="00610E36"/>
    <w:rsid w:val="00610E8A"/>
    <w:rsid w:val="00610F27"/>
    <w:rsid w:val="00610FE9"/>
    <w:rsid w:val="00611126"/>
    <w:rsid w:val="006112DB"/>
    <w:rsid w:val="006113B5"/>
    <w:rsid w:val="006119DA"/>
    <w:rsid w:val="006121CA"/>
    <w:rsid w:val="0061221D"/>
    <w:rsid w:val="00612320"/>
    <w:rsid w:val="00612668"/>
    <w:rsid w:val="0061281F"/>
    <w:rsid w:val="006128AD"/>
    <w:rsid w:val="00612964"/>
    <w:rsid w:val="006130DB"/>
    <w:rsid w:val="00613134"/>
    <w:rsid w:val="00613302"/>
    <w:rsid w:val="00613374"/>
    <w:rsid w:val="00613394"/>
    <w:rsid w:val="00613461"/>
    <w:rsid w:val="00613EC0"/>
    <w:rsid w:val="00613ED4"/>
    <w:rsid w:val="0061415D"/>
    <w:rsid w:val="006141DB"/>
    <w:rsid w:val="00614305"/>
    <w:rsid w:val="006144FA"/>
    <w:rsid w:val="0061467D"/>
    <w:rsid w:val="00614918"/>
    <w:rsid w:val="00614AF8"/>
    <w:rsid w:val="00614B3E"/>
    <w:rsid w:val="00614C2D"/>
    <w:rsid w:val="006151F7"/>
    <w:rsid w:val="0061525E"/>
    <w:rsid w:val="00615389"/>
    <w:rsid w:val="00615653"/>
    <w:rsid w:val="00615878"/>
    <w:rsid w:val="006159A6"/>
    <w:rsid w:val="00615AA5"/>
    <w:rsid w:val="00615D2C"/>
    <w:rsid w:val="00616578"/>
    <w:rsid w:val="0061667B"/>
    <w:rsid w:val="006168F0"/>
    <w:rsid w:val="00616A11"/>
    <w:rsid w:val="00616BDD"/>
    <w:rsid w:val="00616CCD"/>
    <w:rsid w:val="00616D6F"/>
    <w:rsid w:val="00616D76"/>
    <w:rsid w:val="006171A5"/>
    <w:rsid w:val="006175CB"/>
    <w:rsid w:val="006175FB"/>
    <w:rsid w:val="006176C8"/>
    <w:rsid w:val="00617A86"/>
    <w:rsid w:val="00617CDD"/>
    <w:rsid w:val="00617DF2"/>
    <w:rsid w:val="00620223"/>
    <w:rsid w:val="006207B9"/>
    <w:rsid w:val="00620886"/>
    <w:rsid w:val="00621004"/>
    <w:rsid w:val="006218B6"/>
    <w:rsid w:val="00621DE3"/>
    <w:rsid w:val="0062248F"/>
    <w:rsid w:val="00622BEC"/>
    <w:rsid w:val="00622CBB"/>
    <w:rsid w:val="0062321F"/>
    <w:rsid w:val="00623278"/>
    <w:rsid w:val="0062331A"/>
    <w:rsid w:val="00623674"/>
    <w:rsid w:val="00623921"/>
    <w:rsid w:val="00623BE5"/>
    <w:rsid w:val="00623C27"/>
    <w:rsid w:val="00623C95"/>
    <w:rsid w:val="00624148"/>
    <w:rsid w:val="00624219"/>
    <w:rsid w:val="00624239"/>
    <w:rsid w:val="0062429F"/>
    <w:rsid w:val="0062438E"/>
    <w:rsid w:val="0062465F"/>
    <w:rsid w:val="006247C9"/>
    <w:rsid w:val="006249D4"/>
    <w:rsid w:val="006249F8"/>
    <w:rsid w:val="006259A4"/>
    <w:rsid w:val="00625AA3"/>
    <w:rsid w:val="00625B26"/>
    <w:rsid w:val="00625B7A"/>
    <w:rsid w:val="00625BAE"/>
    <w:rsid w:val="00625D0B"/>
    <w:rsid w:val="00626082"/>
    <w:rsid w:val="0062651C"/>
    <w:rsid w:val="0062655C"/>
    <w:rsid w:val="00626578"/>
    <w:rsid w:val="00626734"/>
    <w:rsid w:val="006268E3"/>
    <w:rsid w:val="00626A63"/>
    <w:rsid w:val="00626AE4"/>
    <w:rsid w:val="00627030"/>
    <w:rsid w:val="00627040"/>
    <w:rsid w:val="0062738B"/>
    <w:rsid w:val="006274C1"/>
    <w:rsid w:val="0062763B"/>
    <w:rsid w:val="006278DF"/>
    <w:rsid w:val="006300F4"/>
    <w:rsid w:val="00630269"/>
    <w:rsid w:val="006306A6"/>
    <w:rsid w:val="00630728"/>
    <w:rsid w:val="006308D0"/>
    <w:rsid w:val="0063095E"/>
    <w:rsid w:val="00630AC2"/>
    <w:rsid w:val="00630C3E"/>
    <w:rsid w:val="00630F4F"/>
    <w:rsid w:val="00631010"/>
    <w:rsid w:val="00631148"/>
    <w:rsid w:val="00631258"/>
    <w:rsid w:val="0063184C"/>
    <w:rsid w:val="00631D93"/>
    <w:rsid w:val="00631F7F"/>
    <w:rsid w:val="00632215"/>
    <w:rsid w:val="00632319"/>
    <w:rsid w:val="00632588"/>
    <w:rsid w:val="00632CB6"/>
    <w:rsid w:val="006331D3"/>
    <w:rsid w:val="0063329A"/>
    <w:rsid w:val="006333E7"/>
    <w:rsid w:val="0063358F"/>
    <w:rsid w:val="0063380C"/>
    <w:rsid w:val="00633B51"/>
    <w:rsid w:val="00633C4D"/>
    <w:rsid w:val="00633CE7"/>
    <w:rsid w:val="006340B7"/>
    <w:rsid w:val="006340D9"/>
    <w:rsid w:val="00634117"/>
    <w:rsid w:val="00634394"/>
    <w:rsid w:val="006344D6"/>
    <w:rsid w:val="00634807"/>
    <w:rsid w:val="0063489A"/>
    <w:rsid w:val="006349B9"/>
    <w:rsid w:val="00634BDB"/>
    <w:rsid w:val="00634FB2"/>
    <w:rsid w:val="006350B5"/>
    <w:rsid w:val="006351B8"/>
    <w:rsid w:val="006352DD"/>
    <w:rsid w:val="006355F6"/>
    <w:rsid w:val="0063569E"/>
    <w:rsid w:val="006358BF"/>
    <w:rsid w:val="006358DC"/>
    <w:rsid w:val="00635AF1"/>
    <w:rsid w:val="00635C28"/>
    <w:rsid w:val="00635D94"/>
    <w:rsid w:val="00635F0E"/>
    <w:rsid w:val="00635FC1"/>
    <w:rsid w:val="00636456"/>
    <w:rsid w:val="00636585"/>
    <w:rsid w:val="006366E6"/>
    <w:rsid w:val="00636736"/>
    <w:rsid w:val="006367EF"/>
    <w:rsid w:val="00636A3C"/>
    <w:rsid w:val="00636D46"/>
    <w:rsid w:val="00636F1A"/>
    <w:rsid w:val="0063724B"/>
    <w:rsid w:val="006373FB"/>
    <w:rsid w:val="0063755F"/>
    <w:rsid w:val="0063795E"/>
    <w:rsid w:val="0064001E"/>
    <w:rsid w:val="00640126"/>
    <w:rsid w:val="006402A8"/>
    <w:rsid w:val="006408FC"/>
    <w:rsid w:val="00640971"/>
    <w:rsid w:val="00640DA4"/>
    <w:rsid w:val="00640F9C"/>
    <w:rsid w:val="006411A1"/>
    <w:rsid w:val="00641449"/>
    <w:rsid w:val="00641749"/>
    <w:rsid w:val="00641C23"/>
    <w:rsid w:val="00641E2E"/>
    <w:rsid w:val="00641F4A"/>
    <w:rsid w:val="00642872"/>
    <w:rsid w:val="00642A26"/>
    <w:rsid w:val="00642C2D"/>
    <w:rsid w:val="00642F29"/>
    <w:rsid w:val="00643386"/>
    <w:rsid w:val="00643720"/>
    <w:rsid w:val="0064389A"/>
    <w:rsid w:val="00643914"/>
    <w:rsid w:val="00643964"/>
    <w:rsid w:val="0064409C"/>
    <w:rsid w:val="006441AE"/>
    <w:rsid w:val="006445AA"/>
    <w:rsid w:val="006447C2"/>
    <w:rsid w:val="00644E2C"/>
    <w:rsid w:val="00644E48"/>
    <w:rsid w:val="0064500D"/>
    <w:rsid w:val="0064523A"/>
    <w:rsid w:val="00645283"/>
    <w:rsid w:val="0064531F"/>
    <w:rsid w:val="0064555B"/>
    <w:rsid w:val="00645590"/>
    <w:rsid w:val="00645791"/>
    <w:rsid w:val="0064586A"/>
    <w:rsid w:val="00645DB9"/>
    <w:rsid w:val="00645E40"/>
    <w:rsid w:val="00645E53"/>
    <w:rsid w:val="00646281"/>
    <w:rsid w:val="0064656D"/>
    <w:rsid w:val="006466A2"/>
    <w:rsid w:val="0064696E"/>
    <w:rsid w:val="0064699C"/>
    <w:rsid w:val="00646ABF"/>
    <w:rsid w:val="00646DAB"/>
    <w:rsid w:val="00646FE5"/>
    <w:rsid w:val="00647127"/>
    <w:rsid w:val="00647E96"/>
    <w:rsid w:val="006502C3"/>
    <w:rsid w:val="006504D3"/>
    <w:rsid w:val="00650827"/>
    <w:rsid w:val="00651071"/>
    <w:rsid w:val="006510E9"/>
    <w:rsid w:val="006511FB"/>
    <w:rsid w:val="006512C6"/>
    <w:rsid w:val="006513C1"/>
    <w:rsid w:val="0065141C"/>
    <w:rsid w:val="0065170B"/>
    <w:rsid w:val="006518B3"/>
    <w:rsid w:val="0065194F"/>
    <w:rsid w:val="00651FA2"/>
    <w:rsid w:val="0065206D"/>
    <w:rsid w:val="006520F3"/>
    <w:rsid w:val="0065229F"/>
    <w:rsid w:val="00652390"/>
    <w:rsid w:val="0065266F"/>
    <w:rsid w:val="006527D1"/>
    <w:rsid w:val="00652847"/>
    <w:rsid w:val="00652AF0"/>
    <w:rsid w:val="00652E1A"/>
    <w:rsid w:val="0065316E"/>
    <w:rsid w:val="00653276"/>
    <w:rsid w:val="0065345B"/>
    <w:rsid w:val="00653559"/>
    <w:rsid w:val="006535BD"/>
    <w:rsid w:val="00653989"/>
    <w:rsid w:val="00653B24"/>
    <w:rsid w:val="00653C97"/>
    <w:rsid w:val="00653D1F"/>
    <w:rsid w:val="00653D74"/>
    <w:rsid w:val="00654286"/>
    <w:rsid w:val="0065478F"/>
    <w:rsid w:val="00654829"/>
    <w:rsid w:val="0065482F"/>
    <w:rsid w:val="00654870"/>
    <w:rsid w:val="00654BC8"/>
    <w:rsid w:val="00654DEA"/>
    <w:rsid w:val="00654FFD"/>
    <w:rsid w:val="00655107"/>
    <w:rsid w:val="00655253"/>
    <w:rsid w:val="0065530F"/>
    <w:rsid w:val="006554D2"/>
    <w:rsid w:val="00655543"/>
    <w:rsid w:val="006556AB"/>
    <w:rsid w:val="00655816"/>
    <w:rsid w:val="00655E22"/>
    <w:rsid w:val="00655E50"/>
    <w:rsid w:val="00655F26"/>
    <w:rsid w:val="00656AB4"/>
    <w:rsid w:val="006574DB"/>
    <w:rsid w:val="00657980"/>
    <w:rsid w:val="00657A2B"/>
    <w:rsid w:val="006600EB"/>
    <w:rsid w:val="00660126"/>
    <w:rsid w:val="0066028B"/>
    <w:rsid w:val="006602A3"/>
    <w:rsid w:val="006606CE"/>
    <w:rsid w:val="00660EF4"/>
    <w:rsid w:val="00661497"/>
    <w:rsid w:val="00661524"/>
    <w:rsid w:val="006618A1"/>
    <w:rsid w:val="006618A7"/>
    <w:rsid w:val="006618E1"/>
    <w:rsid w:val="006619F8"/>
    <w:rsid w:val="00661D11"/>
    <w:rsid w:val="00661DA6"/>
    <w:rsid w:val="00661DCB"/>
    <w:rsid w:val="00661E14"/>
    <w:rsid w:val="00661EBD"/>
    <w:rsid w:val="00661FCD"/>
    <w:rsid w:val="00662099"/>
    <w:rsid w:val="006620AB"/>
    <w:rsid w:val="00662188"/>
    <w:rsid w:val="006621E6"/>
    <w:rsid w:val="006621F8"/>
    <w:rsid w:val="006624E0"/>
    <w:rsid w:val="00662555"/>
    <w:rsid w:val="0066264E"/>
    <w:rsid w:val="0066293C"/>
    <w:rsid w:val="00662A19"/>
    <w:rsid w:val="00662BD8"/>
    <w:rsid w:val="00662F43"/>
    <w:rsid w:val="006636D8"/>
    <w:rsid w:val="00663720"/>
    <w:rsid w:val="00663948"/>
    <w:rsid w:val="00663A71"/>
    <w:rsid w:val="00663E3F"/>
    <w:rsid w:val="00664255"/>
    <w:rsid w:val="00664275"/>
    <w:rsid w:val="006642AC"/>
    <w:rsid w:val="006645C1"/>
    <w:rsid w:val="00664C3A"/>
    <w:rsid w:val="00664D35"/>
    <w:rsid w:val="00664F53"/>
    <w:rsid w:val="006651DC"/>
    <w:rsid w:val="006652A2"/>
    <w:rsid w:val="0066535E"/>
    <w:rsid w:val="006654F9"/>
    <w:rsid w:val="006657B5"/>
    <w:rsid w:val="006659BF"/>
    <w:rsid w:val="00665AC2"/>
    <w:rsid w:val="00665C07"/>
    <w:rsid w:val="006660A9"/>
    <w:rsid w:val="006661B3"/>
    <w:rsid w:val="006663A5"/>
    <w:rsid w:val="0066647B"/>
    <w:rsid w:val="0066689A"/>
    <w:rsid w:val="006668A5"/>
    <w:rsid w:val="00666B81"/>
    <w:rsid w:val="0066703A"/>
    <w:rsid w:val="00667262"/>
    <w:rsid w:val="0066733F"/>
    <w:rsid w:val="00667359"/>
    <w:rsid w:val="006673EC"/>
    <w:rsid w:val="0066779C"/>
    <w:rsid w:val="00667E55"/>
    <w:rsid w:val="006701D0"/>
    <w:rsid w:val="00670AE0"/>
    <w:rsid w:val="00670E57"/>
    <w:rsid w:val="00670F0A"/>
    <w:rsid w:val="006712DE"/>
    <w:rsid w:val="00671C09"/>
    <w:rsid w:val="00671E14"/>
    <w:rsid w:val="00671E73"/>
    <w:rsid w:val="00672119"/>
    <w:rsid w:val="006722E3"/>
    <w:rsid w:val="00672475"/>
    <w:rsid w:val="006725A4"/>
    <w:rsid w:val="006725D2"/>
    <w:rsid w:val="00672AC4"/>
    <w:rsid w:val="00673081"/>
    <w:rsid w:val="00673131"/>
    <w:rsid w:val="00673185"/>
    <w:rsid w:val="006733DA"/>
    <w:rsid w:val="006733DF"/>
    <w:rsid w:val="006735DF"/>
    <w:rsid w:val="00674A4F"/>
    <w:rsid w:val="00674C2B"/>
    <w:rsid w:val="00674F59"/>
    <w:rsid w:val="00675611"/>
    <w:rsid w:val="0067565A"/>
    <w:rsid w:val="0067646D"/>
    <w:rsid w:val="00676757"/>
    <w:rsid w:val="00676F33"/>
    <w:rsid w:val="00677066"/>
    <w:rsid w:val="0067711E"/>
    <w:rsid w:val="00677283"/>
    <w:rsid w:val="00677288"/>
    <w:rsid w:val="0067735D"/>
    <w:rsid w:val="006773A8"/>
    <w:rsid w:val="006774A1"/>
    <w:rsid w:val="00677B75"/>
    <w:rsid w:val="00677B7C"/>
    <w:rsid w:val="00677EC0"/>
    <w:rsid w:val="006801D4"/>
    <w:rsid w:val="006804FF"/>
    <w:rsid w:val="006805FA"/>
    <w:rsid w:val="006806C0"/>
    <w:rsid w:val="00680A75"/>
    <w:rsid w:val="00680ADA"/>
    <w:rsid w:val="00680B27"/>
    <w:rsid w:val="00681162"/>
    <w:rsid w:val="0068167E"/>
    <w:rsid w:val="006818F5"/>
    <w:rsid w:val="006823C0"/>
    <w:rsid w:val="00682465"/>
    <w:rsid w:val="0068270C"/>
    <w:rsid w:val="00682864"/>
    <w:rsid w:val="00682C25"/>
    <w:rsid w:val="00682C7D"/>
    <w:rsid w:val="00682D94"/>
    <w:rsid w:val="006830EF"/>
    <w:rsid w:val="00683341"/>
    <w:rsid w:val="00683492"/>
    <w:rsid w:val="006835AF"/>
    <w:rsid w:val="00683766"/>
    <w:rsid w:val="0068399B"/>
    <w:rsid w:val="00683C69"/>
    <w:rsid w:val="00683CCE"/>
    <w:rsid w:val="00683D09"/>
    <w:rsid w:val="00683F1E"/>
    <w:rsid w:val="006840BC"/>
    <w:rsid w:val="006842A3"/>
    <w:rsid w:val="00684F86"/>
    <w:rsid w:val="00684FB5"/>
    <w:rsid w:val="006851DF"/>
    <w:rsid w:val="00685245"/>
    <w:rsid w:val="00685287"/>
    <w:rsid w:val="00685463"/>
    <w:rsid w:val="00685551"/>
    <w:rsid w:val="006858A7"/>
    <w:rsid w:val="006859A7"/>
    <w:rsid w:val="00685A62"/>
    <w:rsid w:val="00686243"/>
    <w:rsid w:val="006863BC"/>
    <w:rsid w:val="006868B8"/>
    <w:rsid w:val="00686AC3"/>
    <w:rsid w:val="0068704B"/>
    <w:rsid w:val="006874ED"/>
    <w:rsid w:val="006875D3"/>
    <w:rsid w:val="006875E8"/>
    <w:rsid w:val="00687B73"/>
    <w:rsid w:val="00687DFD"/>
    <w:rsid w:val="00687E69"/>
    <w:rsid w:val="006901FE"/>
    <w:rsid w:val="006902C0"/>
    <w:rsid w:val="0069034C"/>
    <w:rsid w:val="00690539"/>
    <w:rsid w:val="00690846"/>
    <w:rsid w:val="00690B5A"/>
    <w:rsid w:val="00690F4C"/>
    <w:rsid w:val="006910BB"/>
    <w:rsid w:val="00691116"/>
    <w:rsid w:val="00691130"/>
    <w:rsid w:val="00691166"/>
    <w:rsid w:val="006912CE"/>
    <w:rsid w:val="006917BB"/>
    <w:rsid w:val="00691845"/>
    <w:rsid w:val="006920D4"/>
    <w:rsid w:val="00692367"/>
    <w:rsid w:val="00692540"/>
    <w:rsid w:val="00692720"/>
    <w:rsid w:val="0069290A"/>
    <w:rsid w:val="006929A8"/>
    <w:rsid w:val="00692A1E"/>
    <w:rsid w:val="00692AED"/>
    <w:rsid w:val="006931C7"/>
    <w:rsid w:val="006931D4"/>
    <w:rsid w:val="006931FF"/>
    <w:rsid w:val="006932AD"/>
    <w:rsid w:val="006937E8"/>
    <w:rsid w:val="006939D6"/>
    <w:rsid w:val="00693B9B"/>
    <w:rsid w:val="00693C00"/>
    <w:rsid w:val="00693EBD"/>
    <w:rsid w:val="00694FF4"/>
    <w:rsid w:val="0069505F"/>
    <w:rsid w:val="00695263"/>
    <w:rsid w:val="00695541"/>
    <w:rsid w:val="00695675"/>
    <w:rsid w:val="006956FB"/>
    <w:rsid w:val="006959DC"/>
    <w:rsid w:val="00695BB6"/>
    <w:rsid w:val="00695D8B"/>
    <w:rsid w:val="00695D9B"/>
    <w:rsid w:val="006961C2"/>
    <w:rsid w:val="006961E8"/>
    <w:rsid w:val="00696BE9"/>
    <w:rsid w:val="00697027"/>
    <w:rsid w:val="0069721B"/>
    <w:rsid w:val="00697243"/>
    <w:rsid w:val="00697251"/>
    <w:rsid w:val="00697709"/>
    <w:rsid w:val="00697CAE"/>
    <w:rsid w:val="00697F9D"/>
    <w:rsid w:val="006A0121"/>
    <w:rsid w:val="006A0786"/>
    <w:rsid w:val="006A08E6"/>
    <w:rsid w:val="006A0A6F"/>
    <w:rsid w:val="006A0FD6"/>
    <w:rsid w:val="006A1205"/>
    <w:rsid w:val="006A126F"/>
    <w:rsid w:val="006A1400"/>
    <w:rsid w:val="006A14E6"/>
    <w:rsid w:val="006A152A"/>
    <w:rsid w:val="006A155A"/>
    <w:rsid w:val="006A17BF"/>
    <w:rsid w:val="006A19DF"/>
    <w:rsid w:val="006A1E3D"/>
    <w:rsid w:val="006A21AB"/>
    <w:rsid w:val="006A222A"/>
    <w:rsid w:val="006A2349"/>
    <w:rsid w:val="006A284D"/>
    <w:rsid w:val="006A30F7"/>
    <w:rsid w:val="006A3444"/>
    <w:rsid w:val="006A353E"/>
    <w:rsid w:val="006A3A56"/>
    <w:rsid w:val="006A3B8F"/>
    <w:rsid w:val="006A3BF8"/>
    <w:rsid w:val="006A3D4F"/>
    <w:rsid w:val="006A40D4"/>
    <w:rsid w:val="006A4230"/>
    <w:rsid w:val="006A437D"/>
    <w:rsid w:val="006A44C0"/>
    <w:rsid w:val="006A4B5C"/>
    <w:rsid w:val="006A4BCE"/>
    <w:rsid w:val="006A4D86"/>
    <w:rsid w:val="006A4E06"/>
    <w:rsid w:val="006A4F56"/>
    <w:rsid w:val="006A52FF"/>
    <w:rsid w:val="006A55A7"/>
    <w:rsid w:val="006A57B8"/>
    <w:rsid w:val="006A5AD8"/>
    <w:rsid w:val="006A5CD6"/>
    <w:rsid w:val="006A6038"/>
    <w:rsid w:val="006A6068"/>
    <w:rsid w:val="006A609F"/>
    <w:rsid w:val="006A60C3"/>
    <w:rsid w:val="006A62B6"/>
    <w:rsid w:val="006A6519"/>
    <w:rsid w:val="006A68A2"/>
    <w:rsid w:val="006A6A2D"/>
    <w:rsid w:val="006A6E41"/>
    <w:rsid w:val="006A6FB3"/>
    <w:rsid w:val="006A7310"/>
    <w:rsid w:val="006A746F"/>
    <w:rsid w:val="006A74CD"/>
    <w:rsid w:val="006A7609"/>
    <w:rsid w:val="006A7673"/>
    <w:rsid w:val="006A7964"/>
    <w:rsid w:val="006A7A69"/>
    <w:rsid w:val="006A7B81"/>
    <w:rsid w:val="006A7CFE"/>
    <w:rsid w:val="006A7D85"/>
    <w:rsid w:val="006B042E"/>
    <w:rsid w:val="006B0491"/>
    <w:rsid w:val="006B05DD"/>
    <w:rsid w:val="006B0BD3"/>
    <w:rsid w:val="006B0CEE"/>
    <w:rsid w:val="006B0E48"/>
    <w:rsid w:val="006B0F2C"/>
    <w:rsid w:val="006B137E"/>
    <w:rsid w:val="006B16DA"/>
    <w:rsid w:val="006B17AE"/>
    <w:rsid w:val="006B1A65"/>
    <w:rsid w:val="006B1B0D"/>
    <w:rsid w:val="006B1BB4"/>
    <w:rsid w:val="006B204A"/>
    <w:rsid w:val="006B21C2"/>
    <w:rsid w:val="006B2257"/>
    <w:rsid w:val="006B2518"/>
    <w:rsid w:val="006B28CE"/>
    <w:rsid w:val="006B2BF8"/>
    <w:rsid w:val="006B347A"/>
    <w:rsid w:val="006B39F2"/>
    <w:rsid w:val="006B3A38"/>
    <w:rsid w:val="006B3F34"/>
    <w:rsid w:val="006B421C"/>
    <w:rsid w:val="006B45F8"/>
    <w:rsid w:val="006B46B3"/>
    <w:rsid w:val="006B4A30"/>
    <w:rsid w:val="006B4A84"/>
    <w:rsid w:val="006B4F29"/>
    <w:rsid w:val="006B4F44"/>
    <w:rsid w:val="006B50FF"/>
    <w:rsid w:val="006B511A"/>
    <w:rsid w:val="006B56F8"/>
    <w:rsid w:val="006B5A37"/>
    <w:rsid w:val="006B5C06"/>
    <w:rsid w:val="006B5C64"/>
    <w:rsid w:val="006B5F96"/>
    <w:rsid w:val="006B6064"/>
    <w:rsid w:val="006B654F"/>
    <w:rsid w:val="006B6563"/>
    <w:rsid w:val="006B6A98"/>
    <w:rsid w:val="006B6CC6"/>
    <w:rsid w:val="006B6DBC"/>
    <w:rsid w:val="006B6E32"/>
    <w:rsid w:val="006B6EA1"/>
    <w:rsid w:val="006B6F3E"/>
    <w:rsid w:val="006B70B2"/>
    <w:rsid w:val="006B7196"/>
    <w:rsid w:val="006B740A"/>
    <w:rsid w:val="006B7B5E"/>
    <w:rsid w:val="006B7BB5"/>
    <w:rsid w:val="006B7F59"/>
    <w:rsid w:val="006C0665"/>
    <w:rsid w:val="006C0776"/>
    <w:rsid w:val="006C0A14"/>
    <w:rsid w:val="006C0F01"/>
    <w:rsid w:val="006C1099"/>
    <w:rsid w:val="006C11F0"/>
    <w:rsid w:val="006C14B1"/>
    <w:rsid w:val="006C14E2"/>
    <w:rsid w:val="006C197C"/>
    <w:rsid w:val="006C1B03"/>
    <w:rsid w:val="006C1C17"/>
    <w:rsid w:val="006C1E10"/>
    <w:rsid w:val="006C20F4"/>
    <w:rsid w:val="006C226B"/>
    <w:rsid w:val="006C2353"/>
    <w:rsid w:val="006C23C3"/>
    <w:rsid w:val="006C2452"/>
    <w:rsid w:val="006C247A"/>
    <w:rsid w:val="006C25B3"/>
    <w:rsid w:val="006C27D3"/>
    <w:rsid w:val="006C280A"/>
    <w:rsid w:val="006C2DAA"/>
    <w:rsid w:val="006C3111"/>
    <w:rsid w:val="006C35D4"/>
    <w:rsid w:val="006C3A50"/>
    <w:rsid w:val="006C3CD0"/>
    <w:rsid w:val="006C429F"/>
    <w:rsid w:val="006C4412"/>
    <w:rsid w:val="006C45C3"/>
    <w:rsid w:val="006C466F"/>
    <w:rsid w:val="006C469F"/>
    <w:rsid w:val="006C48B0"/>
    <w:rsid w:val="006C4D7F"/>
    <w:rsid w:val="006C4F66"/>
    <w:rsid w:val="006C5028"/>
    <w:rsid w:val="006C514A"/>
    <w:rsid w:val="006C53A9"/>
    <w:rsid w:val="006C53EE"/>
    <w:rsid w:val="006C55E9"/>
    <w:rsid w:val="006C5736"/>
    <w:rsid w:val="006C57EA"/>
    <w:rsid w:val="006C5ADA"/>
    <w:rsid w:val="006C5CA6"/>
    <w:rsid w:val="006C5CA9"/>
    <w:rsid w:val="006C611E"/>
    <w:rsid w:val="006C6276"/>
    <w:rsid w:val="006C6556"/>
    <w:rsid w:val="006C6568"/>
    <w:rsid w:val="006C66B4"/>
    <w:rsid w:val="006C691B"/>
    <w:rsid w:val="006C7626"/>
    <w:rsid w:val="006C762E"/>
    <w:rsid w:val="006C7714"/>
    <w:rsid w:val="006C7ADF"/>
    <w:rsid w:val="006C7BEA"/>
    <w:rsid w:val="006C7EDC"/>
    <w:rsid w:val="006D01D3"/>
    <w:rsid w:val="006D02C8"/>
    <w:rsid w:val="006D0638"/>
    <w:rsid w:val="006D0970"/>
    <w:rsid w:val="006D0A17"/>
    <w:rsid w:val="006D0C60"/>
    <w:rsid w:val="006D0D50"/>
    <w:rsid w:val="006D0DB7"/>
    <w:rsid w:val="006D0EAC"/>
    <w:rsid w:val="006D1475"/>
    <w:rsid w:val="006D15C0"/>
    <w:rsid w:val="006D1F5B"/>
    <w:rsid w:val="006D2101"/>
    <w:rsid w:val="006D229D"/>
    <w:rsid w:val="006D2347"/>
    <w:rsid w:val="006D2C0B"/>
    <w:rsid w:val="006D2C65"/>
    <w:rsid w:val="006D2DF6"/>
    <w:rsid w:val="006D2FD4"/>
    <w:rsid w:val="006D3054"/>
    <w:rsid w:val="006D31B4"/>
    <w:rsid w:val="006D34AF"/>
    <w:rsid w:val="006D3598"/>
    <w:rsid w:val="006D3AA5"/>
    <w:rsid w:val="006D3E4E"/>
    <w:rsid w:val="006D3FC5"/>
    <w:rsid w:val="006D41C3"/>
    <w:rsid w:val="006D4209"/>
    <w:rsid w:val="006D420E"/>
    <w:rsid w:val="006D4258"/>
    <w:rsid w:val="006D425F"/>
    <w:rsid w:val="006D434E"/>
    <w:rsid w:val="006D43D0"/>
    <w:rsid w:val="006D4C19"/>
    <w:rsid w:val="006D4D7C"/>
    <w:rsid w:val="006D5571"/>
    <w:rsid w:val="006D55B3"/>
    <w:rsid w:val="006D5811"/>
    <w:rsid w:val="006D5A33"/>
    <w:rsid w:val="006D5BC1"/>
    <w:rsid w:val="006D5D54"/>
    <w:rsid w:val="006D5FFC"/>
    <w:rsid w:val="006D603E"/>
    <w:rsid w:val="006D608C"/>
    <w:rsid w:val="006D62C5"/>
    <w:rsid w:val="006D65B0"/>
    <w:rsid w:val="006D68A7"/>
    <w:rsid w:val="006D69BA"/>
    <w:rsid w:val="006D6B79"/>
    <w:rsid w:val="006D6DC0"/>
    <w:rsid w:val="006D70FA"/>
    <w:rsid w:val="006D7115"/>
    <w:rsid w:val="006D7422"/>
    <w:rsid w:val="006D768A"/>
    <w:rsid w:val="006D78EC"/>
    <w:rsid w:val="006D79B3"/>
    <w:rsid w:val="006D7C88"/>
    <w:rsid w:val="006E00F9"/>
    <w:rsid w:val="006E04C5"/>
    <w:rsid w:val="006E0888"/>
    <w:rsid w:val="006E0D2D"/>
    <w:rsid w:val="006E0FD2"/>
    <w:rsid w:val="006E1037"/>
    <w:rsid w:val="006E11B5"/>
    <w:rsid w:val="006E13CB"/>
    <w:rsid w:val="006E15D6"/>
    <w:rsid w:val="006E1809"/>
    <w:rsid w:val="006E1BAD"/>
    <w:rsid w:val="006E1C2C"/>
    <w:rsid w:val="006E1C8E"/>
    <w:rsid w:val="006E211A"/>
    <w:rsid w:val="006E211E"/>
    <w:rsid w:val="006E230B"/>
    <w:rsid w:val="006E24D5"/>
    <w:rsid w:val="006E25C8"/>
    <w:rsid w:val="006E28DF"/>
    <w:rsid w:val="006E2A45"/>
    <w:rsid w:val="006E2A6D"/>
    <w:rsid w:val="006E2A7B"/>
    <w:rsid w:val="006E2D09"/>
    <w:rsid w:val="006E315C"/>
    <w:rsid w:val="006E32CA"/>
    <w:rsid w:val="006E3723"/>
    <w:rsid w:val="006E3A75"/>
    <w:rsid w:val="006E3A99"/>
    <w:rsid w:val="006E3AD8"/>
    <w:rsid w:val="006E3D43"/>
    <w:rsid w:val="006E3F96"/>
    <w:rsid w:val="006E4C8D"/>
    <w:rsid w:val="006E5002"/>
    <w:rsid w:val="006E548A"/>
    <w:rsid w:val="006E569B"/>
    <w:rsid w:val="006E59FB"/>
    <w:rsid w:val="006E5A75"/>
    <w:rsid w:val="006E5E25"/>
    <w:rsid w:val="006E5F0A"/>
    <w:rsid w:val="006E632C"/>
    <w:rsid w:val="006E648C"/>
    <w:rsid w:val="006E6598"/>
    <w:rsid w:val="006E65F5"/>
    <w:rsid w:val="006E662B"/>
    <w:rsid w:val="006E67F0"/>
    <w:rsid w:val="006E6A1F"/>
    <w:rsid w:val="006E6A9F"/>
    <w:rsid w:val="006E6C5F"/>
    <w:rsid w:val="006E6FD0"/>
    <w:rsid w:val="006E7038"/>
    <w:rsid w:val="006E7233"/>
    <w:rsid w:val="006E7286"/>
    <w:rsid w:val="006E74FB"/>
    <w:rsid w:val="006E7691"/>
    <w:rsid w:val="006E790D"/>
    <w:rsid w:val="006E79CA"/>
    <w:rsid w:val="006E7BC0"/>
    <w:rsid w:val="006E7E47"/>
    <w:rsid w:val="006F0DA5"/>
    <w:rsid w:val="006F0E5E"/>
    <w:rsid w:val="006F123A"/>
    <w:rsid w:val="006F132A"/>
    <w:rsid w:val="006F157A"/>
    <w:rsid w:val="006F1927"/>
    <w:rsid w:val="006F1941"/>
    <w:rsid w:val="006F19BF"/>
    <w:rsid w:val="006F1AE0"/>
    <w:rsid w:val="006F1B8A"/>
    <w:rsid w:val="006F1D9B"/>
    <w:rsid w:val="006F1F5E"/>
    <w:rsid w:val="006F2196"/>
    <w:rsid w:val="006F230B"/>
    <w:rsid w:val="006F23C6"/>
    <w:rsid w:val="006F24DA"/>
    <w:rsid w:val="006F2977"/>
    <w:rsid w:val="006F3237"/>
    <w:rsid w:val="006F3995"/>
    <w:rsid w:val="006F3D5B"/>
    <w:rsid w:val="006F3F97"/>
    <w:rsid w:val="006F4133"/>
    <w:rsid w:val="006F45EE"/>
    <w:rsid w:val="006F488D"/>
    <w:rsid w:val="006F49BE"/>
    <w:rsid w:val="006F4A65"/>
    <w:rsid w:val="006F4BE3"/>
    <w:rsid w:val="006F4D82"/>
    <w:rsid w:val="006F4E08"/>
    <w:rsid w:val="006F4F13"/>
    <w:rsid w:val="006F4F9A"/>
    <w:rsid w:val="006F5405"/>
    <w:rsid w:val="006F55B5"/>
    <w:rsid w:val="006F58C2"/>
    <w:rsid w:val="006F59B5"/>
    <w:rsid w:val="006F6759"/>
    <w:rsid w:val="006F6A29"/>
    <w:rsid w:val="006F6A36"/>
    <w:rsid w:val="006F6AF3"/>
    <w:rsid w:val="006F6CD1"/>
    <w:rsid w:val="006F6DA7"/>
    <w:rsid w:val="006F6EF3"/>
    <w:rsid w:val="006F6FDC"/>
    <w:rsid w:val="006F700A"/>
    <w:rsid w:val="006F714B"/>
    <w:rsid w:val="006F7239"/>
    <w:rsid w:val="006F72F6"/>
    <w:rsid w:val="006F7369"/>
    <w:rsid w:val="006F78B4"/>
    <w:rsid w:val="006F7B48"/>
    <w:rsid w:val="006F7F1B"/>
    <w:rsid w:val="00700591"/>
    <w:rsid w:val="00700A65"/>
    <w:rsid w:val="00700DC2"/>
    <w:rsid w:val="00701242"/>
    <w:rsid w:val="0070127D"/>
    <w:rsid w:val="00701398"/>
    <w:rsid w:val="00701688"/>
    <w:rsid w:val="007017E4"/>
    <w:rsid w:val="007019C9"/>
    <w:rsid w:val="007019F5"/>
    <w:rsid w:val="00701CAC"/>
    <w:rsid w:val="00701EF8"/>
    <w:rsid w:val="007022CF"/>
    <w:rsid w:val="00702428"/>
    <w:rsid w:val="0070283F"/>
    <w:rsid w:val="007030ED"/>
    <w:rsid w:val="00703414"/>
    <w:rsid w:val="0070354E"/>
    <w:rsid w:val="007038A9"/>
    <w:rsid w:val="00703A71"/>
    <w:rsid w:val="00703E88"/>
    <w:rsid w:val="007042CD"/>
    <w:rsid w:val="00704426"/>
    <w:rsid w:val="00704664"/>
    <w:rsid w:val="00704AAB"/>
    <w:rsid w:val="00704ADC"/>
    <w:rsid w:val="00704B05"/>
    <w:rsid w:val="00705825"/>
    <w:rsid w:val="00705AFC"/>
    <w:rsid w:val="00705E5F"/>
    <w:rsid w:val="00706223"/>
    <w:rsid w:val="0070627B"/>
    <w:rsid w:val="00706380"/>
    <w:rsid w:val="007063A9"/>
    <w:rsid w:val="007063E4"/>
    <w:rsid w:val="007067D2"/>
    <w:rsid w:val="00706B8A"/>
    <w:rsid w:val="00706D2A"/>
    <w:rsid w:val="00706E71"/>
    <w:rsid w:val="00707077"/>
    <w:rsid w:val="00707375"/>
    <w:rsid w:val="00707467"/>
    <w:rsid w:val="00707672"/>
    <w:rsid w:val="00707740"/>
    <w:rsid w:val="007078E3"/>
    <w:rsid w:val="00707C03"/>
    <w:rsid w:val="00707CD8"/>
    <w:rsid w:val="007103C3"/>
    <w:rsid w:val="007104FF"/>
    <w:rsid w:val="00710B9E"/>
    <w:rsid w:val="00710EE4"/>
    <w:rsid w:val="007110C9"/>
    <w:rsid w:val="00711226"/>
    <w:rsid w:val="00711407"/>
    <w:rsid w:val="0071167C"/>
    <w:rsid w:val="00711882"/>
    <w:rsid w:val="00711C82"/>
    <w:rsid w:val="00712362"/>
    <w:rsid w:val="00712425"/>
    <w:rsid w:val="007129AF"/>
    <w:rsid w:val="00712C78"/>
    <w:rsid w:val="00712FBB"/>
    <w:rsid w:val="007134D4"/>
    <w:rsid w:val="0071375D"/>
    <w:rsid w:val="00713863"/>
    <w:rsid w:val="00713AF6"/>
    <w:rsid w:val="00713B64"/>
    <w:rsid w:val="00713C8F"/>
    <w:rsid w:val="00713DEB"/>
    <w:rsid w:val="00713FC8"/>
    <w:rsid w:val="007140F1"/>
    <w:rsid w:val="0071421A"/>
    <w:rsid w:val="0071427D"/>
    <w:rsid w:val="00714281"/>
    <w:rsid w:val="007142D8"/>
    <w:rsid w:val="00714508"/>
    <w:rsid w:val="00714547"/>
    <w:rsid w:val="00714782"/>
    <w:rsid w:val="00714865"/>
    <w:rsid w:val="007148BD"/>
    <w:rsid w:val="00714DD5"/>
    <w:rsid w:val="00715332"/>
    <w:rsid w:val="007157AC"/>
    <w:rsid w:val="007158B4"/>
    <w:rsid w:val="007159D6"/>
    <w:rsid w:val="0071619C"/>
    <w:rsid w:val="007161CA"/>
    <w:rsid w:val="00716AEC"/>
    <w:rsid w:val="00716D24"/>
    <w:rsid w:val="00716F52"/>
    <w:rsid w:val="00716FC4"/>
    <w:rsid w:val="00717092"/>
    <w:rsid w:val="0071790B"/>
    <w:rsid w:val="00717EA0"/>
    <w:rsid w:val="00720182"/>
    <w:rsid w:val="0072028F"/>
    <w:rsid w:val="007202C5"/>
    <w:rsid w:val="007203F0"/>
    <w:rsid w:val="00720449"/>
    <w:rsid w:val="00720651"/>
    <w:rsid w:val="0072084C"/>
    <w:rsid w:val="00720AC5"/>
    <w:rsid w:val="00720DEB"/>
    <w:rsid w:val="007212C0"/>
    <w:rsid w:val="00721A5F"/>
    <w:rsid w:val="00721B6D"/>
    <w:rsid w:val="0072228F"/>
    <w:rsid w:val="007224C3"/>
    <w:rsid w:val="007229FC"/>
    <w:rsid w:val="00722C75"/>
    <w:rsid w:val="00722E92"/>
    <w:rsid w:val="007230DE"/>
    <w:rsid w:val="00723199"/>
    <w:rsid w:val="007232D8"/>
    <w:rsid w:val="00723584"/>
    <w:rsid w:val="007235BF"/>
    <w:rsid w:val="00723F36"/>
    <w:rsid w:val="007240E2"/>
    <w:rsid w:val="00724438"/>
    <w:rsid w:val="00724570"/>
    <w:rsid w:val="00724A61"/>
    <w:rsid w:val="00724DA3"/>
    <w:rsid w:val="00725731"/>
    <w:rsid w:val="00725C13"/>
    <w:rsid w:val="00725FC9"/>
    <w:rsid w:val="00726227"/>
    <w:rsid w:val="00726249"/>
    <w:rsid w:val="00726651"/>
    <w:rsid w:val="007266F4"/>
    <w:rsid w:val="00726719"/>
    <w:rsid w:val="007267C7"/>
    <w:rsid w:val="007268A4"/>
    <w:rsid w:val="00726C1B"/>
    <w:rsid w:val="00727202"/>
    <w:rsid w:val="00727629"/>
    <w:rsid w:val="007276F5"/>
    <w:rsid w:val="00727A99"/>
    <w:rsid w:val="00727B89"/>
    <w:rsid w:val="00727E36"/>
    <w:rsid w:val="00730199"/>
    <w:rsid w:val="007301D5"/>
    <w:rsid w:val="007302CB"/>
    <w:rsid w:val="007302D5"/>
    <w:rsid w:val="007305AF"/>
    <w:rsid w:val="00730C72"/>
    <w:rsid w:val="00730DDD"/>
    <w:rsid w:val="007310DC"/>
    <w:rsid w:val="00731126"/>
    <w:rsid w:val="00731209"/>
    <w:rsid w:val="007313CA"/>
    <w:rsid w:val="007314B0"/>
    <w:rsid w:val="007317FE"/>
    <w:rsid w:val="007318C6"/>
    <w:rsid w:val="00731A20"/>
    <w:rsid w:val="00732357"/>
    <w:rsid w:val="00732AAD"/>
    <w:rsid w:val="00732C01"/>
    <w:rsid w:val="00733A24"/>
    <w:rsid w:val="00733AEC"/>
    <w:rsid w:val="00733AF9"/>
    <w:rsid w:val="007340AB"/>
    <w:rsid w:val="007341AE"/>
    <w:rsid w:val="0073450E"/>
    <w:rsid w:val="007347AF"/>
    <w:rsid w:val="00734A43"/>
    <w:rsid w:val="00734C5F"/>
    <w:rsid w:val="00734E4D"/>
    <w:rsid w:val="007359DA"/>
    <w:rsid w:val="00735ABC"/>
    <w:rsid w:val="00735BC5"/>
    <w:rsid w:val="00735D7D"/>
    <w:rsid w:val="00735E07"/>
    <w:rsid w:val="00735EA6"/>
    <w:rsid w:val="007364DB"/>
    <w:rsid w:val="00736693"/>
    <w:rsid w:val="007366AC"/>
    <w:rsid w:val="00736B67"/>
    <w:rsid w:val="00736BBD"/>
    <w:rsid w:val="00736CC3"/>
    <w:rsid w:val="00736E4F"/>
    <w:rsid w:val="00737BE6"/>
    <w:rsid w:val="00737DF5"/>
    <w:rsid w:val="0074013A"/>
    <w:rsid w:val="007405FC"/>
    <w:rsid w:val="00740C28"/>
    <w:rsid w:val="00740D4E"/>
    <w:rsid w:val="00741298"/>
    <w:rsid w:val="00741351"/>
    <w:rsid w:val="00741457"/>
    <w:rsid w:val="007415FF"/>
    <w:rsid w:val="00741BAF"/>
    <w:rsid w:val="007423BF"/>
    <w:rsid w:val="0074287C"/>
    <w:rsid w:val="00742BA7"/>
    <w:rsid w:val="00743201"/>
    <w:rsid w:val="00743768"/>
    <w:rsid w:val="007440A3"/>
    <w:rsid w:val="0074420B"/>
    <w:rsid w:val="0074446D"/>
    <w:rsid w:val="00744763"/>
    <w:rsid w:val="007447FD"/>
    <w:rsid w:val="00744E6F"/>
    <w:rsid w:val="0074529F"/>
    <w:rsid w:val="0074564A"/>
    <w:rsid w:val="00745D38"/>
    <w:rsid w:val="0074634B"/>
    <w:rsid w:val="007463A0"/>
    <w:rsid w:val="007468EF"/>
    <w:rsid w:val="00746BDD"/>
    <w:rsid w:val="00747054"/>
    <w:rsid w:val="00747543"/>
    <w:rsid w:val="007475D8"/>
    <w:rsid w:val="0074777D"/>
    <w:rsid w:val="0074778E"/>
    <w:rsid w:val="00747A53"/>
    <w:rsid w:val="00747AA8"/>
    <w:rsid w:val="00747B2F"/>
    <w:rsid w:val="00747D12"/>
    <w:rsid w:val="00747E9B"/>
    <w:rsid w:val="00747F21"/>
    <w:rsid w:val="00750707"/>
    <w:rsid w:val="00750744"/>
    <w:rsid w:val="00750E52"/>
    <w:rsid w:val="0075130E"/>
    <w:rsid w:val="0075143E"/>
    <w:rsid w:val="0075145F"/>
    <w:rsid w:val="0075167F"/>
    <w:rsid w:val="00751F4B"/>
    <w:rsid w:val="00752184"/>
    <w:rsid w:val="007523BE"/>
    <w:rsid w:val="00752472"/>
    <w:rsid w:val="0075284E"/>
    <w:rsid w:val="007528F5"/>
    <w:rsid w:val="00752D6B"/>
    <w:rsid w:val="00752E84"/>
    <w:rsid w:val="00752FBF"/>
    <w:rsid w:val="007530B6"/>
    <w:rsid w:val="007537E5"/>
    <w:rsid w:val="00753804"/>
    <w:rsid w:val="00753CF4"/>
    <w:rsid w:val="00753E7A"/>
    <w:rsid w:val="007541E1"/>
    <w:rsid w:val="0075472D"/>
    <w:rsid w:val="007549E9"/>
    <w:rsid w:val="00754CCE"/>
    <w:rsid w:val="00754D9D"/>
    <w:rsid w:val="00754DBC"/>
    <w:rsid w:val="007551B5"/>
    <w:rsid w:val="00755373"/>
    <w:rsid w:val="007553C2"/>
    <w:rsid w:val="00755925"/>
    <w:rsid w:val="00755B2D"/>
    <w:rsid w:val="00755C8B"/>
    <w:rsid w:val="00755E85"/>
    <w:rsid w:val="007560DE"/>
    <w:rsid w:val="0075610E"/>
    <w:rsid w:val="007565F4"/>
    <w:rsid w:val="0075675A"/>
    <w:rsid w:val="007568D8"/>
    <w:rsid w:val="007571F8"/>
    <w:rsid w:val="007579F5"/>
    <w:rsid w:val="00757BF9"/>
    <w:rsid w:val="00757C59"/>
    <w:rsid w:val="00760109"/>
    <w:rsid w:val="007601C9"/>
    <w:rsid w:val="007601DB"/>
    <w:rsid w:val="00760351"/>
    <w:rsid w:val="00761051"/>
    <w:rsid w:val="0076124F"/>
    <w:rsid w:val="007613D5"/>
    <w:rsid w:val="00761473"/>
    <w:rsid w:val="007615FD"/>
    <w:rsid w:val="00761647"/>
    <w:rsid w:val="00761A97"/>
    <w:rsid w:val="00761B62"/>
    <w:rsid w:val="00761B88"/>
    <w:rsid w:val="00762385"/>
    <w:rsid w:val="00762498"/>
    <w:rsid w:val="00762680"/>
    <w:rsid w:val="0076270A"/>
    <w:rsid w:val="007628AD"/>
    <w:rsid w:val="00762C49"/>
    <w:rsid w:val="00762D74"/>
    <w:rsid w:val="00762E70"/>
    <w:rsid w:val="00762E8F"/>
    <w:rsid w:val="00762F21"/>
    <w:rsid w:val="00763073"/>
    <w:rsid w:val="00763450"/>
    <w:rsid w:val="007639A4"/>
    <w:rsid w:val="00763BC7"/>
    <w:rsid w:val="00763C6D"/>
    <w:rsid w:val="00763EC8"/>
    <w:rsid w:val="00764236"/>
    <w:rsid w:val="0076445A"/>
    <w:rsid w:val="007649F8"/>
    <w:rsid w:val="00764A6B"/>
    <w:rsid w:val="00764BDE"/>
    <w:rsid w:val="00764DA9"/>
    <w:rsid w:val="007650AA"/>
    <w:rsid w:val="0076541F"/>
    <w:rsid w:val="007656F2"/>
    <w:rsid w:val="007657E5"/>
    <w:rsid w:val="00765BDD"/>
    <w:rsid w:val="00766031"/>
    <w:rsid w:val="007662FC"/>
    <w:rsid w:val="0076668E"/>
    <w:rsid w:val="0076681D"/>
    <w:rsid w:val="007669B9"/>
    <w:rsid w:val="00766E43"/>
    <w:rsid w:val="007675CC"/>
    <w:rsid w:val="00767A96"/>
    <w:rsid w:val="00767B70"/>
    <w:rsid w:val="00767C9B"/>
    <w:rsid w:val="00767E66"/>
    <w:rsid w:val="00767E98"/>
    <w:rsid w:val="00767F46"/>
    <w:rsid w:val="0077050E"/>
    <w:rsid w:val="00770622"/>
    <w:rsid w:val="00770D4A"/>
    <w:rsid w:val="00770F70"/>
    <w:rsid w:val="0077105D"/>
    <w:rsid w:val="007711F9"/>
    <w:rsid w:val="007713F8"/>
    <w:rsid w:val="00771654"/>
    <w:rsid w:val="007719FA"/>
    <w:rsid w:val="00771A10"/>
    <w:rsid w:val="00771A51"/>
    <w:rsid w:val="00771B57"/>
    <w:rsid w:val="00771E70"/>
    <w:rsid w:val="00771FB2"/>
    <w:rsid w:val="00772147"/>
    <w:rsid w:val="0077215E"/>
    <w:rsid w:val="007722D9"/>
    <w:rsid w:val="00772679"/>
    <w:rsid w:val="007729FF"/>
    <w:rsid w:val="00772BA4"/>
    <w:rsid w:val="00772BEF"/>
    <w:rsid w:val="00772C5F"/>
    <w:rsid w:val="00772D10"/>
    <w:rsid w:val="00772F65"/>
    <w:rsid w:val="00773197"/>
    <w:rsid w:val="0077339C"/>
    <w:rsid w:val="007733A2"/>
    <w:rsid w:val="007733FE"/>
    <w:rsid w:val="0077359D"/>
    <w:rsid w:val="00773668"/>
    <w:rsid w:val="00773A7E"/>
    <w:rsid w:val="00773E35"/>
    <w:rsid w:val="00773EDD"/>
    <w:rsid w:val="00773F34"/>
    <w:rsid w:val="00773FEF"/>
    <w:rsid w:val="00774348"/>
    <w:rsid w:val="00774A22"/>
    <w:rsid w:val="00774D68"/>
    <w:rsid w:val="00774EC9"/>
    <w:rsid w:val="00775060"/>
    <w:rsid w:val="00775694"/>
    <w:rsid w:val="00775AD8"/>
    <w:rsid w:val="00775AE4"/>
    <w:rsid w:val="00775E8C"/>
    <w:rsid w:val="00775F9E"/>
    <w:rsid w:val="0077601C"/>
    <w:rsid w:val="00776094"/>
    <w:rsid w:val="007760D1"/>
    <w:rsid w:val="0077626D"/>
    <w:rsid w:val="007771E8"/>
    <w:rsid w:val="00777710"/>
    <w:rsid w:val="00777A1C"/>
    <w:rsid w:val="00777A9C"/>
    <w:rsid w:val="00777C5D"/>
    <w:rsid w:val="00777D77"/>
    <w:rsid w:val="007801AA"/>
    <w:rsid w:val="007806AC"/>
    <w:rsid w:val="0078083B"/>
    <w:rsid w:val="00780B19"/>
    <w:rsid w:val="00780CFF"/>
    <w:rsid w:val="00780DFF"/>
    <w:rsid w:val="00780F77"/>
    <w:rsid w:val="00780F83"/>
    <w:rsid w:val="0078122B"/>
    <w:rsid w:val="0078128B"/>
    <w:rsid w:val="007817EB"/>
    <w:rsid w:val="00781807"/>
    <w:rsid w:val="0078190D"/>
    <w:rsid w:val="00781C4B"/>
    <w:rsid w:val="00781CA0"/>
    <w:rsid w:val="0078213F"/>
    <w:rsid w:val="0078219A"/>
    <w:rsid w:val="007824F4"/>
    <w:rsid w:val="0078278B"/>
    <w:rsid w:val="007828C4"/>
    <w:rsid w:val="0078297E"/>
    <w:rsid w:val="00782B94"/>
    <w:rsid w:val="00782C0F"/>
    <w:rsid w:val="0078307B"/>
    <w:rsid w:val="007832CA"/>
    <w:rsid w:val="007836A0"/>
    <w:rsid w:val="007836C9"/>
    <w:rsid w:val="00783945"/>
    <w:rsid w:val="00784138"/>
    <w:rsid w:val="007847D1"/>
    <w:rsid w:val="00784856"/>
    <w:rsid w:val="00784CF4"/>
    <w:rsid w:val="00785221"/>
    <w:rsid w:val="00785746"/>
    <w:rsid w:val="00785840"/>
    <w:rsid w:val="00785E9D"/>
    <w:rsid w:val="00786198"/>
    <w:rsid w:val="00786216"/>
    <w:rsid w:val="00786708"/>
    <w:rsid w:val="00786D2D"/>
    <w:rsid w:val="00786FA8"/>
    <w:rsid w:val="00787270"/>
    <w:rsid w:val="00787272"/>
    <w:rsid w:val="007879AF"/>
    <w:rsid w:val="00787C51"/>
    <w:rsid w:val="00787FC4"/>
    <w:rsid w:val="00787FEA"/>
    <w:rsid w:val="007900DD"/>
    <w:rsid w:val="007907E0"/>
    <w:rsid w:val="007908F9"/>
    <w:rsid w:val="00790BDB"/>
    <w:rsid w:val="00790BF8"/>
    <w:rsid w:val="00790E88"/>
    <w:rsid w:val="007910AB"/>
    <w:rsid w:val="007912AE"/>
    <w:rsid w:val="0079130A"/>
    <w:rsid w:val="0079143D"/>
    <w:rsid w:val="007917D8"/>
    <w:rsid w:val="00791BC3"/>
    <w:rsid w:val="00791E91"/>
    <w:rsid w:val="007921EE"/>
    <w:rsid w:val="007929CA"/>
    <w:rsid w:val="00792A9D"/>
    <w:rsid w:val="00792D40"/>
    <w:rsid w:val="00792F6B"/>
    <w:rsid w:val="0079313E"/>
    <w:rsid w:val="00793811"/>
    <w:rsid w:val="00793B55"/>
    <w:rsid w:val="00793CB2"/>
    <w:rsid w:val="00794442"/>
    <w:rsid w:val="00794594"/>
    <w:rsid w:val="00794795"/>
    <w:rsid w:val="007947B5"/>
    <w:rsid w:val="007948BD"/>
    <w:rsid w:val="007948E8"/>
    <w:rsid w:val="00794A41"/>
    <w:rsid w:val="00794D4D"/>
    <w:rsid w:val="00794D96"/>
    <w:rsid w:val="00794DAA"/>
    <w:rsid w:val="0079508D"/>
    <w:rsid w:val="00795245"/>
    <w:rsid w:val="007954FA"/>
    <w:rsid w:val="00795717"/>
    <w:rsid w:val="007957F3"/>
    <w:rsid w:val="007958B9"/>
    <w:rsid w:val="00795A44"/>
    <w:rsid w:val="00795BBE"/>
    <w:rsid w:val="00796261"/>
    <w:rsid w:val="007962D1"/>
    <w:rsid w:val="007965C6"/>
    <w:rsid w:val="0079681A"/>
    <w:rsid w:val="007968E7"/>
    <w:rsid w:val="00796A46"/>
    <w:rsid w:val="0079768A"/>
    <w:rsid w:val="0079769B"/>
    <w:rsid w:val="00797778"/>
    <w:rsid w:val="00797840"/>
    <w:rsid w:val="00797939"/>
    <w:rsid w:val="00797AFB"/>
    <w:rsid w:val="00797D22"/>
    <w:rsid w:val="007A11D2"/>
    <w:rsid w:val="007A127B"/>
    <w:rsid w:val="007A1306"/>
    <w:rsid w:val="007A1C4E"/>
    <w:rsid w:val="007A25C3"/>
    <w:rsid w:val="007A287B"/>
    <w:rsid w:val="007A2B26"/>
    <w:rsid w:val="007A2FD5"/>
    <w:rsid w:val="007A32E7"/>
    <w:rsid w:val="007A3589"/>
    <w:rsid w:val="007A3975"/>
    <w:rsid w:val="007A3F4F"/>
    <w:rsid w:val="007A4309"/>
    <w:rsid w:val="007A455A"/>
    <w:rsid w:val="007A4A02"/>
    <w:rsid w:val="007A5131"/>
    <w:rsid w:val="007A5562"/>
    <w:rsid w:val="007A563F"/>
    <w:rsid w:val="007A5965"/>
    <w:rsid w:val="007A59CA"/>
    <w:rsid w:val="007A5C8D"/>
    <w:rsid w:val="007A606B"/>
    <w:rsid w:val="007A62D5"/>
    <w:rsid w:val="007A62E1"/>
    <w:rsid w:val="007A634C"/>
    <w:rsid w:val="007A63B1"/>
    <w:rsid w:val="007A63DF"/>
    <w:rsid w:val="007A659C"/>
    <w:rsid w:val="007A6807"/>
    <w:rsid w:val="007A6A47"/>
    <w:rsid w:val="007A6B87"/>
    <w:rsid w:val="007A6E82"/>
    <w:rsid w:val="007A70FD"/>
    <w:rsid w:val="007A71C8"/>
    <w:rsid w:val="007A7525"/>
    <w:rsid w:val="007A78BC"/>
    <w:rsid w:val="007A7C88"/>
    <w:rsid w:val="007A7D10"/>
    <w:rsid w:val="007A7D30"/>
    <w:rsid w:val="007B0130"/>
    <w:rsid w:val="007B01CA"/>
    <w:rsid w:val="007B0393"/>
    <w:rsid w:val="007B0473"/>
    <w:rsid w:val="007B0572"/>
    <w:rsid w:val="007B0736"/>
    <w:rsid w:val="007B077D"/>
    <w:rsid w:val="007B09CE"/>
    <w:rsid w:val="007B0DA3"/>
    <w:rsid w:val="007B0E42"/>
    <w:rsid w:val="007B12AB"/>
    <w:rsid w:val="007B15E3"/>
    <w:rsid w:val="007B188E"/>
    <w:rsid w:val="007B1ABD"/>
    <w:rsid w:val="007B1ADA"/>
    <w:rsid w:val="007B1CAA"/>
    <w:rsid w:val="007B1D31"/>
    <w:rsid w:val="007B1DA2"/>
    <w:rsid w:val="007B1E97"/>
    <w:rsid w:val="007B1EB5"/>
    <w:rsid w:val="007B1FA3"/>
    <w:rsid w:val="007B20ED"/>
    <w:rsid w:val="007B2279"/>
    <w:rsid w:val="007B28AF"/>
    <w:rsid w:val="007B2981"/>
    <w:rsid w:val="007B32F9"/>
    <w:rsid w:val="007B3475"/>
    <w:rsid w:val="007B3B61"/>
    <w:rsid w:val="007B3CC6"/>
    <w:rsid w:val="007B3EF0"/>
    <w:rsid w:val="007B3FBD"/>
    <w:rsid w:val="007B4202"/>
    <w:rsid w:val="007B4352"/>
    <w:rsid w:val="007B4554"/>
    <w:rsid w:val="007B4803"/>
    <w:rsid w:val="007B4BF9"/>
    <w:rsid w:val="007B4D73"/>
    <w:rsid w:val="007B4EDD"/>
    <w:rsid w:val="007B506D"/>
    <w:rsid w:val="007B540F"/>
    <w:rsid w:val="007B570C"/>
    <w:rsid w:val="007B58E0"/>
    <w:rsid w:val="007B5A0E"/>
    <w:rsid w:val="007B6049"/>
    <w:rsid w:val="007B6845"/>
    <w:rsid w:val="007B6897"/>
    <w:rsid w:val="007B690E"/>
    <w:rsid w:val="007B6B8C"/>
    <w:rsid w:val="007B6C1B"/>
    <w:rsid w:val="007B703F"/>
    <w:rsid w:val="007B70D0"/>
    <w:rsid w:val="007B72E2"/>
    <w:rsid w:val="007B7337"/>
    <w:rsid w:val="007B7366"/>
    <w:rsid w:val="007B741F"/>
    <w:rsid w:val="007B75B5"/>
    <w:rsid w:val="007B7797"/>
    <w:rsid w:val="007B7936"/>
    <w:rsid w:val="007B7C61"/>
    <w:rsid w:val="007C01F6"/>
    <w:rsid w:val="007C022B"/>
    <w:rsid w:val="007C0247"/>
    <w:rsid w:val="007C025B"/>
    <w:rsid w:val="007C0310"/>
    <w:rsid w:val="007C046D"/>
    <w:rsid w:val="007C0496"/>
    <w:rsid w:val="007C05BF"/>
    <w:rsid w:val="007C0A37"/>
    <w:rsid w:val="007C0BA4"/>
    <w:rsid w:val="007C0C87"/>
    <w:rsid w:val="007C0D90"/>
    <w:rsid w:val="007C0FE7"/>
    <w:rsid w:val="007C1210"/>
    <w:rsid w:val="007C136A"/>
    <w:rsid w:val="007C15DA"/>
    <w:rsid w:val="007C15FE"/>
    <w:rsid w:val="007C16D3"/>
    <w:rsid w:val="007C17FB"/>
    <w:rsid w:val="007C1826"/>
    <w:rsid w:val="007C18C3"/>
    <w:rsid w:val="007C194C"/>
    <w:rsid w:val="007C1DA4"/>
    <w:rsid w:val="007C247C"/>
    <w:rsid w:val="007C2BF8"/>
    <w:rsid w:val="007C2D82"/>
    <w:rsid w:val="007C2F2F"/>
    <w:rsid w:val="007C3044"/>
    <w:rsid w:val="007C304A"/>
    <w:rsid w:val="007C307B"/>
    <w:rsid w:val="007C312B"/>
    <w:rsid w:val="007C34A8"/>
    <w:rsid w:val="007C3544"/>
    <w:rsid w:val="007C3684"/>
    <w:rsid w:val="007C3871"/>
    <w:rsid w:val="007C3C41"/>
    <w:rsid w:val="007C3C86"/>
    <w:rsid w:val="007C3CAA"/>
    <w:rsid w:val="007C3D56"/>
    <w:rsid w:val="007C3F9A"/>
    <w:rsid w:val="007C447E"/>
    <w:rsid w:val="007C4969"/>
    <w:rsid w:val="007C4997"/>
    <w:rsid w:val="007C4BD2"/>
    <w:rsid w:val="007C4EC2"/>
    <w:rsid w:val="007C5142"/>
    <w:rsid w:val="007C5252"/>
    <w:rsid w:val="007C54FB"/>
    <w:rsid w:val="007C550A"/>
    <w:rsid w:val="007C5524"/>
    <w:rsid w:val="007C562E"/>
    <w:rsid w:val="007C5AD1"/>
    <w:rsid w:val="007C5AD4"/>
    <w:rsid w:val="007C5D58"/>
    <w:rsid w:val="007C60CF"/>
    <w:rsid w:val="007C60D8"/>
    <w:rsid w:val="007C6141"/>
    <w:rsid w:val="007C619C"/>
    <w:rsid w:val="007C6358"/>
    <w:rsid w:val="007C69F7"/>
    <w:rsid w:val="007C6B27"/>
    <w:rsid w:val="007C6C25"/>
    <w:rsid w:val="007C6C75"/>
    <w:rsid w:val="007C721B"/>
    <w:rsid w:val="007C7333"/>
    <w:rsid w:val="007C75CD"/>
    <w:rsid w:val="007C788E"/>
    <w:rsid w:val="007C7A91"/>
    <w:rsid w:val="007C7D38"/>
    <w:rsid w:val="007C7DEC"/>
    <w:rsid w:val="007D0416"/>
    <w:rsid w:val="007D05FF"/>
    <w:rsid w:val="007D083A"/>
    <w:rsid w:val="007D0880"/>
    <w:rsid w:val="007D0A4C"/>
    <w:rsid w:val="007D0CE8"/>
    <w:rsid w:val="007D1199"/>
    <w:rsid w:val="007D1250"/>
    <w:rsid w:val="007D15FC"/>
    <w:rsid w:val="007D1C9A"/>
    <w:rsid w:val="007D1E79"/>
    <w:rsid w:val="007D20B4"/>
    <w:rsid w:val="007D219F"/>
    <w:rsid w:val="007D2441"/>
    <w:rsid w:val="007D2800"/>
    <w:rsid w:val="007D2B8E"/>
    <w:rsid w:val="007D2DF3"/>
    <w:rsid w:val="007D38AD"/>
    <w:rsid w:val="007D38D0"/>
    <w:rsid w:val="007D3B73"/>
    <w:rsid w:val="007D3B98"/>
    <w:rsid w:val="007D3CC3"/>
    <w:rsid w:val="007D3E3D"/>
    <w:rsid w:val="007D3E57"/>
    <w:rsid w:val="007D3F28"/>
    <w:rsid w:val="007D4215"/>
    <w:rsid w:val="007D4517"/>
    <w:rsid w:val="007D4564"/>
    <w:rsid w:val="007D45BF"/>
    <w:rsid w:val="007D4913"/>
    <w:rsid w:val="007D4BFE"/>
    <w:rsid w:val="007D4E31"/>
    <w:rsid w:val="007D4F0D"/>
    <w:rsid w:val="007D503F"/>
    <w:rsid w:val="007D5A3F"/>
    <w:rsid w:val="007D5EE1"/>
    <w:rsid w:val="007D5F0F"/>
    <w:rsid w:val="007D5F69"/>
    <w:rsid w:val="007D5F9D"/>
    <w:rsid w:val="007D6078"/>
    <w:rsid w:val="007D60A0"/>
    <w:rsid w:val="007D60D0"/>
    <w:rsid w:val="007D6410"/>
    <w:rsid w:val="007D641E"/>
    <w:rsid w:val="007D65B4"/>
    <w:rsid w:val="007D67E1"/>
    <w:rsid w:val="007D7277"/>
    <w:rsid w:val="007D73A1"/>
    <w:rsid w:val="007D743A"/>
    <w:rsid w:val="007D748D"/>
    <w:rsid w:val="007D74E6"/>
    <w:rsid w:val="007D7504"/>
    <w:rsid w:val="007D75D1"/>
    <w:rsid w:val="007D76F8"/>
    <w:rsid w:val="007D7730"/>
    <w:rsid w:val="007D784C"/>
    <w:rsid w:val="007E0030"/>
    <w:rsid w:val="007E02AE"/>
    <w:rsid w:val="007E05F3"/>
    <w:rsid w:val="007E06EC"/>
    <w:rsid w:val="007E0B3F"/>
    <w:rsid w:val="007E0DCC"/>
    <w:rsid w:val="007E0F38"/>
    <w:rsid w:val="007E10B3"/>
    <w:rsid w:val="007E10D6"/>
    <w:rsid w:val="007E1126"/>
    <w:rsid w:val="007E1591"/>
    <w:rsid w:val="007E15F3"/>
    <w:rsid w:val="007E1705"/>
    <w:rsid w:val="007E179D"/>
    <w:rsid w:val="007E184F"/>
    <w:rsid w:val="007E1D3E"/>
    <w:rsid w:val="007E200E"/>
    <w:rsid w:val="007E22D5"/>
    <w:rsid w:val="007E2475"/>
    <w:rsid w:val="007E25F8"/>
    <w:rsid w:val="007E2689"/>
    <w:rsid w:val="007E27EB"/>
    <w:rsid w:val="007E2998"/>
    <w:rsid w:val="007E2B54"/>
    <w:rsid w:val="007E2E33"/>
    <w:rsid w:val="007E2F13"/>
    <w:rsid w:val="007E30E9"/>
    <w:rsid w:val="007E31CF"/>
    <w:rsid w:val="007E3392"/>
    <w:rsid w:val="007E34A7"/>
    <w:rsid w:val="007E352E"/>
    <w:rsid w:val="007E3624"/>
    <w:rsid w:val="007E386D"/>
    <w:rsid w:val="007E3CA1"/>
    <w:rsid w:val="007E3DB0"/>
    <w:rsid w:val="007E3E1F"/>
    <w:rsid w:val="007E3E90"/>
    <w:rsid w:val="007E4064"/>
    <w:rsid w:val="007E4384"/>
    <w:rsid w:val="007E43B5"/>
    <w:rsid w:val="007E468B"/>
    <w:rsid w:val="007E4BC6"/>
    <w:rsid w:val="007E54A8"/>
    <w:rsid w:val="007E5537"/>
    <w:rsid w:val="007E57EE"/>
    <w:rsid w:val="007E58C2"/>
    <w:rsid w:val="007E5A19"/>
    <w:rsid w:val="007E5A1F"/>
    <w:rsid w:val="007E5C2D"/>
    <w:rsid w:val="007E5DE1"/>
    <w:rsid w:val="007E5FC0"/>
    <w:rsid w:val="007E60FD"/>
    <w:rsid w:val="007E6257"/>
    <w:rsid w:val="007E6355"/>
    <w:rsid w:val="007E699F"/>
    <w:rsid w:val="007E6A56"/>
    <w:rsid w:val="007E6C5F"/>
    <w:rsid w:val="007E6E23"/>
    <w:rsid w:val="007E725B"/>
    <w:rsid w:val="007E741D"/>
    <w:rsid w:val="007E758D"/>
    <w:rsid w:val="007E787A"/>
    <w:rsid w:val="007F05B2"/>
    <w:rsid w:val="007F07B1"/>
    <w:rsid w:val="007F08CC"/>
    <w:rsid w:val="007F0998"/>
    <w:rsid w:val="007F0C09"/>
    <w:rsid w:val="007F11A6"/>
    <w:rsid w:val="007F1857"/>
    <w:rsid w:val="007F18C7"/>
    <w:rsid w:val="007F1B5F"/>
    <w:rsid w:val="007F1C94"/>
    <w:rsid w:val="007F1CA0"/>
    <w:rsid w:val="007F1DE8"/>
    <w:rsid w:val="007F1F07"/>
    <w:rsid w:val="007F205E"/>
    <w:rsid w:val="007F2770"/>
    <w:rsid w:val="007F2CAE"/>
    <w:rsid w:val="007F2CC2"/>
    <w:rsid w:val="007F33B1"/>
    <w:rsid w:val="007F3451"/>
    <w:rsid w:val="007F3479"/>
    <w:rsid w:val="007F35B2"/>
    <w:rsid w:val="007F3639"/>
    <w:rsid w:val="007F3954"/>
    <w:rsid w:val="007F39D4"/>
    <w:rsid w:val="007F3AB7"/>
    <w:rsid w:val="007F3CDD"/>
    <w:rsid w:val="007F3D29"/>
    <w:rsid w:val="007F3EBB"/>
    <w:rsid w:val="007F414F"/>
    <w:rsid w:val="007F4497"/>
    <w:rsid w:val="007F49D7"/>
    <w:rsid w:val="007F4BA7"/>
    <w:rsid w:val="007F4CA1"/>
    <w:rsid w:val="007F5206"/>
    <w:rsid w:val="007F5727"/>
    <w:rsid w:val="007F576A"/>
    <w:rsid w:val="007F577F"/>
    <w:rsid w:val="007F5C9C"/>
    <w:rsid w:val="007F5DC3"/>
    <w:rsid w:val="007F612D"/>
    <w:rsid w:val="007F660F"/>
    <w:rsid w:val="007F688C"/>
    <w:rsid w:val="007F6A41"/>
    <w:rsid w:val="007F6B41"/>
    <w:rsid w:val="007F6E15"/>
    <w:rsid w:val="007F6E5F"/>
    <w:rsid w:val="007F6F74"/>
    <w:rsid w:val="007F7223"/>
    <w:rsid w:val="007F7335"/>
    <w:rsid w:val="007F75A2"/>
    <w:rsid w:val="007F7864"/>
    <w:rsid w:val="007F7CE4"/>
    <w:rsid w:val="007F7E7A"/>
    <w:rsid w:val="008000A2"/>
    <w:rsid w:val="00800842"/>
    <w:rsid w:val="00800AF3"/>
    <w:rsid w:val="00800B3B"/>
    <w:rsid w:val="00800DDE"/>
    <w:rsid w:val="00800FEA"/>
    <w:rsid w:val="008011B5"/>
    <w:rsid w:val="00801403"/>
    <w:rsid w:val="00801D61"/>
    <w:rsid w:val="00801FA0"/>
    <w:rsid w:val="00802004"/>
    <w:rsid w:val="0080221F"/>
    <w:rsid w:val="0080240C"/>
    <w:rsid w:val="008025B1"/>
    <w:rsid w:val="008033DC"/>
    <w:rsid w:val="008034DE"/>
    <w:rsid w:val="008035FA"/>
    <w:rsid w:val="008036B7"/>
    <w:rsid w:val="008037D5"/>
    <w:rsid w:val="00803BD7"/>
    <w:rsid w:val="00803DC3"/>
    <w:rsid w:val="008044BB"/>
    <w:rsid w:val="00804616"/>
    <w:rsid w:val="00804686"/>
    <w:rsid w:val="0080473D"/>
    <w:rsid w:val="008047FA"/>
    <w:rsid w:val="00804D3D"/>
    <w:rsid w:val="00804F49"/>
    <w:rsid w:val="00804FC5"/>
    <w:rsid w:val="00805DB8"/>
    <w:rsid w:val="00805F48"/>
    <w:rsid w:val="00806273"/>
    <w:rsid w:val="00806403"/>
    <w:rsid w:val="00806406"/>
    <w:rsid w:val="008064BE"/>
    <w:rsid w:val="008064DD"/>
    <w:rsid w:val="008069FD"/>
    <w:rsid w:val="00806D81"/>
    <w:rsid w:val="0081012E"/>
    <w:rsid w:val="0081049B"/>
    <w:rsid w:val="008104A5"/>
    <w:rsid w:val="0081065F"/>
    <w:rsid w:val="00810DFB"/>
    <w:rsid w:val="00810F05"/>
    <w:rsid w:val="008111F3"/>
    <w:rsid w:val="00811389"/>
    <w:rsid w:val="00811551"/>
    <w:rsid w:val="00811969"/>
    <w:rsid w:val="00811981"/>
    <w:rsid w:val="00811A3B"/>
    <w:rsid w:val="00811AB9"/>
    <w:rsid w:val="00811BD1"/>
    <w:rsid w:val="00811CC0"/>
    <w:rsid w:val="008120F1"/>
    <w:rsid w:val="00812277"/>
    <w:rsid w:val="00812936"/>
    <w:rsid w:val="00812CDE"/>
    <w:rsid w:val="00812D00"/>
    <w:rsid w:val="00812D15"/>
    <w:rsid w:val="00812EC1"/>
    <w:rsid w:val="0081318D"/>
    <w:rsid w:val="0081348E"/>
    <w:rsid w:val="008138DD"/>
    <w:rsid w:val="00813976"/>
    <w:rsid w:val="00813D44"/>
    <w:rsid w:val="00813DF1"/>
    <w:rsid w:val="00814437"/>
    <w:rsid w:val="00814528"/>
    <w:rsid w:val="00814846"/>
    <w:rsid w:val="00814974"/>
    <w:rsid w:val="00814A45"/>
    <w:rsid w:val="00815098"/>
    <w:rsid w:val="00815173"/>
    <w:rsid w:val="00815495"/>
    <w:rsid w:val="00815738"/>
    <w:rsid w:val="00815779"/>
    <w:rsid w:val="008158C7"/>
    <w:rsid w:val="00815D69"/>
    <w:rsid w:val="008161E6"/>
    <w:rsid w:val="008164A4"/>
    <w:rsid w:val="00816645"/>
    <w:rsid w:val="00816715"/>
    <w:rsid w:val="00816A98"/>
    <w:rsid w:val="00816DA4"/>
    <w:rsid w:val="00817227"/>
    <w:rsid w:val="008177CC"/>
    <w:rsid w:val="00817B77"/>
    <w:rsid w:val="00817D34"/>
    <w:rsid w:val="00817E19"/>
    <w:rsid w:val="0082010E"/>
    <w:rsid w:val="008201D5"/>
    <w:rsid w:val="00820464"/>
    <w:rsid w:val="008205AA"/>
    <w:rsid w:val="00820E42"/>
    <w:rsid w:val="00820E77"/>
    <w:rsid w:val="00820EC9"/>
    <w:rsid w:val="00820ED7"/>
    <w:rsid w:val="00821807"/>
    <w:rsid w:val="0082184D"/>
    <w:rsid w:val="00821900"/>
    <w:rsid w:val="00821E66"/>
    <w:rsid w:val="00821E9D"/>
    <w:rsid w:val="008221D5"/>
    <w:rsid w:val="008223FE"/>
    <w:rsid w:val="0082244C"/>
    <w:rsid w:val="008225B6"/>
    <w:rsid w:val="00822C50"/>
    <w:rsid w:val="00823333"/>
    <w:rsid w:val="008233A9"/>
    <w:rsid w:val="0082362E"/>
    <w:rsid w:val="008236D5"/>
    <w:rsid w:val="00823704"/>
    <w:rsid w:val="0082374F"/>
    <w:rsid w:val="00823768"/>
    <w:rsid w:val="008240FF"/>
    <w:rsid w:val="0082417C"/>
    <w:rsid w:val="008244EA"/>
    <w:rsid w:val="00824527"/>
    <w:rsid w:val="008245EE"/>
    <w:rsid w:val="0082466C"/>
    <w:rsid w:val="00824A44"/>
    <w:rsid w:val="00824B1D"/>
    <w:rsid w:val="00824E99"/>
    <w:rsid w:val="00824EE6"/>
    <w:rsid w:val="00825098"/>
    <w:rsid w:val="00825229"/>
    <w:rsid w:val="0082533B"/>
    <w:rsid w:val="00825A49"/>
    <w:rsid w:val="00825BFD"/>
    <w:rsid w:val="00825D22"/>
    <w:rsid w:val="00825DB5"/>
    <w:rsid w:val="00825E0C"/>
    <w:rsid w:val="00825FB6"/>
    <w:rsid w:val="008260B7"/>
    <w:rsid w:val="008261DC"/>
    <w:rsid w:val="00826280"/>
    <w:rsid w:val="00826342"/>
    <w:rsid w:val="008263E5"/>
    <w:rsid w:val="00826493"/>
    <w:rsid w:val="0082653B"/>
    <w:rsid w:val="008265C4"/>
    <w:rsid w:val="0082689F"/>
    <w:rsid w:val="00826AF7"/>
    <w:rsid w:val="0082710E"/>
    <w:rsid w:val="008271AE"/>
    <w:rsid w:val="0082747D"/>
    <w:rsid w:val="008275CF"/>
    <w:rsid w:val="0082763C"/>
    <w:rsid w:val="00827AFE"/>
    <w:rsid w:val="00827C28"/>
    <w:rsid w:val="00827D37"/>
    <w:rsid w:val="00827DD2"/>
    <w:rsid w:val="008303B3"/>
    <w:rsid w:val="0083043D"/>
    <w:rsid w:val="00830450"/>
    <w:rsid w:val="00830921"/>
    <w:rsid w:val="00830D2E"/>
    <w:rsid w:val="00830F9D"/>
    <w:rsid w:val="00831278"/>
    <w:rsid w:val="0083162A"/>
    <w:rsid w:val="00831D71"/>
    <w:rsid w:val="00831E5C"/>
    <w:rsid w:val="00831F29"/>
    <w:rsid w:val="0083238E"/>
    <w:rsid w:val="008324C7"/>
    <w:rsid w:val="00832A3E"/>
    <w:rsid w:val="00832BDE"/>
    <w:rsid w:val="00832E17"/>
    <w:rsid w:val="00832F23"/>
    <w:rsid w:val="008333F3"/>
    <w:rsid w:val="0083365A"/>
    <w:rsid w:val="00833AC7"/>
    <w:rsid w:val="00833B22"/>
    <w:rsid w:val="00833BDF"/>
    <w:rsid w:val="00833F61"/>
    <w:rsid w:val="008341B4"/>
    <w:rsid w:val="008343AB"/>
    <w:rsid w:val="008344C3"/>
    <w:rsid w:val="008349D4"/>
    <w:rsid w:val="0083507A"/>
    <w:rsid w:val="00835580"/>
    <w:rsid w:val="008355F2"/>
    <w:rsid w:val="0083568C"/>
    <w:rsid w:val="00835897"/>
    <w:rsid w:val="008358E1"/>
    <w:rsid w:val="00835AEC"/>
    <w:rsid w:val="00836214"/>
    <w:rsid w:val="0083627D"/>
    <w:rsid w:val="00836511"/>
    <w:rsid w:val="00836524"/>
    <w:rsid w:val="0083677D"/>
    <w:rsid w:val="00836919"/>
    <w:rsid w:val="00836E02"/>
    <w:rsid w:val="00836E10"/>
    <w:rsid w:val="00836E52"/>
    <w:rsid w:val="00836F2F"/>
    <w:rsid w:val="00837333"/>
    <w:rsid w:val="00837461"/>
    <w:rsid w:val="00837571"/>
    <w:rsid w:val="008375D9"/>
    <w:rsid w:val="0083777E"/>
    <w:rsid w:val="00837927"/>
    <w:rsid w:val="00837A08"/>
    <w:rsid w:val="00837AB8"/>
    <w:rsid w:val="00837BEF"/>
    <w:rsid w:val="00837DB4"/>
    <w:rsid w:val="00837F81"/>
    <w:rsid w:val="008400E7"/>
    <w:rsid w:val="0084023E"/>
    <w:rsid w:val="008403EA"/>
    <w:rsid w:val="00840625"/>
    <w:rsid w:val="00840824"/>
    <w:rsid w:val="00841008"/>
    <w:rsid w:val="0084101D"/>
    <w:rsid w:val="008411DA"/>
    <w:rsid w:val="0084159B"/>
    <w:rsid w:val="0084160C"/>
    <w:rsid w:val="008417A0"/>
    <w:rsid w:val="008418AE"/>
    <w:rsid w:val="00841C92"/>
    <w:rsid w:val="00841D50"/>
    <w:rsid w:val="00841F91"/>
    <w:rsid w:val="00842429"/>
    <w:rsid w:val="00842582"/>
    <w:rsid w:val="008426C8"/>
    <w:rsid w:val="00842745"/>
    <w:rsid w:val="00842D92"/>
    <w:rsid w:val="00842FF3"/>
    <w:rsid w:val="0084304D"/>
    <w:rsid w:val="0084333F"/>
    <w:rsid w:val="00843756"/>
    <w:rsid w:val="00843B11"/>
    <w:rsid w:val="00843B83"/>
    <w:rsid w:val="00843BEF"/>
    <w:rsid w:val="00843D4E"/>
    <w:rsid w:val="00844139"/>
    <w:rsid w:val="00844180"/>
    <w:rsid w:val="00844298"/>
    <w:rsid w:val="008442F1"/>
    <w:rsid w:val="008445D2"/>
    <w:rsid w:val="00844640"/>
    <w:rsid w:val="0084467C"/>
    <w:rsid w:val="008448EE"/>
    <w:rsid w:val="00844ACF"/>
    <w:rsid w:val="00844CCA"/>
    <w:rsid w:val="00844E1C"/>
    <w:rsid w:val="00845306"/>
    <w:rsid w:val="008453F6"/>
    <w:rsid w:val="00845440"/>
    <w:rsid w:val="0084572B"/>
    <w:rsid w:val="00845937"/>
    <w:rsid w:val="008459C6"/>
    <w:rsid w:val="00845AFE"/>
    <w:rsid w:val="00845C18"/>
    <w:rsid w:val="008461D6"/>
    <w:rsid w:val="00846586"/>
    <w:rsid w:val="008468F9"/>
    <w:rsid w:val="00846F96"/>
    <w:rsid w:val="00846FEC"/>
    <w:rsid w:val="0084714E"/>
    <w:rsid w:val="00847E23"/>
    <w:rsid w:val="00847E51"/>
    <w:rsid w:val="0085017F"/>
    <w:rsid w:val="008501E2"/>
    <w:rsid w:val="00850211"/>
    <w:rsid w:val="0085022D"/>
    <w:rsid w:val="008503ED"/>
    <w:rsid w:val="0085099D"/>
    <w:rsid w:val="00850CD9"/>
    <w:rsid w:val="00850E13"/>
    <w:rsid w:val="00850EA8"/>
    <w:rsid w:val="0085107B"/>
    <w:rsid w:val="00851112"/>
    <w:rsid w:val="00851257"/>
    <w:rsid w:val="00851292"/>
    <w:rsid w:val="00851902"/>
    <w:rsid w:val="00851B91"/>
    <w:rsid w:val="00852197"/>
    <w:rsid w:val="0085236F"/>
    <w:rsid w:val="008528D5"/>
    <w:rsid w:val="008531BD"/>
    <w:rsid w:val="0085329A"/>
    <w:rsid w:val="00853331"/>
    <w:rsid w:val="00853458"/>
    <w:rsid w:val="0085372C"/>
    <w:rsid w:val="0085377D"/>
    <w:rsid w:val="00853B92"/>
    <w:rsid w:val="00854017"/>
    <w:rsid w:val="0085468D"/>
    <w:rsid w:val="008547B0"/>
    <w:rsid w:val="00854BC4"/>
    <w:rsid w:val="008553A4"/>
    <w:rsid w:val="008553EB"/>
    <w:rsid w:val="008554EB"/>
    <w:rsid w:val="008556AA"/>
    <w:rsid w:val="008558DC"/>
    <w:rsid w:val="008558DE"/>
    <w:rsid w:val="00855B2D"/>
    <w:rsid w:val="00855D65"/>
    <w:rsid w:val="00855F92"/>
    <w:rsid w:val="008561F6"/>
    <w:rsid w:val="008562DA"/>
    <w:rsid w:val="00856430"/>
    <w:rsid w:val="0085672F"/>
    <w:rsid w:val="00856D03"/>
    <w:rsid w:val="00856E77"/>
    <w:rsid w:val="00856E8C"/>
    <w:rsid w:val="00856F8A"/>
    <w:rsid w:val="008570BA"/>
    <w:rsid w:val="00857590"/>
    <w:rsid w:val="00857630"/>
    <w:rsid w:val="008578EB"/>
    <w:rsid w:val="00857DB5"/>
    <w:rsid w:val="0086037D"/>
    <w:rsid w:val="0086054F"/>
    <w:rsid w:val="0086059C"/>
    <w:rsid w:val="00860634"/>
    <w:rsid w:val="0086076F"/>
    <w:rsid w:val="00860C4C"/>
    <w:rsid w:val="00861589"/>
    <w:rsid w:val="008618ED"/>
    <w:rsid w:val="008619CD"/>
    <w:rsid w:val="00861BD0"/>
    <w:rsid w:val="00862389"/>
    <w:rsid w:val="00862626"/>
    <w:rsid w:val="0086281E"/>
    <w:rsid w:val="008629B1"/>
    <w:rsid w:val="0086330F"/>
    <w:rsid w:val="00863560"/>
    <w:rsid w:val="00863AAC"/>
    <w:rsid w:val="00864418"/>
    <w:rsid w:val="008649CE"/>
    <w:rsid w:val="00864BD8"/>
    <w:rsid w:val="008650B0"/>
    <w:rsid w:val="00865737"/>
    <w:rsid w:val="00865923"/>
    <w:rsid w:val="008659C2"/>
    <w:rsid w:val="00865A0A"/>
    <w:rsid w:val="00865B36"/>
    <w:rsid w:val="00865FC3"/>
    <w:rsid w:val="00866491"/>
    <w:rsid w:val="0086663C"/>
    <w:rsid w:val="00866881"/>
    <w:rsid w:val="00867DC0"/>
    <w:rsid w:val="00867ED2"/>
    <w:rsid w:val="00870478"/>
    <w:rsid w:val="00870602"/>
    <w:rsid w:val="00870662"/>
    <w:rsid w:val="008709DB"/>
    <w:rsid w:val="00870C47"/>
    <w:rsid w:val="00870CDB"/>
    <w:rsid w:val="00870DF3"/>
    <w:rsid w:val="0087108A"/>
    <w:rsid w:val="0087132C"/>
    <w:rsid w:val="008713B0"/>
    <w:rsid w:val="00871491"/>
    <w:rsid w:val="00871737"/>
    <w:rsid w:val="00871B29"/>
    <w:rsid w:val="00871B7A"/>
    <w:rsid w:val="008722F0"/>
    <w:rsid w:val="00872357"/>
    <w:rsid w:val="00872433"/>
    <w:rsid w:val="008726DD"/>
    <w:rsid w:val="0087288A"/>
    <w:rsid w:val="0087289E"/>
    <w:rsid w:val="00872A8B"/>
    <w:rsid w:val="00872BAF"/>
    <w:rsid w:val="00872DB9"/>
    <w:rsid w:val="00872F51"/>
    <w:rsid w:val="0087335A"/>
    <w:rsid w:val="00873460"/>
    <w:rsid w:val="00873615"/>
    <w:rsid w:val="00873750"/>
    <w:rsid w:val="0087398A"/>
    <w:rsid w:val="00873DE8"/>
    <w:rsid w:val="00873F70"/>
    <w:rsid w:val="0087417C"/>
    <w:rsid w:val="00874509"/>
    <w:rsid w:val="00874A9D"/>
    <w:rsid w:val="00874D7E"/>
    <w:rsid w:val="0087519E"/>
    <w:rsid w:val="0087527C"/>
    <w:rsid w:val="008754F0"/>
    <w:rsid w:val="00875646"/>
    <w:rsid w:val="008758C7"/>
    <w:rsid w:val="00875A22"/>
    <w:rsid w:val="00875A29"/>
    <w:rsid w:val="00875B96"/>
    <w:rsid w:val="00876354"/>
    <w:rsid w:val="008763BC"/>
    <w:rsid w:val="008766A0"/>
    <w:rsid w:val="008766CD"/>
    <w:rsid w:val="00876708"/>
    <w:rsid w:val="00876802"/>
    <w:rsid w:val="008768AF"/>
    <w:rsid w:val="00876A0D"/>
    <w:rsid w:val="00876EFC"/>
    <w:rsid w:val="00876F2E"/>
    <w:rsid w:val="00876F8D"/>
    <w:rsid w:val="0087710A"/>
    <w:rsid w:val="0087742A"/>
    <w:rsid w:val="0087755B"/>
    <w:rsid w:val="0087772C"/>
    <w:rsid w:val="00877A8F"/>
    <w:rsid w:val="00877BB8"/>
    <w:rsid w:val="00877DB3"/>
    <w:rsid w:val="0088022B"/>
    <w:rsid w:val="00880477"/>
    <w:rsid w:val="0088075A"/>
    <w:rsid w:val="00881141"/>
    <w:rsid w:val="008814BB"/>
    <w:rsid w:val="008816E3"/>
    <w:rsid w:val="0088182E"/>
    <w:rsid w:val="00881877"/>
    <w:rsid w:val="00881949"/>
    <w:rsid w:val="00881A56"/>
    <w:rsid w:val="00881BE0"/>
    <w:rsid w:val="00882122"/>
    <w:rsid w:val="00882410"/>
    <w:rsid w:val="008825E8"/>
    <w:rsid w:val="00882671"/>
    <w:rsid w:val="008827A3"/>
    <w:rsid w:val="00882AB8"/>
    <w:rsid w:val="00882B4F"/>
    <w:rsid w:val="00882B5F"/>
    <w:rsid w:val="00882B93"/>
    <w:rsid w:val="00882DFE"/>
    <w:rsid w:val="00882E6D"/>
    <w:rsid w:val="00882EA1"/>
    <w:rsid w:val="00882F79"/>
    <w:rsid w:val="00882F7E"/>
    <w:rsid w:val="00882FDD"/>
    <w:rsid w:val="0088332A"/>
    <w:rsid w:val="00883B75"/>
    <w:rsid w:val="00883DA9"/>
    <w:rsid w:val="008842E3"/>
    <w:rsid w:val="008842F6"/>
    <w:rsid w:val="00884561"/>
    <w:rsid w:val="00884598"/>
    <w:rsid w:val="00884630"/>
    <w:rsid w:val="0088470B"/>
    <w:rsid w:val="00884A23"/>
    <w:rsid w:val="00884FCD"/>
    <w:rsid w:val="00884FF4"/>
    <w:rsid w:val="00885974"/>
    <w:rsid w:val="00885D45"/>
    <w:rsid w:val="00885F52"/>
    <w:rsid w:val="0088611F"/>
    <w:rsid w:val="00886224"/>
    <w:rsid w:val="00886344"/>
    <w:rsid w:val="00886650"/>
    <w:rsid w:val="00886935"/>
    <w:rsid w:val="00886C29"/>
    <w:rsid w:val="00886F42"/>
    <w:rsid w:val="008872B9"/>
    <w:rsid w:val="008879D2"/>
    <w:rsid w:val="00887A74"/>
    <w:rsid w:val="00887B59"/>
    <w:rsid w:val="00887C17"/>
    <w:rsid w:val="00887C8C"/>
    <w:rsid w:val="00887F99"/>
    <w:rsid w:val="00890A6F"/>
    <w:rsid w:val="00890BB3"/>
    <w:rsid w:val="00890F53"/>
    <w:rsid w:val="008910EA"/>
    <w:rsid w:val="0089134C"/>
    <w:rsid w:val="00891407"/>
    <w:rsid w:val="008917AC"/>
    <w:rsid w:val="00891A3F"/>
    <w:rsid w:val="00891A7C"/>
    <w:rsid w:val="00891A7F"/>
    <w:rsid w:val="00891B3A"/>
    <w:rsid w:val="00891DA5"/>
    <w:rsid w:val="008924C9"/>
    <w:rsid w:val="008924DD"/>
    <w:rsid w:val="00892630"/>
    <w:rsid w:val="00892858"/>
    <w:rsid w:val="00892B92"/>
    <w:rsid w:val="00892F98"/>
    <w:rsid w:val="00893100"/>
    <w:rsid w:val="00893156"/>
    <w:rsid w:val="008931B8"/>
    <w:rsid w:val="00893352"/>
    <w:rsid w:val="00893862"/>
    <w:rsid w:val="00893A5E"/>
    <w:rsid w:val="00893A75"/>
    <w:rsid w:val="00893EE2"/>
    <w:rsid w:val="008940EE"/>
    <w:rsid w:val="00894218"/>
    <w:rsid w:val="008943ED"/>
    <w:rsid w:val="00894904"/>
    <w:rsid w:val="00894ACB"/>
    <w:rsid w:val="00894BE4"/>
    <w:rsid w:val="00894C74"/>
    <w:rsid w:val="00894C7D"/>
    <w:rsid w:val="00894D0B"/>
    <w:rsid w:val="008953B9"/>
    <w:rsid w:val="00895449"/>
    <w:rsid w:val="00895560"/>
    <w:rsid w:val="0089584D"/>
    <w:rsid w:val="00895921"/>
    <w:rsid w:val="00895AE6"/>
    <w:rsid w:val="00895B7E"/>
    <w:rsid w:val="00895BAE"/>
    <w:rsid w:val="00895F24"/>
    <w:rsid w:val="00895F50"/>
    <w:rsid w:val="0089616F"/>
    <w:rsid w:val="00896259"/>
    <w:rsid w:val="008964E6"/>
    <w:rsid w:val="00896A9F"/>
    <w:rsid w:val="00896BFE"/>
    <w:rsid w:val="00896D0C"/>
    <w:rsid w:val="00896EAE"/>
    <w:rsid w:val="00896EB4"/>
    <w:rsid w:val="00896F19"/>
    <w:rsid w:val="0089713E"/>
    <w:rsid w:val="0089731D"/>
    <w:rsid w:val="008976F6"/>
    <w:rsid w:val="008977CA"/>
    <w:rsid w:val="008978CB"/>
    <w:rsid w:val="00897B57"/>
    <w:rsid w:val="00897FA2"/>
    <w:rsid w:val="008A0496"/>
    <w:rsid w:val="008A04E7"/>
    <w:rsid w:val="008A07C3"/>
    <w:rsid w:val="008A0969"/>
    <w:rsid w:val="008A0B2F"/>
    <w:rsid w:val="008A0BD9"/>
    <w:rsid w:val="008A0C54"/>
    <w:rsid w:val="008A0D46"/>
    <w:rsid w:val="008A0D75"/>
    <w:rsid w:val="008A1135"/>
    <w:rsid w:val="008A1189"/>
    <w:rsid w:val="008A178B"/>
    <w:rsid w:val="008A1857"/>
    <w:rsid w:val="008A198B"/>
    <w:rsid w:val="008A1C16"/>
    <w:rsid w:val="008A1FCA"/>
    <w:rsid w:val="008A2076"/>
    <w:rsid w:val="008A217D"/>
    <w:rsid w:val="008A275C"/>
    <w:rsid w:val="008A2766"/>
    <w:rsid w:val="008A286E"/>
    <w:rsid w:val="008A293B"/>
    <w:rsid w:val="008A296D"/>
    <w:rsid w:val="008A3236"/>
    <w:rsid w:val="008A3301"/>
    <w:rsid w:val="008A378D"/>
    <w:rsid w:val="008A3A58"/>
    <w:rsid w:val="008A3CA8"/>
    <w:rsid w:val="008A3CDC"/>
    <w:rsid w:val="008A3D70"/>
    <w:rsid w:val="008A3D94"/>
    <w:rsid w:val="008A3E49"/>
    <w:rsid w:val="008A4029"/>
    <w:rsid w:val="008A45D7"/>
    <w:rsid w:val="008A477A"/>
    <w:rsid w:val="008A4CEE"/>
    <w:rsid w:val="008A505E"/>
    <w:rsid w:val="008A525C"/>
    <w:rsid w:val="008A5A5C"/>
    <w:rsid w:val="008A6003"/>
    <w:rsid w:val="008A6361"/>
    <w:rsid w:val="008A6477"/>
    <w:rsid w:val="008A6520"/>
    <w:rsid w:val="008A6AF1"/>
    <w:rsid w:val="008A6C15"/>
    <w:rsid w:val="008A6C54"/>
    <w:rsid w:val="008A6D04"/>
    <w:rsid w:val="008A6D8B"/>
    <w:rsid w:val="008A7232"/>
    <w:rsid w:val="008A74ED"/>
    <w:rsid w:val="008A75E1"/>
    <w:rsid w:val="008A76EE"/>
    <w:rsid w:val="008A7709"/>
    <w:rsid w:val="008A778F"/>
    <w:rsid w:val="008A79CC"/>
    <w:rsid w:val="008A7D60"/>
    <w:rsid w:val="008A7E24"/>
    <w:rsid w:val="008B084C"/>
    <w:rsid w:val="008B0909"/>
    <w:rsid w:val="008B0B74"/>
    <w:rsid w:val="008B0D2A"/>
    <w:rsid w:val="008B0D5C"/>
    <w:rsid w:val="008B0EDC"/>
    <w:rsid w:val="008B1236"/>
    <w:rsid w:val="008B134D"/>
    <w:rsid w:val="008B160F"/>
    <w:rsid w:val="008B1B51"/>
    <w:rsid w:val="008B1E61"/>
    <w:rsid w:val="008B22A9"/>
    <w:rsid w:val="008B2976"/>
    <w:rsid w:val="008B3270"/>
    <w:rsid w:val="008B3347"/>
    <w:rsid w:val="008B334D"/>
    <w:rsid w:val="008B3669"/>
    <w:rsid w:val="008B3921"/>
    <w:rsid w:val="008B3A66"/>
    <w:rsid w:val="008B44E3"/>
    <w:rsid w:val="008B45C7"/>
    <w:rsid w:val="008B467F"/>
    <w:rsid w:val="008B4E45"/>
    <w:rsid w:val="008B5321"/>
    <w:rsid w:val="008B558F"/>
    <w:rsid w:val="008B55DB"/>
    <w:rsid w:val="008B619D"/>
    <w:rsid w:val="008B61D0"/>
    <w:rsid w:val="008B686D"/>
    <w:rsid w:val="008B68DB"/>
    <w:rsid w:val="008B6B6A"/>
    <w:rsid w:val="008B6DDF"/>
    <w:rsid w:val="008B71F7"/>
    <w:rsid w:val="008B72CF"/>
    <w:rsid w:val="008B748E"/>
    <w:rsid w:val="008B7538"/>
    <w:rsid w:val="008B76C3"/>
    <w:rsid w:val="008B7768"/>
    <w:rsid w:val="008B79A6"/>
    <w:rsid w:val="008B79B5"/>
    <w:rsid w:val="008B7A49"/>
    <w:rsid w:val="008B7CD1"/>
    <w:rsid w:val="008B7E12"/>
    <w:rsid w:val="008C0078"/>
    <w:rsid w:val="008C03B9"/>
    <w:rsid w:val="008C0EFC"/>
    <w:rsid w:val="008C0F32"/>
    <w:rsid w:val="008C10B5"/>
    <w:rsid w:val="008C10E2"/>
    <w:rsid w:val="008C15BA"/>
    <w:rsid w:val="008C1D0E"/>
    <w:rsid w:val="008C1D42"/>
    <w:rsid w:val="008C1F11"/>
    <w:rsid w:val="008C2383"/>
    <w:rsid w:val="008C2495"/>
    <w:rsid w:val="008C24BC"/>
    <w:rsid w:val="008C2B2A"/>
    <w:rsid w:val="008C2C27"/>
    <w:rsid w:val="008C2FE6"/>
    <w:rsid w:val="008C3198"/>
    <w:rsid w:val="008C31FC"/>
    <w:rsid w:val="008C34A9"/>
    <w:rsid w:val="008C36A4"/>
    <w:rsid w:val="008C3BE0"/>
    <w:rsid w:val="008C47E0"/>
    <w:rsid w:val="008C4807"/>
    <w:rsid w:val="008C48AF"/>
    <w:rsid w:val="008C4A14"/>
    <w:rsid w:val="008C4E1E"/>
    <w:rsid w:val="008C4E68"/>
    <w:rsid w:val="008C4F4A"/>
    <w:rsid w:val="008C4F6F"/>
    <w:rsid w:val="008C505D"/>
    <w:rsid w:val="008C5207"/>
    <w:rsid w:val="008C5385"/>
    <w:rsid w:val="008C5447"/>
    <w:rsid w:val="008C5625"/>
    <w:rsid w:val="008C5ABC"/>
    <w:rsid w:val="008C6227"/>
    <w:rsid w:val="008C6599"/>
    <w:rsid w:val="008C6B76"/>
    <w:rsid w:val="008C6C5F"/>
    <w:rsid w:val="008C6C68"/>
    <w:rsid w:val="008C71F9"/>
    <w:rsid w:val="008C74FE"/>
    <w:rsid w:val="008C7646"/>
    <w:rsid w:val="008C7756"/>
    <w:rsid w:val="008C7836"/>
    <w:rsid w:val="008C7893"/>
    <w:rsid w:val="008C7ACD"/>
    <w:rsid w:val="008C7C18"/>
    <w:rsid w:val="008C7D85"/>
    <w:rsid w:val="008C7F04"/>
    <w:rsid w:val="008D0043"/>
    <w:rsid w:val="008D00AF"/>
    <w:rsid w:val="008D0186"/>
    <w:rsid w:val="008D0314"/>
    <w:rsid w:val="008D0405"/>
    <w:rsid w:val="008D0501"/>
    <w:rsid w:val="008D051B"/>
    <w:rsid w:val="008D05A0"/>
    <w:rsid w:val="008D07C2"/>
    <w:rsid w:val="008D09D3"/>
    <w:rsid w:val="008D0C68"/>
    <w:rsid w:val="008D0D65"/>
    <w:rsid w:val="008D10C5"/>
    <w:rsid w:val="008D115F"/>
    <w:rsid w:val="008D1205"/>
    <w:rsid w:val="008D14E2"/>
    <w:rsid w:val="008D163D"/>
    <w:rsid w:val="008D16AB"/>
    <w:rsid w:val="008D16C1"/>
    <w:rsid w:val="008D1732"/>
    <w:rsid w:val="008D1C9A"/>
    <w:rsid w:val="008D1CFF"/>
    <w:rsid w:val="008D1EC9"/>
    <w:rsid w:val="008D1F4D"/>
    <w:rsid w:val="008D2611"/>
    <w:rsid w:val="008D26EF"/>
    <w:rsid w:val="008D27A1"/>
    <w:rsid w:val="008D28EE"/>
    <w:rsid w:val="008D2A47"/>
    <w:rsid w:val="008D2AC2"/>
    <w:rsid w:val="008D2E93"/>
    <w:rsid w:val="008D2F84"/>
    <w:rsid w:val="008D352C"/>
    <w:rsid w:val="008D353C"/>
    <w:rsid w:val="008D36DC"/>
    <w:rsid w:val="008D3807"/>
    <w:rsid w:val="008D3A88"/>
    <w:rsid w:val="008D3B36"/>
    <w:rsid w:val="008D4167"/>
    <w:rsid w:val="008D41BD"/>
    <w:rsid w:val="008D4202"/>
    <w:rsid w:val="008D4326"/>
    <w:rsid w:val="008D4654"/>
    <w:rsid w:val="008D486D"/>
    <w:rsid w:val="008D4AD7"/>
    <w:rsid w:val="008D4C7D"/>
    <w:rsid w:val="008D54C7"/>
    <w:rsid w:val="008D55A5"/>
    <w:rsid w:val="008D5A06"/>
    <w:rsid w:val="008D5DEA"/>
    <w:rsid w:val="008D6090"/>
    <w:rsid w:val="008D6224"/>
    <w:rsid w:val="008D63E9"/>
    <w:rsid w:val="008D6779"/>
    <w:rsid w:val="008D6B2C"/>
    <w:rsid w:val="008D6D46"/>
    <w:rsid w:val="008D6F19"/>
    <w:rsid w:val="008D7169"/>
    <w:rsid w:val="008D7351"/>
    <w:rsid w:val="008D7364"/>
    <w:rsid w:val="008D7690"/>
    <w:rsid w:val="008D76DE"/>
    <w:rsid w:val="008D79EE"/>
    <w:rsid w:val="008D7A25"/>
    <w:rsid w:val="008E003D"/>
    <w:rsid w:val="008E0044"/>
    <w:rsid w:val="008E0214"/>
    <w:rsid w:val="008E02C8"/>
    <w:rsid w:val="008E02D5"/>
    <w:rsid w:val="008E0318"/>
    <w:rsid w:val="008E0850"/>
    <w:rsid w:val="008E08D1"/>
    <w:rsid w:val="008E08DB"/>
    <w:rsid w:val="008E0930"/>
    <w:rsid w:val="008E0AF9"/>
    <w:rsid w:val="008E0F19"/>
    <w:rsid w:val="008E1094"/>
    <w:rsid w:val="008E1735"/>
    <w:rsid w:val="008E19F1"/>
    <w:rsid w:val="008E1B7C"/>
    <w:rsid w:val="008E1C6A"/>
    <w:rsid w:val="008E1CA3"/>
    <w:rsid w:val="008E264C"/>
    <w:rsid w:val="008E2943"/>
    <w:rsid w:val="008E2B29"/>
    <w:rsid w:val="008E3366"/>
    <w:rsid w:val="008E343B"/>
    <w:rsid w:val="008E3472"/>
    <w:rsid w:val="008E359D"/>
    <w:rsid w:val="008E35F2"/>
    <w:rsid w:val="008E3824"/>
    <w:rsid w:val="008E3BCE"/>
    <w:rsid w:val="008E3EBC"/>
    <w:rsid w:val="008E3ECD"/>
    <w:rsid w:val="008E4533"/>
    <w:rsid w:val="008E458C"/>
    <w:rsid w:val="008E46B2"/>
    <w:rsid w:val="008E47FA"/>
    <w:rsid w:val="008E484D"/>
    <w:rsid w:val="008E4B8A"/>
    <w:rsid w:val="008E54F8"/>
    <w:rsid w:val="008E569F"/>
    <w:rsid w:val="008E57E4"/>
    <w:rsid w:val="008E58DC"/>
    <w:rsid w:val="008E5A2A"/>
    <w:rsid w:val="008E5A62"/>
    <w:rsid w:val="008E5B3A"/>
    <w:rsid w:val="008E6021"/>
    <w:rsid w:val="008E6115"/>
    <w:rsid w:val="008E617F"/>
    <w:rsid w:val="008E6A2E"/>
    <w:rsid w:val="008E6ABD"/>
    <w:rsid w:val="008E6DF5"/>
    <w:rsid w:val="008E6ED9"/>
    <w:rsid w:val="008E73D3"/>
    <w:rsid w:val="008E7432"/>
    <w:rsid w:val="008E7853"/>
    <w:rsid w:val="008E78AA"/>
    <w:rsid w:val="008E7D40"/>
    <w:rsid w:val="008F01FF"/>
    <w:rsid w:val="008F057E"/>
    <w:rsid w:val="008F059F"/>
    <w:rsid w:val="008F05B8"/>
    <w:rsid w:val="008F0A37"/>
    <w:rsid w:val="008F0DED"/>
    <w:rsid w:val="008F0F16"/>
    <w:rsid w:val="008F0F46"/>
    <w:rsid w:val="008F0F8A"/>
    <w:rsid w:val="008F0FB7"/>
    <w:rsid w:val="008F1243"/>
    <w:rsid w:val="008F1285"/>
    <w:rsid w:val="008F1724"/>
    <w:rsid w:val="008F191B"/>
    <w:rsid w:val="008F1DEB"/>
    <w:rsid w:val="008F1EA0"/>
    <w:rsid w:val="008F1EAF"/>
    <w:rsid w:val="008F1F92"/>
    <w:rsid w:val="008F242D"/>
    <w:rsid w:val="008F25F8"/>
    <w:rsid w:val="008F2742"/>
    <w:rsid w:val="008F27AA"/>
    <w:rsid w:val="008F29ED"/>
    <w:rsid w:val="008F2CBC"/>
    <w:rsid w:val="008F2DBA"/>
    <w:rsid w:val="008F2ED0"/>
    <w:rsid w:val="008F2F5E"/>
    <w:rsid w:val="008F307E"/>
    <w:rsid w:val="008F33AB"/>
    <w:rsid w:val="008F33C7"/>
    <w:rsid w:val="008F3439"/>
    <w:rsid w:val="008F3526"/>
    <w:rsid w:val="008F354F"/>
    <w:rsid w:val="008F36F8"/>
    <w:rsid w:val="008F385D"/>
    <w:rsid w:val="008F3A63"/>
    <w:rsid w:val="008F3CB5"/>
    <w:rsid w:val="008F3EC6"/>
    <w:rsid w:val="008F3F87"/>
    <w:rsid w:val="008F403A"/>
    <w:rsid w:val="008F42FB"/>
    <w:rsid w:val="008F4692"/>
    <w:rsid w:val="008F48AA"/>
    <w:rsid w:val="008F49AE"/>
    <w:rsid w:val="008F4AC3"/>
    <w:rsid w:val="008F4BEB"/>
    <w:rsid w:val="008F5073"/>
    <w:rsid w:val="008F51DA"/>
    <w:rsid w:val="008F5361"/>
    <w:rsid w:val="008F539B"/>
    <w:rsid w:val="008F5634"/>
    <w:rsid w:val="008F5812"/>
    <w:rsid w:val="008F586A"/>
    <w:rsid w:val="008F59E2"/>
    <w:rsid w:val="008F5DF9"/>
    <w:rsid w:val="008F5F51"/>
    <w:rsid w:val="008F6710"/>
    <w:rsid w:val="008F6863"/>
    <w:rsid w:val="008F6C5C"/>
    <w:rsid w:val="008F6F91"/>
    <w:rsid w:val="008F703C"/>
    <w:rsid w:val="008F71A8"/>
    <w:rsid w:val="008F71C9"/>
    <w:rsid w:val="008F75AC"/>
    <w:rsid w:val="008F7679"/>
    <w:rsid w:val="008F792B"/>
    <w:rsid w:val="008F7A45"/>
    <w:rsid w:val="008F7EBF"/>
    <w:rsid w:val="00900508"/>
    <w:rsid w:val="0090056A"/>
    <w:rsid w:val="00900788"/>
    <w:rsid w:val="009008EA"/>
    <w:rsid w:val="00900D55"/>
    <w:rsid w:val="00901501"/>
    <w:rsid w:val="00901AB4"/>
    <w:rsid w:val="00901B6B"/>
    <w:rsid w:val="00901C83"/>
    <w:rsid w:val="00901ED4"/>
    <w:rsid w:val="0090215D"/>
    <w:rsid w:val="00902B43"/>
    <w:rsid w:val="00902CB4"/>
    <w:rsid w:val="00902D35"/>
    <w:rsid w:val="00902E08"/>
    <w:rsid w:val="00902EC6"/>
    <w:rsid w:val="00903164"/>
    <w:rsid w:val="009035DE"/>
    <w:rsid w:val="00903692"/>
    <w:rsid w:val="009036AF"/>
    <w:rsid w:val="009039EC"/>
    <w:rsid w:val="00903A4A"/>
    <w:rsid w:val="00903BE7"/>
    <w:rsid w:val="009047CF"/>
    <w:rsid w:val="009048A4"/>
    <w:rsid w:val="00904A6A"/>
    <w:rsid w:val="00904BCD"/>
    <w:rsid w:val="00904DD4"/>
    <w:rsid w:val="009051DE"/>
    <w:rsid w:val="00905596"/>
    <w:rsid w:val="009055E3"/>
    <w:rsid w:val="009058D6"/>
    <w:rsid w:val="0090591E"/>
    <w:rsid w:val="009059BF"/>
    <w:rsid w:val="00905BC8"/>
    <w:rsid w:val="00905BCA"/>
    <w:rsid w:val="00905BFC"/>
    <w:rsid w:val="00905D0F"/>
    <w:rsid w:val="00905D55"/>
    <w:rsid w:val="00906300"/>
    <w:rsid w:val="009069B7"/>
    <w:rsid w:val="00906B8B"/>
    <w:rsid w:val="00906CF0"/>
    <w:rsid w:val="0090703D"/>
    <w:rsid w:val="00907093"/>
    <w:rsid w:val="00907526"/>
    <w:rsid w:val="00907689"/>
    <w:rsid w:val="00907856"/>
    <w:rsid w:val="00907B83"/>
    <w:rsid w:val="00907C07"/>
    <w:rsid w:val="00907E47"/>
    <w:rsid w:val="00907F40"/>
    <w:rsid w:val="0091021C"/>
    <w:rsid w:val="009105BA"/>
    <w:rsid w:val="00910749"/>
    <w:rsid w:val="009107E8"/>
    <w:rsid w:val="0091088D"/>
    <w:rsid w:val="00910D0D"/>
    <w:rsid w:val="00910D4B"/>
    <w:rsid w:val="0091102F"/>
    <w:rsid w:val="0091124B"/>
    <w:rsid w:val="009114F5"/>
    <w:rsid w:val="009115FA"/>
    <w:rsid w:val="00911765"/>
    <w:rsid w:val="0091190B"/>
    <w:rsid w:val="00911C1D"/>
    <w:rsid w:val="00911FEB"/>
    <w:rsid w:val="00912374"/>
    <w:rsid w:val="009129AC"/>
    <w:rsid w:val="00912A44"/>
    <w:rsid w:val="00912B5E"/>
    <w:rsid w:val="00912B8A"/>
    <w:rsid w:val="00912CF7"/>
    <w:rsid w:val="00913019"/>
    <w:rsid w:val="009131E6"/>
    <w:rsid w:val="00913809"/>
    <w:rsid w:val="009138CE"/>
    <w:rsid w:val="00913917"/>
    <w:rsid w:val="00913A2E"/>
    <w:rsid w:val="00913AF8"/>
    <w:rsid w:val="00913B46"/>
    <w:rsid w:val="00913B84"/>
    <w:rsid w:val="00913EFE"/>
    <w:rsid w:val="00913F6D"/>
    <w:rsid w:val="009140BB"/>
    <w:rsid w:val="00914446"/>
    <w:rsid w:val="00914674"/>
    <w:rsid w:val="00914703"/>
    <w:rsid w:val="00914F52"/>
    <w:rsid w:val="0091562E"/>
    <w:rsid w:val="00915BA5"/>
    <w:rsid w:val="00916540"/>
    <w:rsid w:val="00916749"/>
    <w:rsid w:val="00916AEE"/>
    <w:rsid w:val="009170A8"/>
    <w:rsid w:val="00917168"/>
    <w:rsid w:val="009171E0"/>
    <w:rsid w:val="009172B2"/>
    <w:rsid w:val="0091779B"/>
    <w:rsid w:val="00917D40"/>
    <w:rsid w:val="00917FA8"/>
    <w:rsid w:val="009201EC"/>
    <w:rsid w:val="0092042D"/>
    <w:rsid w:val="00920442"/>
    <w:rsid w:val="00920529"/>
    <w:rsid w:val="00920717"/>
    <w:rsid w:val="00920B66"/>
    <w:rsid w:val="00920C4A"/>
    <w:rsid w:val="00920C68"/>
    <w:rsid w:val="00921208"/>
    <w:rsid w:val="00921240"/>
    <w:rsid w:val="0092188C"/>
    <w:rsid w:val="00921C5F"/>
    <w:rsid w:val="00921E22"/>
    <w:rsid w:val="009223C3"/>
    <w:rsid w:val="00922571"/>
    <w:rsid w:val="0092293D"/>
    <w:rsid w:val="0092294E"/>
    <w:rsid w:val="009229D2"/>
    <w:rsid w:val="00922B33"/>
    <w:rsid w:val="00922CA6"/>
    <w:rsid w:val="00922EF1"/>
    <w:rsid w:val="00923471"/>
    <w:rsid w:val="00923544"/>
    <w:rsid w:val="009236A0"/>
    <w:rsid w:val="009236F3"/>
    <w:rsid w:val="0092376D"/>
    <w:rsid w:val="00923B40"/>
    <w:rsid w:val="00923E25"/>
    <w:rsid w:val="00923F8A"/>
    <w:rsid w:val="00924302"/>
    <w:rsid w:val="009244F2"/>
    <w:rsid w:val="0092496A"/>
    <w:rsid w:val="00924AEC"/>
    <w:rsid w:val="00924D05"/>
    <w:rsid w:val="009255B5"/>
    <w:rsid w:val="00925674"/>
    <w:rsid w:val="00925678"/>
    <w:rsid w:val="0092569F"/>
    <w:rsid w:val="009256ED"/>
    <w:rsid w:val="00925722"/>
    <w:rsid w:val="00925930"/>
    <w:rsid w:val="00925A50"/>
    <w:rsid w:val="00925BCE"/>
    <w:rsid w:val="00926036"/>
    <w:rsid w:val="00926043"/>
    <w:rsid w:val="009267C5"/>
    <w:rsid w:val="009268F6"/>
    <w:rsid w:val="00926B7F"/>
    <w:rsid w:val="00926C19"/>
    <w:rsid w:val="00926D38"/>
    <w:rsid w:val="0092701B"/>
    <w:rsid w:val="00927309"/>
    <w:rsid w:val="0092775C"/>
    <w:rsid w:val="00927D63"/>
    <w:rsid w:val="00927E03"/>
    <w:rsid w:val="00930874"/>
    <w:rsid w:val="00930A6A"/>
    <w:rsid w:val="00930D2B"/>
    <w:rsid w:val="00930E6B"/>
    <w:rsid w:val="0093121B"/>
    <w:rsid w:val="00931B8C"/>
    <w:rsid w:val="00931BAC"/>
    <w:rsid w:val="00931C5B"/>
    <w:rsid w:val="00931D5C"/>
    <w:rsid w:val="00931EC5"/>
    <w:rsid w:val="00931F5C"/>
    <w:rsid w:val="00931F99"/>
    <w:rsid w:val="00931FA5"/>
    <w:rsid w:val="00932176"/>
    <w:rsid w:val="0093225D"/>
    <w:rsid w:val="009322F5"/>
    <w:rsid w:val="00932590"/>
    <w:rsid w:val="0093279B"/>
    <w:rsid w:val="009328C8"/>
    <w:rsid w:val="00932BA4"/>
    <w:rsid w:val="00932FB3"/>
    <w:rsid w:val="00933002"/>
    <w:rsid w:val="00933212"/>
    <w:rsid w:val="0093356F"/>
    <w:rsid w:val="0093369A"/>
    <w:rsid w:val="009338F9"/>
    <w:rsid w:val="00933CA0"/>
    <w:rsid w:val="00933E1C"/>
    <w:rsid w:val="00933E8C"/>
    <w:rsid w:val="00933F21"/>
    <w:rsid w:val="0093401C"/>
    <w:rsid w:val="009342F4"/>
    <w:rsid w:val="00934315"/>
    <w:rsid w:val="009343DE"/>
    <w:rsid w:val="009345E4"/>
    <w:rsid w:val="0093462E"/>
    <w:rsid w:val="00934775"/>
    <w:rsid w:val="00934BFC"/>
    <w:rsid w:val="00934D2A"/>
    <w:rsid w:val="00934E7B"/>
    <w:rsid w:val="009352B8"/>
    <w:rsid w:val="009352DD"/>
    <w:rsid w:val="009355FD"/>
    <w:rsid w:val="00935ACB"/>
    <w:rsid w:val="00935F50"/>
    <w:rsid w:val="00936194"/>
    <w:rsid w:val="009364AA"/>
    <w:rsid w:val="00936950"/>
    <w:rsid w:val="00936AC7"/>
    <w:rsid w:val="00936EF6"/>
    <w:rsid w:val="00937461"/>
    <w:rsid w:val="0093773C"/>
    <w:rsid w:val="00937A7D"/>
    <w:rsid w:val="0094047E"/>
    <w:rsid w:val="00940545"/>
    <w:rsid w:val="0094099C"/>
    <w:rsid w:val="00940EB0"/>
    <w:rsid w:val="00940F3B"/>
    <w:rsid w:val="00940FCA"/>
    <w:rsid w:val="00941042"/>
    <w:rsid w:val="009416D1"/>
    <w:rsid w:val="009416D6"/>
    <w:rsid w:val="009419DA"/>
    <w:rsid w:val="00941D3B"/>
    <w:rsid w:val="00942AA5"/>
    <w:rsid w:val="0094313F"/>
    <w:rsid w:val="00943188"/>
    <w:rsid w:val="009431C0"/>
    <w:rsid w:val="00943593"/>
    <w:rsid w:val="009439FA"/>
    <w:rsid w:val="00943ACF"/>
    <w:rsid w:val="00943BBA"/>
    <w:rsid w:val="00943BF0"/>
    <w:rsid w:val="00943BFD"/>
    <w:rsid w:val="00943F0A"/>
    <w:rsid w:val="009444BD"/>
    <w:rsid w:val="0094462A"/>
    <w:rsid w:val="00944680"/>
    <w:rsid w:val="009446C5"/>
    <w:rsid w:val="009446FB"/>
    <w:rsid w:val="00944825"/>
    <w:rsid w:val="00944A2B"/>
    <w:rsid w:val="00944D74"/>
    <w:rsid w:val="00944D88"/>
    <w:rsid w:val="009455CA"/>
    <w:rsid w:val="00945994"/>
    <w:rsid w:val="00945AF6"/>
    <w:rsid w:val="00945C2C"/>
    <w:rsid w:val="00945E50"/>
    <w:rsid w:val="00945E91"/>
    <w:rsid w:val="00945EC4"/>
    <w:rsid w:val="00946301"/>
    <w:rsid w:val="009464A9"/>
    <w:rsid w:val="009467C9"/>
    <w:rsid w:val="0094681D"/>
    <w:rsid w:val="00946B20"/>
    <w:rsid w:val="00946E6A"/>
    <w:rsid w:val="009473B7"/>
    <w:rsid w:val="00947507"/>
    <w:rsid w:val="009476F6"/>
    <w:rsid w:val="009478EE"/>
    <w:rsid w:val="00947E1B"/>
    <w:rsid w:val="00947F12"/>
    <w:rsid w:val="00947F2C"/>
    <w:rsid w:val="0095057F"/>
    <w:rsid w:val="00950BDC"/>
    <w:rsid w:val="00950CCF"/>
    <w:rsid w:val="009512A1"/>
    <w:rsid w:val="0095135A"/>
    <w:rsid w:val="00951EE5"/>
    <w:rsid w:val="009520CF"/>
    <w:rsid w:val="00952160"/>
    <w:rsid w:val="009521F9"/>
    <w:rsid w:val="00952567"/>
    <w:rsid w:val="00952824"/>
    <w:rsid w:val="0095286E"/>
    <w:rsid w:val="00952964"/>
    <w:rsid w:val="00952992"/>
    <w:rsid w:val="00952C5D"/>
    <w:rsid w:val="00953140"/>
    <w:rsid w:val="00953565"/>
    <w:rsid w:val="00953AA7"/>
    <w:rsid w:val="00953AEE"/>
    <w:rsid w:val="00954289"/>
    <w:rsid w:val="0095461A"/>
    <w:rsid w:val="009546D6"/>
    <w:rsid w:val="00954AB5"/>
    <w:rsid w:val="00954AB6"/>
    <w:rsid w:val="00954AD6"/>
    <w:rsid w:val="00954C61"/>
    <w:rsid w:val="00954D39"/>
    <w:rsid w:val="00954D4E"/>
    <w:rsid w:val="00954FDC"/>
    <w:rsid w:val="009553B5"/>
    <w:rsid w:val="0095592B"/>
    <w:rsid w:val="00955B03"/>
    <w:rsid w:val="00955B07"/>
    <w:rsid w:val="00955D21"/>
    <w:rsid w:val="00955D92"/>
    <w:rsid w:val="00955E0E"/>
    <w:rsid w:val="00955E78"/>
    <w:rsid w:val="0095611B"/>
    <w:rsid w:val="009561CE"/>
    <w:rsid w:val="009561FC"/>
    <w:rsid w:val="00956269"/>
    <w:rsid w:val="00956475"/>
    <w:rsid w:val="009565BF"/>
    <w:rsid w:val="0095735B"/>
    <w:rsid w:val="009576E8"/>
    <w:rsid w:val="00957B1B"/>
    <w:rsid w:val="00957E1A"/>
    <w:rsid w:val="00957FC0"/>
    <w:rsid w:val="00960013"/>
    <w:rsid w:val="0096006B"/>
    <w:rsid w:val="0096009B"/>
    <w:rsid w:val="00960F84"/>
    <w:rsid w:val="00960FEC"/>
    <w:rsid w:val="009612EC"/>
    <w:rsid w:val="00961697"/>
    <w:rsid w:val="00961D35"/>
    <w:rsid w:val="00961D5A"/>
    <w:rsid w:val="0096214A"/>
    <w:rsid w:val="009621E7"/>
    <w:rsid w:val="009623E3"/>
    <w:rsid w:val="00962620"/>
    <w:rsid w:val="009627DE"/>
    <w:rsid w:val="009629B9"/>
    <w:rsid w:val="00962B66"/>
    <w:rsid w:val="00962BF3"/>
    <w:rsid w:val="00962DCA"/>
    <w:rsid w:val="00962DEC"/>
    <w:rsid w:val="00962FFD"/>
    <w:rsid w:val="00963116"/>
    <w:rsid w:val="009637F8"/>
    <w:rsid w:val="00963A13"/>
    <w:rsid w:val="00963DDB"/>
    <w:rsid w:val="00963E55"/>
    <w:rsid w:val="00963F26"/>
    <w:rsid w:val="00963F62"/>
    <w:rsid w:val="00963FC6"/>
    <w:rsid w:val="0096471C"/>
    <w:rsid w:val="00964DCC"/>
    <w:rsid w:val="00965302"/>
    <w:rsid w:val="0096550B"/>
    <w:rsid w:val="00965ACD"/>
    <w:rsid w:val="00965D72"/>
    <w:rsid w:val="00965DCF"/>
    <w:rsid w:val="009661BD"/>
    <w:rsid w:val="009663BF"/>
    <w:rsid w:val="00966B65"/>
    <w:rsid w:val="00966B98"/>
    <w:rsid w:val="00966F90"/>
    <w:rsid w:val="009670A9"/>
    <w:rsid w:val="009670DE"/>
    <w:rsid w:val="0096723F"/>
    <w:rsid w:val="00967B46"/>
    <w:rsid w:val="009703DD"/>
    <w:rsid w:val="009707F7"/>
    <w:rsid w:val="00970C07"/>
    <w:rsid w:val="009713B9"/>
    <w:rsid w:val="00971750"/>
    <w:rsid w:val="0097177D"/>
    <w:rsid w:val="009717D3"/>
    <w:rsid w:val="00971AA3"/>
    <w:rsid w:val="00971D08"/>
    <w:rsid w:val="00971F11"/>
    <w:rsid w:val="009725AC"/>
    <w:rsid w:val="00972863"/>
    <w:rsid w:val="00972B55"/>
    <w:rsid w:val="00972DB0"/>
    <w:rsid w:val="00972F23"/>
    <w:rsid w:val="00972FF9"/>
    <w:rsid w:val="00973197"/>
    <w:rsid w:val="00973370"/>
    <w:rsid w:val="009735B5"/>
    <w:rsid w:val="00973904"/>
    <w:rsid w:val="00973AC1"/>
    <w:rsid w:val="00973E34"/>
    <w:rsid w:val="009740E6"/>
    <w:rsid w:val="0097435B"/>
    <w:rsid w:val="0097449A"/>
    <w:rsid w:val="009749F3"/>
    <w:rsid w:val="00974D17"/>
    <w:rsid w:val="00974D64"/>
    <w:rsid w:val="00974E1D"/>
    <w:rsid w:val="00975B67"/>
    <w:rsid w:val="00975B72"/>
    <w:rsid w:val="00975D35"/>
    <w:rsid w:val="00975D6F"/>
    <w:rsid w:val="009763B7"/>
    <w:rsid w:val="0097697E"/>
    <w:rsid w:val="00976A30"/>
    <w:rsid w:val="009801F1"/>
    <w:rsid w:val="009805E2"/>
    <w:rsid w:val="00980B1B"/>
    <w:rsid w:val="00980BBC"/>
    <w:rsid w:val="00980C13"/>
    <w:rsid w:val="00981065"/>
    <w:rsid w:val="00981668"/>
    <w:rsid w:val="00981C0F"/>
    <w:rsid w:val="00981CE7"/>
    <w:rsid w:val="00982052"/>
    <w:rsid w:val="0098215D"/>
    <w:rsid w:val="009821F0"/>
    <w:rsid w:val="00982227"/>
    <w:rsid w:val="009822CF"/>
    <w:rsid w:val="0098250B"/>
    <w:rsid w:val="009826AC"/>
    <w:rsid w:val="00982875"/>
    <w:rsid w:val="0098294D"/>
    <w:rsid w:val="00982D1F"/>
    <w:rsid w:val="00982EDC"/>
    <w:rsid w:val="00983577"/>
    <w:rsid w:val="00983814"/>
    <w:rsid w:val="009838EC"/>
    <w:rsid w:val="00983B60"/>
    <w:rsid w:val="00983FEF"/>
    <w:rsid w:val="00984060"/>
    <w:rsid w:val="0098457D"/>
    <w:rsid w:val="00984956"/>
    <w:rsid w:val="00984A59"/>
    <w:rsid w:val="00984C37"/>
    <w:rsid w:val="00984F23"/>
    <w:rsid w:val="00985074"/>
    <w:rsid w:val="00985111"/>
    <w:rsid w:val="0098529F"/>
    <w:rsid w:val="00985483"/>
    <w:rsid w:val="009856C2"/>
    <w:rsid w:val="0098591A"/>
    <w:rsid w:val="00985AE2"/>
    <w:rsid w:val="00985F0B"/>
    <w:rsid w:val="00985FF6"/>
    <w:rsid w:val="00986140"/>
    <w:rsid w:val="00986738"/>
    <w:rsid w:val="0098677B"/>
    <w:rsid w:val="00986D0D"/>
    <w:rsid w:val="00987349"/>
    <w:rsid w:val="009876DB"/>
    <w:rsid w:val="009879D5"/>
    <w:rsid w:val="00987D3A"/>
    <w:rsid w:val="00987D46"/>
    <w:rsid w:val="00987D9F"/>
    <w:rsid w:val="00987E03"/>
    <w:rsid w:val="00987EB8"/>
    <w:rsid w:val="00987F0A"/>
    <w:rsid w:val="0099050B"/>
    <w:rsid w:val="009909FA"/>
    <w:rsid w:val="00990A5D"/>
    <w:rsid w:val="00990B4F"/>
    <w:rsid w:val="00990B6E"/>
    <w:rsid w:val="00990C87"/>
    <w:rsid w:val="00990D36"/>
    <w:rsid w:val="00990DDC"/>
    <w:rsid w:val="0099178C"/>
    <w:rsid w:val="00991B87"/>
    <w:rsid w:val="00991BF2"/>
    <w:rsid w:val="00991D2F"/>
    <w:rsid w:val="00991D9E"/>
    <w:rsid w:val="0099226C"/>
    <w:rsid w:val="009923AD"/>
    <w:rsid w:val="009927E1"/>
    <w:rsid w:val="0099296C"/>
    <w:rsid w:val="00992D09"/>
    <w:rsid w:val="00992DE4"/>
    <w:rsid w:val="00993022"/>
    <w:rsid w:val="00993210"/>
    <w:rsid w:val="0099347F"/>
    <w:rsid w:val="00993658"/>
    <w:rsid w:val="0099376D"/>
    <w:rsid w:val="00993933"/>
    <w:rsid w:val="00993D3F"/>
    <w:rsid w:val="00993E5A"/>
    <w:rsid w:val="00993F1D"/>
    <w:rsid w:val="00994348"/>
    <w:rsid w:val="0099493A"/>
    <w:rsid w:val="00994B03"/>
    <w:rsid w:val="00994B14"/>
    <w:rsid w:val="00994F31"/>
    <w:rsid w:val="0099507D"/>
    <w:rsid w:val="00995397"/>
    <w:rsid w:val="0099566F"/>
    <w:rsid w:val="00995927"/>
    <w:rsid w:val="009959C2"/>
    <w:rsid w:val="00995D96"/>
    <w:rsid w:val="00995F22"/>
    <w:rsid w:val="00996128"/>
    <w:rsid w:val="00996378"/>
    <w:rsid w:val="00996589"/>
    <w:rsid w:val="009965D3"/>
    <w:rsid w:val="00996695"/>
    <w:rsid w:val="009966A1"/>
    <w:rsid w:val="009968BE"/>
    <w:rsid w:val="009969EC"/>
    <w:rsid w:val="00996AE6"/>
    <w:rsid w:val="00996B90"/>
    <w:rsid w:val="00996BE1"/>
    <w:rsid w:val="00996E11"/>
    <w:rsid w:val="00996F69"/>
    <w:rsid w:val="009976F7"/>
    <w:rsid w:val="00997DC2"/>
    <w:rsid w:val="00997E85"/>
    <w:rsid w:val="00997F31"/>
    <w:rsid w:val="009A0182"/>
    <w:rsid w:val="009A0220"/>
    <w:rsid w:val="009A043F"/>
    <w:rsid w:val="009A0704"/>
    <w:rsid w:val="009A0ED7"/>
    <w:rsid w:val="009A1071"/>
    <w:rsid w:val="009A11F3"/>
    <w:rsid w:val="009A15F1"/>
    <w:rsid w:val="009A16B2"/>
    <w:rsid w:val="009A1A63"/>
    <w:rsid w:val="009A1DAB"/>
    <w:rsid w:val="009A22CF"/>
    <w:rsid w:val="009A24B7"/>
    <w:rsid w:val="009A28DD"/>
    <w:rsid w:val="009A301A"/>
    <w:rsid w:val="009A3311"/>
    <w:rsid w:val="009A339D"/>
    <w:rsid w:val="009A33A6"/>
    <w:rsid w:val="009A35C8"/>
    <w:rsid w:val="009A3C05"/>
    <w:rsid w:val="009A3D03"/>
    <w:rsid w:val="009A42BC"/>
    <w:rsid w:val="009A43DD"/>
    <w:rsid w:val="009A45AD"/>
    <w:rsid w:val="009A467B"/>
    <w:rsid w:val="009A4722"/>
    <w:rsid w:val="009A4B25"/>
    <w:rsid w:val="009A4CC1"/>
    <w:rsid w:val="009A4FC1"/>
    <w:rsid w:val="009A5190"/>
    <w:rsid w:val="009A5479"/>
    <w:rsid w:val="009A56FE"/>
    <w:rsid w:val="009A595F"/>
    <w:rsid w:val="009A5A5B"/>
    <w:rsid w:val="009A5D33"/>
    <w:rsid w:val="009A5D62"/>
    <w:rsid w:val="009A6308"/>
    <w:rsid w:val="009A6663"/>
    <w:rsid w:val="009A673B"/>
    <w:rsid w:val="009A6B89"/>
    <w:rsid w:val="009A7098"/>
    <w:rsid w:val="009A711A"/>
    <w:rsid w:val="009A7217"/>
    <w:rsid w:val="009A75A9"/>
    <w:rsid w:val="009A76C8"/>
    <w:rsid w:val="009A776A"/>
    <w:rsid w:val="009A79F4"/>
    <w:rsid w:val="009A7C54"/>
    <w:rsid w:val="009A7D25"/>
    <w:rsid w:val="009A7F7E"/>
    <w:rsid w:val="009B01DE"/>
    <w:rsid w:val="009B02C8"/>
    <w:rsid w:val="009B0685"/>
    <w:rsid w:val="009B0E2B"/>
    <w:rsid w:val="009B175E"/>
    <w:rsid w:val="009B1BDA"/>
    <w:rsid w:val="009B20D9"/>
    <w:rsid w:val="009B251C"/>
    <w:rsid w:val="009B2942"/>
    <w:rsid w:val="009B2A46"/>
    <w:rsid w:val="009B2AD4"/>
    <w:rsid w:val="009B2B36"/>
    <w:rsid w:val="009B2C18"/>
    <w:rsid w:val="009B2E81"/>
    <w:rsid w:val="009B3095"/>
    <w:rsid w:val="009B3182"/>
    <w:rsid w:val="009B31B1"/>
    <w:rsid w:val="009B3312"/>
    <w:rsid w:val="009B3639"/>
    <w:rsid w:val="009B39CF"/>
    <w:rsid w:val="009B3BA8"/>
    <w:rsid w:val="009B3BFE"/>
    <w:rsid w:val="009B3ECC"/>
    <w:rsid w:val="009B4179"/>
    <w:rsid w:val="009B422F"/>
    <w:rsid w:val="009B47DE"/>
    <w:rsid w:val="009B49E5"/>
    <w:rsid w:val="009B4B52"/>
    <w:rsid w:val="009B4D13"/>
    <w:rsid w:val="009B4DD8"/>
    <w:rsid w:val="009B4E53"/>
    <w:rsid w:val="009B504B"/>
    <w:rsid w:val="009B5327"/>
    <w:rsid w:val="009B53C8"/>
    <w:rsid w:val="009B547D"/>
    <w:rsid w:val="009B569A"/>
    <w:rsid w:val="009B6191"/>
    <w:rsid w:val="009B66FB"/>
    <w:rsid w:val="009B6DFB"/>
    <w:rsid w:val="009B70FC"/>
    <w:rsid w:val="009B72C8"/>
    <w:rsid w:val="009B755E"/>
    <w:rsid w:val="009B76A2"/>
    <w:rsid w:val="009B7DA2"/>
    <w:rsid w:val="009C06CF"/>
    <w:rsid w:val="009C073D"/>
    <w:rsid w:val="009C0939"/>
    <w:rsid w:val="009C1221"/>
    <w:rsid w:val="009C174D"/>
    <w:rsid w:val="009C1F16"/>
    <w:rsid w:val="009C211B"/>
    <w:rsid w:val="009C239C"/>
    <w:rsid w:val="009C2417"/>
    <w:rsid w:val="009C260A"/>
    <w:rsid w:val="009C27E0"/>
    <w:rsid w:val="009C284A"/>
    <w:rsid w:val="009C2A02"/>
    <w:rsid w:val="009C2C56"/>
    <w:rsid w:val="009C2D61"/>
    <w:rsid w:val="009C314F"/>
    <w:rsid w:val="009C31CC"/>
    <w:rsid w:val="009C37A5"/>
    <w:rsid w:val="009C3DC2"/>
    <w:rsid w:val="009C3E9B"/>
    <w:rsid w:val="009C3EC4"/>
    <w:rsid w:val="009C4795"/>
    <w:rsid w:val="009C4F5C"/>
    <w:rsid w:val="009C4F8C"/>
    <w:rsid w:val="009C4FAA"/>
    <w:rsid w:val="009C510F"/>
    <w:rsid w:val="009C52AF"/>
    <w:rsid w:val="009C5491"/>
    <w:rsid w:val="009C559F"/>
    <w:rsid w:val="009C56F4"/>
    <w:rsid w:val="009C5863"/>
    <w:rsid w:val="009C5947"/>
    <w:rsid w:val="009C5A75"/>
    <w:rsid w:val="009C5B21"/>
    <w:rsid w:val="009C5D7A"/>
    <w:rsid w:val="009C5F63"/>
    <w:rsid w:val="009C67FE"/>
    <w:rsid w:val="009C68F2"/>
    <w:rsid w:val="009C6BD9"/>
    <w:rsid w:val="009C6C49"/>
    <w:rsid w:val="009C71E0"/>
    <w:rsid w:val="009C72C4"/>
    <w:rsid w:val="009C73D0"/>
    <w:rsid w:val="009C7473"/>
    <w:rsid w:val="009C7516"/>
    <w:rsid w:val="009C7681"/>
    <w:rsid w:val="009C7F61"/>
    <w:rsid w:val="009D01D8"/>
    <w:rsid w:val="009D069D"/>
    <w:rsid w:val="009D0824"/>
    <w:rsid w:val="009D082B"/>
    <w:rsid w:val="009D0955"/>
    <w:rsid w:val="009D0A29"/>
    <w:rsid w:val="009D0B26"/>
    <w:rsid w:val="009D0D46"/>
    <w:rsid w:val="009D0F31"/>
    <w:rsid w:val="009D1093"/>
    <w:rsid w:val="009D12E9"/>
    <w:rsid w:val="009D1830"/>
    <w:rsid w:val="009D1BAE"/>
    <w:rsid w:val="009D1E6C"/>
    <w:rsid w:val="009D1EFB"/>
    <w:rsid w:val="009D20A8"/>
    <w:rsid w:val="009D2417"/>
    <w:rsid w:val="009D2451"/>
    <w:rsid w:val="009D24F7"/>
    <w:rsid w:val="009D267B"/>
    <w:rsid w:val="009D26D4"/>
    <w:rsid w:val="009D28D0"/>
    <w:rsid w:val="009D2A49"/>
    <w:rsid w:val="009D2C67"/>
    <w:rsid w:val="009D30F8"/>
    <w:rsid w:val="009D406B"/>
    <w:rsid w:val="009D441E"/>
    <w:rsid w:val="009D450C"/>
    <w:rsid w:val="009D48B6"/>
    <w:rsid w:val="009D48CE"/>
    <w:rsid w:val="009D4A0A"/>
    <w:rsid w:val="009D545D"/>
    <w:rsid w:val="009D572D"/>
    <w:rsid w:val="009D596F"/>
    <w:rsid w:val="009D608C"/>
    <w:rsid w:val="009D6132"/>
    <w:rsid w:val="009D64E7"/>
    <w:rsid w:val="009D697B"/>
    <w:rsid w:val="009D6C45"/>
    <w:rsid w:val="009D6D57"/>
    <w:rsid w:val="009D6EDD"/>
    <w:rsid w:val="009D7156"/>
    <w:rsid w:val="009D76BE"/>
    <w:rsid w:val="009D7712"/>
    <w:rsid w:val="009D7916"/>
    <w:rsid w:val="009D7CE5"/>
    <w:rsid w:val="009D7EF2"/>
    <w:rsid w:val="009E0397"/>
    <w:rsid w:val="009E09AF"/>
    <w:rsid w:val="009E0B68"/>
    <w:rsid w:val="009E0EE7"/>
    <w:rsid w:val="009E1084"/>
    <w:rsid w:val="009E130B"/>
    <w:rsid w:val="009E1450"/>
    <w:rsid w:val="009E1BEA"/>
    <w:rsid w:val="009E1BF7"/>
    <w:rsid w:val="009E1EDA"/>
    <w:rsid w:val="009E215C"/>
    <w:rsid w:val="009E22BC"/>
    <w:rsid w:val="009E24AD"/>
    <w:rsid w:val="009E2768"/>
    <w:rsid w:val="009E2781"/>
    <w:rsid w:val="009E27BA"/>
    <w:rsid w:val="009E2A2C"/>
    <w:rsid w:val="009E2AEB"/>
    <w:rsid w:val="009E2C13"/>
    <w:rsid w:val="009E2D73"/>
    <w:rsid w:val="009E3055"/>
    <w:rsid w:val="009E30B5"/>
    <w:rsid w:val="009E31F3"/>
    <w:rsid w:val="009E354D"/>
    <w:rsid w:val="009E373F"/>
    <w:rsid w:val="009E3992"/>
    <w:rsid w:val="009E3D29"/>
    <w:rsid w:val="009E3D9F"/>
    <w:rsid w:val="009E3F13"/>
    <w:rsid w:val="009E3FFF"/>
    <w:rsid w:val="009E4282"/>
    <w:rsid w:val="009E428A"/>
    <w:rsid w:val="009E43C8"/>
    <w:rsid w:val="009E43FE"/>
    <w:rsid w:val="009E440E"/>
    <w:rsid w:val="009E4472"/>
    <w:rsid w:val="009E4484"/>
    <w:rsid w:val="009E46FB"/>
    <w:rsid w:val="009E4D85"/>
    <w:rsid w:val="009E50F0"/>
    <w:rsid w:val="009E5211"/>
    <w:rsid w:val="009E5294"/>
    <w:rsid w:val="009E5555"/>
    <w:rsid w:val="009E5A2E"/>
    <w:rsid w:val="009E5E55"/>
    <w:rsid w:val="009E6112"/>
    <w:rsid w:val="009E63BB"/>
    <w:rsid w:val="009E683C"/>
    <w:rsid w:val="009E69A9"/>
    <w:rsid w:val="009E69AC"/>
    <w:rsid w:val="009E6CBC"/>
    <w:rsid w:val="009E6E3B"/>
    <w:rsid w:val="009E7173"/>
    <w:rsid w:val="009E7185"/>
    <w:rsid w:val="009E7349"/>
    <w:rsid w:val="009E76A6"/>
    <w:rsid w:val="009E787C"/>
    <w:rsid w:val="009E78B1"/>
    <w:rsid w:val="009E7A85"/>
    <w:rsid w:val="009E7E9E"/>
    <w:rsid w:val="009F0283"/>
    <w:rsid w:val="009F03CA"/>
    <w:rsid w:val="009F04BA"/>
    <w:rsid w:val="009F058D"/>
    <w:rsid w:val="009F07DF"/>
    <w:rsid w:val="009F09B6"/>
    <w:rsid w:val="009F0BFD"/>
    <w:rsid w:val="009F121E"/>
    <w:rsid w:val="009F12B8"/>
    <w:rsid w:val="009F1BB2"/>
    <w:rsid w:val="009F1EAF"/>
    <w:rsid w:val="009F1EBA"/>
    <w:rsid w:val="009F206D"/>
    <w:rsid w:val="009F2435"/>
    <w:rsid w:val="009F24D5"/>
    <w:rsid w:val="009F251C"/>
    <w:rsid w:val="009F2639"/>
    <w:rsid w:val="009F3541"/>
    <w:rsid w:val="009F3AAF"/>
    <w:rsid w:val="009F3B43"/>
    <w:rsid w:val="009F3E52"/>
    <w:rsid w:val="009F4038"/>
    <w:rsid w:val="009F4512"/>
    <w:rsid w:val="009F4636"/>
    <w:rsid w:val="009F5220"/>
    <w:rsid w:val="009F5486"/>
    <w:rsid w:val="009F550B"/>
    <w:rsid w:val="009F550D"/>
    <w:rsid w:val="009F5725"/>
    <w:rsid w:val="009F57F6"/>
    <w:rsid w:val="009F5963"/>
    <w:rsid w:val="009F597B"/>
    <w:rsid w:val="009F5D83"/>
    <w:rsid w:val="009F5F19"/>
    <w:rsid w:val="009F5FDB"/>
    <w:rsid w:val="009F60AC"/>
    <w:rsid w:val="009F6198"/>
    <w:rsid w:val="009F6287"/>
    <w:rsid w:val="009F62A2"/>
    <w:rsid w:val="009F65BD"/>
    <w:rsid w:val="009F65E5"/>
    <w:rsid w:val="009F6712"/>
    <w:rsid w:val="009F70DC"/>
    <w:rsid w:val="009F722F"/>
    <w:rsid w:val="009F72A3"/>
    <w:rsid w:val="009F74CB"/>
    <w:rsid w:val="009F78C8"/>
    <w:rsid w:val="009F7957"/>
    <w:rsid w:val="009F7AC8"/>
    <w:rsid w:val="00A000AD"/>
    <w:rsid w:val="00A000F1"/>
    <w:rsid w:val="00A006BD"/>
    <w:rsid w:val="00A0072F"/>
    <w:rsid w:val="00A0079A"/>
    <w:rsid w:val="00A00967"/>
    <w:rsid w:val="00A00D57"/>
    <w:rsid w:val="00A00DEE"/>
    <w:rsid w:val="00A00FF7"/>
    <w:rsid w:val="00A01020"/>
    <w:rsid w:val="00A01022"/>
    <w:rsid w:val="00A010B0"/>
    <w:rsid w:val="00A011CE"/>
    <w:rsid w:val="00A014D9"/>
    <w:rsid w:val="00A017D9"/>
    <w:rsid w:val="00A01999"/>
    <w:rsid w:val="00A01C3A"/>
    <w:rsid w:val="00A01ED1"/>
    <w:rsid w:val="00A01FFC"/>
    <w:rsid w:val="00A02059"/>
    <w:rsid w:val="00A02222"/>
    <w:rsid w:val="00A022C2"/>
    <w:rsid w:val="00A026BF"/>
    <w:rsid w:val="00A027EC"/>
    <w:rsid w:val="00A02923"/>
    <w:rsid w:val="00A02B4A"/>
    <w:rsid w:val="00A02BF7"/>
    <w:rsid w:val="00A02C0D"/>
    <w:rsid w:val="00A02DB9"/>
    <w:rsid w:val="00A02E56"/>
    <w:rsid w:val="00A033E7"/>
    <w:rsid w:val="00A033F3"/>
    <w:rsid w:val="00A034AC"/>
    <w:rsid w:val="00A034F7"/>
    <w:rsid w:val="00A0368F"/>
    <w:rsid w:val="00A03B53"/>
    <w:rsid w:val="00A03D6C"/>
    <w:rsid w:val="00A04111"/>
    <w:rsid w:val="00A047CE"/>
    <w:rsid w:val="00A04E52"/>
    <w:rsid w:val="00A054D5"/>
    <w:rsid w:val="00A059C5"/>
    <w:rsid w:val="00A05FB9"/>
    <w:rsid w:val="00A062FF"/>
    <w:rsid w:val="00A06453"/>
    <w:rsid w:val="00A06476"/>
    <w:rsid w:val="00A06504"/>
    <w:rsid w:val="00A0665D"/>
    <w:rsid w:val="00A06AB3"/>
    <w:rsid w:val="00A06F63"/>
    <w:rsid w:val="00A07120"/>
    <w:rsid w:val="00A0716F"/>
    <w:rsid w:val="00A07465"/>
    <w:rsid w:val="00A0784C"/>
    <w:rsid w:val="00A07899"/>
    <w:rsid w:val="00A07945"/>
    <w:rsid w:val="00A07A98"/>
    <w:rsid w:val="00A07B24"/>
    <w:rsid w:val="00A10090"/>
    <w:rsid w:val="00A10352"/>
    <w:rsid w:val="00A10688"/>
    <w:rsid w:val="00A10BE7"/>
    <w:rsid w:val="00A10E7F"/>
    <w:rsid w:val="00A10E86"/>
    <w:rsid w:val="00A10F1A"/>
    <w:rsid w:val="00A11571"/>
    <w:rsid w:val="00A11687"/>
    <w:rsid w:val="00A11B22"/>
    <w:rsid w:val="00A11E54"/>
    <w:rsid w:val="00A12268"/>
    <w:rsid w:val="00A12612"/>
    <w:rsid w:val="00A12933"/>
    <w:rsid w:val="00A12A6A"/>
    <w:rsid w:val="00A12AD7"/>
    <w:rsid w:val="00A12BCE"/>
    <w:rsid w:val="00A12CB1"/>
    <w:rsid w:val="00A130D5"/>
    <w:rsid w:val="00A13278"/>
    <w:rsid w:val="00A133E4"/>
    <w:rsid w:val="00A134A7"/>
    <w:rsid w:val="00A134D1"/>
    <w:rsid w:val="00A134E8"/>
    <w:rsid w:val="00A1367E"/>
    <w:rsid w:val="00A13760"/>
    <w:rsid w:val="00A13770"/>
    <w:rsid w:val="00A1381A"/>
    <w:rsid w:val="00A13A3A"/>
    <w:rsid w:val="00A1403A"/>
    <w:rsid w:val="00A140D5"/>
    <w:rsid w:val="00A143FE"/>
    <w:rsid w:val="00A14416"/>
    <w:rsid w:val="00A14541"/>
    <w:rsid w:val="00A14565"/>
    <w:rsid w:val="00A14572"/>
    <w:rsid w:val="00A147AA"/>
    <w:rsid w:val="00A14965"/>
    <w:rsid w:val="00A14F18"/>
    <w:rsid w:val="00A15561"/>
    <w:rsid w:val="00A157D7"/>
    <w:rsid w:val="00A163B0"/>
    <w:rsid w:val="00A16432"/>
    <w:rsid w:val="00A16987"/>
    <w:rsid w:val="00A16AD8"/>
    <w:rsid w:val="00A16C0E"/>
    <w:rsid w:val="00A16CF0"/>
    <w:rsid w:val="00A16EF7"/>
    <w:rsid w:val="00A17942"/>
    <w:rsid w:val="00A17DAA"/>
    <w:rsid w:val="00A200CC"/>
    <w:rsid w:val="00A201E0"/>
    <w:rsid w:val="00A20504"/>
    <w:rsid w:val="00A205C7"/>
    <w:rsid w:val="00A20806"/>
    <w:rsid w:val="00A20EA4"/>
    <w:rsid w:val="00A2117E"/>
    <w:rsid w:val="00A215F7"/>
    <w:rsid w:val="00A217DD"/>
    <w:rsid w:val="00A21950"/>
    <w:rsid w:val="00A21E66"/>
    <w:rsid w:val="00A21F72"/>
    <w:rsid w:val="00A22183"/>
    <w:rsid w:val="00A22524"/>
    <w:rsid w:val="00A22898"/>
    <w:rsid w:val="00A22972"/>
    <w:rsid w:val="00A22B04"/>
    <w:rsid w:val="00A22B0D"/>
    <w:rsid w:val="00A22B18"/>
    <w:rsid w:val="00A22B65"/>
    <w:rsid w:val="00A23228"/>
    <w:rsid w:val="00A232E3"/>
    <w:rsid w:val="00A234DB"/>
    <w:rsid w:val="00A2367C"/>
    <w:rsid w:val="00A236CE"/>
    <w:rsid w:val="00A23905"/>
    <w:rsid w:val="00A23EC6"/>
    <w:rsid w:val="00A242A5"/>
    <w:rsid w:val="00A24510"/>
    <w:rsid w:val="00A245BF"/>
    <w:rsid w:val="00A24656"/>
    <w:rsid w:val="00A24819"/>
    <w:rsid w:val="00A24D4E"/>
    <w:rsid w:val="00A24F06"/>
    <w:rsid w:val="00A25186"/>
    <w:rsid w:val="00A25385"/>
    <w:rsid w:val="00A25756"/>
    <w:rsid w:val="00A2591B"/>
    <w:rsid w:val="00A259BD"/>
    <w:rsid w:val="00A25A17"/>
    <w:rsid w:val="00A25A36"/>
    <w:rsid w:val="00A25BCD"/>
    <w:rsid w:val="00A25C2B"/>
    <w:rsid w:val="00A260CB"/>
    <w:rsid w:val="00A260E4"/>
    <w:rsid w:val="00A261FA"/>
    <w:rsid w:val="00A26325"/>
    <w:rsid w:val="00A264CF"/>
    <w:rsid w:val="00A267D4"/>
    <w:rsid w:val="00A269A4"/>
    <w:rsid w:val="00A26F93"/>
    <w:rsid w:val="00A26FC5"/>
    <w:rsid w:val="00A276F6"/>
    <w:rsid w:val="00A27BDD"/>
    <w:rsid w:val="00A27CFE"/>
    <w:rsid w:val="00A30055"/>
    <w:rsid w:val="00A3016A"/>
    <w:rsid w:val="00A30230"/>
    <w:rsid w:val="00A30351"/>
    <w:rsid w:val="00A30653"/>
    <w:rsid w:val="00A3065D"/>
    <w:rsid w:val="00A309A1"/>
    <w:rsid w:val="00A309D8"/>
    <w:rsid w:val="00A30A68"/>
    <w:rsid w:val="00A30C5B"/>
    <w:rsid w:val="00A30E9B"/>
    <w:rsid w:val="00A30F1D"/>
    <w:rsid w:val="00A30FD2"/>
    <w:rsid w:val="00A314F5"/>
    <w:rsid w:val="00A31724"/>
    <w:rsid w:val="00A319C0"/>
    <w:rsid w:val="00A31A90"/>
    <w:rsid w:val="00A31C12"/>
    <w:rsid w:val="00A31D2C"/>
    <w:rsid w:val="00A31EDA"/>
    <w:rsid w:val="00A31F8C"/>
    <w:rsid w:val="00A32133"/>
    <w:rsid w:val="00A324B6"/>
    <w:rsid w:val="00A3289D"/>
    <w:rsid w:val="00A32B45"/>
    <w:rsid w:val="00A32E71"/>
    <w:rsid w:val="00A32EE5"/>
    <w:rsid w:val="00A32F10"/>
    <w:rsid w:val="00A32F9B"/>
    <w:rsid w:val="00A33026"/>
    <w:rsid w:val="00A3308F"/>
    <w:rsid w:val="00A3338F"/>
    <w:rsid w:val="00A333C4"/>
    <w:rsid w:val="00A33421"/>
    <w:rsid w:val="00A33560"/>
    <w:rsid w:val="00A33611"/>
    <w:rsid w:val="00A33C23"/>
    <w:rsid w:val="00A33FD0"/>
    <w:rsid w:val="00A3449B"/>
    <w:rsid w:val="00A346D1"/>
    <w:rsid w:val="00A3473C"/>
    <w:rsid w:val="00A34928"/>
    <w:rsid w:val="00A34EFC"/>
    <w:rsid w:val="00A35012"/>
    <w:rsid w:val="00A354DB"/>
    <w:rsid w:val="00A3561F"/>
    <w:rsid w:val="00A3579D"/>
    <w:rsid w:val="00A357DA"/>
    <w:rsid w:val="00A358D8"/>
    <w:rsid w:val="00A3593E"/>
    <w:rsid w:val="00A35AA2"/>
    <w:rsid w:val="00A35C67"/>
    <w:rsid w:val="00A36178"/>
    <w:rsid w:val="00A362DF"/>
    <w:rsid w:val="00A36675"/>
    <w:rsid w:val="00A366AF"/>
    <w:rsid w:val="00A36C19"/>
    <w:rsid w:val="00A36C8D"/>
    <w:rsid w:val="00A36EFF"/>
    <w:rsid w:val="00A36F46"/>
    <w:rsid w:val="00A3714A"/>
    <w:rsid w:val="00A37913"/>
    <w:rsid w:val="00A37F72"/>
    <w:rsid w:val="00A4068D"/>
    <w:rsid w:val="00A40C2A"/>
    <w:rsid w:val="00A40F5E"/>
    <w:rsid w:val="00A4126F"/>
    <w:rsid w:val="00A412A6"/>
    <w:rsid w:val="00A41328"/>
    <w:rsid w:val="00A415A7"/>
    <w:rsid w:val="00A41992"/>
    <w:rsid w:val="00A41A8F"/>
    <w:rsid w:val="00A41E1B"/>
    <w:rsid w:val="00A41F79"/>
    <w:rsid w:val="00A4223D"/>
    <w:rsid w:val="00A42247"/>
    <w:rsid w:val="00A422A6"/>
    <w:rsid w:val="00A422D6"/>
    <w:rsid w:val="00A423C7"/>
    <w:rsid w:val="00A4240B"/>
    <w:rsid w:val="00A4249D"/>
    <w:rsid w:val="00A427DF"/>
    <w:rsid w:val="00A4290C"/>
    <w:rsid w:val="00A42912"/>
    <w:rsid w:val="00A4291D"/>
    <w:rsid w:val="00A42986"/>
    <w:rsid w:val="00A42AB3"/>
    <w:rsid w:val="00A42ED6"/>
    <w:rsid w:val="00A4329E"/>
    <w:rsid w:val="00A437D2"/>
    <w:rsid w:val="00A43A11"/>
    <w:rsid w:val="00A4406F"/>
    <w:rsid w:val="00A44074"/>
    <w:rsid w:val="00A44159"/>
    <w:rsid w:val="00A442B5"/>
    <w:rsid w:val="00A44C86"/>
    <w:rsid w:val="00A44DC7"/>
    <w:rsid w:val="00A44DEC"/>
    <w:rsid w:val="00A454B8"/>
    <w:rsid w:val="00A45834"/>
    <w:rsid w:val="00A45A5D"/>
    <w:rsid w:val="00A45CE9"/>
    <w:rsid w:val="00A45EFF"/>
    <w:rsid w:val="00A45F88"/>
    <w:rsid w:val="00A460BC"/>
    <w:rsid w:val="00A46420"/>
    <w:rsid w:val="00A46602"/>
    <w:rsid w:val="00A467E3"/>
    <w:rsid w:val="00A467F4"/>
    <w:rsid w:val="00A46FE2"/>
    <w:rsid w:val="00A470A2"/>
    <w:rsid w:val="00A471B3"/>
    <w:rsid w:val="00A471C6"/>
    <w:rsid w:val="00A4720C"/>
    <w:rsid w:val="00A4732A"/>
    <w:rsid w:val="00A473E2"/>
    <w:rsid w:val="00A474EF"/>
    <w:rsid w:val="00A47526"/>
    <w:rsid w:val="00A47642"/>
    <w:rsid w:val="00A4768A"/>
    <w:rsid w:val="00A47699"/>
    <w:rsid w:val="00A47728"/>
    <w:rsid w:val="00A4775A"/>
    <w:rsid w:val="00A4782D"/>
    <w:rsid w:val="00A47851"/>
    <w:rsid w:val="00A4796D"/>
    <w:rsid w:val="00A47D5E"/>
    <w:rsid w:val="00A47D8D"/>
    <w:rsid w:val="00A47DAE"/>
    <w:rsid w:val="00A47E02"/>
    <w:rsid w:val="00A47E53"/>
    <w:rsid w:val="00A501EA"/>
    <w:rsid w:val="00A50235"/>
    <w:rsid w:val="00A50286"/>
    <w:rsid w:val="00A503CD"/>
    <w:rsid w:val="00A504A6"/>
    <w:rsid w:val="00A50679"/>
    <w:rsid w:val="00A50D83"/>
    <w:rsid w:val="00A50E7D"/>
    <w:rsid w:val="00A5108A"/>
    <w:rsid w:val="00A5169B"/>
    <w:rsid w:val="00A51A62"/>
    <w:rsid w:val="00A51C80"/>
    <w:rsid w:val="00A51E7B"/>
    <w:rsid w:val="00A520F9"/>
    <w:rsid w:val="00A52109"/>
    <w:rsid w:val="00A52563"/>
    <w:rsid w:val="00A5271F"/>
    <w:rsid w:val="00A527EC"/>
    <w:rsid w:val="00A527FA"/>
    <w:rsid w:val="00A52807"/>
    <w:rsid w:val="00A52B60"/>
    <w:rsid w:val="00A52D2C"/>
    <w:rsid w:val="00A530A8"/>
    <w:rsid w:val="00A5337E"/>
    <w:rsid w:val="00A534E1"/>
    <w:rsid w:val="00A5361A"/>
    <w:rsid w:val="00A53DF5"/>
    <w:rsid w:val="00A5442C"/>
    <w:rsid w:val="00A548B8"/>
    <w:rsid w:val="00A5492D"/>
    <w:rsid w:val="00A54B7B"/>
    <w:rsid w:val="00A54F82"/>
    <w:rsid w:val="00A552BE"/>
    <w:rsid w:val="00A5558A"/>
    <w:rsid w:val="00A558DC"/>
    <w:rsid w:val="00A55AA3"/>
    <w:rsid w:val="00A55ABB"/>
    <w:rsid w:val="00A55D2C"/>
    <w:rsid w:val="00A55E6E"/>
    <w:rsid w:val="00A5635D"/>
    <w:rsid w:val="00A566D0"/>
    <w:rsid w:val="00A567C6"/>
    <w:rsid w:val="00A56896"/>
    <w:rsid w:val="00A56921"/>
    <w:rsid w:val="00A56B50"/>
    <w:rsid w:val="00A56BC0"/>
    <w:rsid w:val="00A56DB2"/>
    <w:rsid w:val="00A56F26"/>
    <w:rsid w:val="00A572A3"/>
    <w:rsid w:val="00A579C3"/>
    <w:rsid w:val="00A57AF2"/>
    <w:rsid w:val="00A6049E"/>
    <w:rsid w:val="00A60B51"/>
    <w:rsid w:val="00A60B5E"/>
    <w:rsid w:val="00A60FEE"/>
    <w:rsid w:val="00A61065"/>
    <w:rsid w:val="00A6123F"/>
    <w:rsid w:val="00A612B2"/>
    <w:rsid w:val="00A612E2"/>
    <w:rsid w:val="00A6130F"/>
    <w:rsid w:val="00A6145A"/>
    <w:rsid w:val="00A619F9"/>
    <w:rsid w:val="00A61A01"/>
    <w:rsid w:val="00A61A42"/>
    <w:rsid w:val="00A61AC2"/>
    <w:rsid w:val="00A61B0B"/>
    <w:rsid w:val="00A61D0F"/>
    <w:rsid w:val="00A61E74"/>
    <w:rsid w:val="00A6205E"/>
    <w:rsid w:val="00A62082"/>
    <w:rsid w:val="00A6209B"/>
    <w:rsid w:val="00A6226F"/>
    <w:rsid w:val="00A622C0"/>
    <w:rsid w:val="00A623A2"/>
    <w:rsid w:val="00A6258E"/>
    <w:rsid w:val="00A628CC"/>
    <w:rsid w:val="00A62C2B"/>
    <w:rsid w:val="00A62E95"/>
    <w:rsid w:val="00A632E4"/>
    <w:rsid w:val="00A63409"/>
    <w:rsid w:val="00A63479"/>
    <w:rsid w:val="00A6350F"/>
    <w:rsid w:val="00A63822"/>
    <w:rsid w:val="00A638C4"/>
    <w:rsid w:val="00A63E8A"/>
    <w:rsid w:val="00A63F08"/>
    <w:rsid w:val="00A6414D"/>
    <w:rsid w:val="00A6414F"/>
    <w:rsid w:val="00A641A3"/>
    <w:rsid w:val="00A64629"/>
    <w:rsid w:val="00A64747"/>
    <w:rsid w:val="00A647A5"/>
    <w:rsid w:val="00A647A6"/>
    <w:rsid w:val="00A64971"/>
    <w:rsid w:val="00A64BB5"/>
    <w:rsid w:val="00A64E2A"/>
    <w:rsid w:val="00A654A2"/>
    <w:rsid w:val="00A6559C"/>
    <w:rsid w:val="00A65739"/>
    <w:rsid w:val="00A66142"/>
    <w:rsid w:val="00A6623A"/>
    <w:rsid w:val="00A6655C"/>
    <w:rsid w:val="00A66AA9"/>
    <w:rsid w:val="00A671D2"/>
    <w:rsid w:val="00A6727D"/>
    <w:rsid w:val="00A672D1"/>
    <w:rsid w:val="00A6749D"/>
    <w:rsid w:val="00A67858"/>
    <w:rsid w:val="00A67B0D"/>
    <w:rsid w:val="00A67C06"/>
    <w:rsid w:val="00A67DCA"/>
    <w:rsid w:val="00A70066"/>
    <w:rsid w:val="00A7017A"/>
    <w:rsid w:val="00A7033A"/>
    <w:rsid w:val="00A70420"/>
    <w:rsid w:val="00A70C12"/>
    <w:rsid w:val="00A70C17"/>
    <w:rsid w:val="00A7114B"/>
    <w:rsid w:val="00A712EB"/>
    <w:rsid w:val="00A715E0"/>
    <w:rsid w:val="00A717CF"/>
    <w:rsid w:val="00A71877"/>
    <w:rsid w:val="00A719E4"/>
    <w:rsid w:val="00A71B3A"/>
    <w:rsid w:val="00A71B5E"/>
    <w:rsid w:val="00A71F43"/>
    <w:rsid w:val="00A71F9F"/>
    <w:rsid w:val="00A720D0"/>
    <w:rsid w:val="00A72343"/>
    <w:rsid w:val="00A723E9"/>
    <w:rsid w:val="00A725AA"/>
    <w:rsid w:val="00A726F2"/>
    <w:rsid w:val="00A7274A"/>
    <w:rsid w:val="00A729E8"/>
    <w:rsid w:val="00A72B37"/>
    <w:rsid w:val="00A72D29"/>
    <w:rsid w:val="00A72D5C"/>
    <w:rsid w:val="00A72E64"/>
    <w:rsid w:val="00A72E73"/>
    <w:rsid w:val="00A72F06"/>
    <w:rsid w:val="00A73241"/>
    <w:rsid w:val="00A73336"/>
    <w:rsid w:val="00A735F1"/>
    <w:rsid w:val="00A735FA"/>
    <w:rsid w:val="00A73A8A"/>
    <w:rsid w:val="00A73DA6"/>
    <w:rsid w:val="00A7440B"/>
    <w:rsid w:val="00A74631"/>
    <w:rsid w:val="00A746BD"/>
    <w:rsid w:val="00A746E2"/>
    <w:rsid w:val="00A7473B"/>
    <w:rsid w:val="00A74A80"/>
    <w:rsid w:val="00A74D9C"/>
    <w:rsid w:val="00A751E5"/>
    <w:rsid w:val="00A75439"/>
    <w:rsid w:val="00A7571B"/>
    <w:rsid w:val="00A75735"/>
    <w:rsid w:val="00A7576C"/>
    <w:rsid w:val="00A7586A"/>
    <w:rsid w:val="00A75E75"/>
    <w:rsid w:val="00A7602D"/>
    <w:rsid w:val="00A760E6"/>
    <w:rsid w:val="00A760F9"/>
    <w:rsid w:val="00A7637F"/>
    <w:rsid w:val="00A763F0"/>
    <w:rsid w:val="00A7645D"/>
    <w:rsid w:val="00A7675B"/>
    <w:rsid w:val="00A76875"/>
    <w:rsid w:val="00A76A0B"/>
    <w:rsid w:val="00A76B67"/>
    <w:rsid w:val="00A76BBD"/>
    <w:rsid w:val="00A76C69"/>
    <w:rsid w:val="00A76EA6"/>
    <w:rsid w:val="00A77444"/>
    <w:rsid w:val="00A77540"/>
    <w:rsid w:val="00A775BD"/>
    <w:rsid w:val="00A777D4"/>
    <w:rsid w:val="00A77D56"/>
    <w:rsid w:val="00A77D5B"/>
    <w:rsid w:val="00A77D5E"/>
    <w:rsid w:val="00A77E15"/>
    <w:rsid w:val="00A77EB1"/>
    <w:rsid w:val="00A8036E"/>
    <w:rsid w:val="00A803C5"/>
    <w:rsid w:val="00A8084B"/>
    <w:rsid w:val="00A80C7E"/>
    <w:rsid w:val="00A81150"/>
    <w:rsid w:val="00A812D7"/>
    <w:rsid w:val="00A815DA"/>
    <w:rsid w:val="00A81889"/>
    <w:rsid w:val="00A819C4"/>
    <w:rsid w:val="00A81A6C"/>
    <w:rsid w:val="00A81B74"/>
    <w:rsid w:val="00A81BFE"/>
    <w:rsid w:val="00A81CEE"/>
    <w:rsid w:val="00A822AF"/>
    <w:rsid w:val="00A8258F"/>
    <w:rsid w:val="00A825AD"/>
    <w:rsid w:val="00A82647"/>
    <w:rsid w:val="00A82A3B"/>
    <w:rsid w:val="00A82AF9"/>
    <w:rsid w:val="00A82CDF"/>
    <w:rsid w:val="00A82E2B"/>
    <w:rsid w:val="00A82F4A"/>
    <w:rsid w:val="00A835D6"/>
    <w:rsid w:val="00A837E8"/>
    <w:rsid w:val="00A8409D"/>
    <w:rsid w:val="00A84170"/>
    <w:rsid w:val="00A841FF"/>
    <w:rsid w:val="00A84313"/>
    <w:rsid w:val="00A84593"/>
    <w:rsid w:val="00A846A9"/>
    <w:rsid w:val="00A8481C"/>
    <w:rsid w:val="00A84992"/>
    <w:rsid w:val="00A84DD2"/>
    <w:rsid w:val="00A84F32"/>
    <w:rsid w:val="00A84F72"/>
    <w:rsid w:val="00A8503A"/>
    <w:rsid w:val="00A858B5"/>
    <w:rsid w:val="00A8598A"/>
    <w:rsid w:val="00A859B4"/>
    <w:rsid w:val="00A85BE4"/>
    <w:rsid w:val="00A85EDD"/>
    <w:rsid w:val="00A85EE4"/>
    <w:rsid w:val="00A86163"/>
    <w:rsid w:val="00A863DD"/>
    <w:rsid w:val="00A8683A"/>
    <w:rsid w:val="00A86848"/>
    <w:rsid w:val="00A868C3"/>
    <w:rsid w:val="00A86FC3"/>
    <w:rsid w:val="00A8704C"/>
    <w:rsid w:val="00A87195"/>
    <w:rsid w:val="00A8773A"/>
    <w:rsid w:val="00A87C6E"/>
    <w:rsid w:val="00A87E90"/>
    <w:rsid w:val="00A9031A"/>
    <w:rsid w:val="00A9040B"/>
    <w:rsid w:val="00A905AD"/>
    <w:rsid w:val="00A90659"/>
    <w:rsid w:val="00A90881"/>
    <w:rsid w:val="00A90962"/>
    <w:rsid w:val="00A90A28"/>
    <w:rsid w:val="00A90FA8"/>
    <w:rsid w:val="00A91076"/>
    <w:rsid w:val="00A914F7"/>
    <w:rsid w:val="00A917D5"/>
    <w:rsid w:val="00A919D2"/>
    <w:rsid w:val="00A91C87"/>
    <w:rsid w:val="00A921A1"/>
    <w:rsid w:val="00A92431"/>
    <w:rsid w:val="00A924D7"/>
    <w:rsid w:val="00A925FB"/>
    <w:rsid w:val="00A92634"/>
    <w:rsid w:val="00A92E21"/>
    <w:rsid w:val="00A92E6D"/>
    <w:rsid w:val="00A92FB1"/>
    <w:rsid w:val="00A9321C"/>
    <w:rsid w:val="00A934DA"/>
    <w:rsid w:val="00A93533"/>
    <w:rsid w:val="00A93A58"/>
    <w:rsid w:val="00A94003"/>
    <w:rsid w:val="00A94032"/>
    <w:rsid w:val="00A94363"/>
    <w:rsid w:val="00A9449E"/>
    <w:rsid w:val="00A94C82"/>
    <w:rsid w:val="00A94DA6"/>
    <w:rsid w:val="00A95210"/>
    <w:rsid w:val="00A95399"/>
    <w:rsid w:val="00A954E1"/>
    <w:rsid w:val="00A958FE"/>
    <w:rsid w:val="00A959EC"/>
    <w:rsid w:val="00A95A5E"/>
    <w:rsid w:val="00A95B8E"/>
    <w:rsid w:val="00A95EB1"/>
    <w:rsid w:val="00A962A7"/>
    <w:rsid w:val="00A96327"/>
    <w:rsid w:val="00A964E0"/>
    <w:rsid w:val="00A96BEF"/>
    <w:rsid w:val="00A96D3B"/>
    <w:rsid w:val="00A96E22"/>
    <w:rsid w:val="00A96F37"/>
    <w:rsid w:val="00A9719E"/>
    <w:rsid w:val="00A974EB"/>
    <w:rsid w:val="00A9762B"/>
    <w:rsid w:val="00A9765C"/>
    <w:rsid w:val="00A9772C"/>
    <w:rsid w:val="00A97921"/>
    <w:rsid w:val="00A97975"/>
    <w:rsid w:val="00A97E40"/>
    <w:rsid w:val="00A97EAC"/>
    <w:rsid w:val="00A97F08"/>
    <w:rsid w:val="00A97F7F"/>
    <w:rsid w:val="00AA022F"/>
    <w:rsid w:val="00AA02E0"/>
    <w:rsid w:val="00AA05C4"/>
    <w:rsid w:val="00AA0770"/>
    <w:rsid w:val="00AA0ADA"/>
    <w:rsid w:val="00AA0B76"/>
    <w:rsid w:val="00AA113D"/>
    <w:rsid w:val="00AA159C"/>
    <w:rsid w:val="00AA1963"/>
    <w:rsid w:val="00AA1B24"/>
    <w:rsid w:val="00AA1EE9"/>
    <w:rsid w:val="00AA2524"/>
    <w:rsid w:val="00AA2734"/>
    <w:rsid w:val="00AA2851"/>
    <w:rsid w:val="00AA28E4"/>
    <w:rsid w:val="00AA2B02"/>
    <w:rsid w:val="00AA2F02"/>
    <w:rsid w:val="00AA321D"/>
    <w:rsid w:val="00AA3549"/>
    <w:rsid w:val="00AA3783"/>
    <w:rsid w:val="00AA3A78"/>
    <w:rsid w:val="00AA3AC7"/>
    <w:rsid w:val="00AA3B36"/>
    <w:rsid w:val="00AA3BEA"/>
    <w:rsid w:val="00AA426B"/>
    <w:rsid w:val="00AA43A4"/>
    <w:rsid w:val="00AA4435"/>
    <w:rsid w:val="00AA456A"/>
    <w:rsid w:val="00AA459F"/>
    <w:rsid w:val="00AA4B46"/>
    <w:rsid w:val="00AA4B94"/>
    <w:rsid w:val="00AA4C86"/>
    <w:rsid w:val="00AA4CB8"/>
    <w:rsid w:val="00AA4D9C"/>
    <w:rsid w:val="00AA515F"/>
    <w:rsid w:val="00AA5168"/>
    <w:rsid w:val="00AA5576"/>
    <w:rsid w:val="00AA557C"/>
    <w:rsid w:val="00AA569B"/>
    <w:rsid w:val="00AA5D4B"/>
    <w:rsid w:val="00AA5F89"/>
    <w:rsid w:val="00AA601E"/>
    <w:rsid w:val="00AA6647"/>
    <w:rsid w:val="00AA66B2"/>
    <w:rsid w:val="00AA67C8"/>
    <w:rsid w:val="00AA6AD9"/>
    <w:rsid w:val="00AA7178"/>
    <w:rsid w:val="00AA7217"/>
    <w:rsid w:val="00AA7556"/>
    <w:rsid w:val="00AA7607"/>
    <w:rsid w:val="00AA7A2D"/>
    <w:rsid w:val="00AA7D79"/>
    <w:rsid w:val="00AB01DE"/>
    <w:rsid w:val="00AB0218"/>
    <w:rsid w:val="00AB0335"/>
    <w:rsid w:val="00AB053E"/>
    <w:rsid w:val="00AB06EF"/>
    <w:rsid w:val="00AB08B8"/>
    <w:rsid w:val="00AB09D3"/>
    <w:rsid w:val="00AB0B3B"/>
    <w:rsid w:val="00AB0C70"/>
    <w:rsid w:val="00AB0CDA"/>
    <w:rsid w:val="00AB0CDD"/>
    <w:rsid w:val="00AB0E9B"/>
    <w:rsid w:val="00AB1240"/>
    <w:rsid w:val="00AB14DC"/>
    <w:rsid w:val="00AB15AB"/>
    <w:rsid w:val="00AB18A3"/>
    <w:rsid w:val="00AB1941"/>
    <w:rsid w:val="00AB1BED"/>
    <w:rsid w:val="00AB1DBB"/>
    <w:rsid w:val="00AB1E44"/>
    <w:rsid w:val="00AB204D"/>
    <w:rsid w:val="00AB20E6"/>
    <w:rsid w:val="00AB2342"/>
    <w:rsid w:val="00AB244E"/>
    <w:rsid w:val="00AB24E8"/>
    <w:rsid w:val="00AB29EC"/>
    <w:rsid w:val="00AB2F71"/>
    <w:rsid w:val="00AB311F"/>
    <w:rsid w:val="00AB32ED"/>
    <w:rsid w:val="00AB3953"/>
    <w:rsid w:val="00AB3ED2"/>
    <w:rsid w:val="00AB3F69"/>
    <w:rsid w:val="00AB42B7"/>
    <w:rsid w:val="00AB4341"/>
    <w:rsid w:val="00AB466B"/>
    <w:rsid w:val="00AB485B"/>
    <w:rsid w:val="00AB4893"/>
    <w:rsid w:val="00AB4CEA"/>
    <w:rsid w:val="00AB5153"/>
    <w:rsid w:val="00AB51DA"/>
    <w:rsid w:val="00AB527B"/>
    <w:rsid w:val="00AB538E"/>
    <w:rsid w:val="00AB5675"/>
    <w:rsid w:val="00AB5863"/>
    <w:rsid w:val="00AB5DCE"/>
    <w:rsid w:val="00AB5F8A"/>
    <w:rsid w:val="00AB5FC0"/>
    <w:rsid w:val="00AB62B7"/>
    <w:rsid w:val="00AB634C"/>
    <w:rsid w:val="00AB666C"/>
    <w:rsid w:val="00AB6985"/>
    <w:rsid w:val="00AB6B38"/>
    <w:rsid w:val="00AB6D3A"/>
    <w:rsid w:val="00AB6FF5"/>
    <w:rsid w:val="00AB708B"/>
    <w:rsid w:val="00AB708E"/>
    <w:rsid w:val="00AB7223"/>
    <w:rsid w:val="00AB75A7"/>
    <w:rsid w:val="00AB7961"/>
    <w:rsid w:val="00AB7E83"/>
    <w:rsid w:val="00AC0020"/>
    <w:rsid w:val="00AC010D"/>
    <w:rsid w:val="00AC018C"/>
    <w:rsid w:val="00AC0261"/>
    <w:rsid w:val="00AC0262"/>
    <w:rsid w:val="00AC02D3"/>
    <w:rsid w:val="00AC0C47"/>
    <w:rsid w:val="00AC1108"/>
    <w:rsid w:val="00AC11A6"/>
    <w:rsid w:val="00AC11E4"/>
    <w:rsid w:val="00AC189B"/>
    <w:rsid w:val="00AC18B8"/>
    <w:rsid w:val="00AC1EA2"/>
    <w:rsid w:val="00AC1F1E"/>
    <w:rsid w:val="00AC200D"/>
    <w:rsid w:val="00AC2794"/>
    <w:rsid w:val="00AC2C28"/>
    <w:rsid w:val="00AC2DE8"/>
    <w:rsid w:val="00AC2DE9"/>
    <w:rsid w:val="00AC2E65"/>
    <w:rsid w:val="00AC2F27"/>
    <w:rsid w:val="00AC302F"/>
    <w:rsid w:val="00AC30E2"/>
    <w:rsid w:val="00AC32AC"/>
    <w:rsid w:val="00AC3596"/>
    <w:rsid w:val="00AC37AF"/>
    <w:rsid w:val="00AC3890"/>
    <w:rsid w:val="00AC3AA4"/>
    <w:rsid w:val="00AC4142"/>
    <w:rsid w:val="00AC45DE"/>
    <w:rsid w:val="00AC4FFE"/>
    <w:rsid w:val="00AC516F"/>
    <w:rsid w:val="00AC555B"/>
    <w:rsid w:val="00AC561F"/>
    <w:rsid w:val="00AC5643"/>
    <w:rsid w:val="00AC5B2C"/>
    <w:rsid w:val="00AC5CF8"/>
    <w:rsid w:val="00AC5D5C"/>
    <w:rsid w:val="00AC5D8D"/>
    <w:rsid w:val="00AC608A"/>
    <w:rsid w:val="00AC608B"/>
    <w:rsid w:val="00AC6551"/>
    <w:rsid w:val="00AC6555"/>
    <w:rsid w:val="00AC661B"/>
    <w:rsid w:val="00AC6A56"/>
    <w:rsid w:val="00AC6DD8"/>
    <w:rsid w:val="00AC6E64"/>
    <w:rsid w:val="00AC6F92"/>
    <w:rsid w:val="00AC7182"/>
    <w:rsid w:val="00AC7476"/>
    <w:rsid w:val="00AC7553"/>
    <w:rsid w:val="00AC7A93"/>
    <w:rsid w:val="00AC7AF9"/>
    <w:rsid w:val="00AC7B1C"/>
    <w:rsid w:val="00AD011B"/>
    <w:rsid w:val="00AD08A9"/>
    <w:rsid w:val="00AD0A7C"/>
    <w:rsid w:val="00AD0AD7"/>
    <w:rsid w:val="00AD0EF6"/>
    <w:rsid w:val="00AD10DA"/>
    <w:rsid w:val="00AD13F3"/>
    <w:rsid w:val="00AD171C"/>
    <w:rsid w:val="00AD177B"/>
    <w:rsid w:val="00AD187F"/>
    <w:rsid w:val="00AD1D1C"/>
    <w:rsid w:val="00AD1E86"/>
    <w:rsid w:val="00AD2177"/>
    <w:rsid w:val="00AD251C"/>
    <w:rsid w:val="00AD2753"/>
    <w:rsid w:val="00AD2787"/>
    <w:rsid w:val="00AD28E0"/>
    <w:rsid w:val="00AD2B42"/>
    <w:rsid w:val="00AD2B57"/>
    <w:rsid w:val="00AD2D88"/>
    <w:rsid w:val="00AD2FA0"/>
    <w:rsid w:val="00AD3366"/>
    <w:rsid w:val="00AD3501"/>
    <w:rsid w:val="00AD3792"/>
    <w:rsid w:val="00AD38F9"/>
    <w:rsid w:val="00AD3B2C"/>
    <w:rsid w:val="00AD3CA1"/>
    <w:rsid w:val="00AD3CE9"/>
    <w:rsid w:val="00AD3D57"/>
    <w:rsid w:val="00AD3EFC"/>
    <w:rsid w:val="00AD45B4"/>
    <w:rsid w:val="00AD4946"/>
    <w:rsid w:val="00AD496B"/>
    <w:rsid w:val="00AD4EB7"/>
    <w:rsid w:val="00AD4FB7"/>
    <w:rsid w:val="00AD507C"/>
    <w:rsid w:val="00AD52AF"/>
    <w:rsid w:val="00AD53B8"/>
    <w:rsid w:val="00AD5473"/>
    <w:rsid w:val="00AD56D2"/>
    <w:rsid w:val="00AD588D"/>
    <w:rsid w:val="00AD5948"/>
    <w:rsid w:val="00AD59A3"/>
    <w:rsid w:val="00AD5ACE"/>
    <w:rsid w:val="00AD5B49"/>
    <w:rsid w:val="00AD5BE6"/>
    <w:rsid w:val="00AD5F9B"/>
    <w:rsid w:val="00AD6AB6"/>
    <w:rsid w:val="00AD6D4F"/>
    <w:rsid w:val="00AD6E46"/>
    <w:rsid w:val="00AD6F79"/>
    <w:rsid w:val="00AD72FE"/>
    <w:rsid w:val="00AD733B"/>
    <w:rsid w:val="00AD74DB"/>
    <w:rsid w:val="00AD7542"/>
    <w:rsid w:val="00AD775E"/>
    <w:rsid w:val="00AD78CE"/>
    <w:rsid w:val="00AD79F4"/>
    <w:rsid w:val="00AE0233"/>
    <w:rsid w:val="00AE06CC"/>
    <w:rsid w:val="00AE077D"/>
    <w:rsid w:val="00AE084A"/>
    <w:rsid w:val="00AE08B5"/>
    <w:rsid w:val="00AE1122"/>
    <w:rsid w:val="00AE14A7"/>
    <w:rsid w:val="00AE1554"/>
    <w:rsid w:val="00AE18C2"/>
    <w:rsid w:val="00AE19AA"/>
    <w:rsid w:val="00AE1E0D"/>
    <w:rsid w:val="00AE2089"/>
    <w:rsid w:val="00AE2156"/>
    <w:rsid w:val="00AE2536"/>
    <w:rsid w:val="00AE289C"/>
    <w:rsid w:val="00AE28EC"/>
    <w:rsid w:val="00AE2B3A"/>
    <w:rsid w:val="00AE2CAD"/>
    <w:rsid w:val="00AE2D75"/>
    <w:rsid w:val="00AE2D8D"/>
    <w:rsid w:val="00AE2F54"/>
    <w:rsid w:val="00AE3310"/>
    <w:rsid w:val="00AE3387"/>
    <w:rsid w:val="00AE3B65"/>
    <w:rsid w:val="00AE3E04"/>
    <w:rsid w:val="00AE3EE5"/>
    <w:rsid w:val="00AE4142"/>
    <w:rsid w:val="00AE489B"/>
    <w:rsid w:val="00AE48B9"/>
    <w:rsid w:val="00AE4AB9"/>
    <w:rsid w:val="00AE4B7A"/>
    <w:rsid w:val="00AE5135"/>
    <w:rsid w:val="00AE56F7"/>
    <w:rsid w:val="00AE57B5"/>
    <w:rsid w:val="00AE57EC"/>
    <w:rsid w:val="00AE5894"/>
    <w:rsid w:val="00AE5B7D"/>
    <w:rsid w:val="00AE5F03"/>
    <w:rsid w:val="00AE6233"/>
    <w:rsid w:val="00AE62D8"/>
    <w:rsid w:val="00AE6AFD"/>
    <w:rsid w:val="00AE7900"/>
    <w:rsid w:val="00AE791B"/>
    <w:rsid w:val="00AE7AD6"/>
    <w:rsid w:val="00AE7F15"/>
    <w:rsid w:val="00AE7F30"/>
    <w:rsid w:val="00AF02E6"/>
    <w:rsid w:val="00AF04A8"/>
    <w:rsid w:val="00AF075F"/>
    <w:rsid w:val="00AF0A67"/>
    <w:rsid w:val="00AF0C58"/>
    <w:rsid w:val="00AF0D91"/>
    <w:rsid w:val="00AF0E86"/>
    <w:rsid w:val="00AF13A6"/>
    <w:rsid w:val="00AF1550"/>
    <w:rsid w:val="00AF165C"/>
    <w:rsid w:val="00AF1D67"/>
    <w:rsid w:val="00AF1D99"/>
    <w:rsid w:val="00AF1DF1"/>
    <w:rsid w:val="00AF21BB"/>
    <w:rsid w:val="00AF2A19"/>
    <w:rsid w:val="00AF2CF6"/>
    <w:rsid w:val="00AF2D90"/>
    <w:rsid w:val="00AF2EA0"/>
    <w:rsid w:val="00AF3014"/>
    <w:rsid w:val="00AF3266"/>
    <w:rsid w:val="00AF35B1"/>
    <w:rsid w:val="00AF36BF"/>
    <w:rsid w:val="00AF3CCD"/>
    <w:rsid w:val="00AF3D23"/>
    <w:rsid w:val="00AF3EE1"/>
    <w:rsid w:val="00AF4032"/>
    <w:rsid w:val="00AF437E"/>
    <w:rsid w:val="00AF4422"/>
    <w:rsid w:val="00AF4B69"/>
    <w:rsid w:val="00AF4C9F"/>
    <w:rsid w:val="00AF4CD0"/>
    <w:rsid w:val="00AF4D0F"/>
    <w:rsid w:val="00AF519B"/>
    <w:rsid w:val="00AF544F"/>
    <w:rsid w:val="00AF5946"/>
    <w:rsid w:val="00AF5F13"/>
    <w:rsid w:val="00AF62DD"/>
    <w:rsid w:val="00AF6577"/>
    <w:rsid w:val="00AF65CF"/>
    <w:rsid w:val="00AF670B"/>
    <w:rsid w:val="00AF67BB"/>
    <w:rsid w:val="00AF68AB"/>
    <w:rsid w:val="00AF6D4E"/>
    <w:rsid w:val="00AF7291"/>
    <w:rsid w:val="00AF779C"/>
    <w:rsid w:val="00AF77A8"/>
    <w:rsid w:val="00AF792C"/>
    <w:rsid w:val="00AF7B90"/>
    <w:rsid w:val="00AF7E0E"/>
    <w:rsid w:val="00AF7EBA"/>
    <w:rsid w:val="00AFF5FE"/>
    <w:rsid w:val="00B00097"/>
    <w:rsid w:val="00B003D8"/>
    <w:rsid w:val="00B006F1"/>
    <w:rsid w:val="00B00711"/>
    <w:rsid w:val="00B00865"/>
    <w:rsid w:val="00B00994"/>
    <w:rsid w:val="00B009AF"/>
    <w:rsid w:val="00B00B85"/>
    <w:rsid w:val="00B00E53"/>
    <w:rsid w:val="00B00EA9"/>
    <w:rsid w:val="00B00F91"/>
    <w:rsid w:val="00B00FB7"/>
    <w:rsid w:val="00B01019"/>
    <w:rsid w:val="00B01112"/>
    <w:rsid w:val="00B01489"/>
    <w:rsid w:val="00B015AF"/>
    <w:rsid w:val="00B0176F"/>
    <w:rsid w:val="00B01A5D"/>
    <w:rsid w:val="00B01CD1"/>
    <w:rsid w:val="00B01E14"/>
    <w:rsid w:val="00B020F2"/>
    <w:rsid w:val="00B02106"/>
    <w:rsid w:val="00B025E2"/>
    <w:rsid w:val="00B02736"/>
    <w:rsid w:val="00B02C9D"/>
    <w:rsid w:val="00B02FE4"/>
    <w:rsid w:val="00B03112"/>
    <w:rsid w:val="00B03746"/>
    <w:rsid w:val="00B03B1C"/>
    <w:rsid w:val="00B03EFF"/>
    <w:rsid w:val="00B04795"/>
    <w:rsid w:val="00B04814"/>
    <w:rsid w:val="00B048A2"/>
    <w:rsid w:val="00B04DBB"/>
    <w:rsid w:val="00B05161"/>
    <w:rsid w:val="00B05320"/>
    <w:rsid w:val="00B0542D"/>
    <w:rsid w:val="00B056D6"/>
    <w:rsid w:val="00B057EC"/>
    <w:rsid w:val="00B05C1D"/>
    <w:rsid w:val="00B05CCF"/>
    <w:rsid w:val="00B05DAB"/>
    <w:rsid w:val="00B060DB"/>
    <w:rsid w:val="00B0616A"/>
    <w:rsid w:val="00B06217"/>
    <w:rsid w:val="00B063AB"/>
    <w:rsid w:val="00B06924"/>
    <w:rsid w:val="00B06B6C"/>
    <w:rsid w:val="00B06C51"/>
    <w:rsid w:val="00B06D9E"/>
    <w:rsid w:val="00B06ECE"/>
    <w:rsid w:val="00B06FCA"/>
    <w:rsid w:val="00B0709C"/>
    <w:rsid w:val="00B0749F"/>
    <w:rsid w:val="00B074CF"/>
    <w:rsid w:val="00B0757F"/>
    <w:rsid w:val="00B076EA"/>
    <w:rsid w:val="00B07730"/>
    <w:rsid w:val="00B07869"/>
    <w:rsid w:val="00B079BF"/>
    <w:rsid w:val="00B07B2F"/>
    <w:rsid w:val="00B07CB5"/>
    <w:rsid w:val="00B07D98"/>
    <w:rsid w:val="00B07EB9"/>
    <w:rsid w:val="00B07FBA"/>
    <w:rsid w:val="00B1006D"/>
    <w:rsid w:val="00B101CB"/>
    <w:rsid w:val="00B10269"/>
    <w:rsid w:val="00B102F5"/>
    <w:rsid w:val="00B10CEE"/>
    <w:rsid w:val="00B11012"/>
    <w:rsid w:val="00B11186"/>
    <w:rsid w:val="00B11536"/>
    <w:rsid w:val="00B1166C"/>
    <w:rsid w:val="00B1199F"/>
    <w:rsid w:val="00B12082"/>
    <w:rsid w:val="00B12128"/>
    <w:rsid w:val="00B12357"/>
    <w:rsid w:val="00B12408"/>
    <w:rsid w:val="00B127F7"/>
    <w:rsid w:val="00B12B7A"/>
    <w:rsid w:val="00B1349E"/>
    <w:rsid w:val="00B135D6"/>
    <w:rsid w:val="00B137B9"/>
    <w:rsid w:val="00B13953"/>
    <w:rsid w:val="00B13CF4"/>
    <w:rsid w:val="00B13DB7"/>
    <w:rsid w:val="00B13F54"/>
    <w:rsid w:val="00B14096"/>
    <w:rsid w:val="00B140A3"/>
    <w:rsid w:val="00B1417E"/>
    <w:rsid w:val="00B14524"/>
    <w:rsid w:val="00B14BB4"/>
    <w:rsid w:val="00B14BEB"/>
    <w:rsid w:val="00B14E06"/>
    <w:rsid w:val="00B15331"/>
    <w:rsid w:val="00B1538C"/>
    <w:rsid w:val="00B15506"/>
    <w:rsid w:val="00B155B4"/>
    <w:rsid w:val="00B155F7"/>
    <w:rsid w:val="00B156F1"/>
    <w:rsid w:val="00B157B9"/>
    <w:rsid w:val="00B159F9"/>
    <w:rsid w:val="00B15A30"/>
    <w:rsid w:val="00B15D8B"/>
    <w:rsid w:val="00B16072"/>
    <w:rsid w:val="00B1640F"/>
    <w:rsid w:val="00B165DE"/>
    <w:rsid w:val="00B16683"/>
    <w:rsid w:val="00B16792"/>
    <w:rsid w:val="00B169EF"/>
    <w:rsid w:val="00B16B62"/>
    <w:rsid w:val="00B1717A"/>
    <w:rsid w:val="00B17244"/>
    <w:rsid w:val="00B172B0"/>
    <w:rsid w:val="00B17530"/>
    <w:rsid w:val="00B17570"/>
    <w:rsid w:val="00B17658"/>
    <w:rsid w:val="00B17710"/>
    <w:rsid w:val="00B1791F"/>
    <w:rsid w:val="00B17A90"/>
    <w:rsid w:val="00B17EA0"/>
    <w:rsid w:val="00B17F6D"/>
    <w:rsid w:val="00B20053"/>
    <w:rsid w:val="00B204E7"/>
    <w:rsid w:val="00B20B33"/>
    <w:rsid w:val="00B20BA4"/>
    <w:rsid w:val="00B20FE8"/>
    <w:rsid w:val="00B211A6"/>
    <w:rsid w:val="00B21256"/>
    <w:rsid w:val="00B214B9"/>
    <w:rsid w:val="00B215E8"/>
    <w:rsid w:val="00B21714"/>
    <w:rsid w:val="00B2192D"/>
    <w:rsid w:val="00B21E8C"/>
    <w:rsid w:val="00B222AA"/>
    <w:rsid w:val="00B223AB"/>
    <w:rsid w:val="00B22470"/>
    <w:rsid w:val="00B22550"/>
    <w:rsid w:val="00B22855"/>
    <w:rsid w:val="00B22BF0"/>
    <w:rsid w:val="00B22C4B"/>
    <w:rsid w:val="00B23130"/>
    <w:rsid w:val="00B2334A"/>
    <w:rsid w:val="00B233EB"/>
    <w:rsid w:val="00B2368B"/>
    <w:rsid w:val="00B238DC"/>
    <w:rsid w:val="00B239EC"/>
    <w:rsid w:val="00B23B0E"/>
    <w:rsid w:val="00B23B49"/>
    <w:rsid w:val="00B23B61"/>
    <w:rsid w:val="00B23C89"/>
    <w:rsid w:val="00B24101"/>
    <w:rsid w:val="00B24208"/>
    <w:rsid w:val="00B24B6A"/>
    <w:rsid w:val="00B24C8E"/>
    <w:rsid w:val="00B24CA2"/>
    <w:rsid w:val="00B24F9F"/>
    <w:rsid w:val="00B2503D"/>
    <w:rsid w:val="00B253EC"/>
    <w:rsid w:val="00B25898"/>
    <w:rsid w:val="00B25B4F"/>
    <w:rsid w:val="00B25D3A"/>
    <w:rsid w:val="00B25F0D"/>
    <w:rsid w:val="00B25F12"/>
    <w:rsid w:val="00B261DA"/>
    <w:rsid w:val="00B264C9"/>
    <w:rsid w:val="00B2668C"/>
    <w:rsid w:val="00B26925"/>
    <w:rsid w:val="00B26956"/>
    <w:rsid w:val="00B26B97"/>
    <w:rsid w:val="00B26CB0"/>
    <w:rsid w:val="00B2709E"/>
    <w:rsid w:val="00B27454"/>
    <w:rsid w:val="00B2762A"/>
    <w:rsid w:val="00B27874"/>
    <w:rsid w:val="00B27919"/>
    <w:rsid w:val="00B27984"/>
    <w:rsid w:val="00B27B24"/>
    <w:rsid w:val="00B27D3F"/>
    <w:rsid w:val="00B27DC5"/>
    <w:rsid w:val="00B27E66"/>
    <w:rsid w:val="00B3004A"/>
    <w:rsid w:val="00B30071"/>
    <w:rsid w:val="00B30395"/>
    <w:rsid w:val="00B303B3"/>
    <w:rsid w:val="00B30801"/>
    <w:rsid w:val="00B30E9F"/>
    <w:rsid w:val="00B31597"/>
    <w:rsid w:val="00B31686"/>
    <w:rsid w:val="00B31A8E"/>
    <w:rsid w:val="00B31DB2"/>
    <w:rsid w:val="00B324B8"/>
    <w:rsid w:val="00B32B3C"/>
    <w:rsid w:val="00B32CF4"/>
    <w:rsid w:val="00B32E8F"/>
    <w:rsid w:val="00B3339E"/>
    <w:rsid w:val="00B333A4"/>
    <w:rsid w:val="00B333CD"/>
    <w:rsid w:val="00B3341F"/>
    <w:rsid w:val="00B334F1"/>
    <w:rsid w:val="00B33521"/>
    <w:rsid w:val="00B338B7"/>
    <w:rsid w:val="00B33941"/>
    <w:rsid w:val="00B33A74"/>
    <w:rsid w:val="00B33D4E"/>
    <w:rsid w:val="00B34036"/>
    <w:rsid w:val="00B34069"/>
    <w:rsid w:val="00B34121"/>
    <w:rsid w:val="00B3418C"/>
    <w:rsid w:val="00B34347"/>
    <w:rsid w:val="00B3476E"/>
    <w:rsid w:val="00B348F3"/>
    <w:rsid w:val="00B34D2B"/>
    <w:rsid w:val="00B34F31"/>
    <w:rsid w:val="00B35AE0"/>
    <w:rsid w:val="00B35D2E"/>
    <w:rsid w:val="00B36606"/>
    <w:rsid w:val="00B366A2"/>
    <w:rsid w:val="00B366E2"/>
    <w:rsid w:val="00B3670D"/>
    <w:rsid w:val="00B369C6"/>
    <w:rsid w:val="00B36CC8"/>
    <w:rsid w:val="00B36D9A"/>
    <w:rsid w:val="00B36EB8"/>
    <w:rsid w:val="00B36F21"/>
    <w:rsid w:val="00B371A5"/>
    <w:rsid w:val="00B3725D"/>
    <w:rsid w:val="00B373B9"/>
    <w:rsid w:val="00B373D3"/>
    <w:rsid w:val="00B3754A"/>
    <w:rsid w:val="00B3773C"/>
    <w:rsid w:val="00B3796F"/>
    <w:rsid w:val="00B4011D"/>
    <w:rsid w:val="00B401C8"/>
    <w:rsid w:val="00B404B1"/>
    <w:rsid w:val="00B40998"/>
    <w:rsid w:val="00B409D8"/>
    <w:rsid w:val="00B40AB9"/>
    <w:rsid w:val="00B40B79"/>
    <w:rsid w:val="00B40C94"/>
    <w:rsid w:val="00B40D0F"/>
    <w:rsid w:val="00B41148"/>
    <w:rsid w:val="00B4131C"/>
    <w:rsid w:val="00B414CA"/>
    <w:rsid w:val="00B418C7"/>
    <w:rsid w:val="00B41950"/>
    <w:rsid w:val="00B41A77"/>
    <w:rsid w:val="00B41D26"/>
    <w:rsid w:val="00B41E72"/>
    <w:rsid w:val="00B42058"/>
    <w:rsid w:val="00B420D7"/>
    <w:rsid w:val="00B42672"/>
    <w:rsid w:val="00B42BEA"/>
    <w:rsid w:val="00B42CCE"/>
    <w:rsid w:val="00B43392"/>
    <w:rsid w:val="00B43AC4"/>
    <w:rsid w:val="00B43E4A"/>
    <w:rsid w:val="00B43F8B"/>
    <w:rsid w:val="00B44395"/>
    <w:rsid w:val="00B448BD"/>
    <w:rsid w:val="00B44B75"/>
    <w:rsid w:val="00B44DEE"/>
    <w:rsid w:val="00B450A6"/>
    <w:rsid w:val="00B450C6"/>
    <w:rsid w:val="00B454FE"/>
    <w:rsid w:val="00B459A5"/>
    <w:rsid w:val="00B45DCB"/>
    <w:rsid w:val="00B45EF9"/>
    <w:rsid w:val="00B46047"/>
    <w:rsid w:val="00B460E4"/>
    <w:rsid w:val="00B469B8"/>
    <w:rsid w:val="00B46A58"/>
    <w:rsid w:val="00B46A5A"/>
    <w:rsid w:val="00B46D23"/>
    <w:rsid w:val="00B46F37"/>
    <w:rsid w:val="00B47178"/>
    <w:rsid w:val="00B47318"/>
    <w:rsid w:val="00B475C5"/>
    <w:rsid w:val="00B4771B"/>
    <w:rsid w:val="00B479F6"/>
    <w:rsid w:val="00B47B41"/>
    <w:rsid w:val="00B47E5F"/>
    <w:rsid w:val="00B47E8D"/>
    <w:rsid w:val="00B47ECE"/>
    <w:rsid w:val="00B5053E"/>
    <w:rsid w:val="00B506C6"/>
    <w:rsid w:val="00B506F2"/>
    <w:rsid w:val="00B50A47"/>
    <w:rsid w:val="00B50CEC"/>
    <w:rsid w:val="00B51343"/>
    <w:rsid w:val="00B51715"/>
    <w:rsid w:val="00B51AE4"/>
    <w:rsid w:val="00B51BCC"/>
    <w:rsid w:val="00B51C4C"/>
    <w:rsid w:val="00B51D9D"/>
    <w:rsid w:val="00B51E09"/>
    <w:rsid w:val="00B52095"/>
    <w:rsid w:val="00B521B0"/>
    <w:rsid w:val="00B522BF"/>
    <w:rsid w:val="00B52345"/>
    <w:rsid w:val="00B523A1"/>
    <w:rsid w:val="00B52968"/>
    <w:rsid w:val="00B52A7C"/>
    <w:rsid w:val="00B52AED"/>
    <w:rsid w:val="00B52DDD"/>
    <w:rsid w:val="00B52EC9"/>
    <w:rsid w:val="00B52ED8"/>
    <w:rsid w:val="00B52EFC"/>
    <w:rsid w:val="00B52FF7"/>
    <w:rsid w:val="00B532E8"/>
    <w:rsid w:val="00B53331"/>
    <w:rsid w:val="00B53551"/>
    <w:rsid w:val="00B5369C"/>
    <w:rsid w:val="00B53780"/>
    <w:rsid w:val="00B543CB"/>
    <w:rsid w:val="00B54539"/>
    <w:rsid w:val="00B545DD"/>
    <w:rsid w:val="00B54620"/>
    <w:rsid w:val="00B54A51"/>
    <w:rsid w:val="00B54B0D"/>
    <w:rsid w:val="00B54F4F"/>
    <w:rsid w:val="00B5514D"/>
    <w:rsid w:val="00B55579"/>
    <w:rsid w:val="00B5560F"/>
    <w:rsid w:val="00B55CE7"/>
    <w:rsid w:val="00B55D47"/>
    <w:rsid w:val="00B56160"/>
    <w:rsid w:val="00B56207"/>
    <w:rsid w:val="00B563F8"/>
    <w:rsid w:val="00B56C71"/>
    <w:rsid w:val="00B56D50"/>
    <w:rsid w:val="00B56D56"/>
    <w:rsid w:val="00B56DDD"/>
    <w:rsid w:val="00B57455"/>
    <w:rsid w:val="00B579D7"/>
    <w:rsid w:val="00B57A80"/>
    <w:rsid w:val="00B57DFA"/>
    <w:rsid w:val="00B60196"/>
    <w:rsid w:val="00B60249"/>
    <w:rsid w:val="00B60447"/>
    <w:rsid w:val="00B60B71"/>
    <w:rsid w:val="00B60B9E"/>
    <w:rsid w:val="00B60BBF"/>
    <w:rsid w:val="00B60D4C"/>
    <w:rsid w:val="00B61D5D"/>
    <w:rsid w:val="00B61FAD"/>
    <w:rsid w:val="00B6215D"/>
    <w:rsid w:val="00B6227F"/>
    <w:rsid w:val="00B622A7"/>
    <w:rsid w:val="00B622E5"/>
    <w:rsid w:val="00B623EC"/>
    <w:rsid w:val="00B628AD"/>
    <w:rsid w:val="00B62D01"/>
    <w:rsid w:val="00B62D3A"/>
    <w:rsid w:val="00B635DA"/>
    <w:rsid w:val="00B63869"/>
    <w:rsid w:val="00B63B00"/>
    <w:rsid w:val="00B6469A"/>
    <w:rsid w:val="00B64A10"/>
    <w:rsid w:val="00B64A2E"/>
    <w:rsid w:val="00B64F2E"/>
    <w:rsid w:val="00B64F8C"/>
    <w:rsid w:val="00B652F7"/>
    <w:rsid w:val="00B6543B"/>
    <w:rsid w:val="00B656C2"/>
    <w:rsid w:val="00B659DF"/>
    <w:rsid w:val="00B65A46"/>
    <w:rsid w:val="00B65EF2"/>
    <w:rsid w:val="00B65F7B"/>
    <w:rsid w:val="00B66206"/>
    <w:rsid w:val="00B6636D"/>
    <w:rsid w:val="00B665CD"/>
    <w:rsid w:val="00B66678"/>
    <w:rsid w:val="00B668AB"/>
    <w:rsid w:val="00B668DD"/>
    <w:rsid w:val="00B66B00"/>
    <w:rsid w:val="00B6701D"/>
    <w:rsid w:val="00B670E3"/>
    <w:rsid w:val="00B67102"/>
    <w:rsid w:val="00B6735D"/>
    <w:rsid w:val="00B6741D"/>
    <w:rsid w:val="00B675B8"/>
    <w:rsid w:val="00B6760F"/>
    <w:rsid w:val="00B67747"/>
    <w:rsid w:val="00B678C9"/>
    <w:rsid w:val="00B6793E"/>
    <w:rsid w:val="00B67A92"/>
    <w:rsid w:val="00B67F2D"/>
    <w:rsid w:val="00B67FC5"/>
    <w:rsid w:val="00B700E1"/>
    <w:rsid w:val="00B70364"/>
    <w:rsid w:val="00B707CE"/>
    <w:rsid w:val="00B7109E"/>
    <w:rsid w:val="00B71235"/>
    <w:rsid w:val="00B7129A"/>
    <w:rsid w:val="00B71461"/>
    <w:rsid w:val="00B715CB"/>
    <w:rsid w:val="00B71653"/>
    <w:rsid w:val="00B716BB"/>
    <w:rsid w:val="00B716BC"/>
    <w:rsid w:val="00B71888"/>
    <w:rsid w:val="00B718B8"/>
    <w:rsid w:val="00B719DB"/>
    <w:rsid w:val="00B71A0B"/>
    <w:rsid w:val="00B71C41"/>
    <w:rsid w:val="00B71D7E"/>
    <w:rsid w:val="00B71D81"/>
    <w:rsid w:val="00B71FBA"/>
    <w:rsid w:val="00B72140"/>
    <w:rsid w:val="00B72163"/>
    <w:rsid w:val="00B72307"/>
    <w:rsid w:val="00B723A2"/>
    <w:rsid w:val="00B72538"/>
    <w:rsid w:val="00B729E2"/>
    <w:rsid w:val="00B72C27"/>
    <w:rsid w:val="00B72C58"/>
    <w:rsid w:val="00B730B2"/>
    <w:rsid w:val="00B73247"/>
    <w:rsid w:val="00B73444"/>
    <w:rsid w:val="00B7379D"/>
    <w:rsid w:val="00B73BE6"/>
    <w:rsid w:val="00B73BEC"/>
    <w:rsid w:val="00B73E56"/>
    <w:rsid w:val="00B73F2C"/>
    <w:rsid w:val="00B742FA"/>
    <w:rsid w:val="00B74981"/>
    <w:rsid w:val="00B749B7"/>
    <w:rsid w:val="00B74A00"/>
    <w:rsid w:val="00B74B80"/>
    <w:rsid w:val="00B7524D"/>
    <w:rsid w:val="00B75742"/>
    <w:rsid w:val="00B75803"/>
    <w:rsid w:val="00B75A33"/>
    <w:rsid w:val="00B75DA8"/>
    <w:rsid w:val="00B75EE6"/>
    <w:rsid w:val="00B766A6"/>
    <w:rsid w:val="00B76746"/>
    <w:rsid w:val="00B767EE"/>
    <w:rsid w:val="00B76EF6"/>
    <w:rsid w:val="00B77068"/>
    <w:rsid w:val="00B77424"/>
    <w:rsid w:val="00B776F4"/>
    <w:rsid w:val="00B77A13"/>
    <w:rsid w:val="00B77F4B"/>
    <w:rsid w:val="00B80496"/>
    <w:rsid w:val="00B80582"/>
    <w:rsid w:val="00B80C79"/>
    <w:rsid w:val="00B80E85"/>
    <w:rsid w:val="00B80FC6"/>
    <w:rsid w:val="00B80FF7"/>
    <w:rsid w:val="00B81068"/>
    <w:rsid w:val="00B813D9"/>
    <w:rsid w:val="00B81882"/>
    <w:rsid w:val="00B819B3"/>
    <w:rsid w:val="00B819CB"/>
    <w:rsid w:val="00B81C5A"/>
    <w:rsid w:val="00B82552"/>
    <w:rsid w:val="00B825DD"/>
    <w:rsid w:val="00B82659"/>
    <w:rsid w:val="00B82842"/>
    <w:rsid w:val="00B8284C"/>
    <w:rsid w:val="00B82892"/>
    <w:rsid w:val="00B828D3"/>
    <w:rsid w:val="00B8299B"/>
    <w:rsid w:val="00B82AFD"/>
    <w:rsid w:val="00B835BD"/>
    <w:rsid w:val="00B83705"/>
    <w:rsid w:val="00B83C42"/>
    <w:rsid w:val="00B83E12"/>
    <w:rsid w:val="00B83FF3"/>
    <w:rsid w:val="00B8416F"/>
    <w:rsid w:val="00B841A8"/>
    <w:rsid w:val="00B8480E"/>
    <w:rsid w:val="00B849B4"/>
    <w:rsid w:val="00B84ABD"/>
    <w:rsid w:val="00B84ADA"/>
    <w:rsid w:val="00B84DAE"/>
    <w:rsid w:val="00B84E0F"/>
    <w:rsid w:val="00B84ED3"/>
    <w:rsid w:val="00B850C4"/>
    <w:rsid w:val="00B8541A"/>
    <w:rsid w:val="00B85934"/>
    <w:rsid w:val="00B85982"/>
    <w:rsid w:val="00B85A22"/>
    <w:rsid w:val="00B85B2C"/>
    <w:rsid w:val="00B85C61"/>
    <w:rsid w:val="00B85CB2"/>
    <w:rsid w:val="00B865F5"/>
    <w:rsid w:val="00B865FC"/>
    <w:rsid w:val="00B869ED"/>
    <w:rsid w:val="00B86A60"/>
    <w:rsid w:val="00B873D6"/>
    <w:rsid w:val="00B87486"/>
    <w:rsid w:val="00B874EC"/>
    <w:rsid w:val="00B87677"/>
    <w:rsid w:val="00B8769E"/>
    <w:rsid w:val="00B87753"/>
    <w:rsid w:val="00B87C1F"/>
    <w:rsid w:val="00B9022C"/>
    <w:rsid w:val="00B903D1"/>
    <w:rsid w:val="00B90639"/>
    <w:rsid w:val="00B906D2"/>
    <w:rsid w:val="00B9098B"/>
    <w:rsid w:val="00B90B1A"/>
    <w:rsid w:val="00B90C56"/>
    <w:rsid w:val="00B90EEC"/>
    <w:rsid w:val="00B911C3"/>
    <w:rsid w:val="00B912F8"/>
    <w:rsid w:val="00B9132D"/>
    <w:rsid w:val="00B913FF"/>
    <w:rsid w:val="00B91690"/>
    <w:rsid w:val="00B916A2"/>
    <w:rsid w:val="00B916EE"/>
    <w:rsid w:val="00B91894"/>
    <w:rsid w:val="00B918B8"/>
    <w:rsid w:val="00B91CCF"/>
    <w:rsid w:val="00B91D99"/>
    <w:rsid w:val="00B91DBE"/>
    <w:rsid w:val="00B91F5B"/>
    <w:rsid w:val="00B92898"/>
    <w:rsid w:val="00B92AD2"/>
    <w:rsid w:val="00B92B5E"/>
    <w:rsid w:val="00B92C0C"/>
    <w:rsid w:val="00B92E92"/>
    <w:rsid w:val="00B92EB9"/>
    <w:rsid w:val="00B93025"/>
    <w:rsid w:val="00B930EE"/>
    <w:rsid w:val="00B934CB"/>
    <w:rsid w:val="00B934FC"/>
    <w:rsid w:val="00B9354F"/>
    <w:rsid w:val="00B93581"/>
    <w:rsid w:val="00B9384A"/>
    <w:rsid w:val="00B93B31"/>
    <w:rsid w:val="00B93BA6"/>
    <w:rsid w:val="00B93D1C"/>
    <w:rsid w:val="00B93DE6"/>
    <w:rsid w:val="00B93DEF"/>
    <w:rsid w:val="00B9400F"/>
    <w:rsid w:val="00B940E8"/>
    <w:rsid w:val="00B9423A"/>
    <w:rsid w:val="00B942F0"/>
    <w:rsid w:val="00B94589"/>
    <w:rsid w:val="00B945D7"/>
    <w:rsid w:val="00B948E9"/>
    <w:rsid w:val="00B94BC1"/>
    <w:rsid w:val="00B94CF4"/>
    <w:rsid w:val="00B94F27"/>
    <w:rsid w:val="00B950D0"/>
    <w:rsid w:val="00B95191"/>
    <w:rsid w:val="00B95463"/>
    <w:rsid w:val="00B9565E"/>
    <w:rsid w:val="00B95749"/>
    <w:rsid w:val="00B95ADE"/>
    <w:rsid w:val="00B95AF1"/>
    <w:rsid w:val="00B963AD"/>
    <w:rsid w:val="00B963C8"/>
    <w:rsid w:val="00B965E1"/>
    <w:rsid w:val="00B967A4"/>
    <w:rsid w:val="00B96876"/>
    <w:rsid w:val="00B969A4"/>
    <w:rsid w:val="00B96B25"/>
    <w:rsid w:val="00B96D7F"/>
    <w:rsid w:val="00B96E3C"/>
    <w:rsid w:val="00B96E70"/>
    <w:rsid w:val="00B97098"/>
    <w:rsid w:val="00B977EF"/>
    <w:rsid w:val="00B97873"/>
    <w:rsid w:val="00B979F8"/>
    <w:rsid w:val="00B97B55"/>
    <w:rsid w:val="00BA00D7"/>
    <w:rsid w:val="00BA02E8"/>
    <w:rsid w:val="00BA04C4"/>
    <w:rsid w:val="00BA04F8"/>
    <w:rsid w:val="00BA0541"/>
    <w:rsid w:val="00BA0574"/>
    <w:rsid w:val="00BA1018"/>
    <w:rsid w:val="00BA1429"/>
    <w:rsid w:val="00BA152E"/>
    <w:rsid w:val="00BA1794"/>
    <w:rsid w:val="00BA17A9"/>
    <w:rsid w:val="00BA1896"/>
    <w:rsid w:val="00BA1A2A"/>
    <w:rsid w:val="00BA1B26"/>
    <w:rsid w:val="00BA1E48"/>
    <w:rsid w:val="00BA1FFD"/>
    <w:rsid w:val="00BA2128"/>
    <w:rsid w:val="00BA25F1"/>
    <w:rsid w:val="00BA2692"/>
    <w:rsid w:val="00BA2762"/>
    <w:rsid w:val="00BA295E"/>
    <w:rsid w:val="00BA2DEB"/>
    <w:rsid w:val="00BA2E2C"/>
    <w:rsid w:val="00BA2E73"/>
    <w:rsid w:val="00BA2F19"/>
    <w:rsid w:val="00BA38A1"/>
    <w:rsid w:val="00BA3D84"/>
    <w:rsid w:val="00BA3E4A"/>
    <w:rsid w:val="00BA4057"/>
    <w:rsid w:val="00BA4099"/>
    <w:rsid w:val="00BA4810"/>
    <w:rsid w:val="00BA49AB"/>
    <w:rsid w:val="00BA4FCE"/>
    <w:rsid w:val="00BA4FFB"/>
    <w:rsid w:val="00BA521F"/>
    <w:rsid w:val="00BA5537"/>
    <w:rsid w:val="00BA5B6D"/>
    <w:rsid w:val="00BA5BD7"/>
    <w:rsid w:val="00BA5C86"/>
    <w:rsid w:val="00BA5E06"/>
    <w:rsid w:val="00BA5FF8"/>
    <w:rsid w:val="00BA6BBB"/>
    <w:rsid w:val="00BA6EE6"/>
    <w:rsid w:val="00BA6F57"/>
    <w:rsid w:val="00BA710C"/>
    <w:rsid w:val="00BA71A7"/>
    <w:rsid w:val="00BA71DD"/>
    <w:rsid w:val="00BA72B8"/>
    <w:rsid w:val="00BA74BE"/>
    <w:rsid w:val="00BA7711"/>
    <w:rsid w:val="00BA77CA"/>
    <w:rsid w:val="00BA79AE"/>
    <w:rsid w:val="00BA7F87"/>
    <w:rsid w:val="00BB0BE4"/>
    <w:rsid w:val="00BB0E0C"/>
    <w:rsid w:val="00BB0E20"/>
    <w:rsid w:val="00BB0EBE"/>
    <w:rsid w:val="00BB0F68"/>
    <w:rsid w:val="00BB12DE"/>
    <w:rsid w:val="00BB17D5"/>
    <w:rsid w:val="00BB1A00"/>
    <w:rsid w:val="00BB1BE1"/>
    <w:rsid w:val="00BB1D7A"/>
    <w:rsid w:val="00BB1F84"/>
    <w:rsid w:val="00BB2161"/>
    <w:rsid w:val="00BB2474"/>
    <w:rsid w:val="00BB2549"/>
    <w:rsid w:val="00BB25C6"/>
    <w:rsid w:val="00BB27A9"/>
    <w:rsid w:val="00BB2961"/>
    <w:rsid w:val="00BB2CAD"/>
    <w:rsid w:val="00BB2E88"/>
    <w:rsid w:val="00BB2FAF"/>
    <w:rsid w:val="00BB3043"/>
    <w:rsid w:val="00BB322E"/>
    <w:rsid w:val="00BB335A"/>
    <w:rsid w:val="00BB33A2"/>
    <w:rsid w:val="00BB34D6"/>
    <w:rsid w:val="00BB36B5"/>
    <w:rsid w:val="00BB36FF"/>
    <w:rsid w:val="00BB37F4"/>
    <w:rsid w:val="00BB3981"/>
    <w:rsid w:val="00BB4613"/>
    <w:rsid w:val="00BB4904"/>
    <w:rsid w:val="00BB4CA7"/>
    <w:rsid w:val="00BB4CDE"/>
    <w:rsid w:val="00BB4E7B"/>
    <w:rsid w:val="00BB53B0"/>
    <w:rsid w:val="00BB5446"/>
    <w:rsid w:val="00BB55D2"/>
    <w:rsid w:val="00BB56BA"/>
    <w:rsid w:val="00BB56F6"/>
    <w:rsid w:val="00BB5857"/>
    <w:rsid w:val="00BB5951"/>
    <w:rsid w:val="00BB5EFE"/>
    <w:rsid w:val="00BB6145"/>
    <w:rsid w:val="00BB6255"/>
    <w:rsid w:val="00BB6296"/>
    <w:rsid w:val="00BB63A8"/>
    <w:rsid w:val="00BB6509"/>
    <w:rsid w:val="00BB65C2"/>
    <w:rsid w:val="00BB669C"/>
    <w:rsid w:val="00BB678C"/>
    <w:rsid w:val="00BB683C"/>
    <w:rsid w:val="00BB6A6E"/>
    <w:rsid w:val="00BB6C0F"/>
    <w:rsid w:val="00BB6CB4"/>
    <w:rsid w:val="00BB6D14"/>
    <w:rsid w:val="00BB705E"/>
    <w:rsid w:val="00BB71F2"/>
    <w:rsid w:val="00BB72DD"/>
    <w:rsid w:val="00BB7666"/>
    <w:rsid w:val="00BB7939"/>
    <w:rsid w:val="00BB7A32"/>
    <w:rsid w:val="00BB7B0C"/>
    <w:rsid w:val="00BB7C82"/>
    <w:rsid w:val="00BB7D38"/>
    <w:rsid w:val="00BB7D9D"/>
    <w:rsid w:val="00BB7FDD"/>
    <w:rsid w:val="00BC0041"/>
    <w:rsid w:val="00BC017A"/>
    <w:rsid w:val="00BC03E8"/>
    <w:rsid w:val="00BC03F3"/>
    <w:rsid w:val="00BC05B6"/>
    <w:rsid w:val="00BC05BC"/>
    <w:rsid w:val="00BC0967"/>
    <w:rsid w:val="00BC0B37"/>
    <w:rsid w:val="00BC0C3E"/>
    <w:rsid w:val="00BC0CDC"/>
    <w:rsid w:val="00BC11A7"/>
    <w:rsid w:val="00BC132D"/>
    <w:rsid w:val="00BC14E0"/>
    <w:rsid w:val="00BC1881"/>
    <w:rsid w:val="00BC188F"/>
    <w:rsid w:val="00BC23E2"/>
    <w:rsid w:val="00BC2661"/>
    <w:rsid w:val="00BC2AE9"/>
    <w:rsid w:val="00BC2C1B"/>
    <w:rsid w:val="00BC2FA1"/>
    <w:rsid w:val="00BC31AE"/>
    <w:rsid w:val="00BC341C"/>
    <w:rsid w:val="00BC3BB2"/>
    <w:rsid w:val="00BC404C"/>
    <w:rsid w:val="00BC42E2"/>
    <w:rsid w:val="00BC4320"/>
    <w:rsid w:val="00BC4788"/>
    <w:rsid w:val="00BC4AA9"/>
    <w:rsid w:val="00BC4F48"/>
    <w:rsid w:val="00BC51B7"/>
    <w:rsid w:val="00BC5405"/>
    <w:rsid w:val="00BC549B"/>
    <w:rsid w:val="00BC55F8"/>
    <w:rsid w:val="00BC5BC6"/>
    <w:rsid w:val="00BC5C53"/>
    <w:rsid w:val="00BC5D85"/>
    <w:rsid w:val="00BC5EAB"/>
    <w:rsid w:val="00BC5EEC"/>
    <w:rsid w:val="00BC6372"/>
    <w:rsid w:val="00BC637F"/>
    <w:rsid w:val="00BC63E5"/>
    <w:rsid w:val="00BC69FE"/>
    <w:rsid w:val="00BC6D7B"/>
    <w:rsid w:val="00BC6E32"/>
    <w:rsid w:val="00BC6FBD"/>
    <w:rsid w:val="00BC7158"/>
    <w:rsid w:val="00BC730A"/>
    <w:rsid w:val="00BC76C3"/>
    <w:rsid w:val="00BC78ED"/>
    <w:rsid w:val="00BC7905"/>
    <w:rsid w:val="00BC7A95"/>
    <w:rsid w:val="00BC7ABC"/>
    <w:rsid w:val="00BC7D4C"/>
    <w:rsid w:val="00BC7D57"/>
    <w:rsid w:val="00BD0005"/>
    <w:rsid w:val="00BD0119"/>
    <w:rsid w:val="00BD01C2"/>
    <w:rsid w:val="00BD022D"/>
    <w:rsid w:val="00BD035F"/>
    <w:rsid w:val="00BD03A0"/>
    <w:rsid w:val="00BD0406"/>
    <w:rsid w:val="00BD0D97"/>
    <w:rsid w:val="00BD0DC1"/>
    <w:rsid w:val="00BD0E1A"/>
    <w:rsid w:val="00BD0F87"/>
    <w:rsid w:val="00BD1030"/>
    <w:rsid w:val="00BD12F7"/>
    <w:rsid w:val="00BD1465"/>
    <w:rsid w:val="00BD19FD"/>
    <w:rsid w:val="00BD1E22"/>
    <w:rsid w:val="00BD1EDC"/>
    <w:rsid w:val="00BD2109"/>
    <w:rsid w:val="00BD218C"/>
    <w:rsid w:val="00BD220E"/>
    <w:rsid w:val="00BD2271"/>
    <w:rsid w:val="00BD2411"/>
    <w:rsid w:val="00BD2605"/>
    <w:rsid w:val="00BD2609"/>
    <w:rsid w:val="00BD2781"/>
    <w:rsid w:val="00BD27EF"/>
    <w:rsid w:val="00BD27FD"/>
    <w:rsid w:val="00BD2980"/>
    <w:rsid w:val="00BD2A9C"/>
    <w:rsid w:val="00BD2ACD"/>
    <w:rsid w:val="00BD2B5A"/>
    <w:rsid w:val="00BD2E56"/>
    <w:rsid w:val="00BD3242"/>
    <w:rsid w:val="00BD3279"/>
    <w:rsid w:val="00BD3635"/>
    <w:rsid w:val="00BD3E75"/>
    <w:rsid w:val="00BD43B5"/>
    <w:rsid w:val="00BD43F2"/>
    <w:rsid w:val="00BD4798"/>
    <w:rsid w:val="00BD49F0"/>
    <w:rsid w:val="00BD4A67"/>
    <w:rsid w:val="00BD56BB"/>
    <w:rsid w:val="00BD56C0"/>
    <w:rsid w:val="00BD5781"/>
    <w:rsid w:val="00BD5905"/>
    <w:rsid w:val="00BD5A31"/>
    <w:rsid w:val="00BD5BE5"/>
    <w:rsid w:val="00BD5C9C"/>
    <w:rsid w:val="00BD604C"/>
    <w:rsid w:val="00BD6221"/>
    <w:rsid w:val="00BD6708"/>
    <w:rsid w:val="00BD68E1"/>
    <w:rsid w:val="00BD6A8A"/>
    <w:rsid w:val="00BD6C9F"/>
    <w:rsid w:val="00BD6EA7"/>
    <w:rsid w:val="00BD6FFE"/>
    <w:rsid w:val="00BD71D8"/>
    <w:rsid w:val="00BD72D2"/>
    <w:rsid w:val="00BD7C30"/>
    <w:rsid w:val="00BD7CB2"/>
    <w:rsid w:val="00BD7E73"/>
    <w:rsid w:val="00BD7EBB"/>
    <w:rsid w:val="00BD7EFB"/>
    <w:rsid w:val="00BDA4E1"/>
    <w:rsid w:val="00BE001E"/>
    <w:rsid w:val="00BE028A"/>
    <w:rsid w:val="00BE047A"/>
    <w:rsid w:val="00BE056D"/>
    <w:rsid w:val="00BE096C"/>
    <w:rsid w:val="00BE09C8"/>
    <w:rsid w:val="00BE0AB5"/>
    <w:rsid w:val="00BE107D"/>
    <w:rsid w:val="00BE15B5"/>
    <w:rsid w:val="00BE20EB"/>
    <w:rsid w:val="00BE22F7"/>
    <w:rsid w:val="00BE24BF"/>
    <w:rsid w:val="00BE3177"/>
    <w:rsid w:val="00BE397D"/>
    <w:rsid w:val="00BE39FC"/>
    <w:rsid w:val="00BE41B1"/>
    <w:rsid w:val="00BE4A35"/>
    <w:rsid w:val="00BE4B8E"/>
    <w:rsid w:val="00BE4CCA"/>
    <w:rsid w:val="00BE4DDF"/>
    <w:rsid w:val="00BE4F1C"/>
    <w:rsid w:val="00BE543A"/>
    <w:rsid w:val="00BE5802"/>
    <w:rsid w:val="00BE5971"/>
    <w:rsid w:val="00BE5B43"/>
    <w:rsid w:val="00BE5D63"/>
    <w:rsid w:val="00BE61EC"/>
    <w:rsid w:val="00BE65C2"/>
    <w:rsid w:val="00BE6770"/>
    <w:rsid w:val="00BE67FE"/>
    <w:rsid w:val="00BE69C7"/>
    <w:rsid w:val="00BE6BE0"/>
    <w:rsid w:val="00BE6C8D"/>
    <w:rsid w:val="00BE6D24"/>
    <w:rsid w:val="00BE6E62"/>
    <w:rsid w:val="00BE6FEC"/>
    <w:rsid w:val="00BE7144"/>
    <w:rsid w:val="00BE71DE"/>
    <w:rsid w:val="00BE72CA"/>
    <w:rsid w:val="00BE7B2C"/>
    <w:rsid w:val="00BE7C79"/>
    <w:rsid w:val="00BE7C9A"/>
    <w:rsid w:val="00BF0038"/>
    <w:rsid w:val="00BF03D2"/>
    <w:rsid w:val="00BF03E3"/>
    <w:rsid w:val="00BF0579"/>
    <w:rsid w:val="00BF0F59"/>
    <w:rsid w:val="00BF11C9"/>
    <w:rsid w:val="00BF127E"/>
    <w:rsid w:val="00BF14F6"/>
    <w:rsid w:val="00BF188D"/>
    <w:rsid w:val="00BF18EB"/>
    <w:rsid w:val="00BF1BAE"/>
    <w:rsid w:val="00BF1CA3"/>
    <w:rsid w:val="00BF1D5F"/>
    <w:rsid w:val="00BF1F98"/>
    <w:rsid w:val="00BF218F"/>
    <w:rsid w:val="00BF2347"/>
    <w:rsid w:val="00BF2389"/>
    <w:rsid w:val="00BF2424"/>
    <w:rsid w:val="00BF2782"/>
    <w:rsid w:val="00BF29E3"/>
    <w:rsid w:val="00BF2C69"/>
    <w:rsid w:val="00BF2FCD"/>
    <w:rsid w:val="00BF3027"/>
    <w:rsid w:val="00BF3596"/>
    <w:rsid w:val="00BF3625"/>
    <w:rsid w:val="00BF3CC0"/>
    <w:rsid w:val="00BF3F88"/>
    <w:rsid w:val="00BF3F90"/>
    <w:rsid w:val="00BF3FED"/>
    <w:rsid w:val="00BF414F"/>
    <w:rsid w:val="00BF440E"/>
    <w:rsid w:val="00BF450A"/>
    <w:rsid w:val="00BF45BF"/>
    <w:rsid w:val="00BF45D1"/>
    <w:rsid w:val="00BF46D0"/>
    <w:rsid w:val="00BF4A19"/>
    <w:rsid w:val="00BF4A3E"/>
    <w:rsid w:val="00BF4BAE"/>
    <w:rsid w:val="00BF4DC9"/>
    <w:rsid w:val="00BF4EE5"/>
    <w:rsid w:val="00BF5291"/>
    <w:rsid w:val="00BF54DE"/>
    <w:rsid w:val="00BF55EA"/>
    <w:rsid w:val="00BF5669"/>
    <w:rsid w:val="00BF57AC"/>
    <w:rsid w:val="00BF5943"/>
    <w:rsid w:val="00BF5C26"/>
    <w:rsid w:val="00BF5C28"/>
    <w:rsid w:val="00BF6246"/>
    <w:rsid w:val="00BF648A"/>
    <w:rsid w:val="00BF64DF"/>
    <w:rsid w:val="00BF6604"/>
    <w:rsid w:val="00BF6623"/>
    <w:rsid w:val="00BF6748"/>
    <w:rsid w:val="00BF6B47"/>
    <w:rsid w:val="00BF6BA0"/>
    <w:rsid w:val="00BF6FBC"/>
    <w:rsid w:val="00BF6FE2"/>
    <w:rsid w:val="00BF71C8"/>
    <w:rsid w:val="00BF735B"/>
    <w:rsid w:val="00BF77A2"/>
    <w:rsid w:val="00BF780F"/>
    <w:rsid w:val="00BF7989"/>
    <w:rsid w:val="00BF79A8"/>
    <w:rsid w:val="00BF7C6A"/>
    <w:rsid w:val="00BF7D7F"/>
    <w:rsid w:val="00BF7FD7"/>
    <w:rsid w:val="00C00294"/>
    <w:rsid w:val="00C003CA"/>
    <w:rsid w:val="00C003F1"/>
    <w:rsid w:val="00C00547"/>
    <w:rsid w:val="00C006D3"/>
    <w:rsid w:val="00C006D7"/>
    <w:rsid w:val="00C01368"/>
    <w:rsid w:val="00C01664"/>
    <w:rsid w:val="00C01E3A"/>
    <w:rsid w:val="00C01E95"/>
    <w:rsid w:val="00C020B5"/>
    <w:rsid w:val="00C020BA"/>
    <w:rsid w:val="00C0219A"/>
    <w:rsid w:val="00C02B32"/>
    <w:rsid w:val="00C02D49"/>
    <w:rsid w:val="00C02FE8"/>
    <w:rsid w:val="00C03550"/>
    <w:rsid w:val="00C035DA"/>
    <w:rsid w:val="00C03AFD"/>
    <w:rsid w:val="00C03CED"/>
    <w:rsid w:val="00C04014"/>
    <w:rsid w:val="00C040DE"/>
    <w:rsid w:val="00C04419"/>
    <w:rsid w:val="00C04428"/>
    <w:rsid w:val="00C044DB"/>
    <w:rsid w:val="00C0464E"/>
    <w:rsid w:val="00C047F4"/>
    <w:rsid w:val="00C0487C"/>
    <w:rsid w:val="00C048B5"/>
    <w:rsid w:val="00C0490C"/>
    <w:rsid w:val="00C04C3D"/>
    <w:rsid w:val="00C050B4"/>
    <w:rsid w:val="00C050FF"/>
    <w:rsid w:val="00C052D9"/>
    <w:rsid w:val="00C05708"/>
    <w:rsid w:val="00C05A2C"/>
    <w:rsid w:val="00C05B21"/>
    <w:rsid w:val="00C060F4"/>
    <w:rsid w:val="00C06553"/>
    <w:rsid w:val="00C06661"/>
    <w:rsid w:val="00C0687E"/>
    <w:rsid w:val="00C06AFC"/>
    <w:rsid w:val="00C06DAA"/>
    <w:rsid w:val="00C06E17"/>
    <w:rsid w:val="00C06EDB"/>
    <w:rsid w:val="00C06F26"/>
    <w:rsid w:val="00C0723D"/>
    <w:rsid w:val="00C07278"/>
    <w:rsid w:val="00C075B2"/>
    <w:rsid w:val="00C0788C"/>
    <w:rsid w:val="00C07A64"/>
    <w:rsid w:val="00C10128"/>
    <w:rsid w:val="00C105E8"/>
    <w:rsid w:val="00C106A4"/>
    <w:rsid w:val="00C10A4E"/>
    <w:rsid w:val="00C10EC2"/>
    <w:rsid w:val="00C11022"/>
    <w:rsid w:val="00C110F1"/>
    <w:rsid w:val="00C11448"/>
    <w:rsid w:val="00C11C29"/>
    <w:rsid w:val="00C11E68"/>
    <w:rsid w:val="00C11F67"/>
    <w:rsid w:val="00C122DA"/>
    <w:rsid w:val="00C12796"/>
    <w:rsid w:val="00C12A5D"/>
    <w:rsid w:val="00C12EBA"/>
    <w:rsid w:val="00C12FC1"/>
    <w:rsid w:val="00C1308C"/>
    <w:rsid w:val="00C134B7"/>
    <w:rsid w:val="00C137DC"/>
    <w:rsid w:val="00C13A7F"/>
    <w:rsid w:val="00C13A95"/>
    <w:rsid w:val="00C13C8E"/>
    <w:rsid w:val="00C13D29"/>
    <w:rsid w:val="00C13FE5"/>
    <w:rsid w:val="00C1413C"/>
    <w:rsid w:val="00C1440F"/>
    <w:rsid w:val="00C14470"/>
    <w:rsid w:val="00C14FE1"/>
    <w:rsid w:val="00C1576A"/>
    <w:rsid w:val="00C15836"/>
    <w:rsid w:val="00C15ABB"/>
    <w:rsid w:val="00C15ADA"/>
    <w:rsid w:val="00C15CF3"/>
    <w:rsid w:val="00C16507"/>
    <w:rsid w:val="00C1665A"/>
    <w:rsid w:val="00C16773"/>
    <w:rsid w:val="00C167E3"/>
    <w:rsid w:val="00C16AEE"/>
    <w:rsid w:val="00C16DB3"/>
    <w:rsid w:val="00C16DFC"/>
    <w:rsid w:val="00C17099"/>
    <w:rsid w:val="00C173A8"/>
    <w:rsid w:val="00C17B4F"/>
    <w:rsid w:val="00C17CBE"/>
    <w:rsid w:val="00C20150"/>
    <w:rsid w:val="00C202BE"/>
    <w:rsid w:val="00C202D7"/>
    <w:rsid w:val="00C20612"/>
    <w:rsid w:val="00C20614"/>
    <w:rsid w:val="00C208BF"/>
    <w:rsid w:val="00C20941"/>
    <w:rsid w:val="00C20A87"/>
    <w:rsid w:val="00C20B71"/>
    <w:rsid w:val="00C21066"/>
    <w:rsid w:val="00C21106"/>
    <w:rsid w:val="00C21589"/>
    <w:rsid w:val="00C218CB"/>
    <w:rsid w:val="00C21D8A"/>
    <w:rsid w:val="00C21F89"/>
    <w:rsid w:val="00C22022"/>
    <w:rsid w:val="00C22113"/>
    <w:rsid w:val="00C22209"/>
    <w:rsid w:val="00C228DC"/>
    <w:rsid w:val="00C22B74"/>
    <w:rsid w:val="00C23043"/>
    <w:rsid w:val="00C2310B"/>
    <w:rsid w:val="00C2314C"/>
    <w:rsid w:val="00C231F1"/>
    <w:rsid w:val="00C23622"/>
    <w:rsid w:val="00C23656"/>
    <w:rsid w:val="00C236B6"/>
    <w:rsid w:val="00C23AEA"/>
    <w:rsid w:val="00C23C36"/>
    <w:rsid w:val="00C24156"/>
    <w:rsid w:val="00C244A1"/>
    <w:rsid w:val="00C24624"/>
    <w:rsid w:val="00C24B3B"/>
    <w:rsid w:val="00C24C75"/>
    <w:rsid w:val="00C24CCC"/>
    <w:rsid w:val="00C24F94"/>
    <w:rsid w:val="00C2508D"/>
    <w:rsid w:val="00C25884"/>
    <w:rsid w:val="00C25E26"/>
    <w:rsid w:val="00C25EC4"/>
    <w:rsid w:val="00C26161"/>
    <w:rsid w:val="00C26C11"/>
    <w:rsid w:val="00C26E6E"/>
    <w:rsid w:val="00C271EE"/>
    <w:rsid w:val="00C27353"/>
    <w:rsid w:val="00C27BED"/>
    <w:rsid w:val="00C27E5D"/>
    <w:rsid w:val="00C27EA4"/>
    <w:rsid w:val="00C27F52"/>
    <w:rsid w:val="00C30104"/>
    <w:rsid w:val="00C30165"/>
    <w:rsid w:val="00C30245"/>
    <w:rsid w:val="00C30772"/>
    <w:rsid w:val="00C30872"/>
    <w:rsid w:val="00C30E39"/>
    <w:rsid w:val="00C3120F"/>
    <w:rsid w:val="00C312B2"/>
    <w:rsid w:val="00C317BD"/>
    <w:rsid w:val="00C318F7"/>
    <w:rsid w:val="00C31A21"/>
    <w:rsid w:val="00C31A99"/>
    <w:rsid w:val="00C31DAD"/>
    <w:rsid w:val="00C31EA9"/>
    <w:rsid w:val="00C322B4"/>
    <w:rsid w:val="00C32375"/>
    <w:rsid w:val="00C3269F"/>
    <w:rsid w:val="00C32845"/>
    <w:rsid w:val="00C3291D"/>
    <w:rsid w:val="00C32F1C"/>
    <w:rsid w:val="00C33013"/>
    <w:rsid w:val="00C33511"/>
    <w:rsid w:val="00C3359E"/>
    <w:rsid w:val="00C33604"/>
    <w:rsid w:val="00C33699"/>
    <w:rsid w:val="00C33843"/>
    <w:rsid w:val="00C33B63"/>
    <w:rsid w:val="00C33B84"/>
    <w:rsid w:val="00C33BBE"/>
    <w:rsid w:val="00C33CDE"/>
    <w:rsid w:val="00C33D85"/>
    <w:rsid w:val="00C3407F"/>
    <w:rsid w:val="00C341FD"/>
    <w:rsid w:val="00C346B3"/>
    <w:rsid w:val="00C3476E"/>
    <w:rsid w:val="00C348AA"/>
    <w:rsid w:val="00C34CA3"/>
    <w:rsid w:val="00C35065"/>
    <w:rsid w:val="00C35161"/>
    <w:rsid w:val="00C351D6"/>
    <w:rsid w:val="00C354BB"/>
    <w:rsid w:val="00C3581B"/>
    <w:rsid w:val="00C35D65"/>
    <w:rsid w:val="00C35D78"/>
    <w:rsid w:val="00C35E99"/>
    <w:rsid w:val="00C367C3"/>
    <w:rsid w:val="00C36AD8"/>
    <w:rsid w:val="00C36E0B"/>
    <w:rsid w:val="00C36F62"/>
    <w:rsid w:val="00C36F7F"/>
    <w:rsid w:val="00C3727C"/>
    <w:rsid w:val="00C3737A"/>
    <w:rsid w:val="00C37417"/>
    <w:rsid w:val="00C37608"/>
    <w:rsid w:val="00C3765B"/>
    <w:rsid w:val="00C3798C"/>
    <w:rsid w:val="00C37BA0"/>
    <w:rsid w:val="00C400F6"/>
    <w:rsid w:val="00C4021C"/>
    <w:rsid w:val="00C403CA"/>
    <w:rsid w:val="00C40678"/>
    <w:rsid w:val="00C40717"/>
    <w:rsid w:val="00C4072B"/>
    <w:rsid w:val="00C409FC"/>
    <w:rsid w:val="00C40AA4"/>
    <w:rsid w:val="00C41379"/>
    <w:rsid w:val="00C41479"/>
    <w:rsid w:val="00C415A4"/>
    <w:rsid w:val="00C4176A"/>
    <w:rsid w:val="00C41DBA"/>
    <w:rsid w:val="00C420BF"/>
    <w:rsid w:val="00C424FE"/>
    <w:rsid w:val="00C425E5"/>
    <w:rsid w:val="00C42850"/>
    <w:rsid w:val="00C42A73"/>
    <w:rsid w:val="00C42AC6"/>
    <w:rsid w:val="00C42B6F"/>
    <w:rsid w:val="00C4306C"/>
    <w:rsid w:val="00C43594"/>
    <w:rsid w:val="00C437AD"/>
    <w:rsid w:val="00C43EAE"/>
    <w:rsid w:val="00C44215"/>
    <w:rsid w:val="00C44357"/>
    <w:rsid w:val="00C44806"/>
    <w:rsid w:val="00C4498A"/>
    <w:rsid w:val="00C44B57"/>
    <w:rsid w:val="00C44C21"/>
    <w:rsid w:val="00C45013"/>
    <w:rsid w:val="00C45837"/>
    <w:rsid w:val="00C45A09"/>
    <w:rsid w:val="00C45C7F"/>
    <w:rsid w:val="00C45D45"/>
    <w:rsid w:val="00C464F0"/>
    <w:rsid w:val="00C4669A"/>
    <w:rsid w:val="00C46FCE"/>
    <w:rsid w:val="00C47317"/>
    <w:rsid w:val="00C4771B"/>
    <w:rsid w:val="00C47BBC"/>
    <w:rsid w:val="00C47C4B"/>
    <w:rsid w:val="00C5015B"/>
    <w:rsid w:val="00C5065B"/>
    <w:rsid w:val="00C507B7"/>
    <w:rsid w:val="00C51356"/>
    <w:rsid w:val="00C51561"/>
    <w:rsid w:val="00C517B6"/>
    <w:rsid w:val="00C51823"/>
    <w:rsid w:val="00C51893"/>
    <w:rsid w:val="00C518C3"/>
    <w:rsid w:val="00C5199B"/>
    <w:rsid w:val="00C51ADA"/>
    <w:rsid w:val="00C51C22"/>
    <w:rsid w:val="00C51E6E"/>
    <w:rsid w:val="00C51EDB"/>
    <w:rsid w:val="00C520E2"/>
    <w:rsid w:val="00C522E9"/>
    <w:rsid w:val="00C5234C"/>
    <w:rsid w:val="00C523F0"/>
    <w:rsid w:val="00C524C8"/>
    <w:rsid w:val="00C52589"/>
    <w:rsid w:val="00C5260E"/>
    <w:rsid w:val="00C5286A"/>
    <w:rsid w:val="00C528C6"/>
    <w:rsid w:val="00C52917"/>
    <w:rsid w:val="00C52960"/>
    <w:rsid w:val="00C529F4"/>
    <w:rsid w:val="00C52B3E"/>
    <w:rsid w:val="00C52C99"/>
    <w:rsid w:val="00C5309F"/>
    <w:rsid w:val="00C5326C"/>
    <w:rsid w:val="00C533AE"/>
    <w:rsid w:val="00C533F2"/>
    <w:rsid w:val="00C536A8"/>
    <w:rsid w:val="00C53C13"/>
    <w:rsid w:val="00C53CB1"/>
    <w:rsid w:val="00C53CC6"/>
    <w:rsid w:val="00C53D5D"/>
    <w:rsid w:val="00C54011"/>
    <w:rsid w:val="00C544AD"/>
    <w:rsid w:val="00C54C8B"/>
    <w:rsid w:val="00C54CA3"/>
    <w:rsid w:val="00C54E9C"/>
    <w:rsid w:val="00C54F3D"/>
    <w:rsid w:val="00C5520E"/>
    <w:rsid w:val="00C552DB"/>
    <w:rsid w:val="00C5534B"/>
    <w:rsid w:val="00C553E0"/>
    <w:rsid w:val="00C556D0"/>
    <w:rsid w:val="00C55DA7"/>
    <w:rsid w:val="00C55FDB"/>
    <w:rsid w:val="00C564F9"/>
    <w:rsid w:val="00C565A8"/>
    <w:rsid w:val="00C566A1"/>
    <w:rsid w:val="00C56F47"/>
    <w:rsid w:val="00C570A6"/>
    <w:rsid w:val="00C571E9"/>
    <w:rsid w:val="00C574FC"/>
    <w:rsid w:val="00C5779F"/>
    <w:rsid w:val="00C57C32"/>
    <w:rsid w:val="00C6019F"/>
    <w:rsid w:val="00C602B8"/>
    <w:rsid w:val="00C605D8"/>
    <w:rsid w:val="00C607FB"/>
    <w:rsid w:val="00C6090C"/>
    <w:rsid w:val="00C60ADB"/>
    <w:rsid w:val="00C60B9F"/>
    <w:rsid w:val="00C60D09"/>
    <w:rsid w:val="00C60D21"/>
    <w:rsid w:val="00C60E52"/>
    <w:rsid w:val="00C60F06"/>
    <w:rsid w:val="00C60F22"/>
    <w:rsid w:val="00C60FF8"/>
    <w:rsid w:val="00C610C6"/>
    <w:rsid w:val="00C6136A"/>
    <w:rsid w:val="00C617EC"/>
    <w:rsid w:val="00C619BA"/>
    <w:rsid w:val="00C61A1D"/>
    <w:rsid w:val="00C6207B"/>
    <w:rsid w:val="00C624EF"/>
    <w:rsid w:val="00C6308B"/>
    <w:rsid w:val="00C6395A"/>
    <w:rsid w:val="00C63A73"/>
    <w:rsid w:val="00C63B1D"/>
    <w:rsid w:val="00C63C61"/>
    <w:rsid w:val="00C63E0C"/>
    <w:rsid w:val="00C6439E"/>
    <w:rsid w:val="00C648AA"/>
    <w:rsid w:val="00C64964"/>
    <w:rsid w:val="00C64A4F"/>
    <w:rsid w:val="00C64C37"/>
    <w:rsid w:val="00C64E55"/>
    <w:rsid w:val="00C64EF7"/>
    <w:rsid w:val="00C65365"/>
    <w:rsid w:val="00C653CA"/>
    <w:rsid w:val="00C655C2"/>
    <w:rsid w:val="00C65648"/>
    <w:rsid w:val="00C6568A"/>
    <w:rsid w:val="00C658AD"/>
    <w:rsid w:val="00C65E57"/>
    <w:rsid w:val="00C65E9B"/>
    <w:rsid w:val="00C65EDC"/>
    <w:rsid w:val="00C66144"/>
    <w:rsid w:val="00C6680C"/>
    <w:rsid w:val="00C66898"/>
    <w:rsid w:val="00C66911"/>
    <w:rsid w:val="00C66C34"/>
    <w:rsid w:val="00C66E67"/>
    <w:rsid w:val="00C6786E"/>
    <w:rsid w:val="00C679EC"/>
    <w:rsid w:val="00C701BC"/>
    <w:rsid w:val="00C704B6"/>
    <w:rsid w:val="00C704C4"/>
    <w:rsid w:val="00C706F2"/>
    <w:rsid w:val="00C70A44"/>
    <w:rsid w:val="00C70AA0"/>
    <w:rsid w:val="00C70BC9"/>
    <w:rsid w:val="00C70C20"/>
    <w:rsid w:val="00C70DC8"/>
    <w:rsid w:val="00C70DF0"/>
    <w:rsid w:val="00C70E09"/>
    <w:rsid w:val="00C711C6"/>
    <w:rsid w:val="00C712C0"/>
    <w:rsid w:val="00C712F7"/>
    <w:rsid w:val="00C71515"/>
    <w:rsid w:val="00C7172D"/>
    <w:rsid w:val="00C7192F"/>
    <w:rsid w:val="00C719E2"/>
    <w:rsid w:val="00C71BEA"/>
    <w:rsid w:val="00C71C5B"/>
    <w:rsid w:val="00C721DF"/>
    <w:rsid w:val="00C722B9"/>
    <w:rsid w:val="00C72306"/>
    <w:rsid w:val="00C725C2"/>
    <w:rsid w:val="00C725F5"/>
    <w:rsid w:val="00C72674"/>
    <w:rsid w:val="00C7271B"/>
    <w:rsid w:val="00C728A3"/>
    <w:rsid w:val="00C72A2D"/>
    <w:rsid w:val="00C72A8E"/>
    <w:rsid w:val="00C72AC4"/>
    <w:rsid w:val="00C72BA5"/>
    <w:rsid w:val="00C73156"/>
    <w:rsid w:val="00C732FA"/>
    <w:rsid w:val="00C7334A"/>
    <w:rsid w:val="00C73367"/>
    <w:rsid w:val="00C733CA"/>
    <w:rsid w:val="00C73674"/>
    <w:rsid w:val="00C737B9"/>
    <w:rsid w:val="00C744E2"/>
    <w:rsid w:val="00C7467E"/>
    <w:rsid w:val="00C74760"/>
    <w:rsid w:val="00C74814"/>
    <w:rsid w:val="00C748C0"/>
    <w:rsid w:val="00C7491C"/>
    <w:rsid w:val="00C74AD3"/>
    <w:rsid w:val="00C74E31"/>
    <w:rsid w:val="00C74E4D"/>
    <w:rsid w:val="00C74E5D"/>
    <w:rsid w:val="00C74E78"/>
    <w:rsid w:val="00C74FD0"/>
    <w:rsid w:val="00C74FF9"/>
    <w:rsid w:val="00C75031"/>
    <w:rsid w:val="00C7530B"/>
    <w:rsid w:val="00C75565"/>
    <w:rsid w:val="00C75640"/>
    <w:rsid w:val="00C756FB"/>
    <w:rsid w:val="00C75B06"/>
    <w:rsid w:val="00C75C55"/>
    <w:rsid w:val="00C75D0C"/>
    <w:rsid w:val="00C75D6F"/>
    <w:rsid w:val="00C75DB2"/>
    <w:rsid w:val="00C75EB8"/>
    <w:rsid w:val="00C7602C"/>
    <w:rsid w:val="00C7612C"/>
    <w:rsid w:val="00C764F0"/>
    <w:rsid w:val="00C76930"/>
    <w:rsid w:val="00C7697F"/>
    <w:rsid w:val="00C76EF8"/>
    <w:rsid w:val="00C7732C"/>
    <w:rsid w:val="00C7767A"/>
    <w:rsid w:val="00C77843"/>
    <w:rsid w:val="00C77D2D"/>
    <w:rsid w:val="00C77E5B"/>
    <w:rsid w:val="00C77E85"/>
    <w:rsid w:val="00C77FD8"/>
    <w:rsid w:val="00C80144"/>
    <w:rsid w:val="00C801D0"/>
    <w:rsid w:val="00C80243"/>
    <w:rsid w:val="00C802CE"/>
    <w:rsid w:val="00C802E1"/>
    <w:rsid w:val="00C80617"/>
    <w:rsid w:val="00C80B57"/>
    <w:rsid w:val="00C80CD4"/>
    <w:rsid w:val="00C8107E"/>
    <w:rsid w:val="00C812C3"/>
    <w:rsid w:val="00C81319"/>
    <w:rsid w:val="00C81927"/>
    <w:rsid w:val="00C81BD9"/>
    <w:rsid w:val="00C81D5A"/>
    <w:rsid w:val="00C8258B"/>
    <w:rsid w:val="00C82829"/>
    <w:rsid w:val="00C8293C"/>
    <w:rsid w:val="00C82E88"/>
    <w:rsid w:val="00C82FBC"/>
    <w:rsid w:val="00C83046"/>
    <w:rsid w:val="00C836BF"/>
    <w:rsid w:val="00C83716"/>
    <w:rsid w:val="00C83A5F"/>
    <w:rsid w:val="00C83B44"/>
    <w:rsid w:val="00C83E75"/>
    <w:rsid w:val="00C8451E"/>
    <w:rsid w:val="00C84724"/>
    <w:rsid w:val="00C85143"/>
    <w:rsid w:val="00C858EB"/>
    <w:rsid w:val="00C859B2"/>
    <w:rsid w:val="00C85A3B"/>
    <w:rsid w:val="00C85AE7"/>
    <w:rsid w:val="00C85D57"/>
    <w:rsid w:val="00C85D71"/>
    <w:rsid w:val="00C86049"/>
    <w:rsid w:val="00C860BD"/>
    <w:rsid w:val="00C86130"/>
    <w:rsid w:val="00C86194"/>
    <w:rsid w:val="00C86332"/>
    <w:rsid w:val="00C86373"/>
    <w:rsid w:val="00C866C6"/>
    <w:rsid w:val="00C866EA"/>
    <w:rsid w:val="00C86800"/>
    <w:rsid w:val="00C86A3C"/>
    <w:rsid w:val="00C86C5E"/>
    <w:rsid w:val="00C86D52"/>
    <w:rsid w:val="00C86E2A"/>
    <w:rsid w:val="00C8708A"/>
    <w:rsid w:val="00C876F3"/>
    <w:rsid w:val="00C87942"/>
    <w:rsid w:val="00C87A2B"/>
    <w:rsid w:val="00C87C89"/>
    <w:rsid w:val="00C87CC4"/>
    <w:rsid w:val="00C87E80"/>
    <w:rsid w:val="00C9024A"/>
    <w:rsid w:val="00C90252"/>
    <w:rsid w:val="00C90797"/>
    <w:rsid w:val="00C9093A"/>
    <w:rsid w:val="00C909D0"/>
    <w:rsid w:val="00C90B20"/>
    <w:rsid w:val="00C90B98"/>
    <w:rsid w:val="00C910DC"/>
    <w:rsid w:val="00C91450"/>
    <w:rsid w:val="00C91537"/>
    <w:rsid w:val="00C9191D"/>
    <w:rsid w:val="00C9196F"/>
    <w:rsid w:val="00C91D3D"/>
    <w:rsid w:val="00C91D77"/>
    <w:rsid w:val="00C91FBE"/>
    <w:rsid w:val="00C92127"/>
    <w:rsid w:val="00C92BD7"/>
    <w:rsid w:val="00C92C2E"/>
    <w:rsid w:val="00C92C9B"/>
    <w:rsid w:val="00C92CA3"/>
    <w:rsid w:val="00C92DFA"/>
    <w:rsid w:val="00C92EE8"/>
    <w:rsid w:val="00C9352C"/>
    <w:rsid w:val="00C93826"/>
    <w:rsid w:val="00C93B4C"/>
    <w:rsid w:val="00C93B54"/>
    <w:rsid w:val="00C93BE9"/>
    <w:rsid w:val="00C93C22"/>
    <w:rsid w:val="00C93CB4"/>
    <w:rsid w:val="00C93E6B"/>
    <w:rsid w:val="00C93E84"/>
    <w:rsid w:val="00C94025"/>
    <w:rsid w:val="00C940FE"/>
    <w:rsid w:val="00C942ED"/>
    <w:rsid w:val="00C94634"/>
    <w:rsid w:val="00C9491F"/>
    <w:rsid w:val="00C94943"/>
    <w:rsid w:val="00C94AE3"/>
    <w:rsid w:val="00C94B07"/>
    <w:rsid w:val="00C9504A"/>
    <w:rsid w:val="00C95399"/>
    <w:rsid w:val="00C95C4D"/>
    <w:rsid w:val="00C95D0F"/>
    <w:rsid w:val="00C960A2"/>
    <w:rsid w:val="00C960B9"/>
    <w:rsid w:val="00C960D8"/>
    <w:rsid w:val="00C96683"/>
    <w:rsid w:val="00C96917"/>
    <w:rsid w:val="00C96F02"/>
    <w:rsid w:val="00C97051"/>
    <w:rsid w:val="00C97500"/>
    <w:rsid w:val="00CA0003"/>
    <w:rsid w:val="00CA01EA"/>
    <w:rsid w:val="00CA02CF"/>
    <w:rsid w:val="00CA07ED"/>
    <w:rsid w:val="00CA09E4"/>
    <w:rsid w:val="00CA0BAA"/>
    <w:rsid w:val="00CA0CB6"/>
    <w:rsid w:val="00CA0D40"/>
    <w:rsid w:val="00CA0E50"/>
    <w:rsid w:val="00CA10CF"/>
    <w:rsid w:val="00CA10E6"/>
    <w:rsid w:val="00CA113B"/>
    <w:rsid w:val="00CA145C"/>
    <w:rsid w:val="00CA1669"/>
    <w:rsid w:val="00CA1689"/>
    <w:rsid w:val="00CA1EB4"/>
    <w:rsid w:val="00CA20FF"/>
    <w:rsid w:val="00CA21D0"/>
    <w:rsid w:val="00CA2297"/>
    <w:rsid w:val="00CA2AE7"/>
    <w:rsid w:val="00CA2F03"/>
    <w:rsid w:val="00CA2F5D"/>
    <w:rsid w:val="00CA3013"/>
    <w:rsid w:val="00CA3097"/>
    <w:rsid w:val="00CA3392"/>
    <w:rsid w:val="00CA375C"/>
    <w:rsid w:val="00CA39A3"/>
    <w:rsid w:val="00CA3A7E"/>
    <w:rsid w:val="00CA3AF1"/>
    <w:rsid w:val="00CA3B85"/>
    <w:rsid w:val="00CA3D37"/>
    <w:rsid w:val="00CA3D67"/>
    <w:rsid w:val="00CA41F6"/>
    <w:rsid w:val="00CA43A3"/>
    <w:rsid w:val="00CA43F4"/>
    <w:rsid w:val="00CA45EB"/>
    <w:rsid w:val="00CA4A1A"/>
    <w:rsid w:val="00CA4CED"/>
    <w:rsid w:val="00CA4CF4"/>
    <w:rsid w:val="00CA5048"/>
    <w:rsid w:val="00CA5398"/>
    <w:rsid w:val="00CA5479"/>
    <w:rsid w:val="00CA5514"/>
    <w:rsid w:val="00CA572A"/>
    <w:rsid w:val="00CA582D"/>
    <w:rsid w:val="00CA586C"/>
    <w:rsid w:val="00CA5A67"/>
    <w:rsid w:val="00CA5CC4"/>
    <w:rsid w:val="00CA5DA7"/>
    <w:rsid w:val="00CA5EDB"/>
    <w:rsid w:val="00CA5F87"/>
    <w:rsid w:val="00CA62A6"/>
    <w:rsid w:val="00CA6534"/>
    <w:rsid w:val="00CA6554"/>
    <w:rsid w:val="00CA6A45"/>
    <w:rsid w:val="00CA6A62"/>
    <w:rsid w:val="00CA6D4F"/>
    <w:rsid w:val="00CA6D91"/>
    <w:rsid w:val="00CA6FD5"/>
    <w:rsid w:val="00CA7017"/>
    <w:rsid w:val="00CA7251"/>
    <w:rsid w:val="00CA7461"/>
    <w:rsid w:val="00CA7587"/>
    <w:rsid w:val="00CA7856"/>
    <w:rsid w:val="00CA7B58"/>
    <w:rsid w:val="00CA7CEA"/>
    <w:rsid w:val="00CA7DBB"/>
    <w:rsid w:val="00CA7EAC"/>
    <w:rsid w:val="00CB0012"/>
    <w:rsid w:val="00CB00E7"/>
    <w:rsid w:val="00CB0413"/>
    <w:rsid w:val="00CB0425"/>
    <w:rsid w:val="00CB0708"/>
    <w:rsid w:val="00CB073A"/>
    <w:rsid w:val="00CB0A0D"/>
    <w:rsid w:val="00CB0E43"/>
    <w:rsid w:val="00CB1125"/>
    <w:rsid w:val="00CB1154"/>
    <w:rsid w:val="00CB11B4"/>
    <w:rsid w:val="00CB15F2"/>
    <w:rsid w:val="00CB195D"/>
    <w:rsid w:val="00CB1EBE"/>
    <w:rsid w:val="00CB1EC3"/>
    <w:rsid w:val="00CB1F08"/>
    <w:rsid w:val="00CB1FD1"/>
    <w:rsid w:val="00CB2039"/>
    <w:rsid w:val="00CB2682"/>
    <w:rsid w:val="00CB2944"/>
    <w:rsid w:val="00CB2D5B"/>
    <w:rsid w:val="00CB2ED5"/>
    <w:rsid w:val="00CB2F5D"/>
    <w:rsid w:val="00CB323D"/>
    <w:rsid w:val="00CB33E3"/>
    <w:rsid w:val="00CB36ED"/>
    <w:rsid w:val="00CB394D"/>
    <w:rsid w:val="00CB44D5"/>
    <w:rsid w:val="00CB456F"/>
    <w:rsid w:val="00CB4580"/>
    <w:rsid w:val="00CB4835"/>
    <w:rsid w:val="00CB483B"/>
    <w:rsid w:val="00CB4912"/>
    <w:rsid w:val="00CB4B35"/>
    <w:rsid w:val="00CB4D5C"/>
    <w:rsid w:val="00CB4EDE"/>
    <w:rsid w:val="00CB4F92"/>
    <w:rsid w:val="00CB5147"/>
    <w:rsid w:val="00CB519D"/>
    <w:rsid w:val="00CB546D"/>
    <w:rsid w:val="00CB55FE"/>
    <w:rsid w:val="00CB5692"/>
    <w:rsid w:val="00CB58C6"/>
    <w:rsid w:val="00CB5B26"/>
    <w:rsid w:val="00CB5F6F"/>
    <w:rsid w:val="00CB5F79"/>
    <w:rsid w:val="00CB624F"/>
    <w:rsid w:val="00CB6320"/>
    <w:rsid w:val="00CB63DA"/>
    <w:rsid w:val="00CB6472"/>
    <w:rsid w:val="00CB6E0F"/>
    <w:rsid w:val="00CB72E9"/>
    <w:rsid w:val="00CB741C"/>
    <w:rsid w:val="00CB77DC"/>
    <w:rsid w:val="00CB77E8"/>
    <w:rsid w:val="00CB7B4C"/>
    <w:rsid w:val="00CB7D1D"/>
    <w:rsid w:val="00CB7EE6"/>
    <w:rsid w:val="00CB7EE9"/>
    <w:rsid w:val="00CC01E6"/>
    <w:rsid w:val="00CC04E2"/>
    <w:rsid w:val="00CC0990"/>
    <w:rsid w:val="00CC0A46"/>
    <w:rsid w:val="00CC0C96"/>
    <w:rsid w:val="00CC0DDD"/>
    <w:rsid w:val="00CC136B"/>
    <w:rsid w:val="00CC13C2"/>
    <w:rsid w:val="00CC1503"/>
    <w:rsid w:val="00CC1560"/>
    <w:rsid w:val="00CC1C09"/>
    <w:rsid w:val="00CC21CD"/>
    <w:rsid w:val="00CC2B9C"/>
    <w:rsid w:val="00CC2C8C"/>
    <w:rsid w:val="00CC2EFD"/>
    <w:rsid w:val="00CC340A"/>
    <w:rsid w:val="00CC3A06"/>
    <w:rsid w:val="00CC3BCD"/>
    <w:rsid w:val="00CC3D1C"/>
    <w:rsid w:val="00CC3DBE"/>
    <w:rsid w:val="00CC3F11"/>
    <w:rsid w:val="00CC3FD0"/>
    <w:rsid w:val="00CC4236"/>
    <w:rsid w:val="00CC4579"/>
    <w:rsid w:val="00CC45CF"/>
    <w:rsid w:val="00CC46D6"/>
    <w:rsid w:val="00CC49CB"/>
    <w:rsid w:val="00CC4BF4"/>
    <w:rsid w:val="00CC4C17"/>
    <w:rsid w:val="00CC51F0"/>
    <w:rsid w:val="00CC5C73"/>
    <w:rsid w:val="00CC5CA0"/>
    <w:rsid w:val="00CC5E89"/>
    <w:rsid w:val="00CC5F98"/>
    <w:rsid w:val="00CC6727"/>
    <w:rsid w:val="00CC6878"/>
    <w:rsid w:val="00CC697F"/>
    <w:rsid w:val="00CC7096"/>
    <w:rsid w:val="00CC74E7"/>
    <w:rsid w:val="00CC7605"/>
    <w:rsid w:val="00CC7657"/>
    <w:rsid w:val="00CC78D8"/>
    <w:rsid w:val="00CC7A03"/>
    <w:rsid w:val="00CC7D99"/>
    <w:rsid w:val="00CC7EAD"/>
    <w:rsid w:val="00CC7EBE"/>
    <w:rsid w:val="00CC7F57"/>
    <w:rsid w:val="00CD04B6"/>
    <w:rsid w:val="00CD0BB3"/>
    <w:rsid w:val="00CD0F76"/>
    <w:rsid w:val="00CD115F"/>
    <w:rsid w:val="00CD117F"/>
    <w:rsid w:val="00CD1578"/>
    <w:rsid w:val="00CD1CC1"/>
    <w:rsid w:val="00CD2010"/>
    <w:rsid w:val="00CD2037"/>
    <w:rsid w:val="00CD2776"/>
    <w:rsid w:val="00CD287F"/>
    <w:rsid w:val="00CD2E71"/>
    <w:rsid w:val="00CD2ED4"/>
    <w:rsid w:val="00CD2F40"/>
    <w:rsid w:val="00CD2FBF"/>
    <w:rsid w:val="00CD3034"/>
    <w:rsid w:val="00CD327B"/>
    <w:rsid w:val="00CD333F"/>
    <w:rsid w:val="00CD3435"/>
    <w:rsid w:val="00CD3C97"/>
    <w:rsid w:val="00CD40C8"/>
    <w:rsid w:val="00CD49D5"/>
    <w:rsid w:val="00CD4A40"/>
    <w:rsid w:val="00CD4DFA"/>
    <w:rsid w:val="00CD4EE6"/>
    <w:rsid w:val="00CD4F63"/>
    <w:rsid w:val="00CD55D6"/>
    <w:rsid w:val="00CD57DB"/>
    <w:rsid w:val="00CD5803"/>
    <w:rsid w:val="00CD5C8B"/>
    <w:rsid w:val="00CD5E7A"/>
    <w:rsid w:val="00CD6221"/>
    <w:rsid w:val="00CD68DA"/>
    <w:rsid w:val="00CD6B31"/>
    <w:rsid w:val="00CD6B44"/>
    <w:rsid w:val="00CD7001"/>
    <w:rsid w:val="00CD7364"/>
    <w:rsid w:val="00CD74D6"/>
    <w:rsid w:val="00CD763D"/>
    <w:rsid w:val="00CD76EF"/>
    <w:rsid w:val="00CD7A51"/>
    <w:rsid w:val="00CD7E16"/>
    <w:rsid w:val="00CE00C0"/>
    <w:rsid w:val="00CE039F"/>
    <w:rsid w:val="00CE0423"/>
    <w:rsid w:val="00CE043C"/>
    <w:rsid w:val="00CE0530"/>
    <w:rsid w:val="00CE0C68"/>
    <w:rsid w:val="00CE0D51"/>
    <w:rsid w:val="00CE0DF6"/>
    <w:rsid w:val="00CE105E"/>
    <w:rsid w:val="00CE11A0"/>
    <w:rsid w:val="00CE120F"/>
    <w:rsid w:val="00CE1455"/>
    <w:rsid w:val="00CE15A3"/>
    <w:rsid w:val="00CE1879"/>
    <w:rsid w:val="00CE1AFF"/>
    <w:rsid w:val="00CE1D47"/>
    <w:rsid w:val="00CE1FC9"/>
    <w:rsid w:val="00CE1FE3"/>
    <w:rsid w:val="00CE21DA"/>
    <w:rsid w:val="00CE22AF"/>
    <w:rsid w:val="00CE237A"/>
    <w:rsid w:val="00CE25AA"/>
    <w:rsid w:val="00CE2655"/>
    <w:rsid w:val="00CE26F4"/>
    <w:rsid w:val="00CE270A"/>
    <w:rsid w:val="00CE2D41"/>
    <w:rsid w:val="00CE2FF1"/>
    <w:rsid w:val="00CE3234"/>
    <w:rsid w:val="00CE3367"/>
    <w:rsid w:val="00CE3633"/>
    <w:rsid w:val="00CE3A88"/>
    <w:rsid w:val="00CE3D0D"/>
    <w:rsid w:val="00CE3EFF"/>
    <w:rsid w:val="00CE4009"/>
    <w:rsid w:val="00CE4505"/>
    <w:rsid w:val="00CE53A9"/>
    <w:rsid w:val="00CE54DF"/>
    <w:rsid w:val="00CE5668"/>
    <w:rsid w:val="00CE568A"/>
    <w:rsid w:val="00CE5DF2"/>
    <w:rsid w:val="00CE5F74"/>
    <w:rsid w:val="00CE61F2"/>
    <w:rsid w:val="00CE63C7"/>
    <w:rsid w:val="00CE649C"/>
    <w:rsid w:val="00CE6713"/>
    <w:rsid w:val="00CE6ADF"/>
    <w:rsid w:val="00CE6C22"/>
    <w:rsid w:val="00CF0097"/>
    <w:rsid w:val="00CF01CD"/>
    <w:rsid w:val="00CF0C5B"/>
    <w:rsid w:val="00CF0D1F"/>
    <w:rsid w:val="00CF1323"/>
    <w:rsid w:val="00CF1534"/>
    <w:rsid w:val="00CF18D6"/>
    <w:rsid w:val="00CF1D42"/>
    <w:rsid w:val="00CF22DC"/>
    <w:rsid w:val="00CF2411"/>
    <w:rsid w:val="00CF25CA"/>
    <w:rsid w:val="00CF25F5"/>
    <w:rsid w:val="00CF27C0"/>
    <w:rsid w:val="00CF28B2"/>
    <w:rsid w:val="00CF28BF"/>
    <w:rsid w:val="00CF2EEA"/>
    <w:rsid w:val="00CF3373"/>
    <w:rsid w:val="00CF3792"/>
    <w:rsid w:val="00CF37D5"/>
    <w:rsid w:val="00CF3959"/>
    <w:rsid w:val="00CF3A2A"/>
    <w:rsid w:val="00CF3BEE"/>
    <w:rsid w:val="00CF40BB"/>
    <w:rsid w:val="00CF420A"/>
    <w:rsid w:val="00CF44C7"/>
    <w:rsid w:val="00CF48A1"/>
    <w:rsid w:val="00CF49D9"/>
    <w:rsid w:val="00CF4ABF"/>
    <w:rsid w:val="00CF4B11"/>
    <w:rsid w:val="00CF4BE3"/>
    <w:rsid w:val="00CF4C91"/>
    <w:rsid w:val="00CF4C96"/>
    <w:rsid w:val="00CF4EF6"/>
    <w:rsid w:val="00CF4F64"/>
    <w:rsid w:val="00CF50A9"/>
    <w:rsid w:val="00CF52AF"/>
    <w:rsid w:val="00CF53D5"/>
    <w:rsid w:val="00CF55D6"/>
    <w:rsid w:val="00CF56BB"/>
    <w:rsid w:val="00CF5E82"/>
    <w:rsid w:val="00CF5F3E"/>
    <w:rsid w:val="00CF6200"/>
    <w:rsid w:val="00CF6214"/>
    <w:rsid w:val="00CF64DF"/>
    <w:rsid w:val="00CF66C3"/>
    <w:rsid w:val="00CF66CA"/>
    <w:rsid w:val="00CF6B2B"/>
    <w:rsid w:val="00CF6B73"/>
    <w:rsid w:val="00CF6C4D"/>
    <w:rsid w:val="00CF6D1E"/>
    <w:rsid w:val="00CF6D4B"/>
    <w:rsid w:val="00CF6D8A"/>
    <w:rsid w:val="00CF6FA9"/>
    <w:rsid w:val="00CF77E2"/>
    <w:rsid w:val="00CF7BAD"/>
    <w:rsid w:val="00CF7D82"/>
    <w:rsid w:val="00CF7E30"/>
    <w:rsid w:val="00D00555"/>
    <w:rsid w:val="00D00A48"/>
    <w:rsid w:val="00D01085"/>
    <w:rsid w:val="00D0115D"/>
    <w:rsid w:val="00D01593"/>
    <w:rsid w:val="00D0193D"/>
    <w:rsid w:val="00D01942"/>
    <w:rsid w:val="00D01D8A"/>
    <w:rsid w:val="00D020B8"/>
    <w:rsid w:val="00D023FB"/>
    <w:rsid w:val="00D02416"/>
    <w:rsid w:val="00D029A0"/>
    <w:rsid w:val="00D02A87"/>
    <w:rsid w:val="00D02B90"/>
    <w:rsid w:val="00D02C80"/>
    <w:rsid w:val="00D02D6C"/>
    <w:rsid w:val="00D03554"/>
    <w:rsid w:val="00D03744"/>
    <w:rsid w:val="00D03863"/>
    <w:rsid w:val="00D03D57"/>
    <w:rsid w:val="00D03D7D"/>
    <w:rsid w:val="00D03E97"/>
    <w:rsid w:val="00D040FA"/>
    <w:rsid w:val="00D0434F"/>
    <w:rsid w:val="00D046C7"/>
    <w:rsid w:val="00D047BC"/>
    <w:rsid w:val="00D047D4"/>
    <w:rsid w:val="00D04986"/>
    <w:rsid w:val="00D04F3B"/>
    <w:rsid w:val="00D05337"/>
    <w:rsid w:val="00D054C0"/>
    <w:rsid w:val="00D055B7"/>
    <w:rsid w:val="00D05C4A"/>
    <w:rsid w:val="00D05CF2"/>
    <w:rsid w:val="00D05E9A"/>
    <w:rsid w:val="00D06487"/>
    <w:rsid w:val="00D06C7B"/>
    <w:rsid w:val="00D06D97"/>
    <w:rsid w:val="00D06FDE"/>
    <w:rsid w:val="00D0711E"/>
    <w:rsid w:val="00D07263"/>
    <w:rsid w:val="00D072C0"/>
    <w:rsid w:val="00D07750"/>
    <w:rsid w:val="00D07880"/>
    <w:rsid w:val="00D07A29"/>
    <w:rsid w:val="00D07C33"/>
    <w:rsid w:val="00D07E37"/>
    <w:rsid w:val="00D07F72"/>
    <w:rsid w:val="00D102AA"/>
    <w:rsid w:val="00D10539"/>
    <w:rsid w:val="00D105D4"/>
    <w:rsid w:val="00D1068D"/>
    <w:rsid w:val="00D1078F"/>
    <w:rsid w:val="00D108CC"/>
    <w:rsid w:val="00D10A8C"/>
    <w:rsid w:val="00D10B47"/>
    <w:rsid w:val="00D10EFD"/>
    <w:rsid w:val="00D10FCD"/>
    <w:rsid w:val="00D11229"/>
    <w:rsid w:val="00D115B8"/>
    <w:rsid w:val="00D117F0"/>
    <w:rsid w:val="00D11903"/>
    <w:rsid w:val="00D11B30"/>
    <w:rsid w:val="00D1217D"/>
    <w:rsid w:val="00D121B3"/>
    <w:rsid w:val="00D1248E"/>
    <w:rsid w:val="00D1286C"/>
    <w:rsid w:val="00D128C5"/>
    <w:rsid w:val="00D129E4"/>
    <w:rsid w:val="00D12ADB"/>
    <w:rsid w:val="00D12DC9"/>
    <w:rsid w:val="00D13B44"/>
    <w:rsid w:val="00D13BD2"/>
    <w:rsid w:val="00D140BA"/>
    <w:rsid w:val="00D1421B"/>
    <w:rsid w:val="00D14237"/>
    <w:rsid w:val="00D1446A"/>
    <w:rsid w:val="00D1461D"/>
    <w:rsid w:val="00D14ABC"/>
    <w:rsid w:val="00D150C4"/>
    <w:rsid w:val="00D15308"/>
    <w:rsid w:val="00D156A0"/>
    <w:rsid w:val="00D1577D"/>
    <w:rsid w:val="00D15952"/>
    <w:rsid w:val="00D15981"/>
    <w:rsid w:val="00D15A23"/>
    <w:rsid w:val="00D15A57"/>
    <w:rsid w:val="00D15B8F"/>
    <w:rsid w:val="00D15D63"/>
    <w:rsid w:val="00D15DD3"/>
    <w:rsid w:val="00D15E3C"/>
    <w:rsid w:val="00D15FDC"/>
    <w:rsid w:val="00D16138"/>
    <w:rsid w:val="00D161FF"/>
    <w:rsid w:val="00D1626D"/>
    <w:rsid w:val="00D1655A"/>
    <w:rsid w:val="00D169FD"/>
    <w:rsid w:val="00D16CBF"/>
    <w:rsid w:val="00D17152"/>
    <w:rsid w:val="00D1747B"/>
    <w:rsid w:val="00D174B1"/>
    <w:rsid w:val="00D176E2"/>
    <w:rsid w:val="00D17A5E"/>
    <w:rsid w:val="00D17AB8"/>
    <w:rsid w:val="00D17ACC"/>
    <w:rsid w:val="00D17D9F"/>
    <w:rsid w:val="00D17E75"/>
    <w:rsid w:val="00D203DD"/>
    <w:rsid w:val="00D204D1"/>
    <w:rsid w:val="00D20654"/>
    <w:rsid w:val="00D2093A"/>
    <w:rsid w:val="00D20A20"/>
    <w:rsid w:val="00D20D70"/>
    <w:rsid w:val="00D20FF9"/>
    <w:rsid w:val="00D212B3"/>
    <w:rsid w:val="00D217F2"/>
    <w:rsid w:val="00D21ADF"/>
    <w:rsid w:val="00D21D54"/>
    <w:rsid w:val="00D223B5"/>
    <w:rsid w:val="00D22429"/>
    <w:rsid w:val="00D22C5E"/>
    <w:rsid w:val="00D22DA8"/>
    <w:rsid w:val="00D2325C"/>
    <w:rsid w:val="00D23346"/>
    <w:rsid w:val="00D23411"/>
    <w:rsid w:val="00D2353A"/>
    <w:rsid w:val="00D2371F"/>
    <w:rsid w:val="00D2384D"/>
    <w:rsid w:val="00D238FE"/>
    <w:rsid w:val="00D23954"/>
    <w:rsid w:val="00D239C0"/>
    <w:rsid w:val="00D23A8D"/>
    <w:rsid w:val="00D23B79"/>
    <w:rsid w:val="00D23DD6"/>
    <w:rsid w:val="00D23F9A"/>
    <w:rsid w:val="00D2492D"/>
    <w:rsid w:val="00D24A05"/>
    <w:rsid w:val="00D24CBB"/>
    <w:rsid w:val="00D24D04"/>
    <w:rsid w:val="00D24F6E"/>
    <w:rsid w:val="00D2523D"/>
    <w:rsid w:val="00D256A9"/>
    <w:rsid w:val="00D25740"/>
    <w:rsid w:val="00D25838"/>
    <w:rsid w:val="00D25B6C"/>
    <w:rsid w:val="00D25E85"/>
    <w:rsid w:val="00D25ECD"/>
    <w:rsid w:val="00D260D6"/>
    <w:rsid w:val="00D260DA"/>
    <w:rsid w:val="00D26124"/>
    <w:rsid w:val="00D26163"/>
    <w:rsid w:val="00D26326"/>
    <w:rsid w:val="00D2661D"/>
    <w:rsid w:val="00D2672E"/>
    <w:rsid w:val="00D268D6"/>
    <w:rsid w:val="00D268EB"/>
    <w:rsid w:val="00D26983"/>
    <w:rsid w:val="00D26AC4"/>
    <w:rsid w:val="00D26B83"/>
    <w:rsid w:val="00D26D3C"/>
    <w:rsid w:val="00D27362"/>
    <w:rsid w:val="00D27A23"/>
    <w:rsid w:val="00D27A9C"/>
    <w:rsid w:val="00D27D02"/>
    <w:rsid w:val="00D30033"/>
    <w:rsid w:val="00D30071"/>
    <w:rsid w:val="00D30084"/>
    <w:rsid w:val="00D30174"/>
    <w:rsid w:val="00D30198"/>
    <w:rsid w:val="00D303A2"/>
    <w:rsid w:val="00D305AD"/>
    <w:rsid w:val="00D305DD"/>
    <w:rsid w:val="00D30652"/>
    <w:rsid w:val="00D306C7"/>
    <w:rsid w:val="00D30A65"/>
    <w:rsid w:val="00D30ADE"/>
    <w:rsid w:val="00D30C24"/>
    <w:rsid w:val="00D31728"/>
    <w:rsid w:val="00D3192C"/>
    <w:rsid w:val="00D31BCC"/>
    <w:rsid w:val="00D31FD1"/>
    <w:rsid w:val="00D32002"/>
    <w:rsid w:val="00D320BA"/>
    <w:rsid w:val="00D32185"/>
    <w:rsid w:val="00D3248C"/>
    <w:rsid w:val="00D32810"/>
    <w:rsid w:val="00D3286C"/>
    <w:rsid w:val="00D32D9D"/>
    <w:rsid w:val="00D32DF1"/>
    <w:rsid w:val="00D32EAF"/>
    <w:rsid w:val="00D331E2"/>
    <w:rsid w:val="00D33257"/>
    <w:rsid w:val="00D33259"/>
    <w:rsid w:val="00D33617"/>
    <w:rsid w:val="00D33686"/>
    <w:rsid w:val="00D337CA"/>
    <w:rsid w:val="00D3380D"/>
    <w:rsid w:val="00D3385C"/>
    <w:rsid w:val="00D33CB8"/>
    <w:rsid w:val="00D33D47"/>
    <w:rsid w:val="00D33E54"/>
    <w:rsid w:val="00D33F8B"/>
    <w:rsid w:val="00D3410D"/>
    <w:rsid w:val="00D34250"/>
    <w:rsid w:val="00D342CA"/>
    <w:rsid w:val="00D345BA"/>
    <w:rsid w:val="00D34857"/>
    <w:rsid w:val="00D34AA4"/>
    <w:rsid w:val="00D34B25"/>
    <w:rsid w:val="00D34B29"/>
    <w:rsid w:val="00D34D21"/>
    <w:rsid w:val="00D34FAE"/>
    <w:rsid w:val="00D35835"/>
    <w:rsid w:val="00D35D47"/>
    <w:rsid w:val="00D36136"/>
    <w:rsid w:val="00D3623A"/>
    <w:rsid w:val="00D363DB"/>
    <w:rsid w:val="00D36A4E"/>
    <w:rsid w:val="00D36A6E"/>
    <w:rsid w:val="00D374AB"/>
    <w:rsid w:val="00D3769A"/>
    <w:rsid w:val="00D37800"/>
    <w:rsid w:val="00D37E55"/>
    <w:rsid w:val="00D37F27"/>
    <w:rsid w:val="00D40355"/>
    <w:rsid w:val="00D406BD"/>
    <w:rsid w:val="00D409A7"/>
    <w:rsid w:val="00D40BF8"/>
    <w:rsid w:val="00D40CDD"/>
    <w:rsid w:val="00D40CE1"/>
    <w:rsid w:val="00D40EB6"/>
    <w:rsid w:val="00D413E8"/>
    <w:rsid w:val="00D413F3"/>
    <w:rsid w:val="00D41435"/>
    <w:rsid w:val="00D414CE"/>
    <w:rsid w:val="00D41BF9"/>
    <w:rsid w:val="00D41F99"/>
    <w:rsid w:val="00D41FCE"/>
    <w:rsid w:val="00D4206C"/>
    <w:rsid w:val="00D4218B"/>
    <w:rsid w:val="00D42225"/>
    <w:rsid w:val="00D426B6"/>
    <w:rsid w:val="00D42953"/>
    <w:rsid w:val="00D42988"/>
    <w:rsid w:val="00D429B6"/>
    <w:rsid w:val="00D42C35"/>
    <w:rsid w:val="00D43090"/>
    <w:rsid w:val="00D4368D"/>
    <w:rsid w:val="00D43778"/>
    <w:rsid w:val="00D43801"/>
    <w:rsid w:val="00D43879"/>
    <w:rsid w:val="00D439FF"/>
    <w:rsid w:val="00D43A6B"/>
    <w:rsid w:val="00D43A8B"/>
    <w:rsid w:val="00D43D4D"/>
    <w:rsid w:val="00D43F36"/>
    <w:rsid w:val="00D43FC4"/>
    <w:rsid w:val="00D442E3"/>
    <w:rsid w:val="00D44594"/>
    <w:rsid w:val="00D44AEE"/>
    <w:rsid w:val="00D44E36"/>
    <w:rsid w:val="00D451D1"/>
    <w:rsid w:val="00D4530C"/>
    <w:rsid w:val="00D45CB2"/>
    <w:rsid w:val="00D45CF1"/>
    <w:rsid w:val="00D46252"/>
    <w:rsid w:val="00D4646F"/>
    <w:rsid w:val="00D46691"/>
    <w:rsid w:val="00D4669F"/>
    <w:rsid w:val="00D46785"/>
    <w:rsid w:val="00D468F7"/>
    <w:rsid w:val="00D46B8A"/>
    <w:rsid w:val="00D46BFB"/>
    <w:rsid w:val="00D46CCE"/>
    <w:rsid w:val="00D470AD"/>
    <w:rsid w:val="00D470D0"/>
    <w:rsid w:val="00D4746E"/>
    <w:rsid w:val="00D4756D"/>
    <w:rsid w:val="00D47744"/>
    <w:rsid w:val="00D4782F"/>
    <w:rsid w:val="00D47834"/>
    <w:rsid w:val="00D47863"/>
    <w:rsid w:val="00D4793A"/>
    <w:rsid w:val="00D47C42"/>
    <w:rsid w:val="00D50069"/>
    <w:rsid w:val="00D5052A"/>
    <w:rsid w:val="00D50AC9"/>
    <w:rsid w:val="00D50B6E"/>
    <w:rsid w:val="00D50BCA"/>
    <w:rsid w:val="00D50C91"/>
    <w:rsid w:val="00D50D4F"/>
    <w:rsid w:val="00D50DAA"/>
    <w:rsid w:val="00D5108B"/>
    <w:rsid w:val="00D51309"/>
    <w:rsid w:val="00D5143A"/>
    <w:rsid w:val="00D5157A"/>
    <w:rsid w:val="00D51768"/>
    <w:rsid w:val="00D517F2"/>
    <w:rsid w:val="00D51963"/>
    <w:rsid w:val="00D51B10"/>
    <w:rsid w:val="00D51ECD"/>
    <w:rsid w:val="00D522A3"/>
    <w:rsid w:val="00D522D2"/>
    <w:rsid w:val="00D522D9"/>
    <w:rsid w:val="00D52F4F"/>
    <w:rsid w:val="00D53008"/>
    <w:rsid w:val="00D53329"/>
    <w:rsid w:val="00D5332C"/>
    <w:rsid w:val="00D534B8"/>
    <w:rsid w:val="00D5372B"/>
    <w:rsid w:val="00D53778"/>
    <w:rsid w:val="00D537A6"/>
    <w:rsid w:val="00D53885"/>
    <w:rsid w:val="00D538F5"/>
    <w:rsid w:val="00D53C42"/>
    <w:rsid w:val="00D5400F"/>
    <w:rsid w:val="00D547FE"/>
    <w:rsid w:val="00D5482C"/>
    <w:rsid w:val="00D554DF"/>
    <w:rsid w:val="00D5559E"/>
    <w:rsid w:val="00D555A2"/>
    <w:rsid w:val="00D555CD"/>
    <w:rsid w:val="00D55E8E"/>
    <w:rsid w:val="00D55F39"/>
    <w:rsid w:val="00D55FAB"/>
    <w:rsid w:val="00D5609A"/>
    <w:rsid w:val="00D560E5"/>
    <w:rsid w:val="00D563ED"/>
    <w:rsid w:val="00D5696D"/>
    <w:rsid w:val="00D5698D"/>
    <w:rsid w:val="00D56B42"/>
    <w:rsid w:val="00D56DFB"/>
    <w:rsid w:val="00D571E1"/>
    <w:rsid w:val="00D5735A"/>
    <w:rsid w:val="00D573AD"/>
    <w:rsid w:val="00D573C2"/>
    <w:rsid w:val="00D5753F"/>
    <w:rsid w:val="00D57686"/>
    <w:rsid w:val="00D579DC"/>
    <w:rsid w:val="00D57B35"/>
    <w:rsid w:val="00D57CF7"/>
    <w:rsid w:val="00D57EDC"/>
    <w:rsid w:val="00D6002D"/>
    <w:rsid w:val="00D60141"/>
    <w:rsid w:val="00D60C8F"/>
    <w:rsid w:val="00D611BA"/>
    <w:rsid w:val="00D612CE"/>
    <w:rsid w:val="00D6153A"/>
    <w:rsid w:val="00D61FAC"/>
    <w:rsid w:val="00D624D3"/>
    <w:rsid w:val="00D626A4"/>
    <w:rsid w:val="00D62894"/>
    <w:rsid w:val="00D628D4"/>
    <w:rsid w:val="00D629AC"/>
    <w:rsid w:val="00D62C2F"/>
    <w:rsid w:val="00D62F88"/>
    <w:rsid w:val="00D62FF0"/>
    <w:rsid w:val="00D63248"/>
    <w:rsid w:val="00D6324B"/>
    <w:rsid w:val="00D63558"/>
    <w:rsid w:val="00D63834"/>
    <w:rsid w:val="00D63D1B"/>
    <w:rsid w:val="00D63D9F"/>
    <w:rsid w:val="00D63EAF"/>
    <w:rsid w:val="00D63F15"/>
    <w:rsid w:val="00D63FA4"/>
    <w:rsid w:val="00D6426D"/>
    <w:rsid w:val="00D642E9"/>
    <w:rsid w:val="00D645E2"/>
    <w:rsid w:val="00D646EA"/>
    <w:rsid w:val="00D64F6A"/>
    <w:rsid w:val="00D6510D"/>
    <w:rsid w:val="00D6538A"/>
    <w:rsid w:val="00D653D2"/>
    <w:rsid w:val="00D65503"/>
    <w:rsid w:val="00D6572B"/>
    <w:rsid w:val="00D65869"/>
    <w:rsid w:val="00D659EE"/>
    <w:rsid w:val="00D65AC5"/>
    <w:rsid w:val="00D65E43"/>
    <w:rsid w:val="00D65EF3"/>
    <w:rsid w:val="00D65FE7"/>
    <w:rsid w:val="00D661D0"/>
    <w:rsid w:val="00D662BF"/>
    <w:rsid w:val="00D6652F"/>
    <w:rsid w:val="00D666A8"/>
    <w:rsid w:val="00D66AD8"/>
    <w:rsid w:val="00D66E6D"/>
    <w:rsid w:val="00D66F24"/>
    <w:rsid w:val="00D672E3"/>
    <w:rsid w:val="00D67690"/>
    <w:rsid w:val="00D676D0"/>
    <w:rsid w:val="00D676D9"/>
    <w:rsid w:val="00D679EE"/>
    <w:rsid w:val="00D67BBE"/>
    <w:rsid w:val="00D67F30"/>
    <w:rsid w:val="00D67FAD"/>
    <w:rsid w:val="00D70682"/>
    <w:rsid w:val="00D7069D"/>
    <w:rsid w:val="00D706F1"/>
    <w:rsid w:val="00D70702"/>
    <w:rsid w:val="00D70721"/>
    <w:rsid w:val="00D709FE"/>
    <w:rsid w:val="00D70AC6"/>
    <w:rsid w:val="00D70BDE"/>
    <w:rsid w:val="00D70C83"/>
    <w:rsid w:val="00D71375"/>
    <w:rsid w:val="00D713F9"/>
    <w:rsid w:val="00D7156D"/>
    <w:rsid w:val="00D715F1"/>
    <w:rsid w:val="00D71612"/>
    <w:rsid w:val="00D71869"/>
    <w:rsid w:val="00D719D8"/>
    <w:rsid w:val="00D71C9F"/>
    <w:rsid w:val="00D71EF3"/>
    <w:rsid w:val="00D71FF3"/>
    <w:rsid w:val="00D723D1"/>
    <w:rsid w:val="00D72596"/>
    <w:rsid w:val="00D7302C"/>
    <w:rsid w:val="00D73193"/>
    <w:rsid w:val="00D73360"/>
    <w:rsid w:val="00D7345B"/>
    <w:rsid w:val="00D73891"/>
    <w:rsid w:val="00D738E2"/>
    <w:rsid w:val="00D74008"/>
    <w:rsid w:val="00D741BD"/>
    <w:rsid w:val="00D743AC"/>
    <w:rsid w:val="00D748F3"/>
    <w:rsid w:val="00D74955"/>
    <w:rsid w:val="00D74C0F"/>
    <w:rsid w:val="00D74C20"/>
    <w:rsid w:val="00D74C3C"/>
    <w:rsid w:val="00D74EBC"/>
    <w:rsid w:val="00D7522C"/>
    <w:rsid w:val="00D752A4"/>
    <w:rsid w:val="00D7533E"/>
    <w:rsid w:val="00D757C6"/>
    <w:rsid w:val="00D75F5B"/>
    <w:rsid w:val="00D75FE2"/>
    <w:rsid w:val="00D7615A"/>
    <w:rsid w:val="00D76312"/>
    <w:rsid w:val="00D76330"/>
    <w:rsid w:val="00D7645C"/>
    <w:rsid w:val="00D7653E"/>
    <w:rsid w:val="00D76571"/>
    <w:rsid w:val="00D76669"/>
    <w:rsid w:val="00D76A36"/>
    <w:rsid w:val="00D76DFA"/>
    <w:rsid w:val="00D76FF0"/>
    <w:rsid w:val="00D774E9"/>
    <w:rsid w:val="00D774EC"/>
    <w:rsid w:val="00D77758"/>
    <w:rsid w:val="00D77D91"/>
    <w:rsid w:val="00D77FCB"/>
    <w:rsid w:val="00D80658"/>
    <w:rsid w:val="00D80EEE"/>
    <w:rsid w:val="00D80F3E"/>
    <w:rsid w:val="00D811A2"/>
    <w:rsid w:val="00D8140A"/>
    <w:rsid w:val="00D815E6"/>
    <w:rsid w:val="00D819B6"/>
    <w:rsid w:val="00D81A90"/>
    <w:rsid w:val="00D81E05"/>
    <w:rsid w:val="00D81E64"/>
    <w:rsid w:val="00D81E86"/>
    <w:rsid w:val="00D81F28"/>
    <w:rsid w:val="00D823A8"/>
    <w:rsid w:val="00D82902"/>
    <w:rsid w:val="00D82923"/>
    <w:rsid w:val="00D82A9C"/>
    <w:rsid w:val="00D82CF7"/>
    <w:rsid w:val="00D82FFB"/>
    <w:rsid w:val="00D8300D"/>
    <w:rsid w:val="00D8318F"/>
    <w:rsid w:val="00D8322C"/>
    <w:rsid w:val="00D83331"/>
    <w:rsid w:val="00D836C8"/>
    <w:rsid w:val="00D83C87"/>
    <w:rsid w:val="00D83D1D"/>
    <w:rsid w:val="00D84197"/>
    <w:rsid w:val="00D844AD"/>
    <w:rsid w:val="00D84751"/>
    <w:rsid w:val="00D847C8"/>
    <w:rsid w:val="00D84BB6"/>
    <w:rsid w:val="00D84BC1"/>
    <w:rsid w:val="00D84E49"/>
    <w:rsid w:val="00D85053"/>
    <w:rsid w:val="00D8519A"/>
    <w:rsid w:val="00D854DD"/>
    <w:rsid w:val="00D8564E"/>
    <w:rsid w:val="00D85813"/>
    <w:rsid w:val="00D859D3"/>
    <w:rsid w:val="00D85CFB"/>
    <w:rsid w:val="00D8608E"/>
    <w:rsid w:val="00D8652B"/>
    <w:rsid w:val="00D865C7"/>
    <w:rsid w:val="00D865EC"/>
    <w:rsid w:val="00D86A24"/>
    <w:rsid w:val="00D871C1"/>
    <w:rsid w:val="00D87490"/>
    <w:rsid w:val="00D874FA"/>
    <w:rsid w:val="00D87507"/>
    <w:rsid w:val="00D8799F"/>
    <w:rsid w:val="00D87A0D"/>
    <w:rsid w:val="00D87D29"/>
    <w:rsid w:val="00D901BC"/>
    <w:rsid w:val="00D90308"/>
    <w:rsid w:val="00D903C8"/>
    <w:rsid w:val="00D90468"/>
    <w:rsid w:val="00D906B9"/>
    <w:rsid w:val="00D909A4"/>
    <w:rsid w:val="00D90E9A"/>
    <w:rsid w:val="00D9108B"/>
    <w:rsid w:val="00D9124C"/>
    <w:rsid w:val="00D9130A"/>
    <w:rsid w:val="00D91ACD"/>
    <w:rsid w:val="00D924A1"/>
    <w:rsid w:val="00D92D50"/>
    <w:rsid w:val="00D92D75"/>
    <w:rsid w:val="00D92FE8"/>
    <w:rsid w:val="00D934E5"/>
    <w:rsid w:val="00D9372C"/>
    <w:rsid w:val="00D938D9"/>
    <w:rsid w:val="00D939AF"/>
    <w:rsid w:val="00D940E1"/>
    <w:rsid w:val="00D9466A"/>
    <w:rsid w:val="00D94898"/>
    <w:rsid w:val="00D949A1"/>
    <w:rsid w:val="00D94A2C"/>
    <w:rsid w:val="00D94A71"/>
    <w:rsid w:val="00D94BC1"/>
    <w:rsid w:val="00D94D14"/>
    <w:rsid w:val="00D9503C"/>
    <w:rsid w:val="00D95083"/>
    <w:rsid w:val="00D951D8"/>
    <w:rsid w:val="00D953BB"/>
    <w:rsid w:val="00D9546E"/>
    <w:rsid w:val="00D95578"/>
    <w:rsid w:val="00D95743"/>
    <w:rsid w:val="00D95821"/>
    <w:rsid w:val="00D95967"/>
    <w:rsid w:val="00D95A6F"/>
    <w:rsid w:val="00D95C61"/>
    <w:rsid w:val="00D95F64"/>
    <w:rsid w:val="00D96790"/>
    <w:rsid w:val="00D96A95"/>
    <w:rsid w:val="00D96C16"/>
    <w:rsid w:val="00D96D0A"/>
    <w:rsid w:val="00D96EAA"/>
    <w:rsid w:val="00D96F1C"/>
    <w:rsid w:val="00D97078"/>
    <w:rsid w:val="00D97CEA"/>
    <w:rsid w:val="00D97EDF"/>
    <w:rsid w:val="00D9B6E5"/>
    <w:rsid w:val="00DA0014"/>
    <w:rsid w:val="00DA017F"/>
    <w:rsid w:val="00DA02CE"/>
    <w:rsid w:val="00DA06ED"/>
    <w:rsid w:val="00DA0AB2"/>
    <w:rsid w:val="00DA0E02"/>
    <w:rsid w:val="00DA116A"/>
    <w:rsid w:val="00DA1527"/>
    <w:rsid w:val="00DA1748"/>
    <w:rsid w:val="00DA1789"/>
    <w:rsid w:val="00DA1923"/>
    <w:rsid w:val="00DA1A7F"/>
    <w:rsid w:val="00DA1D98"/>
    <w:rsid w:val="00DA1DE3"/>
    <w:rsid w:val="00DA20B8"/>
    <w:rsid w:val="00DA2864"/>
    <w:rsid w:val="00DA2BCF"/>
    <w:rsid w:val="00DA2D13"/>
    <w:rsid w:val="00DA2DC4"/>
    <w:rsid w:val="00DA36E6"/>
    <w:rsid w:val="00DA3755"/>
    <w:rsid w:val="00DA38C8"/>
    <w:rsid w:val="00DA3A52"/>
    <w:rsid w:val="00DA3C49"/>
    <w:rsid w:val="00DA3CC1"/>
    <w:rsid w:val="00DA404D"/>
    <w:rsid w:val="00DA4502"/>
    <w:rsid w:val="00DA455B"/>
    <w:rsid w:val="00DA4599"/>
    <w:rsid w:val="00DA46DB"/>
    <w:rsid w:val="00DA4BCD"/>
    <w:rsid w:val="00DA4BEB"/>
    <w:rsid w:val="00DA4CB6"/>
    <w:rsid w:val="00DA4D6C"/>
    <w:rsid w:val="00DA4F42"/>
    <w:rsid w:val="00DA4F74"/>
    <w:rsid w:val="00DA53E4"/>
    <w:rsid w:val="00DA564C"/>
    <w:rsid w:val="00DA5A1A"/>
    <w:rsid w:val="00DA5B93"/>
    <w:rsid w:val="00DA5B9E"/>
    <w:rsid w:val="00DA5FBD"/>
    <w:rsid w:val="00DA611C"/>
    <w:rsid w:val="00DA634B"/>
    <w:rsid w:val="00DA63FA"/>
    <w:rsid w:val="00DA64DF"/>
    <w:rsid w:val="00DA670B"/>
    <w:rsid w:val="00DA69EE"/>
    <w:rsid w:val="00DA69F0"/>
    <w:rsid w:val="00DA6A5A"/>
    <w:rsid w:val="00DA6DC8"/>
    <w:rsid w:val="00DA7167"/>
    <w:rsid w:val="00DA71D0"/>
    <w:rsid w:val="00DA7289"/>
    <w:rsid w:val="00DA73CC"/>
    <w:rsid w:val="00DA748F"/>
    <w:rsid w:val="00DA7499"/>
    <w:rsid w:val="00DA74CC"/>
    <w:rsid w:val="00DA7753"/>
    <w:rsid w:val="00DA7AFE"/>
    <w:rsid w:val="00DA7D27"/>
    <w:rsid w:val="00DB01A6"/>
    <w:rsid w:val="00DB02E6"/>
    <w:rsid w:val="00DB0430"/>
    <w:rsid w:val="00DB04E8"/>
    <w:rsid w:val="00DB0997"/>
    <w:rsid w:val="00DB0DFD"/>
    <w:rsid w:val="00DB0EB2"/>
    <w:rsid w:val="00DB0F5D"/>
    <w:rsid w:val="00DB1075"/>
    <w:rsid w:val="00DB11BA"/>
    <w:rsid w:val="00DB1394"/>
    <w:rsid w:val="00DB1431"/>
    <w:rsid w:val="00DB14CD"/>
    <w:rsid w:val="00DB157D"/>
    <w:rsid w:val="00DB1A6A"/>
    <w:rsid w:val="00DB1B1F"/>
    <w:rsid w:val="00DB1B40"/>
    <w:rsid w:val="00DB1BB2"/>
    <w:rsid w:val="00DB2170"/>
    <w:rsid w:val="00DB2452"/>
    <w:rsid w:val="00DB295C"/>
    <w:rsid w:val="00DB2C4E"/>
    <w:rsid w:val="00DB3027"/>
    <w:rsid w:val="00DB3293"/>
    <w:rsid w:val="00DB340A"/>
    <w:rsid w:val="00DB34B5"/>
    <w:rsid w:val="00DB3E34"/>
    <w:rsid w:val="00DB3FA2"/>
    <w:rsid w:val="00DB419A"/>
    <w:rsid w:val="00DB4268"/>
    <w:rsid w:val="00DB43BD"/>
    <w:rsid w:val="00DB4C01"/>
    <w:rsid w:val="00DB4F81"/>
    <w:rsid w:val="00DB53C1"/>
    <w:rsid w:val="00DB6025"/>
    <w:rsid w:val="00DB625D"/>
    <w:rsid w:val="00DB63E4"/>
    <w:rsid w:val="00DB6540"/>
    <w:rsid w:val="00DB6865"/>
    <w:rsid w:val="00DB68B1"/>
    <w:rsid w:val="00DB68BF"/>
    <w:rsid w:val="00DB6E40"/>
    <w:rsid w:val="00DB6E73"/>
    <w:rsid w:val="00DB6E87"/>
    <w:rsid w:val="00DB6F09"/>
    <w:rsid w:val="00DB6F0E"/>
    <w:rsid w:val="00DB6F64"/>
    <w:rsid w:val="00DB700C"/>
    <w:rsid w:val="00DB7031"/>
    <w:rsid w:val="00DB7050"/>
    <w:rsid w:val="00DB70E6"/>
    <w:rsid w:val="00DB70E9"/>
    <w:rsid w:val="00DB70ED"/>
    <w:rsid w:val="00DB7209"/>
    <w:rsid w:val="00DB7632"/>
    <w:rsid w:val="00DB76D3"/>
    <w:rsid w:val="00DB7DBA"/>
    <w:rsid w:val="00DB7E16"/>
    <w:rsid w:val="00DB7E23"/>
    <w:rsid w:val="00DB7E56"/>
    <w:rsid w:val="00DC0100"/>
    <w:rsid w:val="00DC03F2"/>
    <w:rsid w:val="00DC056B"/>
    <w:rsid w:val="00DC06E0"/>
    <w:rsid w:val="00DC086E"/>
    <w:rsid w:val="00DC0A3A"/>
    <w:rsid w:val="00DC0CF2"/>
    <w:rsid w:val="00DC0DAE"/>
    <w:rsid w:val="00DC0F07"/>
    <w:rsid w:val="00DC11C2"/>
    <w:rsid w:val="00DC150A"/>
    <w:rsid w:val="00DC1986"/>
    <w:rsid w:val="00DC1B9E"/>
    <w:rsid w:val="00DC1DA8"/>
    <w:rsid w:val="00DC1DF6"/>
    <w:rsid w:val="00DC1DF8"/>
    <w:rsid w:val="00DC1E42"/>
    <w:rsid w:val="00DC1E6E"/>
    <w:rsid w:val="00DC2276"/>
    <w:rsid w:val="00DC22F6"/>
    <w:rsid w:val="00DC2504"/>
    <w:rsid w:val="00DC258A"/>
    <w:rsid w:val="00DC278E"/>
    <w:rsid w:val="00DC2833"/>
    <w:rsid w:val="00DC2856"/>
    <w:rsid w:val="00DC3163"/>
    <w:rsid w:val="00DC319E"/>
    <w:rsid w:val="00DC31B2"/>
    <w:rsid w:val="00DC33C4"/>
    <w:rsid w:val="00DC3421"/>
    <w:rsid w:val="00DC350F"/>
    <w:rsid w:val="00DC370C"/>
    <w:rsid w:val="00DC3DFE"/>
    <w:rsid w:val="00DC4274"/>
    <w:rsid w:val="00DC4735"/>
    <w:rsid w:val="00DC47A0"/>
    <w:rsid w:val="00DC49A9"/>
    <w:rsid w:val="00DC4A14"/>
    <w:rsid w:val="00DC4D06"/>
    <w:rsid w:val="00DC50A4"/>
    <w:rsid w:val="00DC517A"/>
    <w:rsid w:val="00DC5358"/>
    <w:rsid w:val="00DC5449"/>
    <w:rsid w:val="00DC5461"/>
    <w:rsid w:val="00DC552B"/>
    <w:rsid w:val="00DC55D2"/>
    <w:rsid w:val="00DC5898"/>
    <w:rsid w:val="00DC5AD9"/>
    <w:rsid w:val="00DC5BEF"/>
    <w:rsid w:val="00DC5CA3"/>
    <w:rsid w:val="00DC5CA8"/>
    <w:rsid w:val="00DC5D7E"/>
    <w:rsid w:val="00DC6044"/>
    <w:rsid w:val="00DC619A"/>
    <w:rsid w:val="00DC66A8"/>
    <w:rsid w:val="00DC688C"/>
    <w:rsid w:val="00DC6A12"/>
    <w:rsid w:val="00DC6AC2"/>
    <w:rsid w:val="00DC6C57"/>
    <w:rsid w:val="00DC6E30"/>
    <w:rsid w:val="00DC6E5D"/>
    <w:rsid w:val="00DC7352"/>
    <w:rsid w:val="00DC73AF"/>
    <w:rsid w:val="00DC74BF"/>
    <w:rsid w:val="00DC750B"/>
    <w:rsid w:val="00DC7525"/>
    <w:rsid w:val="00DC7890"/>
    <w:rsid w:val="00DC7A59"/>
    <w:rsid w:val="00DC7DA5"/>
    <w:rsid w:val="00DC7DE1"/>
    <w:rsid w:val="00DD0239"/>
    <w:rsid w:val="00DD054E"/>
    <w:rsid w:val="00DD06C4"/>
    <w:rsid w:val="00DD09AE"/>
    <w:rsid w:val="00DD0A23"/>
    <w:rsid w:val="00DD0AB9"/>
    <w:rsid w:val="00DD0ACE"/>
    <w:rsid w:val="00DD0BA5"/>
    <w:rsid w:val="00DD1220"/>
    <w:rsid w:val="00DD124B"/>
    <w:rsid w:val="00DD158E"/>
    <w:rsid w:val="00DD19A6"/>
    <w:rsid w:val="00DD1B43"/>
    <w:rsid w:val="00DD1E47"/>
    <w:rsid w:val="00DD1EB2"/>
    <w:rsid w:val="00DD2027"/>
    <w:rsid w:val="00DD214D"/>
    <w:rsid w:val="00DD21AF"/>
    <w:rsid w:val="00DD2272"/>
    <w:rsid w:val="00DD22CD"/>
    <w:rsid w:val="00DD254D"/>
    <w:rsid w:val="00DD2552"/>
    <w:rsid w:val="00DD2A68"/>
    <w:rsid w:val="00DD2AB6"/>
    <w:rsid w:val="00DD2EAC"/>
    <w:rsid w:val="00DD3194"/>
    <w:rsid w:val="00DD32FD"/>
    <w:rsid w:val="00DD335C"/>
    <w:rsid w:val="00DD3935"/>
    <w:rsid w:val="00DD3A01"/>
    <w:rsid w:val="00DD4159"/>
    <w:rsid w:val="00DD41E0"/>
    <w:rsid w:val="00DD43F9"/>
    <w:rsid w:val="00DD45A1"/>
    <w:rsid w:val="00DD471A"/>
    <w:rsid w:val="00DD49E3"/>
    <w:rsid w:val="00DD4A1A"/>
    <w:rsid w:val="00DD4DC5"/>
    <w:rsid w:val="00DD51B9"/>
    <w:rsid w:val="00DD5317"/>
    <w:rsid w:val="00DD56B6"/>
    <w:rsid w:val="00DD5AE2"/>
    <w:rsid w:val="00DD5AF1"/>
    <w:rsid w:val="00DD5E2A"/>
    <w:rsid w:val="00DD5E93"/>
    <w:rsid w:val="00DD5EE7"/>
    <w:rsid w:val="00DD5FB8"/>
    <w:rsid w:val="00DD614F"/>
    <w:rsid w:val="00DD6392"/>
    <w:rsid w:val="00DD6481"/>
    <w:rsid w:val="00DD67AD"/>
    <w:rsid w:val="00DD6AB6"/>
    <w:rsid w:val="00DD6BB7"/>
    <w:rsid w:val="00DD6BFD"/>
    <w:rsid w:val="00DD6CD8"/>
    <w:rsid w:val="00DD6D42"/>
    <w:rsid w:val="00DD6F37"/>
    <w:rsid w:val="00DD7136"/>
    <w:rsid w:val="00DD71FB"/>
    <w:rsid w:val="00DD72F8"/>
    <w:rsid w:val="00DD7311"/>
    <w:rsid w:val="00DD732C"/>
    <w:rsid w:val="00DD74CF"/>
    <w:rsid w:val="00DD7678"/>
    <w:rsid w:val="00DD7AF0"/>
    <w:rsid w:val="00DD7EC0"/>
    <w:rsid w:val="00DD7F6D"/>
    <w:rsid w:val="00DDD6E3"/>
    <w:rsid w:val="00DE0177"/>
    <w:rsid w:val="00DE01DD"/>
    <w:rsid w:val="00DE026E"/>
    <w:rsid w:val="00DE033D"/>
    <w:rsid w:val="00DE03B2"/>
    <w:rsid w:val="00DE06F7"/>
    <w:rsid w:val="00DE0846"/>
    <w:rsid w:val="00DE0971"/>
    <w:rsid w:val="00DE09B9"/>
    <w:rsid w:val="00DE1306"/>
    <w:rsid w:val="00DE2216"/>
    <w:rsid w:val="00DE22B4"/>
    <w:rsid w:val="00DE2899"/>
    <w:rsid w:val="00DE2BB0"/>
    <w:rsid w:val="00DE3129"/>
    <w:rsid w:val="00DE32DA"/>
    <w:rsid w:val="00DE3485"/>
    <w:rsid w:val="00DE36DE"/>
    <w:rsid w:val="00DE38E0"/>
    <w:rsid w:val="00DE3A56"/>
    <w:rsid w:val="00DE3B28"/>
    <w:rsid w:val="00DE3D4E"/>
    <w:rsid w:val="00DE418C"/>
    <w:rsid w:val="00DE423E"/>
    <w:rsid w:val="00DE4323"/>
    <w:rsid w:val="00DE444C"/>
    <w:rsid w:val="00DE48FA"/>
    <w:rsid w:val="00DE5027"/>
    <w:rsid w:val="00DE502A"/>
    <w:rsid w:val="00DE5473"/>
    <w:rsid w:val="00DE54CF"/>
    <w:rsid w:val="00DE56C0"/>
    <w:rsid w:val="00DE5863"/>
    <w:rsid w:val="00DE5971"/>
    <w:rsid w:val="00DE598D"/>
    <w:rsid w:val="00DE5B94"/>
    <w:rsid w:val="00DE5BF1"/>
    <w:rsid w:val="00DE5D3C"/>
    <w:rsid w:val="00DE5D92"/>
    <w:rsid w:val="00DE6CE5"/>
    <w:rsid w:val="00DE6D3A"/>
    <w:rsid w:val="00DE7334"/>
    <w:rsid w:val="00DE77CE"/>
    <w:rsid w:val="00DE7C80"/>
    <w:rsid w:val="00DE7D90"/>
    <w:rsid w:val="00DF025B"/>
    <w:rsid w:val="00DF0678"/>
    <w:rsid w:val="00DF0A9A"/>
    <w:rsid w:val="00DF0D54"/>
    <w:rsid w:val="00DF0DBC"/>
    <w:rsid w:val="00DF0DFB"/>
    <w:rsid w:val="00DF0EB5"/>
    <w:rsid w:val="00DF13C7"/>
    <w:rsid w:val="00DF1514"/>
    <w:rsid w:val="00DF1803"/>
    <w:rsid w:val="00DF1DD4"/>
    <w:rsid w:val="00DF1ED6"/>
    <w:rsid w:val="00DF1F64"/>
    <w:rsid w:val="00DF1FDA"/>
    <w:rsid w:val="00DF2133"/>
    <w:rsid w:val="00DF23AB"/>
    <w:rsid w:val="00DF2728"/>
    <w:rsid w:val="00DF2A98"/>
    <w:rsid w:val="00DF2E18"/>
    <w:rsid w:val="00DF312F"/>
    <w:rsid w:val="00DF3335"/>
    <w:rsid w:val="00DF38E1"/>
    <w:rsid w:val="00DF3D53"/>
    <w:rsid w:val="00DF3F6B"/>
    <w:rsid w:val="00DF410B"/>
    <w:rsid w:val="00DF45CC"/>
    <w:rsid w:val="00DF4766"/>
    <w:rsid w:val="00DF4C2C"/>
    <w:rsid w:val="00DF4CF0"/>
    <w:rsid w:val="00DF4CFE"/>
    <w:rsid w:val="00DF4E07"/>
    <w:rsid w:val="00DF4ECD"/>
    <w:rsid w:val="00DF503D"/>
    <w:rsid w:val="00DF53E8"/>
    <w:rsid w:val="00DF5540"/>
    <w:rsid w:val="00DF5646"/>
    <w:rsid w:val="00DF57B8"/>
    <w:rsid w:val="00DF5B61"/>
    <w:rsid w:val="00DF5D82"/>
    <w:rsid w:val="00DF62B2"/>
    <w:rsid w:val="00DF65E1"/>
    <w:rsid w:val="00DF6823"/>
    <w:rsid w:val="00DF6D70"/>
    <w:rsid w:val="00DF6DD2"/>
    <w:rsid w:val="00DF70A3"/>
    <w:rsid w:val="00DF72C9"/>
    <w:rsid w:val="00DF740B"/>
    <w:rsid w:val="00DF7479"/>
    <w:rsid w:val="00DF7529"/>
    <w:rsid w:val="00DF779C"/>
    <w:rsid w:val="00DF7A1E"/>
    <w:rsid w:val="00DF7A98"/>
    <w:rsid w:val="00DF7B7E"/>
    <w:rsid w:val="00DF7FA3"/>
    <w:rsid w:val="00E000CA"/>
    <w:rsid w:val="00E00139"/>
    <w:rsid w:val="00E001D5"/>
    <w:rsid w:val="00E004D4"/>
    <w:rsid w:val="00E00575"/>
    <w:rsid w:val="00E00687"/>
    <w:rsid w:val="00E006B3"/>
    <w:rsid w:val="00E0076E"/>
    <w:rsid w:val="00E01349"/>
    <w:rsid w:val="00E0177D"/>
    <w:rsid w:val="00E01862"/>
    <w:rsid w:val="00E01AA6"/>
    <w:rsid w:val="00E01CB9"/>
    <w:rsid w:val="00E01EEE"/>
    <w:rsid w:val="00E01FAF"/>
    <w:rsid w:val="00E020D4"/>
    <w:rsid w:val="00E022A4"/>
    <w:rsid w:val="00E028EA"/>
    <w:rsid w:val="00E02AB0"/>
    <w:rsid w:val="00E02C2A"/>
    <w:rsid w:val="00E02DA4"/>
    <w:rsid w:val="00E0344E"/>
    <w:rsid w:val="00E03562"/>
    <w:rsid w:val="00E0371C"/>
    <w:rsid w:val="00E0381B"/>
    <w:rsid w:val="00E03A03"/>
    <w:rsid w:val="00E03AFD"/>
    <w:rsid w:val="00E03F26"/>
    <w:rsid w:val="00E040AD"/>
    <w:rsid w:val="00E0415B"/>
    <w:rsid w:val="00E04236"/>
    <w:rsid w:val="00E04287"/>
    <w:rsid w:val="00E04787"/>
    <w:rsid w:val="00E04977"/>
    <w:rsid w:val="00E04FFB"/>
    <w:rsid w:val="00E05052"/>
    <w:rsid w:val="00E0521D"/>
    <w:rsid w:val="00E052A5"/>
    <w:rsid w:val="00E056B0"/>
    <w:rsid w:val="00E056B1"/>
    <w:rsid w:val="00E058A5"/>
    <w:rsid w:val="00E058B1"/>
    <w:rsid w:val="00E058C9"/>
    <w:rsid w:val="00E05A1E"/>
    <w:rsid w:val="00E05BE8"/>
    <w:rsid w:val="00E05DC6"/>
    <w:rsid w:val="00E05FCD"/>
    <w:rsid w:val="00E061A2"/>
    <w:rsid w:val="00E063A9"/>
    <w:rsid w:val="00E063CB"/>
    <w:rsid w:val="00E0687B"/>
    <w:rsid w:val="00E07833"/>
    <w:rsid w:val="00E079E2"/>
    <w:rsid w:val="00E079F1"/>
    <w:rsid w:val="00E07A43"/>
    <w:rsid w:val="00E07ADF"/>
    <w:rsid w:val="00E07D32"/>
    <w:rsid w:val="00E07F70"/>
    <w:rsid w:val="00E07FB8"/>
    <w:rsid w:val="00E1013D"/>
    <w:rsid w:val="00E10626"/>
    <w:rsid w:val="00E10850"/>
    <w:rsid w:val="00E10916"/>
    <w:rsid w:val="00E109E4"/>
    <w:rsid w:val="00E10A3D"/>
    <w:rsid w:val="00E10ABA"/>
    <w:rsid w:val="00E10C07"/>
    <w:rsid w:val="00E11017"/>
    <w:rsid w:val="00E11249"/>
    <w:rsid w:val="00E11BBA"/>
    <w:rsid w:val="00E11F8A"/>
    <w:rsid w:val="00E12201"/>
    <w:rsid w:val="00E12246"/>
    <w:rsid w:val="00E12250"/>
    <w:rsid w:val="00E122D2"/>
    <w:rsid w:val="00E1236F"/>
    <w:rsid w:val="00E12648"/>
    <w:rsid w:val="00E126FD"/>
    <w:rsid w:val="00E12B40"/>
    <w:rsid w:val="00E12B84"/>
    <w:rsid w:val="00E12BD0"/>
    <w:rsid w:val="00E1306F"/>
    <w:rsid w:val="00E1368C"/>
    <w:rsid w:val="00E13900"/>
    <w:rsid w:val="00E13B7E"/>
    <w:rsid w:val="00E13D49"/>
    <w:rsid w:val="00E140B0"/>
    <w:rsid w:val="00E14894"/>
    <w:rsid w:val="00E14E16"/>
    <w:rsid w:val="00E1531A"/>
    <w:rsid w:val="00E154D3"/>
    <w:rsid w:val="00E1566D"/>
    <w:rsid w:val="00E156E2"/>
    <w:rsid w:val="00E157F3"/>
    <w:rsid w:val="00E15BFE"/>
    <w:rsid w:val="00E15D21"/>
    <w:rsid w:val="00E15D6A"/>
    <w:rsid w:val="00E15DE0"/>
    <w:rsid w:val="00E15DE9"/>
    <w:rsid w:val="00E16074"/>
    <w:rsid w:val="00E1621D"/>
    <w:rsid w:val="00E16372"/>
    <w:rsid w:val="00E167BC"/>
    <w:rsid w:val="00E16A85"/>
    <w:rsid w:val="00E16BBA"/>
    <w:rsid w:val="00E16F27"/>
    <w:rsid w:val="00E171C9"/>
    <w:rsid w:val="00E17372"/>
    <w:rsid w:val="00E174B3"/>
    <w:rsid w:val="00E17601"/>
    <w:rsid w:val="00E17612"/>
    <w:rsid w:val="00E17791"/>
    <w:rsid w:val="00E1789B"/>
    <w:rsid w:val="00E1792A"/>
    <w:rsid w:val="00E17A81"/>
    <w:rsid w:val="00E17ADF"/>
    <w:rsid w:val="00E17D18"/>
    <w:rsid w:val="00E17EBA"/>
    <w:rsid w:val="00E17FFA"/>
    <w:rsid w:val="00E20255"/>
    <w:rsid w:val="00E2028F"/>
    <w:rsid w:val="00E202B8"/>
    <w:rsid w:val="00E203A6"/>
    <w:rsid w:val="00E20433"/>
    <w:rsid w:val="00E20474"/>
    <w:rsid w:val="00E206F4"/>
    <w:rsid w:val="00E206F8"/>
    <w:rsid w:val="00E2085D"/>
    <w:rsid w:val="00E2099A"/>
    <w:rsid w:val="00E20AEE"/>
    <w:rsid w:val="00E20B46"/>
    <w:rsid w:val="00E20BE6"/>
    <w:rsid w:val="00E20E4E"/>
    <w:rsid w:val="00E20F5E"/>
    <w:rsid w:val="00E210B2"/>
    <w:rsid w:val="00E211F7"/>
    <w:rsid w:val="00E21780"/>
    <w:rsid w:val="00E2199E"/>
    <w:rsid w:val="00E21A1F"/>
    <w:rsid w:val="00E21BDC"/>
    <w:rsid w:val="00E21F19"/>
    <w:rsid w:val="00E21F57"/>
    <w:rsid w:val="00E22411"/>
    <w:rsid w:val="00E227DC"/>
    <w:rsid w:val="00E2280F"/>
    <w:rsid w:val="00E22922"/>
    <w:rsid w:val="00E2292D"/>
    <w:rsid w:val="00E22C28"/>
    <w:rsid w:val="00E22EE5"/>
    <w:rsid w:val="00E23174"/>
    <w:rsid w:val="00E231BE"/>
    <w:rsid w:val="00E234E8"/>
    <w:rsid w:val="00E23861"/>
    <w:rsid w:val="00E23B61"/>
    <w:rsid w:val="00E23C74"/>
    <w:rsid w:val="00E23E0C"/>
    <w:rsid w:val="00E24119"/>
    <w:rsid w:val="00E24185"/>
    <w:rsid w:val="00E2418A"/>
    <w:rsid w:val="00E24640"/>
    <w:rsid w:val="00E249D1"/>
    <w:rsid w:val="00E2507E"/>
    <w:rsid w:val="00E2514A"/>
    <w:rsid w:val="00E2556A"/>
    <w:rsid w:val="00E2575C"/>
    <w:rsid w:val="00E257AB"/>
    <w:rsid w:val="00E25E7E"/>
    <w:rsid w:val="00E25FCC"/>
    <w:rsid w:val="00E26D2C"/>
    <w:rsid w:val="00E270EB"/>
    <w:rsid w:val="00E2719B"/>
    <w:rsid w:val="00E274C1"/>
    <w:rsid w:val="00E2763B"/>
    <w:rsid w:val="00E27C60"/>
    <w:rsid w:val="00E3020D"/>
    <w:rsid w:val="00E306A8"/>
    <w:rsid w:val="00E307FA"/>
    <w:rsid w:val="00E309DD"/>
    <w:rsid w:val="00E309F6"/>
    <w:rsid w:val="00E30E05"/>
    <w:rsid w:val="00E3104A"/>
    <w:rsid w:val="00E313F7"/>
    <w:rsid w:val="00E3180D"/>
    <w:rsid w:val="00E318A2"/>
    <w:rsid w:val="00E31AA2"/>
    <w:rsid w:val="00E31B00"/>
    <w:rsid w:val="00E3285F"/>
    <w:rsid w:val="00E32E48"/>
    <w:rsid w:val="00E33139"/>
    <w:rsid w:val="00E332D9"/>
    <w:rsid w:val="00E33711"/>
    <w:rsid w:val="00E33E18"/>
    <w:rsid w:val="00E33E64"/>
    <w:rsid w:val="00E33EC8"/>
    <w:rsid w:val="00E33FD8"/>
    <w:rsid w:val="00E3409A"/>
    <w:rsid w:val="00E34142"/>
    <w:rsid w:val="00E3460E"/>
    <w:rsid w:val="00E3498C"/>
    <w:rsid w:val="00E34BB2"/>
    <w:rsid w:val="00E34C28"/>
    <w:rsid w:val="00E3507A"/>
    <w:rsid w:val="00E35098"/>
    <w:rsid w:val="00E35211"/>
    <w:rsid w:val="00E35237"/>
    <w:rsid w:val="00E35750"/>
    <w:rsid w:val="00E358DF"/>
    <w:rsid w:val="00E35B85"/>
    <w:rsid w:val="00E35F22"/>
    <w:rsid w:val="00E3631C"/>
    <w:rsid w:val="00E369F7"/>
    <w:rsid w:val="00E36CAD"/>
    <w:rsid w:val="00E370A8"/>
    <w:rsid w:val="00E37383"/>
    <w:rsid w:val="00E37B8E"/>
    <w:rsid w:val="00E37CF7"/>
    <w:rsid w:val="00E37E37"/>
    <w:rsid w:val="00E37EF5"/>
    <w:rsid w:val="00E400F2"/>
    <w:rsid w:val="00E40112"/>
    <w:rsid w:val="00E40859"/>
    <w:rsid w:val="00E40B29"/>
    <w:rsid w:val="00E40BCC"/>
    <w:rsid w:val="00E40F51"/>
    <w:rsid w:val="00E40F9A"/>
    <w:rsid w:val="00E4105A"/>
    <w:rsid w:val="00E411BF"/>
    <w:rsid w:val="00E417BC"/>
    <w:rsid w:val="00E41942"/>
    <w:rsid w:val="00E41EB6"/>
    <w:rsid w:val="00E42040"/>
    <w:rsid w:val="00E4207B"/>
    <w:rsid w:val="00E42212"/>
    <w:rsid w:val="00E42282"/>
    <w:rsid w:val="00E424A7"/>
    <w:rsid w:val="00E424CC"/>
    <w:rsid w:val="00E4263A"/>
    <w:rsid w:val="00E427F5"/>
    <w:rsid w:val="00E429D3"/>
    <w:rsid w:val="00E42B08"/>
    <w:rsid w:val="00E43210"/>
    <w:rsid w:val="00E43816"/>
    <w:rsid w:val="00E43AA1"/>
    <w:rsid w:val="00E43CD0"/>
    <w:rsid w:val="00E43EF8"/>
    <w:rsid w:val="00E44031"/>
    <w:rsid w:val="00E440CA"/>
    <w:rsid w:val="00E4425F"/>
    <w:rsid w:val="00E450C0"/>
    <w:rsid w:val="00E4519D"/>
    <w:rsid w:val="00E45356"/>
    <w:rsid w:val="00E4543A"/>
    <w:rsid w:val="00E4544C"/>
    <w:rsid w:val="00E45774"/>
    <w:rsid w:val="00E457D1"/>
    <w:rsid w:val="00E45B07"/>
    <w:rsid w:val="00E45B5F"/>
    <w:rsid w:val="00E45CFF"/>
    <w:rsid w:val="00E45EA2"/>
    <w:rsid w:val="00E4601E"/>
    <w:rsid w:val="00E461F8"/>
    <w:rsid w:val="00E46209"/>
    <w:rsid w:val="00E4626E"/>
    <w:rsid w:val="00E462B8"/>
    <w:rsid w:val="00E464E5"/>
    <w:rsid w:val="00E46549"/>
    <w:rsid w:val="00E467FD"/>
    <w:rsid w:val="00E46B91"/>
    <w:rsid w:val="00E46BE7"/>
    <w:rsid w:val="00E46DB2"/>
    <w:rsid w:val="00E47175"/>
    <w:rsid w:val="00E4739A"/>
    <w:rsid w:val="00E4787B"/>
    <w:rsid w:val="00E47A47"/>
    <w:rsid w:val="00E47C48"/>
    <w:rsid w:val="00E47D1C"/>
    <w:rsid w:val="00E47DE6"/>
    <w:rsid w:val="00E50319"/>
    <w:rsid w:val="00E504C5"/>
    <w:rsid w:val="00E50F09"/>
    <w:rsid w:val="00E51138"/>
    <w:rsid w:val="00E511E5"/>
    <w:rsid w:val="00E5124E"/>
    <w:rsid w:val="00E5137B"/>
    <w:rsid w:val="00E51641"/>
    <w:rsid w:val="00E51830"/>
    <w:rsid w:val="00E51AFF"/>
    <w:rsid w:val="00E5205D"/>
    <w:rsid w:val="00E523C9"/>
    <w:rsid w:val="00E52599"/>
    <w:rsid w:val="00E525D6"/>
    <w:rsid w:val="00E52712"/>
    <w:rsid w:val="00E52A2F"/>
    <w:rsid w:val="00E52AF0"/>
    <w:rsid w:val="00E52D39"/>
    <w:rsid w:val="00E52E73"/>
    <w:rsid w:val="00E52E8E"/>
    <w:rsid w:val="00E53535"/>
    <w:rsid w:val="00E536DC"/>
    <w:rsid w:val="00E53705"/>
    <w:rsid w:val="00E53767"/>
    <w:rsid w:val="00E538F3"/>
    <w:rsid w:val="00E53C4E"/>
    <w:rsid w:val="00E53D9A"/>
    <w:rsid w:val="00E53F7C"/>
    <w:rsid w:val="00E53FFD"/>
    <w:rsid w:val="00E540F0"/>
    <w:rsid w:val="00E54108"/>
    <w:rsid w:val="00E54508"/>
    <w:rsid w:val="00E54C22"/>
    <w:rsid w:val="00E54CE1"/>
    <w:rsid w:val="00E5539A"/>
    <w:rsid w:val="00E55CF5"/>
    <w:rsid w:val="00E55F32"/>
    <w:rsid w:val="00E56704"/>
    <w:rsid w:val="00E56795"/>
    <w:rsid w:val="00E56BD6"/>
    <w:rsid w:val="00E56D37"/>
    <w:rsid w:val="00E56DE0"/>
    <w:rsid w:val="00E56ED3"/>
    <w:rsid w:val="00E56F92"/>
    <w:rsid w:val="00E572CE"/>
    <w:rsid w:val="00E57705"/>
    <w:rsid w:val="00E577C1"/>
    <w:rsid w:val="00E57E2A"/>
    <w:rsid w:val="00E6009D"/>
    <w:rsid w:val="00E60100"/>
    <w:rsid w:val="00E60483"/>
    <w:rsid w:val="00E60DC2"/>
    <w:rsid w:val="00E6152A"/>
    <w:rsid w:val="00E61C50"/>
    <w:rsid w:val="00E61F9C"/>
    <w:rsid w:val="00E624A6"/>
    <w:rsid w:val="00E6257B"/>
    <w:rsid w:val="00E62968"/>
    <w:rsid w:val="00E62CEA"/>
    <w:rsid w:val="00E62D38"/>
    <w:rsid w:val="00E62ED2"/>
    <w:rsid w:val="00E63199"/>
    <w:rsid w:val="00E63238"/>
    <w:rsid w:val="00E6329F"/>
    <w:rsid w:val="00E632A4"/>
    <w:rsid w:val="00E6343B"/>
    <w:rsid w:val="00E6345A"/>
    <w:rsid w:val="00E634AA"/>
    <w:rsid w:val="00E63500"/>
    <w:rsid w:val="00E63ACB"/>
    <w:rsid w:val="00E63C99"/>
    <w:rsid w:val="00E63DD0"/>
    <w:rsid w:val="00E63DF0"/>
    <w:rsid w:val="00E63EF2"/>
    <w:rsid w:val="00E6499F"/>
    <w:rsid w:val="00E64B38"/>
    <w:rsid w:val="00E64BE6"/>
    <w:rsid w:val="00E64EF7"/>
    <w:rsid w:val="00E64F86"/>
    <w:rsid w:val="00E6519A"/>
    <w:rsid w:val="00E65325"/>
    <w:rsid w:val="00E65836"/>
    <w:rsid w:val="00E65986"/>
    <w:rsid w:val="00E65B3C"/>
    <w:rsid w:val="00E65BB3"/>
    <w:rsid w:val="00E66105"/>
    <w:rsid w:val="00E66182"/>
    <w:rsid w:val="00E66758"/>
    <w:rsid w:val="00E66C4C"/>
    <w:rsid w:val="00E67008"/>
    <w:rsid w:val="00E670D1"/>
    <w:rsid w:val="00E67112"/>
    <w:rsid w:val="00E67475"/>
    <w:rsid w:val="00E6774D"/>
    <w:rsid w:val="00E67899"/>
    <w:rsid w:val="00E67976"/>
    <w:rsid w:val="00E67B40"/>
    <w:rsid w:val="00E67D4B"/>
    <w:rsid w:val="00E67DE6"/>
    <w:rsid w:val="00E67F7E"/>
    <w:rsid w:val="00E67FDD"/>
    <w:rsid w:val="00E70077"/>
    <w:rsid w:val="00E70B66"/>
    <w:rsid w:val="00E70B72"/>
    <w:rsid w:val="00E70BA6"/>
    <w:rsid w:val="00E70E0C"/>
    <w:rsid w:val="00E70E75"/>
    <w:rsid w:val="00E71131"/>
    <w:rsid w:val="00E7172A"/>
    <w:rsid w:val="00E71CFA"/>
    <w:rsid w:val="00E71D97"/>
    <w:rsid w:val="00E721AA"/>
    <w:rsid w:val="00E7224F"/>
    <w:rsid w:val="00E726C2"/>
    <w:rsid w:val="00E727D1"/>
    <w:rsid w:val="00E72D42"/>
    <w:rsid w:val="00E72E5C"/>
    <w:rsid w:val="00E73727"/>
    <w:rsid w:val="00E73894"/>
    <w:rsid w:val="00E73A44"/>
    <w:rsid w:val="00E73B82"/>
    <w:rsid w:val="00E742D7"/>
    <w:rsid w:val="00E74342"/>
    <w:rsid w:val="00E7436A"/>
    <w:rsid w:val="00E74723"/>
    <w:rsid w:val="00E74777"/>
    <w:rsid w:val="00E74E58"/>
    <w:rsid w:val="00E74F39"/>
    <w:rsid w:val="00E75276"/>
    <w:rsid w:val="00E7529A"/>
    <w:rsid w:val="00E753E5"/>
    <w:rsid w:val="00E7550C"/>
    <w:rsid w:val="00E75745"/>
    <w:rsid w:val="00E759E1"/>
    <w:rsid w:val="00E75AF1"/>
    <w:rsid w:val="00E75B86"/>
    <w:rsid w:val="00E75BCF"/>
    <w:rsid w:val="00E75E0E"/>
    <w:rsid w:val="00E761E1"/>
    <w:rsid w:val="00E76218"/>
    <w:rsid w:val="00E76914"/>
    <w:rsid w:val="00E76A16"/>
    <w:rsid w:val="00E76D7F"/>
    <w:rsid w:val="00E76DA5"/>
    <w:rsid w:val="00E77223"/>
    <w:rsid w:val="00E7782B"/>
    <w:rsid w:val="00E77914"/>
    <w:rsid w:val="00E77965"/>
    <w:rsid w:val="00E77B7E"/>
    <w:rsid w:val="00E77C1F"/>
    <w:rsid w:val="00E77CE5"/>
    <w:rsid w:val="00E77D03"/>
    <w:rsid w:val="00E77D07"/>
    <w:rsid w:val="00E77DA6"/>
    <w:rsid w:val="00E77ED8"/>
    <w:rsid w:val="00E77F81"/>
    <w:rsid w:val="00E80083"/>
    <w:rsid w:val="00E80193"/>
    <w:rsid w:val="00E80327"/>
    <w:rsid w:val="00E80613"/>
    <w:rsid w:val="00E8073A"/>
    <w:rsid w:val="00E80D77"/>
    <w:rsid w:val="00E80D8D"/>
    <w:rsid w:val="00E80EB0"/>
    <w:rsid w:val="00E8126B"/>
    <w:rsid w:val="00E81409"/>
    <w:rsid w:val="00E815AB"/>
    <w:rsid w:val="00E8165B"/>
    <w:rsid w:val="00E81D58"/>
    <w:rsid w:val="00E8228E"/>
    <w:rsid w:val="00E825EF"/>
    <w:rsid w:val="00E8266E"/>
    <w:rsid w:val="00E829C1"/>
    <w:rsid w:val="00E829D8"/>
    <w:rsid w:val="00E82A61"/>
    <w:rsid w:val="00E82AAC"/>
    <w:rsid w:val="00E82F36"/>
    <w:rsid w:val="00E8322F"/>
    <w:rsid w:val="00E8326B"/>
    <w:rsid w:val="00E834B5"/>
    <w:rsid w:val="00E8429C"/>
    <w:rsid w:val="00E844B2"/>
    <w:rsid w:val="00E8472B"/>
    <w:rsid w:val="00E847A6"/>
    <w:rsid w:val="00E84D65"/>
    <w:rsid w:val="00E85161"/>
    <w:rsid w:val="00E85453"/>
    <w:rsid w:val="00E8580B"/>
    <w:rsid w:val="00E85AB1"/>
    <w:rsid w:val="00E8633C"/>
    <w:rsid w:val="00E86422"/>
    <w:rsid w:val="00E864CB"/>
    <w:rsid w:val="00E86691"/>
    <w:rsid w:val="00E8687E"/>
    <w:rsid w:val="00E869D5"/>
    <w:rsid w:val="00E86A42"/>
    <w:rsid w:val="00E86C1F"/>
    <w:rsid w:val="00E86CB5"/>
    <w:rsid w:val="00E86DA7"/>
    <w:rsid w:val="00E87177"/>
    <w:rsid w:val="00E87881"/>
    <w:rsid w:val="00E87978"/>
    <w:rsid w:val="00E87D20"/>
    <w:rsid w:val="00E87DD1"/>
    <w:rsid w:val="00E87EEB"/>
    <w:rsid w:val="00E87FFE"/>
    <w:rsid w:val="00E90046"/>
    <w:rsid w:val="00E9026E"/>
    <w:rsid w:val="00E902BC"/>
    <w:rsid w:val="00E90516"/>
    <w:rsid w:val="00E905BC"/>
    <w:rsid w:val="00E906C2"/>
    <w:rsid w:val="00E909BC"/>
    <w:rsid w:val="00E90B33"/>
    <w:rsid w:val="00E91012"/>
    <w:rsid w:val="00E91286"/>
    <w:rsid w:val="00E912AB"/>
    <w:rsid w:val="00E9143A"/>
    <w:rsid w:val="00E91681"/>
    <w:rsid w:val="00E91891"/>
    <w:rsid w:val="00E91977"/>
    <w:rsid w:val="00E91C1D"/>
    <w:rsid w:val="00E91F93"/>
    <w:rsid w:val="00E92143"/>
    <w:rsid w:val="00E92493"/>
    <w:rsid w:val="00E9265B"/>
    <w:rsid w:val="00E92824"/>
    <w:rsid w:val="00E92BB4"/>
    <w:rsid w:val="00E93058"/>
    <w:rsid w:val="00E930EC"/>
    <w:rsid w:val="00E9322B"/>
    <w:rsid w:val="00E9355C"/>
    <w:rsid w:val="00E9372E"/>
    <w:rsid w:val="00E93C63"/>
    <w:rsid w:val="00E93F3B"/>
    <w:rsid w:val="00E94002"/>
    <w:rsid w:val="00E9403F"/>
    <w:rsid w:val="00E943AC"/>
    <w:rsid w:val="00E94994"/>
    <w:rsid w:val="00E94E86"/>
    <w:rsid w:val="00E955CB"/>
    <w:rsid w:val="00E95956"/>
    <w:rsid w:val="00E95B4B"/>
    <w:rsid w:val="00E95CD7"/>
    <w:rsid w:val="00E961B9"/>
    <w:rsid w:val="00E961F1"/>
    <w:rsid w:val="00E96732"/>
    <w:rsid w:val="00E96C45"/>
    <w:rsid w:val="00E96C9C"/>
    <w:rsid w:val="00E96CAD"/>
    <w:rsid w:val="00E96E58"/>
    <w:rsid w:val="00E971C1"/>
    <w:rsid w:val="00E97433"/>
    <w:rsid w:val="00E97596"/>
    <w:rsid w:val="00E97725"/>
    <w:rsid w:val="00E9776D"/>
    <w:rsid w:val="00E97876"/>
    <w:rsid w:val="00E97CDD"/>
    <w:rsid w:val="00E97F5E"/>
    <w:rsid w:val="00EA0441"/>
    <w:rsid w:val="00EA049A"/>
    <w:rsid w:val="00EA0CF6"/>
    <w:rsid w:val="00EA0F7E"/>
    <w:rsid w:val="00EA101D"/>
    <w:rsid w:val="00EA10E1"/>
    <w:rsid w:val="00EA1245"/>
    <w:rsid w:val="00EA1798"/>
    <w:rsid w:val="00EA1981"/>
    <w:rsid w:val="00EA1E5A"/>
    <w:rsid w:val="00EA22D3"/>
    <w:rsid w:val="00EA2441"/>
    <w:rsid w:val="00EA26F9"/>
    <w:rsid w:val="00EA2A49"/>
    <w:rsid w:val="00EA2A5A"/>
    <w:rsid w:val="00EA2FD4"/>
    <w:rsid w:val="00EA391B"/>
    <w:rsid w:val="00EA3E5C"/>
    <w:rsid w:val="00EA3FFD"/>
    <w:rsid w:val="00EA40C4"/>
    <w:rsid w:val="00EA41FC"/>
    <w:rsid w:val="00EA4222"/>
    <w:rsid w:val="00EA435F"/>
    <w:rsid w:val="00EA44D2"/>
    <w:rsid w:val="00EA4978"/>
    <w:rsid w:val="00EA4F20"/>
    <w:rsid w:val="00EA50CB"/>
    <w:rsid w:val="00EA55AA"/>
    <w:rsid w:val="00EA5707"/>
    <w:rsid w:val="00EA5893"/>
    <w:rsid w:val="00EA5C41"/>
    <w:rsid w:val="00EA5E06"/>
    <w:rsid w:val="00EA5F36"/>
    <w:rsid w:val="00EA5FBA"/>
    <w:rsid w:val="00EA62E7"/>
    <w:rsid w:val="00EA6504"/>
    <w:rsid w:val="00EA65CC"/>
    <w:rsid w:val="00EA66E5"/>
    <w:rsid w:val="00EA6921"/>
    <w:rsid w:val="00EA6AD5"/>
    <w:rsid w:val="00EA7160"/>
    <w:rsid w:val="00EA7367"/>
    <w:rsid w:val="00EA7744"/>
    <w:rsid w:val="00EA7963"/>
    <w:rsid w:val="00EA7EEA"/>
    <w:rsid w:val="00EB00CD"/>
    <w:rsid w:val="00EB012B"/>
    <w:rsid w:val="00EB0585"/>
    <w:rsid w:val="00EB0945"/>
    <w:rsid w:val="00EB1075"/>
    <w:rsid w:val="00EB10CF"/>
    <w:rsid w:val="00EB119F"/>
    <w:rsid w:val="00EB1345"/>
    <w:rsid w:val="00EB150E"/>
    <w:rsid w:val="00EB19B9"/>
    <w:rsid w:val="00EB1C1B"/>
    <w:rsid w:val="00EB1D41"/>
    <w:rsid w:val="00EB1D81"/>
    <w:rsid w:val="00EB1F23"/>
    <w:rsid w:val="00EB2059"/>
    <w:rsid w:val="00EB22E3"/>
    <w:rsid w:val="00EB23BA"/>
    <w:rsid w:val="00EB2FC5"/>
    <w:rsid w:val="00EB341C"/>
    <w:rsid w:val="00EB35FE"/>
    <w:rsid w:val="00EB3CBB"/>
    <w:rsid w:val="00EB3D91"/>
    <w:rsid w:val="00EB4328"/>
    <w:rsid w:val="00EB4407"/>
    <w:rsid w:val="00EB458A"/>
    <w:rsid w:val="00EB45C0"/>
    <w:rsid w:val="00EB486B"/>
    <w:rsid w:val="00EB4972"/>
    <w:rsid w:val="00EB4E7D"/>
    <w:rsid w:val="00EB4EDB"/>
    <w:rsid w:val="00EB5446"/>
    <w:rsid w:val="00EB5843"/>
    <w:rsid w:val="00EB58CB"/>
    <w:rsid w:val="00EB5B7E"/>
    <w:rsid w:val="00EB6004"/>
    <w:rsid w:val="00EB62CC"/>
    <w:rsid w:val="00EB63A7"/>
    <w:rsid w:val="00EB6426"/>
    <w:rsid w:val="00EB645F"/>
    <w:rsid w:val="00EB6602"/>
    <w:rsid w:val="00EB662B"/>
    <w:rsid w:val="00EB6958"/>
    <w:rsid w:val="00EB6960"/>
    <w:rsid w:val="00EB6E33"/>
    <w:rsid w:val="00EB70AA"/>
    <w:rsid w:val="00EB71FA"/>
    <w:rsid w:val="00EB72B6"/>
    <w:rsid w:val="00EB7400"/>
    <w:rsid w:val="00EB7451"/>
    <w:rsid w:val="00EB7508"/>
    <w:rsid w:val="00EB76F6"/>
    <w:rsid w:val="00EB7A06"/>
    <w:rsid w:val="00EC058B"/>
    <w:rsid w:val="00EC0703"/>
    <w:rsid w:val="00EC0745"/>
    <w:rsid w:val="00EC0807"/>
    <w:rsid w:val="00EC0A05"/>
    <w:rsid w:val="00EC0F18"/>
    <w:rsid w:val="00EC107D"/>
    <w:rsid w:val="00EC12AB"/>
    <w:rsid w:val="00EC15F6"/>
    <w:rsid w:val="00EC160D"/>
    <w:rsid w:val="00EC1828"/>
    <w:rsid w:val="00EC1879"/>
    <w:rsid w:val="00EC18B3"/>
    <w:rsid w:val="00EC19A2"/>
    <w:rsid w:val="00EC1C1C"/>
    <w:rsid w:val="00EC1CBF"/>
    <w:rsid w:val="00EC1D6B"/>
    <w:rsid w:val="00EC25E7"/>
    <w:rsid w:val="00EC2CFF"/>
    <w:rsid w:val="00EC2D99"/>
    <w:rsid w:val="00EC2EDB"/>
    <w:rsid w:val="00EC2F39"/>
    <w:rsid w:val="00EC2F3F"/>
    <w:rsid w:val="00EC3057"/>
    <w:rsid w:val="00EC3712"/>
    <w:rsid w:val="00EC37B2"/>
    <w:rsid w:val="00EC39E3"/>
    <w:rsid w:val="00EC3DC4"/>
    <w:rsid w:val="00EC3E19"/>
    <w:rsid w:val="00EC3F08"/>
    <w:rsid w:val="00EC3F1F"/>
    <w:rsid w:val="00EC40C0"/>
    <w:rsid w:val="00EC43EA"/>
    <w:rsid w:val="00EC4531"/>
    <w:rsid w:val="00EC46B8"/>
    <w:rsid w:val="00EC46DF"/>
    <w:rsid w:val="00EC492D"/>
    <w:rsid w:val="00EC4980"/>
    <w:rsid w:val="00EC4B0D"/>
    <w:rsid w:val="00EC4D3F"/>
    <w:rsid w:val="00EC4E58"/>
    <w:rsid w:val="00EC4FE9"/>
    <w:rsid w:val="00EC511D"/>
    <w:rsid w:val="00EC53C4"/>
    <w:rsid w:val="00EC54E0"/>
    <w:rsid w:val="00EC5540"/>
    <w:rsid w:val="00EC594E"/>
    <w:rsid w:val="00EC5BFD"/>
    <w:rsid w:val="00EC5DDE"/>
    <w:rsid w:val="00EC625F"/>
    <w:rsid w:val="00EC64FC"/>
    <w:rsid w:val="00EC6A06"/>
    <w:rsid w:val="00EC6CF6"/>
    <w:rsid w:val="00EC7620"/>
    <w:rsid w:val="00EC7725"/>
    <w:rsid w:val="00EC7B52"/>
    <w:rsid w:val="00EC7C65"/>
    <w:rsid w:val="00EC7D0F"/>
    <w:rsid w:val="00EC7E05"/>
    <w:rsid w:val="00EC7E77"/>
    <w:rsid w:val="00ED00EE"/>
    <w:rsid w:val="00ED0565"/>
    <w:rsid w:val="00ED08BA"/>
    <w:rsid w:val="00ED126B"/>
    <w:rsid w:val="00ED1438"/>
    <w:rsid w:val="00ED15E0"/>
    <w:rsid w:val="00ED2240"/>
    <w:rsid w:val="00ED2467"/>
    <w:rsid w:val="00ED2700"/>
    <w:rsid w:val="00ED29BF"/>
    <w:rsid w:val="00ED2D93"/>
    <w:rsid w:val="00ED2E60"/>
    <w:rsid w:val="00ED31CE"/>
    <w:rsid w:val="00ED3365"/>
    <w:rsid w:val="00ED33BC"/>
    <w:rsid w:val="00ED34B5"/>
    <w:rsid w:val="00ED354A"/>
    <w:rsid w:val="00ED37D5"/>
    <w:rsid w:val="00ED37FD"/>
    <w:rsid w:val="00ED3923"/>
    <w:rsid w:val="00ED393B"/>
    <w:rsid w:val="00ED4494"/>
    <w:rsid w:val="00ED4508"/>
    <w:rsid w:val="00ED4656"/>
    <w:rsid w:val="00ED4815"/>
    <w:rsid w:val="00ED48AC"/>
    <w:rsid w:val="00ED4C62"/>
    <w:rsid w:val="00ED4DAC"/>
    <w:rsid w:val="00ED4F6D"/>
    <w:rsid w:val="00ED5072"/>
    <w:rsid w:val="00ED5407"/>
    <w:rsid w:val="00ED561C"/>
    <w:rsid w:val="00ED5659"/>
    <w:rsid w:val="00ED5914"/>
    <w:rsid w:val="00ED5AD6"/>
    <w:rsid w:val="00ED5F9A"/>
    <w:rsid w:val="00ED6177"/>
    <w:rsid w:val="00ED68FC"/>
    <w:rsid w:val="00ED6961"/>
    <w:rsid w:val="00ED6B5E"/>
    <w:rsid w:val="00ED6CAF"/>
    <w:rsid w:val="00ED6D08"/>
    <w:rsid w:val="00ED7BC5"/>
    <w:rsid w:val="00ED7CCA"/>
    <w:rsid w:val="00EE0168"/>
    <w:rsid w:val="00EE019F"/>
    <w:rsid w:val="00EE0664"/>
    <w:rsid w:val="00EE06B8"/>
    <w:rsid w:val="00EE08AA"/>
    <w:rsid w:val="00EE0BD0"/>
    <w:rsid w:val="00EE0BDF"/>
    <w:rsid w:val="00EE0CE1"/>
    <w:rsid w:val="00EE0D7E"/>
    <w:rsid w:val="00EE11AD"/>
    <w:rsid w:val="00EE1251"/>
    <w:rsid w:val="00EE13EA"/>
    <w:rsid w:val="00EE14AB"/>
    <w:rsid w:val="00EE14E1"/>
    <w:rsid w:val="00EE1798"/>
    <w:rsid w:val="00EE17FB"/>
    <w:rsid w:val="00EE1893"/>
    <w:rsid w:val="00EE1CD7"/>
    <w:rsid w:val="00EE1CE5"/>
    <w:rsid w:val="00EE2062"/>
    <w:rsid w:val="00EE207B"/>
    <w:rsid w:val="00EE25E2"/>
    <w:rsid w:val="00EE26DC"/>
    <w:rsid w:val="00EE27B4"/>
    <w:rsid w:val="00EE2D6B"/>
    <w:rsid w:val="00EE307D"/>
    <w:rsid w:val="00EE36D7"/>
    <w:rsid w:val="00EE3867"/>
    <w:rsid w:val="00EE3F5B"/>
    <w:rsid w:val="00EE447C"/>
    <w:rsid w:val="00EE4669"/>
    <w:rsid w:val="00EE483A"/>
    <w:rsid w:val="00EE4A99"/>
    <w:rsid w:val="00EE5346"/>
    <w:rsid w:val="00EE5868"/>
    <w:rsid w:val="00EE5C9D"/>
    <w:rsid w:val="00EE5CB5"/>
    <w:rsid w:val="00EE606F"/>
    <w:rsid w:val="00EE6093"/>
    <w:rsid w:val="00EE636B"/>
    <w:rsid w:val="00EE6471"/>
    <w:rsid w:val="00EE686F"/>
    <w:rsid w:val="00EE6973"/>
    <w:rsid w:val="00EE6AB0"/>
    <w:rsid w:val="00EE6F14"/>
    <w:rsid w:val="00EE6F7E"/>
    <w:rsid w:val="00EE7158"/>
    <w:rsid w:val="00EE71E8"/>
    <w:rsid w:val="00EE7268"/>
    <w:rsid w:val="00EE743C"/>
    <w:rsid w:val="00EE7794"/>
    <w:rsid w:val="00EE7CE5"/>
    <w:rsid w:val="00EF008D"/>
    <w:rsid w:val="00EF07E8"/>
    <w:rsid w:val="00EF094C"/>
    <w:rsid w:val="00EF0F13"/>
    <w:rsid w:val="00EF191D"/>
    <w:rsid w:val="00EF19E4"/>
    <w:rsid w:val="00EF23A0"/>
    <w:rsid w:val="00EF2A5A"/>
    <w:rsid w:val="00EF2A5C"/>
    <w:rsid w:val="00EF2B87"/>
    <w:rsid w:val="00EF2E3A"/>
    <w:rsid w:val="00EF2FCE"/>
    <w:rsid w:val="00EF3100"/>
    <w:rsid w:val="00EF3AB3"/>
    <w:rsid w:val="00EF4872"/>
    <w:rsid w:val="00EF4F8E"/>
    <w:rsid w:val="00EF5004"/>
    <w:rsid w:val="00EF5497"/>
    <w:rsid w:val="00EF5659"/>
    <w:rsid w:val="00EF589F"/>
    <w:rsid w:val="00EF58D5"/>
    <w:rsid w:val="00EF5910"/>
    <w:rsid w:val="00EF59B1"/>
    <w:rsid w:val="00EF5CA8"/>
    <w:rsid w:val="00EF5CDD"/>
    <w:rsid w:val="00EF5F7B"/>
    <w:rsid w:val="00EF614F"/>
    <w:rsid w:val="00EF62AF"/>
    <w:rsid w:val="00EF65F0"/>
    <w:rsid w:val="00EF6C25"/>
    <w:rsid w:val="00EF6C6D"/>
    <w:rsid w:val="00EF6C88"/>
    <w:rsid w:val="00EF6EAF"/>
    <w:rsid w:val="00EF7145"/>
    <w:rsid w:val="00EF7500"/>
    <w:rsid w:val="00EF75F2"/>
    <w:rsid w:val="00EF76EF"/>
    <w:rsid w:val="00EF76F4"/>
    <w:rsid w:val="00EF7797"/>
    <w:rsid w:val="00EF7B1E"/>
    <w:rsid w:val="00EF7B62"/>
    <w:rsid w:val="00EF7C7A"/>
    <w:rsid w:val="00EF7FE1"/>
    <w:rsid w:val="00F0056D"/>
    <w:rsid w:val="00F007C9"/>
    <w:rsid w:val="00F00839"/>
    <w:rsid w:val="00F00BD7"/>
    <w:rsid w:val="00F010A3"/>
    <w:rsid w:val="00F01BDB"/>
    <w:rsid w:val="00F01C09"/>
    <w:rsid w:val="00F01D6E"/>
    <w:rsid w:val="00F02430"/>
    <w:rsid w:val="00F0243A"/>
    <w:rsid w:val="00F025CD"/>
    <w:rsid w:val="00F02614"/>
    <w:rsid w:val="00F02A0C"/>
    <w:rsid w:val="00F02CD6"/>
    <w:rsid w:val="00F02F5B"/>
    <w:rsid w:val="00F02FF0"/>
    <w:rsid w:val="00F03379"/>
    <w:rsid w:val="00F03A76"/>
    <w:rsid w:val="00F03CE7"/>
    <w:rsid w:val="00F03D29"/>
    <w:rsid w:val="00F03FED"/>
    <w:rsid w:val="00F03FFB"/>
    <w:rsid w:val="00F0414D"/>
    <w:rsid w:val="00F0486E"/>
    <w:rsid w:val="00F04B3A"/>
    <w:rsid w:val="00F0523E"/>
    <w:rsid w:val="00F0562A"/>
    <w:rsid w:val="00F059AC"/>
    <w:rsid w:val="00F05C87"/>
    <w:rsid w:val="00F05D3E"/>
    <w:rsid w:val="00F06269"/>
    <w:rsid w:val="00F063A6"/>
    <w:rsid w:val="00F068C7"/>
    <w:rsid w:val="00F06900"/>
    <w:rsid w:val="00F06A5F"/>
    <w:rsid w:val="00F06C32"/>
    <w:rsid w:val="00F06C46"/>
    <w:rsid w:val="00F06DD2"/>
    <w:rsid w:val="00F071AE"/>
    <w:rsid w:val="00F0799F"/>
    <w:rsid w:val="00F079F5"/>
    <w:rsid w:val="00F07A16"/>
    <w:rsid w:val="00F07A77"/>
    <w:rsid w:val="00F07B47"/>
    <w:rsid w:val="00F07BD8"/>
    <w:rsid w:val="00F07F00"/>
    <w:rsid w:val="00F07FAD"/>
    <w:rsid w:val="00F10006"/>
    <w:rsid w:val="00F10007"/>
    <w:rsid w:val="00F1011D"/>
    <w:rsid w:val="00F10125"/>
    <w:rsid w:val="00F102A4"/>
    <w:rsid w:val="00F103F7"/>
    <w:rsid w:val="00F104E9"/>
    <w:rsid w:val="00F10733"/>
    <w:rsid w:val="00F10840"/>
    <w:rsid w:val="00F10A04"/>
    <w:rsid w:val="00F10D32"/>
    <w:rsid w:val="00F10DD5"/>
    <w:rsid w:val="00F10DF8"/>
    <w:rsid w:val="00F11089"/>
    <w:rsid w:val="00F1137F"/>
    <w:rsid w:val="00F11683"/>
    <w:rsid w:val="00F118CF"/>
    <w:rsid w:val="00F11E71"/>
    <w:rsid w:val="00F11EF9"/>
    <w:rsid w:val="00F11F72"/>
    <w:rsid w:val="00F1255D"/>
    <w:rsid w:val="00F125A6"/>
    <w:rsid w:val="00F1262F"/>
    <w:rsid w:val="00F12673"/>
    <w:rsid w:val="00F1285E"/>
    <w:rsid w:val="00F12919"/>
    <w:rsid w:val="00F12A74"/>
    <w:rsid w:val="00F12A75"/>
    <w:rsid w:val="00F12BB9"/>
    <w:rsid w:val="00F12BE3"/>
    <w:rsid w:val="00F12CA3"/>
    <w:rsid w:val="00F12EDF"/>
    <w:rsid w:val="00F13299"/>
    <w:rsid w:val="00F1362E"/>
    <w:rsid w:val="00F1370C"/>
    <w:rsid w:val="00F137D6"/>
    <w:rsid w:val="00F13E2A"/>
    <w:rsid w:val="00F14060"/>
    <w:rsid w:val="00F14549"/>
    <w:rsid w:val="00F1478A"/>
    <w:rsid w:val="00F15048"/>
    <w:rsid w:val="00F1506D"/>
    <w:rsid w:val="00F151FC"/>
    <w:rsid w:val="00F15279"/>
    <w:rsid w:val="00F153E5"/>
    <w:rsid w:val="00F153EF"/>
    <w:rsid w:val="00F15C2F"/>
    <w:rsid w:val="00F15C6A"/>
    <w:rsid w:val="00F15C8E"/>
    <w:rsid w:val="00F15E1C"/>
    <w:rsid w:val="00F15E65"/>
    <w:rsid w:val="00F15FCD"/>
    <w:rsid w:val="00F16456"/>
    <w:rsid w:val="00F1677D"/>
    <w:rsid w:val="00F1699E"/>
    <w:rsid w:val="00F169A9"/>
    <w:rsid w:val="00F16F4D"/>
    <w:rsid w:val="00F1720B"/>
    <w:rsid w:val="00F17298"/>
    <w:rsid w:val="00F175F5"/>
    <w:rsid w:val="00F176DB"/>
    <w:rsid w:val="00F178E0"/>
    <w:rsid w:val="00F17D4C"/>
    <w:rsid w:val="00F17D81"/>
    <w:rsid w:val="00F17DB5"/>
    <w:rsid w:val="00F201C4"/>
    <w:rsid w:val="00F20B6F"/>
    <w:rsid w:val="00F20DC4"/>
    <w:rsid w:val="00F20DD8"/>
    <w:rsid w:val="00F20F3E"/>
    <w:rsid w:val="00F2118F"/>
    <w:rsid w:val="00F214CA"/>
    <w:rsid w:val="00F216D2"/>
    <w:rsid w:val="00F22091"/>
    <w:rsid w:val="00F2227F"/>
    <w:rsid w:val="00F22364"/>
    <w:rsid w:val="00F22675"/>
    <w:rsid w:val="00F22D15"/>
    <w:rsid w:val="00F22E4E"/>
    <w:rsid w:val="00F2312B"/>
    <w:rsid w:val="00F23321"/>
    <w:rsid w:val="00F23522"/>
    <w:rsid w:val="00F2362D"/>
    <w:rsid w:val="00F236CA"/>
    <w:rsid w:val="00F23A55"/>
    <w:rsid w:val="00F23E83"/>
    <w:rsid w:val="00F23EDF"/>
    <w:rsid w:val="00F23FC0"/>
    <w:rsid w:val="00F23FFB"/>
    <w:rsid w:val="00F2435E"/>
    <w:rsid w:val="00F24EE7"/>
    <w:rsid w:val="00F2528B"/>
    <w:rsid w:val="00F2580F"/>
    <w:rsid w:val="00F25843"/>
    <w:rsid w:val="00F25871"/>
    <w:rsid w:val="00F25B7B"/>
    <w:rsid w:val="00F25C49"/>
    <w:rsid w:val="00F25F32"/>
    <w:rsid w:val="00F261A2"/>
    <w:rsid w:val="00F26E67"/>
    <w:rsid w:val="00F26F7B"/>
    <w:rsid w:val="00F270E0"/>
    <w:rsid w:val="00F27426"/>
    <w:rsid w:val="00F2746E"/>
    <w:rsid w:val="00F27620"/>
    <w:rsid w:val="00F27841"/>
    <w:rsid w:val="00F27968"/>
    <w:rsid w:val="00F27978"/>
    <w:rsid w:val="00F27BAA"/>
    <w:rsid w:val="00F27CC4"/>
    <w:rsid w:val="00F27D13"/>
    <w:rsid w:val="00F30348"/>
    <w:rsid w:val="00F30351"/>
    <w:rsid w:val="00F305CB"/>
    <w:rsid w:val="00F3082C"/>
    <w:rsid w:val="00F30904"/>
    <w:rsid w:val="00F30BB8"/>
    <w:rsid w:val="00F3114A"/>
    <w:rsid w:val="00F31458"/>
    <w:rsid w:val="00F317BD"/>
    <w:rsid w:val="00F31973"/>
    <w:rsid w:val="00F31B52"/>
    <w:rsid w:val="00F31EC8"/>
    <w:rsid w:val="00F31FE9"/>
    <w:rsid w:val="00F32340"/>
    <w:rsid w:val="00F3245D"/>
    <w:rsid w:val="00F3266F"/>
    <w:rsid w:val="00F32805"/>
    <w:rsid w:val="00F3282C"/>
    <w:rsid w:val="00F32E63"/>
    <w:rsid w:val="00F32FAF"/>
    <w:rsid w:val="00F33082"/>
    <w:rsid w:val="00F331D7"/>
    <w:rsid w:val="00F33210"/>
    <w:rsid w:val="00F33264"/>
    <w:rsid w:val="00F3340E"/>
    <w:rsid w:val="00F3360F"/>
    <w:rsid w:val="00F336D3"/>
    <w:rsid w:val="00F33735"/>
    <w:rsid w:val="00F338C9"/>
    <w:rsid w:val="00F3396B"/>
    <w:rsid w:val="00F33C0B"/>
    <w:rsid w:val="00F3421D"/>
    <w:rsid w:val="00F344C7"/>
    <w:rsid w:val="00F344FB"/>
    <w:rsid w:val="00F34F69"/>
    <w:rsid w:val="00F3527F"/>
    <w:rsid w:val="00F35690"/>
    <w:rsid w:val="00F357B6"/>
    <w:rsid w:val="00F3587B"/>
    <w:rsid w:val="00F358D9"/>
    <w:rsid w:val="00F359C9"/>
    <w:rsid w:val="00F35CDB"/>
    <w:rsid w:val="00F35D7D"/>
    <w:rsid w:val="00F360C3"/>
    <w:rsid w:val="00F36183"/>
    <w:rsid w:val="00F361C4"/>
    <w:rsid w:val="00F36257"/>
    <w:rsid w:val="00F362CC"/>
    <w:rsid w:val="00F362DE"/>
    <w:rsid w:val="00F36409"/>
    <w:rsid w:val="00F3646B"/>
    <w:rsid w:val="00F36505"/>
    <w:rsid w:val="00F36B67"/>
    <w:rsid w:val="00F36BBD"/>
    <w:rsid w:val="00F36EBA"/>
    <w:rsid w:val="00F36FE0"/>
    <w:rsid w:val="00F3732D"/>
    <w:rsid w:val="00F3761A"/>
    <w:rsid w:val="00F37CA2"/>
    <w:rsid w:val="00F37F1F"/>
    <w:rsid w:val="00F4022D"/>
    <w:rsid w:val="00F403A7"/>
    <w:rsid w:val="00F40648"/>
    <w:rsid w:val="00F406F4"/>
    <w:rsid w:val="00F407AB"/>
    <w:rsid w:val="00F40F42"/>
    <w:rsid w:val="00F41089"/>
    <w:rsid w:val="00F415FC"/>
    <w:rsid w:val="00F4165C"/>
    <w:rsid w:val="00F41762"/>
    <w:rsid w:val="00F41848"/>
    <w:rsid w:val="00F41952"/>
    <w:rsid w:val="00F41A3D"/>
    <w:rsid w:val="00F41B42"/>
    <w:rsid w:val="00F41CEE"/>
    <w:rsid w:val="00F41D05"/>
    <w:rsid w:val="00F41D3E"/>
    <w:rsid w:val="00F41F93"/>
    <w:rsid w:val="00F421DB"/>
    <w:rsid w:val="00F42260"/>
    <w:rsid w:val="00F4259E"/>
    <w:rsid w:val="00F42670"/>
    <w:rsid w:val="00F42728"/>
    <w:rsid w:val="00F4293A"/>
    <w:rsid w:val="00F42DC9"/>
    <w:rsid w:val="00F43018"/>
    <w:rsid w:val="00F430CC"/>
    <w:rsid w:val="00F43183"/>
    <w:rsid w:val="00F434AA"/>
    <w:rsid w:val="00F43A73"/>
    <w:rsid w:val="00F446B9"/>
    <w:rsid w:val="00F44D20"/>
    <w:rsid w:val="00F44DCC"/>
    <w:rsid w:val="00F44EAE"/>
    <w:rsid w:val="00F4520A"/>
    <w:rsid w:val="00F45236"/>
    <w:rsid w:val="00F45262"/>
    <w:rsid w:val="00F4558E"/>
    <w:rsid w:val="00F45A3B"/>
    <w:rsid w:val="00F45BA6"/>
    <w:rsid w:val="00F45E82"/>
    <w:rsid w:val="00F46291"/>
    <w:rsid w:val="00F4644A"/>
    <w:rsid w:val="00F467F7"/>
    <w:rsid w:val="00F468BD"/>
    <w:rsid w:val="00F46A7A"/>
    <w:rsid w:val="00F46B1D"/>
    <w:rsid w:val="00F46B39"/>
    <w:rsid w:val="00F46F18"/>
    <w:rsid w:val="00F46F6F"/>
    <w:rsid w:val="00F470D4"/>
    <w:rsid w:val="00F474B0"/>
    <w:rsid w:val="00F476CB"/>
    <w:rsid w:val="00F479AE"/>
    <w:rsid w:val="00F47A12"/>
    <w:rsid w:val="00F47A57"/>
    <w:rsid w:val="00F47B24"/>
    <w:rsid w:val="00F47BF1"/>
    <w:rsid w:val="00F47C20"/>
    <w:rsid w:val="00F47CB3"/>
    <w:rsid w:val="00F47D44"/>
    <w:rsid w:val="00F507AF"/>
    <w:rsid w:val="00F50D08"/>
    <w:rsid w:val="00F51421"/>
    <w:rsid w:val="00F51BB5"/>
    <w:rsid w:val="00F51EA7"/>
    <w:rsid w:val="00F51ECD"/>
    <w:rsid w:val="00F52212"/>
    <w:rsid w:val="00F5224E"/>
    <w:rsid w:val="00F523FF"/>
    <w:rsid w:val="00F52482"/>
    <w:rsid w:val="00F5265D"/>
    <w:rsid w:val="00F527D3"/>
    <w:rsid w:val="00F52F31"/>
    <w:rsid w:val="00F53013"/>
    <w:rsid w:val="00F530F3"/>
    <w:rsid w:val="00F53442"/>
    <w:rsid w:val="00F5351C"/>
    <w:rsid w:val="00F535F7"/>
    <w:rsid w:val="00F54056"/>
    <w:rsid w:val="00F540E2"/>
    <w:rsid w:val="00F54731"/>
    <w:rsid w:val="00F54D0C"/>
    <w:rsid w:val="00F5594C"/>
    <w:rsid w:val="00F55F94"/>
    <w:rsid w:val="00F56008"/>
    <w:rsid w:val="00F566BB"/>
    <w:rsid w:val="00F567B5"/>
    <w:rsid w:val="00F568DD"/>
    <w:rsid w:val="00F56943"/>
    <w:rsid w:val="00F56A37"/>
    <w:rsid w:val="00F573BE"/>
    <w:rsid w:val="00F57535"/>
    <w:rsid w:val="00F57C09"/>
    <w:rsid w:val="00F57F77"/>
    <w:rsid w:val="00F601A7"/>
    <w:rsid w:val="00F60262"/>
    <w:rsid w:val="00F60305"/>
    <w:rsid w:val="00F6048F"/>
    <w:rsid w:val="00F6054F"/>
    <w:rsid w:val="00F60666"/>
    <w:rsid w:val="00F6073B"/>
    <w:rsid w:val="00F6077C"/>
    <w:rsid w:val="00F60A7A"/>
    <w:rsid w:val="00F60D13"/>
    <w:rsid w:val="00F60DA5"/>
    <w:rsid w:val="00F60DCC"/>
    <w:rsid w:val="00F60E51"/>
    <w:rsid w:val="00F6109E"/>
    <w:rsid w:val="00F6110A"/>
    <w:rsid w:val="00F6137B"/>
    <w:rsid w:val="00F6137D"/>
    <w:rsid w:val="00F6147F"/>
    <w:rsid w:val="00F614E4"/>
    <w:rsid w:val="00F61832"/>
    <w:rsid w:val="00F61882"/>
    <w:rsid w:val="00F61F56"/>
    <w:rsid w:val="00F61F8A"/>
    <w:rsid w:val="00F6201D"/>
    <w:rsid w:val="00F621D0"/>
    <w:rsid w:val="00F6221A"/>
    <w:rsid w:val="00F6247C"/>
    <w:rsid w:val="00F62484"/>
    <w:rsid w:val="00F62905"/>
    <w:rsid w:val="00F629E1"/>
    <w:rsid w:val="00F630B0"/>
    <w:rsid w:val="00F6327F"/>
    <w:rsid w:val="00F633BE"/>
    <w:rsid w:val="00F635DF"/>
    <w:rsid w:val="00F63AFE"/>
    <w:rsid w:val="00F640AD"/>
    <w:rsid w:val="00F642BC"/>
    <w:rsid w:val="00F64760"/>
    <w:rsid w:val="00F6483B"/>
    <w:rsid w:val="00F64C2F"/>
    <w:rsid w:val="00F64E3D"/>
    <w:rsid w:val="00F65193"/>
    <w:rsid w:val="00F65229"/>
    <w:rsid w:val="00F653A2"/>
    <w:rsid w:val="00F653E4"/>
    <w:rsid w:val="00F6554D"/>
    <w:rsid w:val="00F6579B"/>
    <w:rsid w:val="00F65A68"/>
    <w:rsid w:val="00F65C57"/>
    <w:rsid w:val="00F65CBA"/>
    <w:rsid w:val="00F65ED4"/>
    <w:rsid w:val="00F66711"/>
    <w:rsid w:val="00F66739"/>
    <w:rsid w:val="00F6695F"/>
    <w:rsid w:val="00F66AD1"/>
    <w:rsid w:val="00F66AD2"/>
    <w:rsid w:val="00F66CF6"/>
    <w:rsid w:val="00F66D24"/>
    <w:rsid w:val="00F66F99"/>
    <w:rsid w:val="00F672E1"/>
    <w:rsid w:val="00F6737C"/>
    <w:rsid w:val="00F67519"/>
    <w:rsid w:val="00F677E8"/>
    <w:rsid w:val="00F67BD7"/>
    <w:rsid w:val="00F67DB9"/>
    <w:rsid w:val="00F709BA"/>
    <w:rsid w:val="00F71361"/>
    <w:rsid w:val="00F714A7"/>
    <w:rsid w:val="00F71507"/>
    <w:rsid w:val="00F7170A"/>
    <w:rsid w:val="00F717B8"/>
    <w:rsid w:val="00F718B1"/>
    <w:rsid w:val="00F71E09"/>
    <w:rsid w:val="00F720D0"/>
    <w:rsid w:val="00F7211E"/>
    <w:rsid w:val="00F723A7"/>
    <w:rsid w:val="00F724C4"/>
    <w:rsid w:val="00F72899"/>
    <w:rsid w:val="00F728F1"/>
    <w:rsid w:val="00F729CE"/>
    <w:rsid w:val="00F72E8D"/>
    <w:rsid w:val="00F72F2B"/>
    <w:rsid w:val="00F72FA7"/>
    <w:rsid w:val="00F73148"/>
    <w:rsid w:val="00F7385E"/>
    <w:rsid w:val="00F73B8D"/>
    <w:rsid w:val="00F73D7A"/>
    <w:rsid w:val="00F73DD6"/>
    <w:rsid w:val="00F73FCA"/>
    <w:rsid w:val="00F74441"/>
    <w:rsid w:val="00F74663"/>
    <w:rsid w:val="00F747CD"/>
    <w:rsid w:val="00F74C74"/>
    <w:rsid w:val="00F74D49"/>
    <w:rsid w:val="00F74D78"/>
    <w:rsid w:val="00F74FB5"/>
    <w:rsid w:val="00F7535C"/>
    <w:rsid w:val="00F75441"/>
    <w:rsid w:val="00F75444"/>
    <w:rsid w:val="00F75575"/>
    <w:rsid w:val="00F75646"/>
    <w:rsid w:val="00F75D12"/>
    <w:rsid w:val="00F760D8"/>
    <w:rsid w:val="00F762B1"/>
    <w:rsid w:val="00F76360"/>
    <w:rsid w:val="00F768BB"/>
    <w:rsid w:val="00F76EEC"/>
    <w:rsid w:val="00F7706F"/>
    <w:rsid w:val="00F773A9"/>
    <w:rsid w:val="00F77482"/>
    <w:rsid w:val="00F77548"/>
    <w:rsid w:val="00F77B07"/>
    <w:rsid w:val="00F8004E"/>
    <w:rsid w:val="00F800D1"/>
    <w:rsid w:val="00F801C5"/>
    <w:rsid w:val="00F803BD"/>
    <w:rsid w:val="00F806FD"/>
    <w:rsid w:val="00F80C9D"/>
    <w:rsid w:val="00F80CAB"/>
    <w:rsid w:val="00F80CE2"/>
    <w:rsid w:val="00F812C7"/>
    <w:rsid w:val="00F81538"/>
    <w:rsid w:val="00F815B5"/>
    <w:rsid w:val="00F8180C"/>
    <w:rsid w:val="00F81858"/>
    <w:rsid w:val="00F81CBC"/>
    <w:rsid w:val="00F81DDA"/>
    <w:rsid w:val="00F8207C"/>
    <w:rsid w:val="00F82106"/>
    <w:rsid w:val="00F82269"/>
    <w:rsid w:val="00F82285"/>
    <w:rsid w:val="00F82533"/>
    <w:rsid w:val="00F82815"/>
    <w:rsid w:val="00F82A6E"/>
    <w:rsid w:val="00F82AE3"/>
    <w:rsid w:val="00F82D69"/>
    <w:rsid w:val="00F82DEF"/>
    <w:rsid w:val="00F8334A"/>
    <w:rsid w:val="00F83CFF"/>
    <w:rsid w:val="00F83D2C"/>
    <w:rsid w:val="00F8402E"/>
    <w:rsid w:val="00F84254"/>
    <w:rsid w:val="00F84674"/>
    <w:rsid w:val="00F84983"/>
    <w:rsid w:val="00F84985"/>
    <w:rsid w:val="00F849BA"/>
    <w:rsid w:val="00F84C2B"/>
    <w:rsid w:val="00F84E49"/>
    <w:rsid w:val="00F84FAE"/>
    <w:rsid w:val="00F84FE9"/>
    <w:rsid w:val="00F8501A"/>
    <w:rsid w:val="00F852F4"/>
    <w:rsid w:val="00F8535D"/>
    <w:rsid w:val="00F853A6"/>
    <w:rsid w:val="00F85649"/>
    <w:rsid w:val="00F85654"/>
    <w:rsid w:val="00F85892"/>
    <w:rsid w:val="00F8591B"/>
    <w:rsid w:val="00F85AB3"/>
    <w:rsid w:val="00F85B09"/>
    <w:rsid w:val="00F85B4C"/>
    <w:rsid w:val="00F85DB0"/>
    <w:rsid w:val="00F86168"/>
    <w:rsid w:val="00F86928"/>
    <w:rsid w:val="00F8721C"/>
    <w:rsid w:val="00F87727"/>
    <w:rsid w:val="00F8791E"/>
    <w:rsid w:val="00F87D5D"/>
    <w:rsid w:val="00F87EFE"/>
    <w:rsid w:val="00F902B9"/>
    <w:rsid w:val="00F90576"/>
    <w:rsid w:val="00F907F5"/>
    <w:rsid w:val="00F909F4"/>
    <w:rsid w:val="00F90A6C"/>
    <w:rsid w:val="00F90C32"/>
    <w:rsid w:val="00F90C78"/>
    <w:rsid w:val="00F91305"/>
    <w:rsid w:val="00F9135E"/>
    <w:rsid w:val="00F916F3"/>
    <w:rsid w:val="00F9203C"/>
    <w:rsid w:val="00F923EA"/>
    <w:rsid w:val="00F9266E"/>
    <w:rsid w:val="00F92760"/>
    <w:rsid w:val="00F927DE"/>
    <w:rsid w:val="00F92AEE"/>
    <w:rsid w:val="00F93116"/>
    <w:rsid w:val="00F93951"/>
    <w:rsid w:val="00F93B83"/>
    <w:rsid w:val="00F93BFE"/>
    <w:rsid w:val="00F93F60"/>
    <w:rsid w:val="00F943C8"/>
    <w:rsid w:val="00F94450"/>
    <w:rsid w:val="00F9458A"/>
    <w:rsid w:val="00F9476A"/>
    <w:rsid w:val="00F948A2"/>
    <w:rsid w:val="00F94931"/>
    <w:rsid w:val="00F94967"/>
    <w:rsid w:val="00F94BF9"/>
    <w:rsid w:val="00F94C97"/>
    <w:rsid w:val="00F94CCB"/>
    <w:rsid w:val="00F94EE7"/>
    <w:rsid w:val="00F94F90"/>
    <w:rsid w:val="00F95CF5"/>
    <w:rsid w:val="00F95D93"/>
    <w:rsid w:val="00F95E30"/>
    <w:rsid w:val="00F95F2D"/>
    <w:rsid w:val="00F96042"/>
    <w:rsid w:val="00F9605B"/>
    <w:rsid w:val="00F9678B"/>
    <w:rsid w:val="00F968F8"/>
    <w:rsid w:val="00F96E0B"/>
    <w:rsid w:val="00F96E7C"/>
    <w:rsid w:val="00F970B5"/>
    <w:rsid w:val="00F9740B"/>
    <w:rsid w:val="00F97472"/>
    <w:rsid w:val="00F978DA"/>
    <w:rsid w:val="00F97C64"/>
    <w:rsid w:val="00F97E7F"/>
    <w:rsid w:val="00FA01D5"/>
    <w:rsid w:val="00FA02A7"/>
    <w:rsid w:val="00FA0393"/>
    <w:rsid w:val="00FA05EC"/>
    <w:rsid w:val="00FA07F0"/>
    <w:rsid w:val="00FA08F7"/>
    <w:rsid w:val="00FA094F"/>
    <w:rsid w:val="00FA0B9C"/>
    <w:rsid w:val="00FA0D22"/>
    <w:rsid w:val="00FA0EFB"/>
    <w:rsid w:val="00FA1072"/>
    <w:rsid w:val="00FA10C7"/>
    <w:rsid w:val="00FA114C"/>
    <w:rsid w:val="00FA17A4"/>
    <w:rsid w:val="00FA17F6"/>
    <w:rsid w:val="00FA1B18"/>
    <w:rsid w:val="00FA1C61"/>
    <w:rsid w:val="00FA2059"/>
    <w:rsid w:val="00FA2695"/>
    <w:rsid w:val="00FA2822"/>
    <w:rsid w:val="00FA2930"/>
    <w:rsid w:val="00FA2ECA"/>
    <w:rsid w:val="00FA2EF5"/>
    <w:rsid w:val="00FA2F7C"/>
    <w:rsid w:val="00FA3025"/>
    <w:rsid w:val="00FA33FA"/>
    <w:rsid w:val="00FA39AB"/>
    <w:rsid w:val="00FA3D1F"/>
    <w:rsid w:val="00FA3D37"/>
    <w:rsid w:val="00FA4246"/>
    <w:rsid w:val="00FA446D"/>
    <w:rsid w:val="00FA44C2"/>
    <w:rsid w:val="00FA4A6C"/>
    <w:rsid w:val="00FA5105"/>
    <w:rsid w:val="00FA54D0"/>
    <w:rsid w:val="00FA55B9"/>
    <w:rsid w:val="00FA57A6"/>
    <w:rsid w:val="00FA5C48"/>
    <w:rsid w:val="00FA61C4"/>
    <w:rsid w:val="00FA6BCB"/>
    <w:rsid w:val="00FA6D5B"/>
    <w:rsid w:val="00FA6EA9"/>
    <w:rsid w:val="00FA6F84"/>
    <w:rsid w:val="00FA731B"/>
    <w:rsid w:val="00FA731F"/>
    <w:rsid w:val="00FA7487"/>
    <w:rsid w:val="00FA75FE"/>
    <w:rsid w:val="00FA78BE"/>
    <w:rsid w:val="00FA7C89"/>
    <w:rsid w:val="00FA7D81"/>
    <w:rsid w:val="00FA7F75"/>
    <w:rsid w:val="00FB0011"/>
    <w:rsid w:val="00FB0044"/>
    <w:rsid w:val="00FB00DE"/>
    <w:rsid w:val="00FB01CB"/>
    <w:rsid w:val="00FB02F3"/>
    <w:rsid w:val="00FB0323"/>
    <w:rsid w:val="00FB064B"/>
    <w:rsid w:val="00FB088D"/>
    <w:rsid w:val="00FB0A56"/>
    <w:rsid w:val="00FB0DE9"/>
    <w:rsid w:val="00FB1152"/>
    <w:rsid w:val="00FB1823"/>
    <w:rsid w:val="00FB19AC"/>
    <w:rsid w:val="00FB1B21"/>
    <w:rsid w:val="00FB1C5B"/>
    <w:rsid w:val="00FB1D56"/>
    <w:rsid w:val="00FB1E8A"/>
    <w:rsid w:val="00FB1EE9"/>
    <w:rsid w:val="00FB209E"/>
    <w:rsid w:val="00FB20B7"/>
    <w:rsid w:val="00FB21AD"/>
    <w:rsid w:val="00FB228C"/>
    <w:rsid w:val="00FB27DB"/>
    <w:rsid w:val="00FB2801"/>
    <w:rsid w:val="00FB2B0C"/>
    <w:rsid w:val="00FB2B40"/>
    <w:rsid w:val="00FB2D33"/>
    <w:rsid w:val="00FB2DAE"/>
    <w:rsid w:val="00FB355E"/>
    <w:rsid w:val="00FB384E"/>
    <w:rsid w:val="00FB389C"/>
    <w:rsid w:val="00FB3A84"/>
    <w:rsid w:val="00FB3F21"/>
    <w:rsid w:val="00FB4482"/>
    <w:rsid w:val="00FB4528"/>
    <w:rsid w:val="00FB465F"/>
    <w:rsid w:val="00FB4765"/>
    <w:rsid w:val="00FB4D72"/>
    <w:rsid w:val="00FB4E1A"/>
    <w:rsid w:val="00FB50F6"/>
    <w:rsid w:val="00FB5305"/>
    <w:rsid w:val="00FB5400"/>
    <w:rsid w:val="00FB5592"/>
    <w:rsid w:val="00FB55B8"/>
    <w:rsid w:val="00FB5652"/>
    <w:rsid w:val="00FB5A30"/>
    <w:rsid w:val="00FB5E8E"/>
    <w:rsid w:val="00FB61E2"/>
    <w:rsid w:val="00FB6233"/>
    <w:rsid w:val="00FB6872"/>
    <w:rsid w:val="00FB6BF5"/>
    <w:rsid w:val="00FB6C0E"/>
    <w:rsid w:val="00FB6C4C"/>
    <w:rsid w:val="00FB6F16"/>
    <w:rsid w:val="00FB7244"/>
    <w:rsid w:val="00FB757D"/>
    <w:rsid w:val="00FB77FB"/>
    <w:rsid w:val="00FB77FF"/>
    <w:rsid w:val="00FB7CCF"/>
    <w:rsid w:val="00FB7DB2"/>
    <w:rsid w:val="00FC0346"/>
    <w:rsid w:val="00FC0499"/>
    <w:rsid w:val="00FC06FB"/>
    <w:rsid w:val="00FC080A"/>
    <w:rsid w:val="00FC105F"/>
    <w:rsid w:val="00FC133D"/>
    <w:rsid w:val="00FC14E2"/>
    <w:rsid w:val="00FC16E9"/>
    <w:rsid w:val="00FC190B"/>
    <w:rsid w:val="00FC199C"/>
    <w:rsid w:val="00FC1AEB"/>
    <w:rsid w:val="00FC23A2"/>
    <w:rsid w:val="00FC2928"/>
    <w:rsid w:val="00FC2B42"/>
    <w:rsid w:val="00FC2B76"/>
    <w:rsid w:val="00FC2CB7"/>
    <w:rsid w:val="00FC2E1A"/>
    <w:rsid w:val="00FC2FAF"/>
    <w:rsid w:val="00FC3023"/>
    <w:rsid w:val="00FC3242"/>
    <w:rsid w:val="00FC33F8"/>
    <w:rsid w:val="00FC344D"/>
    <w:rsid w:val="00FC37CE"/>
    <w:rsid w:val="00FC3A58"/>
    <w:rsid w:val="00FC3A7A"/>
    <w:rsid w:val="00FC3BD4"/>
    <w:rsid w:val="00FC457E"/>
    <w:rsid w:val="00FC48CA"/>
    <w:rsid w:val="00FC49CB"/>
    <w:rsid w:val="00FC49D1"/>
    <w:rsid w:val="00FC4D50"/>
    <w:rsid w:val="00FC4E10"/>
    <w:rsid w:val="00FC4FB6"/>
    <w:rsid w:val="00FC5245"/>
    <w:rsid w:val="00FC52D0"/>
    <w:rsid w:val="00FC548A"/>
    <w:rsid w:val="00FC55F9"/>
    <w:rsid w:val="00FC5AD4"/>
    <w:rsid w:val="00FC5CB7"/>
    <w:rsid w:val="00FC5F07"/>
    <w:rsid w:val="00FC5FBA"/>
    <w:rsid w:val="00FC613A"/>
    <w:rsid w:val="00FC623B"/>
    <w:rsid w:val="00FC626B"/>
    <w:rsid w:val="00FC63E0"/>
    <w:rsid w:val="00FC643A"/>
    <w:rsid w:val="00FC6562"/>
    <w:rsid w:val="00FC68A5"/>
    <w:rsid w:val="00FC6900"/>
    <w:rsid w:val="00FC6A48"/>
    <w:rsid w:val="00FC6B15"/>
    <w:rsid w:val="00FC6CD4"/>
    <w:rsid w:val="00FC6EF7"/>
    <w:rsid w:val="00FC726A"/>
    <w:rsid w:val="00FC7461"/>
    <w:rsid w:val="00FC77EB"/>
    <w:rsid w:val="00FC7833"/>
    <w:rsid w:val="00FC7946"/>
    <w:rsid w:val="00FC7AD0"/>
    <w:rsid w:val="00FC7C31"/>
    <w:rsid w:val="00FC7C5A"/>
    <w:rsid w:val="00FC7CE5"/>
    <w:rsid w:val="00FC7D11"/>
    <w:rsid w:val="00FD01A5"/>
    <w:rsid w:val="00FD02D2"/>
    <w:rsid w:val="00FD0422"/>
    <w:rsid w:val="00FD0B91"/>
    <w:rsid w:val="00FD0BA4"/>
    <w:rsid w:val="00FD0F69"/>
    <w:rsid w:val="00FD0FF6"/>
    <w:rsid w:val="00FD163B"/>
    <w:rsid w:val="00FD173F"/>
    <w:rsid w:val="00FD18FB"/>
    <w:rsid w:val="00FD1BE5"/>
    <w:rsid w:val="00FD1D22"/>
    <w:rsid w:val="00FD23F7"/>
    <w:rsid w:val="00FD240A"/>
    <w:rsid w:val="00FD2AB7"/>
    <w:rsid w:val="00FD2B05"/>
    <w:rsid w:val="00FD2D00"/>
    <w:rsid w:val="00FD323A"/>
    <w:rsid w:val="00FD3380"/>
    <w:rsid w:val="00FD3520"/>
    <w:rsid w:val="00FD3580"/>
    <w:rsid w:val="00FD36BD"/>
    <w:rsid w:val="00FD3878"/>
    <w:rsid w:val="00FD3927"/>
    <w:rsid w:val="00FD3B4A"/>
    <w:rsid w:val="00FD3D39"/>
    <w:rsid w:val="00FD3F28"/>
    <w:rsid w:val="00FD4287"/>
    <w:rsid w:val="00FD495A"/>
    <w:rsid w:val="00FD4C11"/>
    <w:rsid w:val="00FD50A0"/>
    <w:rsid w:val="00FD5253"/>
    <w:rsid w:val="00FD5345"/>
    <w:rsid w:val="00FD552A"/>
    <w:rsid w:val="00FD5805"/>
    <w:rsid w:val="00FD5886"/>
    <w:rsid w:val="00FD59BC"/>
    <w:rsid w:val="00FD5D31"/>
    <w:rsid w:val="00FD5D7D"/>
    <w:rsid w:val="00FD5E45"/>
    <w:rsid w:val="00FD61ED"/>
    <w:rsid w:val="00FD62E9"/>
    <w:rsid w:val="00FD6338"/>
    <w:rsid w:val="00FD6477"/>
    <w:rsid w:val="00FD69CA"/>
    <w:rsid w:val="00FD6F07"/>
    <w:rsid w:val="00FD7318"/>
    <w:rsid w:val="00FD73CF"/>
    <w:rsid w:val="00FD7405"/>
    <w:rsid w:val="00FD766C"/>
    <w:rsid w:val="00FD7AB5"/>
    <w:rsid w:val="00FD7AC5"/>
    <w:rsid w:val="00FD7BBD"/>
    <w:rsid w:val="00FE016F"/>
    <w:rsid w:val="00FE0320"/>
    <w:rsid w:val="00FE05DD"/>
    <w:rsid w:val="00FE0615"/>
    <w:rsid w:val="00FE0649"/>
    <w:rsid w:val="00FE0B63"/>
    <w:rsid w:val="00FE0C8E"/>
    <w:rsid w:val="00FE1006"/>
    <w:rsid w:val="00FE172E"/>
    <w:rsid w:val="00FE183F"/>
    <w:rsid w:val="00FE196A"/>
    <w:rsid w:val="00FE1B7C"/>
    <w:rsid w:val="00FE1C5A"/>
    <w:rsid w:val="00FE1CC3"/>
    <w:rsid w:val="00FE2237"/>
    <w:rsid w:val="00FE24CC"/>
    <w:rsid w:val="00FE25A4"/>
    <w:rsid w:val="00FE293A"/>
    <w:rsid w:val="00FE3024"/>
    <w:rsid w:val="00FE36BD"/>
    <w:rsid w:val="00FE3C6D"/>
    <w:rsid w:val="00FE41B0"/>
    <w:rsid w:val="00FE4328"/>
    <w:rsid w:val="00FE449E"/>
    <w:rsid w:val="00FE4562"/>
    <w:rsid w:val="00FE457D"/>
    <w:rsid w:val="00FE47BD"/>
    <w:rsid w:val="00FE4903"/>
    <w:rsid w:val="00FE4906"/>
    <w:rsid w:val="00FE491F"/>
    <w:rsid w:val="00FE49EF"/>
    <w:rsid w:val="00FE4B5A"/>
    <w:rsid w:val="00FE4CFB"/>
    <w:rsid w:val="00FE50BC"/>
    <w:rsid w:val="00FE558A"/>
    <w:rsid w:val="00FE5773"/>
    <w:rsid w:val="00FE5971"/>
    <w:rsid w:val="00FE5B48"/>
    <w:rsid w:val="00FE616C"/>
    <w:rsid w:val="00FE654A"/>
    <w:rsid w:val="00FE6643"/>
    <w:rsid w:val="00FE66FA"/>
    <w:rsid w:val="00FE6A05"/>
    <w:rsid w:val="00FE6D33"/>
    <w:rsid w:val="00FE6F1B"/>
    <w:rsid w:val="00FE7627"/>
    <w:rsid w:val="00FE768B"/>
    <w:rsid w:val="00FE7A9E"/>
    <w:rsid w:val="00FF01E9"/>
    <w:rsid w:val="00FF0340"/>
    <w:rsid w:val="00FF0594"/>
    <w:rsid w:val="00FF086F"/>
    <w:rsid w:val="00FF0BA1"/>
    <w:rsid w:val="00FF0E2F"/>
    <w:rsid w:val="00FF0F2B"/>
    <w:rsid w:val="00FF11F2"/>
    <w:rsid w:val="00FF1710"/>
    <w:rsid w:val="00FF1771"/>
    <w:rsid w:val="00FF198E"/>
    <w:rsid w:val="00FF1AFC"/>
    <w:rsid w:val="00FF1D9B"/>
    <w:rsid w:val="00FF1DFD"/>
    <w:rsid w:val="00FF1F22"/>
    <w:rsid w:val="00FF20FB"/>
    <w:rsid w:val="00FF22C1"/>
    <w:rsid w:val="00FF234D"/>
    <w:rsid w:val="00FF236C"/>
    <w:rsid w:val="00FF2818"/>
    <w:rsid w:val="00FF2F75"/>
    <w:rsid w:val="00FF322E"/>
    <w:rsid w:val="00FF37BF"/>
    <w:rsid w:val="00FF386C"/>
    <w:rsid w:val="00FF3A86"/>
    <w:rsid w:val="00FF3B0A"/>
    <w:rsid w:val="00FF456E"/>
    <w:rsid w:val="00FF47B1"/>
    <w:rsid w:val="00FF48F4"/>
    <w:rsid w:val="00FF4958"/>
    <w:rsid w:val="00FF49D3"/>
    <w:rsid w:val="00FF4A21"/>
    <w:rsid w:val="00FF4DF3"/>
    <w:rsid w:val="00FF4F2D"/>
    <w:rsid w:val="00FF5181"/>
    <w:rsid w:val="00FF53DC"/>
    <w:rsid w:val="00FF54CE"/>
    <w:rsid w:val="00FF560A"/>
    <w:rsid w:val="00FF592A"/>
    <w:rsid w:val="00FF6203"/>
    <w:rsid w:val="00FF6542"/>
    <w:rsid w:val="00FF65D5"/>
    <w:rsid w:val="00FF6731"/>
    <w:rsid w:val="00FF6A5B"/>
    <w:rsid w:val="00FF6A8F"/>
    <w:rsid w:val="00FF6A90"/>
    <w:rsid w:val="00FF6D7B"/>
    <w:rsid w:val="00FF7417"/>
    <w:rsid w:val="00FF75B7"/>
    <w:rsid w:val="00FF78EE"/>
    <w:rsid w:val="00FF7D8E"/>
    <w:rsid w:val="0101DECD"/>
    <w:rsid w:val="0104E0D8"/>
    <w:rsid w:val="012138DD"/>
    <w:rsid w:val="0125B74E"/>
    <w:rsid w:val="012DBD9C"/>
    <w:rsid w:val="01467578"/>
    <w:rsid w:val="0148A837"/>
    <w:rsid w:val="0150B473"/>
    <w:rsid w:val="016F8EC2"/>
    <w:rsid w:val="017446DF"/>
    <w:rsid w:val="0193EDC7"/>
    <w:rsid w:val="01A7C526"/>
    <w:rsid w:val="01A9F176"/>
    <w:rsid w:val="01B60552"/>
    <w:rsid w:val="01E33948"/>
    <w:rsid w:val="01E42C9E"/>
    <w:rsid w:val="01E76AA7"/>
    <w:rsid w:val="01ED2316"/>
    <w:rsid w:val="01EF41DB"/>
    <w:rsid w:val="01F8109C"/>
    <w:rsid w:val="0204D291"/>
    <w:rsid w:val="0224CA61"/>
    <w:rsid w:val="0231D537"/>
    <w:rsid w:val="024D1401"/>
    <w:rsid w:val="02511856"/>
    <w:rsid w:val="025AF2C2"/>
    <w:rsid w:val="02687025"/>
    <w:rsid w:val="02716473"/>
    <w:rsid w:val="0278CAFC"/>
    <w:rsid w:val="0280CC78"/>
    <w:rsid w:val="0290B67C"/>
    <w:rsid w:val="029514E8"/>
    <w:rsid w:val="02A753D5"/>
    <w:rsid w:val="02B06DFB"/>
    <w:rsid w:val="02B2F64B"/>
    <w:rsid w:val="02C369B7"/>
    <w:rsid w:val="02CB7D3E"/>
    <w:rsid w:val="02CE70E9"/>
    <w:rsid w:val="02D707A0"/>
    <w:rsid w:val="02F3CD88"/>
    <w:rsid w:val="030FEF48"/>
    <w:rsid w:val="03122CAD"/>
    <w:rsid w:val="03180EC2"/>
    <w:rsid w:val="0324FADF"/>
    <w:rsid w:val="0336F9CB"/>
    <w:rsid w:val="034341DE"/>
    <w:rsid w:val="034E636B"/>
    <w:rsid w:val="03651F76"/>
    <w:rsid w:val="03673AE7"/>
    <w:rsid w:val="037FC672"/>
    <w:rsid w:val="0389164F"/>
    <w:rsid w:val="03AAD0D4"/>
    <w:rsid w:val="03C2745A"/>
    <w:rsid w:val="03C8D2D5"/>
    <w:rsid w:val="03CBDE00"/>
    <w:rsid w:val="03CE0D8E"/>
    <w:rsid w:val="03CE5DA1"/>
    <w:rsid w:val="03D1A69E"/>
    <w:rsid w:val="03DAE1F5"/>
    <w:rsid w:val="03E532E3"/>
    <w:rsid w:val="03F51EFA"/>
    <w:rsid w:val="03F72EB9"/>
    <w:rsid w:val="03F988D1"/>
    <w:rsid w:val="040101E1"/>
    <w:rsid w:val="040527EA"/>
    <w:rsid w:val="04130C51"/>
    <w:rsid w:val="04141993"/>
    <w:rsid w:val="041924BB"/>
    <w:rsid w:val="042CD436"/>
    <w:rsid w:val="043E72BA"/>
    <w:rsid w:val="04413AD9"/>
    <w:rsid w:val="044F8291"/>
    <w:rsid w:val="045FDE04"/>
    <w:rsid w:val="04674047"/>
    <w:rsid w:val="046AFF55"/>
    <w:rsid w:val="046EC57E"/>
    <w:rsid w:val="0484AE96"/>
    <w:rsid w:val="048887A0"/>
    <w:rsid w:val="04A2C455"/>
    <w:rsid w:val="04B2CDFE"/>
    <w:rsid w:val="04B882E2"/>
    <w:rsid w:val="04BA7C1B"/>
    <w:rsid w:val="04C4AC84"/>
    <w:rsid w:val="04DC8DB3"/>
    <w:rsid w:val="04DE0E2B"/>
    <w:rsid w:val="04E594A0"/>
    <w:rsid w:val="04E5D64B"/>
    <w:rsid w:val="04E8DF4D"/>
    <w:rsid w:val="04FF5C38"/>
    <w:rsid w:val="052F1C08"/>
    <w:rsid w:val="05383BF7"/>
    <w:rsid w:val="054A93CC"/>
    <w:rsid w:val="054D5653"/>
    <w:rsid w:val="0557BF72"/>
    <w:rsid w:val="0563E9F1"/>
    <w:rsid w:val="05677E2D"/>
    <w:rsid w:val="056E8308"/>
    <w:rsid w:val="056E8A0D"/>
    <w:rsid w:val="0587F0F6"/>
    <w:rsid w:val="058B94A1"/>
    <w:rsid w:val="0597F3C7"/>
    <w:rsid w:val="059A03A1"/>
    <w:rsid w:val="059AAC8E"/>
    <w:rsid w:val="05AB92AB"/>
    <w:rsid w:val="05C334FC"/>
    <w:rsid w:val="05DDC950"/>
    <w:rsid w:val="05E74F95"/>
    <w:rsid w:val="05FFF622"/>
    <w:rsid w:val="0604197C"/>
    <w:rsid w:val="0616E175"/>
    <w:rsid w:val="061D9D28"/>
    <w:rsid w:val="0625E96E"/>
    <w:rsid w:val="0625EFD2"/>
    <w:rsid w:val="062982C8"/>
    <w:rsid w:val="06330952"/>
    <w:rsid w:val="0635D9E8"/>
    <w:rsid w:val="06480FE3"/>
    <w:rsid w:val="064F98D5"/>
    <w:rsid w:val="0654F7E3"/>
    <w:rsid w:val="065DF836"/>
    <w:rsid w:val="06654FC9"/>
    <w:rsid w:val="06798BB9"/>
    <w:rsid w:val="069BF48E"/>
    <w:rsid w:val="06B10AD5"/>
    <w:rsid w:val="06BCEDE4"/>
    <w:rsid w:val="06DBF443"/>
    <w:rsid w:val="06E77836"/>
    <w:rsid w:val="0716A4FE"/>
    <w:rsid w:val="0716BC73"/>
    <w:rsid w:val="0723C739"/>
    <w:rsid w:val="07410824"/>
    <w:rsid w:val="074667A0"/>
    <w:rsid w:val="074CF168"/>
    <w:rsid w:val="074E7AE3"/>
    <w:rsid w:val="077BB7F8"/>
    <w:rsid w:val="07918C59"/>
    <w:rsid w:val="079D42B0"/>
    <w:rsid w:val="07A3215F"/>
    <w:rsid w:val="07AFB542"/>
    <w:rsid w:val="07B33E4D"/>
    <w:rsid w:val="07D41391"/>
    <w:rsid w:val="07D549B5"/>
    <w:rsid w:val="07EA1761"/>
    <w:rsid w:val="07ED37EC"/>
    <w:rsid w:val="08306314"/>
    <w:rsid w:val="08366122"/>
    <w:rsid w:val="08483BA7"/>
    <w:rsid w:val="085BA6C6"/>
    <w:rsid w:val="085D9019"/>
    <w:rsid w:val="08642F15"/>
    <w:rsid w:val="08692123"/>
    <w:rsid w:val="08699335"/>
    <w:rsid w:val="0884A3E1"/>
    <w:rsid w:val="088FAC71"/>
    <w:rsid w:val="0898757C"/>
    <w:rsid w:val="08A1B22F"/>
    <w:rsid w:val="08A7495C"/>
    <w:rsid w:val="08B2A213"/>
    <w:rsid w:val="08BA8DCA"/>
    <w:rsid w:val="08C1FA33"/>
    <w:rsid w:val="08C91227"/>
    <w:rsid w:val="08D6C3FD"/>
    <w:rsid w:val="08DDBA08"/>
    <w:rsid w:val="08E55F87"/>
    <w:rsid w:val="08FDD9B1"/>
    <w:rsid w:val="08FE0B13"/>
    <w:rsid w:val="090FDD8B"/>
    <w:rsid w:val="091B5C29"/>
    <w:rsid w:val="09386CB5"/>
    <w:rsid w:val="0946999A"/>
    <w:rsid w:val="094C618E"/>
    <w:rsid w:val="094DB041"/>
    <w:rsid w:val="0959A47D"/>
    <w:rsid w:val="0960AB82"/>
    <w:rsid w:val="0964A22B"/>
    <w:rsid w:val="09670B33"/>
    <w:rsid w:val="0973596A"/>
    <w:rsid w:val="098ACC12"/>
    <w:rsid w:val="099732ED"/>
    <w:rsid w:val="099C4AC4"/>
    <w:rsid w:val="09A2CC97"/>
    <w:rsid w:val="09A4E521"/>
    <w:rsid w:val="09ADDE54"/>
    <w:rsid w:val="09BB4A3B"/>
    <w:rsid w:val="09BBA236"/>
    <w:rsid w:val="09D707AB"/>
    <w:rsid w:val="09DD6C9B"/>
    <w:rsid w:val="09ECE590"/>
    <w:rsid w:val="0A011E00"/>
    <w:rsid w:val="0A11E49A"/>
    <w:rsid w:val="0A140926"/>
    <w:rsid w:val="0A1B91A7"/>
    <w:rsid w:val="0A1BFFCC"/>
    <w:rsid w:val="0A2269AE"/>
    <w:rsid w:val="0A31DA81"/>
    <w:rsid w:val="0A3BD7C2"/>
    <w:rsid w:val="0A4F61C2"/>
    <w:rsid w:val="0A63A488"/>
    <w:rsid w:val="0A67224A"/>
    <w:rsid w:val="0A742FE4"/>
    <w:rsid w:val="0AA2EAB5"/>
    <w:rsid w:val="0AA93DF8"/>
    <w:rsid w:val="0AB774A4"/>
    <w:rsid w:val="0ABC7200"/>
    <w:rsid w:val="0AC74692"/>
    <w:rsid w:val="0AC7661F"/>
    <w:rsid w:val="0AC98446"/>
    <w:rsid w:val="0ADCACA1"/>
    <w:rsid w:val="0ADD2633"/>
    <w:rsid w:val="0AEA7DB0"/>
    <w:rsid w:val="0AF7B1C4"/>
    <w:rsid w:val="0B0109B8"/>
    <w:rsid w:val="0B140ADB"/>
    <w:rsid w:val="0B15E926"/>
    <w:rsid w:val="0B1A1E65"/>
    <w:rsid w:val="0B36A6EA"/>
    <w:rsid w:val="0B3D7A7A"/>
    <w:rsid w:val="0B3EABD7"/>
    <w:rsid w:val="0B481A27"/>
    <w:rsid w:val="0B48F96E"/>
    <w:rsid w:val="0B616EBA"/>
    <w:rsid w:val="0B6B1F70"/>
    <w:rsid w:val="0B6E473C"/>
    <w:rsid w:val="0B71CDAA"/>
    <w:rsid w:val="0B7EAD27"/>
    <w:rsid w:val="0B9C2A05"/>
    <w:rsid w:val="0BA0B408"/>
    <w:rsid w:val="0BA6AE92"/>
    <w:rsid w:val="0BCA9122"/>
    <w:rsid w:val="0BE3C83B"/>
    <w:rsid w:val="0C1E39E7"/>
    <w:rsid w:val="0C29B737"/>
    <w:rsid w:val="0C2D0201"/>
    <w:rsid w:val="0C347CE5"/>
    <w:rsid w:val="0C4307AB"/>
    <w:rsid w:val="0C45C58E"/>
    <w:rsid w:val="0C6245AA"/>
    <w:rsid w:val="0C7B82CF"/>
    <w:rsid w:val="0C8148AC"/>
    <w:rsid w:val="0C87EC24"/>
    <w:rsid w:val="0C8D987E"/>
    <w:rsid w:val="0C93CEA6"/>
    <w:rsid w:val="0C9D538B"/>
    <w:rsid w:val="0CA66BBC"/>
    <w:rsid w:val="0CB0902C"/>
    <w:rsid w:val="0CB81429"/>
    <w:rsid w:val="0CBA946E"/>
    <w:rsid w:val="0CCAE4D7"/>
    <w:rsid w:val="0CDF7D15"/>
    <w:rsid w:val="0CEC0ADB"/>
    <w:rsid w:val="0CF6184E"/>
    <w:rsid w:val="0CFB09B7"/>
    <w:rsid w:val="0D00E5BA"/>
    <w:rsid w:val="0D0111DE"/>
    <w:rsid w:val="0D0AE112"/>
    <w:rsid w:val="0D21C8D5"/>
    <w:rsid w:val="0D21E51F"/>
    <w:rsid w:val="0D3927B0"/>
    <w:rsid w:val="0D394364"/>
    <w:rsid w:val="0D394993"/>
    <w:rsid w:val="0D4573ED"/>
    <w:rsid w:val="0D477A84"/>
    <w:rsid w:val="0D58A380"/>
    <w:rsid w:val="0D5DDCF7"/>
    <w:rsid w:val="0D85323E"/>
    <w:rsid w:val="0D8A96E5"/>
    <w:rsid w:val="0D8C54FA"/>
    <w:rsid w:val="0D9A0A41"/>
    <w:rsid w:val="0D9DA8E7"/>
    <w:rsid w:val="0DA05540"/>
    <w:rsid w:val="0DB5793A"/>
    <w:rsid w:val="0DD563E3"/>
    <w:rsid w:val="0DF30CE0"/>
    <w:rsid w:val="0DF72B48"/>
    <w:rsid w:val="0E01F78E"/>
    <w:rsid w:val="0E109B53"/>
    <w:rsid w:val="0E151108"/>
    <w:rsid w:val="0E152F66"/>
    <w:rsid w:val="0E1A9701"/>
    <w:rsid w:val="0E253BB2"/>
    <w:rsid w:val="0E44558F"/>
    <w:rsid w:val="0E4AD112"/>
    <w:rsid w:val="0E5A31B0"/>
    <w:rsid w:val="0E6997BF"/>
    <w:rsid w:val="0E6FAA3C"/>
    <w:rsid w:val="0E703DD2"/>
    <w:rsid w:val="0E783C93"/>
    <w:rsid w:val="0E819D34"/>
    <w:rsid w:val="0E88C854"/>
    <w:rsid w:val="0EA1EC39"/>
    <w:rsid w:val="0EA58340"/>
    <w:rsid w:val="0ED5DFBA"/>
    <w:rsid w:val="0EE7D012"/>
    <w:rsid w:val="0EEA6ABF"/>
    <w:rsid w:val="0EF44777"/>
    <w:rsid w:val="0F2139E9"/>
    <w:rsid w:val="0F283C43"/>
    <w:rsid w:val="0F4FFD6D"/>
    <w:rsid w:val="0F6B0BE3"/>
    <w:rsid w:val="0F86DF07"/>
    <w:rsid w:val="0F8F1E46"/>
    <w:rsid w:val="0F95381A"/>
    <w:rsid w:val="0FA9231F"/>
    <w:rsid w:val="0FCE5108"/>
    <w:rsid w:val="0FD46482"/>
    <w:rsid w:val="0FE25ADD"/>
    <w:rsid w:val="0FF27533"/>
    <w:rsid w:val="1007E653"/>
    <w:rsid w:val="100AC2C2"/>
    <w:rsid w:val="100FE537"/>
    <w:rsid w:val="10176C2C"/>
    <w:rsid w:val="101DDACD"/>
    <w:rsid w:val="102710C6"/>
    <w:rsid w:val="1027D44C"/>
    <w:rsid w:val="103F98B0"/>
    <w:rsid w:val="1053CA9E"/>
    <w:rsid w:val="105AF97D"/>
    <w:rsid w:val="1060FBDD"/>
    <w:rsid w:val="106ED92B"/>
    <w:rsid w:val="107A672B"/>
    <w:rsid w:val="107A8616"/>
    <w:rsid w:val="10807F45"/>
    <w:rsid w:val="1089B6A9"/>
    <w:rsid w:val="1091D86A"/>
    <w:rsid w:val="1098C10E"/>
    <w:rsid w:val="109AD40A"/>
    <w:rsid w:val="10A0E9B2"/>
    <w:rsid w:val="10D4BAF0"/>
    <w:rsid w:val="10E0DC99"/>
    <w:rsid w:val="10F63B28"/>
    <w:rsid w:val="111BC3D3"/>
    <w:rsid w:val="1120205C"/>
    <w:rsid w:val="113497EB"/>
    <w:rsid w:val="11357C0C"/>
    <w:rsid w:val="113D7268"/>
    <w:rsid w:val="113D8F4C"/>
    <w:rsid w:val="114477A6"/>
    <w:rsid w:val="116CCCA4"/>
    <w:rsid w:val="11762709"/>
    <w:rsid w:val="119223AD"/>
    <w:rsid w:val="11ADD112"/>
    <w:rsid w:val="11CDA4E1"/>
    <w:rsid w:val="11D32436"/>
    <w:rsid w:val="11D778B9"/>
    <w:rsid w:val="11DB1050"/>
    <w:rsid w:val="11DB4392"/>
    <w:rsid w:val="11F2BD44"/>
    <w:rsid w:val="11F4A1DC"/>
    <w:rsid w:val="11F9BE90"/>
    <w:rsid w:val="120DFF55"/>
    <w:rsid w:val="1212C559"/>
    <w:rsid w:val="122269FF"/>
    <w:rsid w:val="122D18F2"/>
    <w:rsid w:val="12510637"/>
    <w:rsid w:val="1252060C"/>
    <w:rsid w:val="1253CE9E"/>
    <w:rsid w:val="1278A347"/>
    <w:rsid w:val="12800E60"/>
    <w:rsid w:val="12847399"/>
    <w:rsid w:val="12A2586B"/>
    <w:rsid w:val="12A908FB"/>
    <w:rsid w:val="12AD012A"/>
    <w:rsid w:val="12AD0783"/>
    <w:rsid w:val="12B16C61"/>
    <w:rsid w:val="12B1C800"/>
    <w:rsid w:val="12B9B5C4"/>
    <w:rsid w:val="12BF655E"/>
    <w:rsid w:val="12D6CB49"/>
    <w:rsid w:val="12F1D5E8"/>
    <w:rsid w:val="12F444AA"/>
    <w:rsid w:val="1302EEBF"/>
    <w:rsid w:val="1307148B"/>
    <w:rsid w:val="1312D1FB"/>
    <w:rsid w:val="13158D1A"/>
    <w:rsid w:val="13437202"/>
    <w:rsid w:val="1346E437"/>
    <w:rsid w:val="136AAA5A"/>
    <w:rsid w:val="1373058B"/>
    <w:rsid w:val="1373F991"/>
    <w:rsid w:val="1382E09C"/>
    <w:rsid w:val="13A1B490"/>
    <w:rsid w:val="13A57895"/>
    <w:rsid w:val="13A617E9"/>
    <w:rsid w:val="13B5312F"/>
    <w:rsid w:val="13C2C529"/>
    <w:rsid w:val="13D30FC3"/>
    <w:rsid w:val="140D3167"/>
    <w:rsid w:val="1415150A"/>
    <w:rsid w:val="141C9416"/>
    <w:rsid w:val="141DF31C"/>
    <w:rsid w:val="14200BF7"/>
    <w:rsid w:val="14290939"/>
    <w:rsid w:val="14304444"/>
    <w:rsid w:val="143CA924"/>
    <w:rsid w:val="144F5546"/>
    <w:rsid w:val="1461465C"/>
    <w:rsid w:val="14B47066"/>
    <w:rsid w:val="14C026E6"/>
    <w:rsid w:val="14C8E97A"/>
    <w:rsid w:val="14CF841A"/>
    <w:rsid w:val="14CFCC8F"/>
    <w:rsid w:val="14DE5D1F"/>
    <w:rsid w:val="14ED28C4"/>
    <w:rsid w:val="14EF756C"/>
    <w:rsid w:val="1516523E"/>
    <w:rsid w:val="1522BE65"/>
    <w:rsid w:val="153C509D"/>
    <w:rsid w:val="155EA471"/>
    <w:rsid w:val="156E38DA"/>
    <w:rsid w:val="1575C314"/>
    <w:rsid w:val="1582571D"/>
    <w:rsid w:val="15827704"/>
    <w:rsid w:val="15A3AD6B"/>
    <w:rsid w:val="15A9B356"/>
    <w:rsid w:val="15D4BC2F"/>
    <w:rsid w:val="15E4C2AE"/>
    <w:rsid w:val="15E5F379"/>
    <w:rsid w:val="15E65CC2"/>
    <w:rsid w:val="15E73871"/>
    <w:rsid w:val="15EC82CB"/>
    <w:rsid w:val="15EF0FAB"/>
    <w:rsid w:val="15F1E13A"/>
    <w:rsid w:val="15FD6FDF"/>
    <w:rsid w:val="16105F8D"/>
    <w:rsid w:val="161B4FCD"/>
    <w:rsid w:val="161D86B1"/>
    <w:rsid w:val="162B2AD5"/>
    <w:rsid w:val="165B2261"/>
    <w:rsid w:val="16635C4B"/>
    <w:rsid w:val="1676BF15"/>
    <w:rsid w:val="1676D7D3"/>
    <w:rsid w:val="168E5CD5"/>
    <w:rsid w:val="16B14373"/>
    <w:rsid w:val="16B51B92"/>
    <w:rsid w:val="16C03149"/>
    <w:rsid w:val="16F7F826"/>
    <w:rsid w:val="16FB0BEF"/>
    <w:rsid w:val="1705674C"/>
    <w:rsid w:val="171F80D5"/>
    <w:rsid w:val="17220277"/>
    <w:rsid w:val="17311E07"/>
    <w:rsid w:val="17668697"/>
    <w:rsid w:val="17702747"/>
    <w:rsid w:val="17B5EFFD"/>
    <w:rsid w:val="17B8BF08"/>
    <w:rsid w:val="17BA487A"/>
    <w:rsid w:val="17BD992E"/>
    <w:rsid w:val="17C7902F"/>
    <w:rsid w:val="17DEDCFB"/>
    <w:rsid w:val="17ED11BB"/>
    <w:rsid w:val="17F6EA36"/>
    <w:rsid w:val="1809E09C"/>
    <w:rsid w:val="18228512"/>
    <w:rsid w:val="1826CFE6"/>
    <w:rsid w:val="1832B128"/>
    <w:rsid w:val="1835650C"/>
    <w:rsid w:val="18366044"/>
    <w:rsid w:val="184A83E0"/>
    <w:rsid w:val="185DA824"/>
    <w:rsid w:val="18666EA8"/>
    <w:rsid w:val="1867C18F"/>
    <w:rsid w:val="18700386"/>
    <w:rsid w:val="18A7A9A4"/>
    <w:rsid w:val="18BD7E1A"/>
    <w:rsid w:val="18C094AB"/>
    <w:rsid w:val="18E0053F"/>
    <w:rsid w:val="18EE769C"/>
    <w:rsid w:val="190110F8"/>
    <w:rsid w:val="1928396B"/>
    <w:rsid w:val="1930B503"/>
    <w:rsid w:val="19316850"/>
    <w:rsid w:val="195685A4"/>
    <w:rsid w:val="195967E7"/>
    <w:rsid w:val="19731C8D"/>
    <w:rsid w:val="1995CDE2"/>
    <w:rsid w:val="19994C86"/>
    <w:rsid w:val="199DB26E"/>
    <w:rsid w:val="199E3907"/>
    <w:rsid w:val="19ACEB2F"/>
    <w:rsid w:val="19AF20F8"/>
    <w:rsid w:val="19B21F1B"/>
    <w:rsid w:val="19BB7A6E"/>
    <w:rsid w:val="19BDFFE5"/>
    <w:rsid w:val="19CF8FD5"/>
    <w:rsid w:val="19DECE8D"/>
    <w:rsid w:val="19EB93FB"/>
    <w:rsid w:val="19EF15E4"/>
    <w:rsid w:val="19FF897F"/>
    <w:rsid w:val="1A170760"/>
    <w:rsid w:val="1A263A7A"/>
    <w:rsid w:val="1A28EE62"/>
    <w:rsid w:val="1A2D5C09"/>
    <w:rsid w:val="1A3CBDDF"/>
    <w:rsid w:val="1A43CDDE"/>
    <w:rsid w:val="1A622875"/>
    <w:rsid w:val="1A63789F"/>
    <w:rsid w:val="1A662BBB"/>
    <w:rsid w:val="1A6805CC"/>
    <w:rsid w:val="1A8405F2"/>
    <w:rsid w:val="1A88CE0F"/>
    <w:rsid w:val="1A920B81"/>
    <w:rsid w:val="1A92A7D8"/>
    <w:rsid w:val="1AB85ECA"/>
    <w:rsid w:val="1ABAE1E2"/>
    <w:rsid w:val="1AD1E987"/>
    <w:rsid w:val="1AEBA9DC"/>
    <w:rsid w:val="1AFD0755"/>
    <w:rsid w:val="1B1235A5"/>
    <w:rsid w:val="1B1A0D14"/>
    <w:rsid w:val="1B332773"/>
    <w:rsid w:val="1B348FD2"/>
    <w:rsid w:val="1B432A6F"/>
    <w:rsid w:val="1B5577CA"/>
    <w:rsid w:val="1B59CC92"/>
    <w:rsid w:val="1B661377"/>
    <w:rsid w:val="1B7EB365"/>
    <w:rsid w:val="1B7F5767"/>
    <w:rsid w:val="1B86DF3D"/>
    <w:rsid w:val="1B8F2239"/>
    <w:rsid w:val="1B9A82B0"/>
    <w:rsid w:val="1BA81DBB"/>
    <w:rsid w:val="1BB429CD"/>
    <w:rsid w:val="1BC1B3DC"/>
    <w:rsid w:val="1BCB2A1F"/>
    <w:rsid w:val="1BCD846D"/>
    <w:rsid w:val="1BCF77E7"/>
    <w:rsid w:val="1BDE1425"/>
    <w:rsid w:val="1BF353E2"/>
    <w:rsid w:val="1BFE6434"/>
    <w:rsid w:val="1C053F2C"/>
    <w:rsid w:val="1C21DC57"/>
    <w:rsid w:val="1C3085B2"/>
    <w:rsid w:val="1C3EF66C"/>
    <w:rsid w:val="1C47B477"/>
    <w:rsid w:val="1C4958CA"/>
    <w:rsid w:val="1C4ED8C0"/>
    <w:rsid w:val="1C77FB0B"/>
    <w:rsid w:val="1C8D6763"/>
    <w:rsid w:val="1C9153EE"/>
    <w:rsid w:val="1C968336"/>
    <w:rsid w:val="1C99B9BA"/>
    <w:rsid w:val="1CAE39E7"/>
    <w:rsid w:val="1CB6B8AA"/>
    <w:rsid w:val="1CCCCCE6"/>
    <w:rsid w:val="1CEB3556"/>
    <w:rsid w:val="1CF17C09"/>
    <w:rsid w:val="1CFCB98D"/>
    <w:rsid w:val="1D008955"/>
    <w:rsid w:val="1D0C39B5"/>
    <w:rsid w:val="1D14E1F7"/>
    <w:rsid w:val="1D5C32EB"/>
    <w:rsid w:val="1D5DD742"/>
    <w:rsid w:val="1D935534"/>
    <w:rsid w:val="1D9E33B7"/>
    <w:rsid w:val="1DC2CC28"/>
    <w:rsid w:val="1DC75D29"/>
    <w:rsid w:val="1DD34682"/>
    <w:rsid w:val="1DF8DC70"/>
    <w:rsid w:val="1E0AE9DC"/>
    <w:rsid w:val="1E125B3C"/>
    <w:rsid w:val="1E24C234"/>
    <w:rsid w:val="1E32A43F"/>
    <w:rsid w:val="1E3B5F43"/>
    <w:rsid w:val="1E63C7A5"/>
    <w:rsid w:val="1E6445B1"/>
    <w:rsid w:val="1E6A105D"/>
    <w:rsid w:val="1E6BA6AB"/>
    <w:rsid w:val="1E80A389"/>
    <w:rsid w:val="1E8903B2"/>
    <w:rsid w:val="1E8B8CD9"/>
    <w:rsid w:val="1E931048"/>
    <w:rsid w:val="1E943254"/>
    <w:rsid w:val="1E94B8E9"/>
    <w:rsid w:val="1EE3E1A1"/>
    <w:rsid w:val="1EEA7D48"/>
    <w:rsid w:val="1EEB6EDA"/>
    <w:rsid w:val="1F00557F"/>
    <w:rsid w:val="1F22CAE0"/>
    <w:rsid w:val="1F3328E4"/>
    <w:rsid w:val="1F41DAD3"/>
    <w:rsid w:val="1F442960"/>
    <w:rsid w:val="1F5BA15E"/>
    <w:rsid w:val="1F5D9A49"/>
    <w:rsid w:val="1F736F28"/>
    <w:rsid w:val="1F795228"/>
    <w:rsid w:val="1F7C949B"/>
    <w:rsid w:val="1F90117D"/>
    <w:rsid w:val="1FAFAFC5"/>
    <w:rsid w:val="1FB27D65"/>
    <w:rsid w:val="1FB43DBE"/>
    <w:rsid w:val="1FBFD4B7"/>
    <w:rsid w:val="1FCE3947"/>
    <w:rsid w:val="1FE15393"/>
    <w:rsid w:val="1FECF69B"/>
    <w:rsid w:val="1FF99667"/>
    <w:rsid w:val="1FFCAE57"/>
    <w:rsid w:val="200FA3ED"/>
    <w:rsid w:val="2014018E"/>
    <w:rsid w:val="202A2BBE"/>
    <w:rsid w:val="202DC3A5"/>
    <w:rsid w:val="2031A1CC"/>
    <w:rsid w:val="204A6D14"/>
    <w:rsid w:val="205FADBB"/>
    <w:rsid w:val="2097D0EF"/>
    <w:rsid w:val="209C41A2"/>
    <w:rsid w:val="20A988ED"/>
    <w:rsid w:val="20B96B4B"/>
    <w:rsid w:val="20E32888"/>
    <w:rsid w:val="20E36D0F"/>
    <w:rsid w:val="20EF0FFB"/>
    <w:rsid w:val="20F21660"/>
    <w:rsid w:val="20F2ACC4"/>
    <w:rsid w:val="20FCA4C0"/>
    <w:rsid w:val="210E3018"/>
    <w:rsid w:val="211095A1"/>
    <w:rsid w:val="211327F0"/>
    <w:rsid w:val="214F8DBE"/>
    <w:rsid w:val="215996CA"/>
    <w:rsid w:val="21784ECE"/>
    <w:rsid w:val="218D7695"/>
    <w:rsid w:val="2197A715"/>
    <w:rsid w:val="21A8A49A"/>
    <w:rsid w:val="21A8D2C8"/>
    <w:rsid w:val="21AA5D85"/>
    <w:rsid w:val="21AA7D1A"/>
    <w:rsid w:val="21AB4234"/>
    <w:rsid w:val="21B84349"/>
    <w:rsid w:val="21C5CC8E"/>
    <w:rsid w:val="21CA8B0D"/>
    <w:rsid w:val="21CE52F9"/>
    <w:rsid w:val="21D6F579"/>
    <w:rsid w:val="21DEF005"/>
    <w:rsid w:val="21E7F948"/>
    <w:rsid w:val="21F4D873"/>
    <w:rsid w:val="220754E8"/>
    <w:rsid w:val="221B175C"/>
    <w:rsid w:val="2221216E"/>
    <w:rsid w:val="22273B75"/>
    <w:rsid w:val="222C4873"/>
    <w:rsid w:val="22409A5C"/>
    <w:rsid w:val="22449873"/>
    <w:rsid w:val="2246F44F"/>
    <w:rsid w:val="228CC035"/>
    <w:rsid w:val="229D1723"/>
    <w:rsid w:val="22ABA000"/>
    <w:rsid w:val="22BDA370"/>
    <w:rsid w:val="22C95AB1"/>
    <w:rsid w:val="22D2DD6D"/>
    <w:rsid w:val="22DE8153"/>
    <w:rsid w:val="22E337A7"/>
    <w:rsid w:val="22E878B8"/>
    <w:rsid w:val="22EEB604"/>
    <w:rsid w:val="22F50776"/>
    <w:rsid w:val="230D1528"/>
    <w:rsid w:val="231BB806"/>
    <w:rsid w:val="2321FEA1"/>
    <w:rsid w:val="2337BACF"/>
    <w:rsid w:val="2339C3AE"/>
    <w:rsid w:val="236D0B16"/>
    <w:rsid w:val="237BB868"/>
    <w:rsid w:val="23A8920C"/>
    <w:rsid w:val="23B36EF8"/>
    <w:rsid w:val="23B77253"/>
    <w:rsid w:val="23C5A192"/>
    <w:rsid w:val="23C6EF7D"/>
    <w:rsid w:val="23C7D2A6"/>
    <w:rsid w:val="23CBC731"/>
    <w:rsid w:val="23D17AFF"/>
    <w:rsid w:val="240B06D2"/>
    <w:rsid w:val="24186D84"/>
    <w:rsid w:val="241BF8B5"/>
    <w:rsid w:val="24275269"/>
    <w:rsid w:val="243B1BB7"/>
    <w:rsid w:val="244BEE8E"/>
    <w:rsid w:val="24618B76"/>
    <w:rsid w:val="24755F95"/>
    <w:rsid w:val="247DA3B5"/>
    <w:rsid w:val="24850011"/>
    <w:rsid w:val="24910361"/>
    <w:rsid w:val="2499C1F7"/>
    <w:rsid w:val="24A0AFA1"/>
    <w:rsid w:val="24A136A8"/>
    <w:rsid w:val="24A45F42"/>
    <w:rsid w:val="24AD1486"/>
    <w:rsid w:val="24B5AED9"/>
    <w:rsid w:val="24BBFB7F"/>
    <w:rsid w:val="24C50588"/>
    <w:rsid w:val="24CA7773"/>
    <w:rsid w:val="24D8397F"/>
    <w:rsid w:val="24ED8CB8"/>
    <w:rsid w:val="24FBD8B0"/>
    <w:rsid w:val="2513F288"/>
    <w:rsid w:val="2528A20E"/>
    <w:rsid w:val="25329466"/>
    <w:rsid w:val="2542F5EF"/>
    <w:rsid w:val="2543CDC1"/>
    <w:rsid w:val="25590951"/>
    <w:rsid w:val="256914F8"/>
    <w:rsid w:val="25A0E9FF"/>
    <w:rsid w:val="25A4CF6C"/>
    <w:rsid w:val="25AA3875"/>
    <w:rsid w:val="25E0B3D6"/>
    <w:rsid w:val="25E5418A"/>
    <w:rsid w:val="25E6BBC6"/>
    <w:rsid w:val="25FC0705"/>
    <w:rsid w:val="2606C13F"/>
    <w:rsid w:val="26084A77"/>
    <w:rsid w:val="26096CD1"/>
    <w:rsid w:val="2618F1EA"/>
    <w:rsid w:val="26236C9B"/>
    <w:rsid w:val="264FFB7D"/>
    <w:rsid w:val="26590C75"/>
    <w:rsid w:val="265AEE8F"/>
    <w:rsid w:val="265B57AF"/>
    <w:rsid w:val="268F0F0C"/>
    <w:rsid w:val="26A150C2"/>
    <w:rsid w:val="26ACA8FC"/>
    <w:rsid w:val="26B7F6E3"/>
    <w:rsid w:val="26E1830D"/>
    <w:rsid w:val="26E4A94C"/>
    <w:rsid w:val="26ED96EF"/>
    <w:rsid w:val="26F84C93"/>
    <w:rsid w:val="26FECC71"/>
    <w:rsid w:val="271FDC8C"/>
    <w:rsid w:val="27235D53"/>
    <w:rsid w:val="272FB251"/>
    <w:rsid w:val="2735D8B4"/>
    <w:rsid w:val="274EC158"/>
    <w:rsid w:val="2754F754"/>
    <w:rsid w:val="275F8245"/>
    <w:rsid w:val="276551B2"/>
    <w:rsid w:val="278BD098"/>
    <w:rsid w:val="2798E16D"/>
    <w:rsid w:val="27B12EB6"/>
    <w:rsid w:val="27BA20AA"/>
    <w:rsid w:val="27BE60CC"/>
    <w:rsid w:val="27C999CD"/>
    <w:rsid w:val="27D9AA3E"/>
    <w:rsid w:val="27E04715"/>
    <w:rsid w:val="27E4A0DD"/>
    <w:rsid w:val="27F105FC"/>
    <w:rsid w:val="2805B55D"/>
    <w:rsid w:val="281ABF43"/>
    <w:rsid w:val="282E54B5"/>
    <w:rsid w:val="2830D46B"/>
    <w:rsid w:val="28331294"/>
    <w:rsid w:val="28471971"/>
    <w:rsid w:val="284A2879"/>
    <w:rsid w:val="285BF446"/>
    <w:rsid w:val="2861DA64"/>
    <w:rsid w:val="286338BF"/>
    <w:rsid w:val="288013BA"/>
    <w:rsid w:val="28995CAA"/>
    <w:rsid w:val="289B3A46"/>
    <w:rsid w:val="28B1E179"/>
    <w:rsid w:val="28C01BD3"/>
    <w:rsid w:val="28DE5D46"/>
    <w:rsid w:val="28E39B5F"/>
    <w:rsid w:val="28F326C1"/>
    <w:rsid w:val="28FE6E21"/>
    <w:rsid w:val="28FF6460"/>
    <w:rsid w:val="291645F1"/>
    <w:rsid w:val="2925E4E5"/>
    <w:rsid w:val="2939DD7F"/>
    <w:rsid w:val="294CD972"/>
    <w:rsid w:val="294EF1CF"/>
    <w:rsid w:val="296AF937"/>
    <w:rsid w:val="298D6AFA"/>
    <w:rsid w:val="298E045A"/>
    <w:rsid w:val="29924968"/>
    <w:rsid w:val="2998339F"/>
    <w:rsid w:val="299D381D"/>
    <w:rsid w:val="29AEBBF5"/>
    <w:rsid w:val="29AFDB32"/>
    <w:rsid w:val="29B94AE8"/>
    <w:rsid w:val="29BE332D"/>
    <w:rsid w:val="29C99046"/>
    <w:rsid w:val="29E2C388"/>
    <w:rsid w:val="29F131FB"/>
    <w:rsid w:val="2A0CDC8F"/>
    <w:rsid w:val="2A2498A6"/>
    <w:rsid w:val="2A271CF7"/>
    <w:rsid w:val="2A300B96"/>
    <w:rsid w:val="2A44D856"/>
    <w:rsid w:val="2A45DD6A"/>
    <w:rsid w:val="2A603AE5"/>
    <w:rsid w:val="2A660B0B"/>
    <w:rsid w:val="2A6A204C"/>
    <w:rsid w:val="2A6CD2D9"/>
    <w:rsid w:val="2A73D4AA"/>
    <w:rsid w:val="2A7A4544"/>
    <w:rsid w:val="2A85F51F"/>
    <w:rsid w:val="2A8B8857"/>
    <w:rsid w:val="2AA1F0B8"/>
    <w:rsid w:val="2AB0E1B5"/>
    <w:rsid w:val="2ABACD84"/>
    <w:rsid w:val="2ACE173A"/>
    <w:rsid w:val="2AF34C3A"/>
    <w:rsid w:val="2AFDA602"/>
    <w:rsid w:val="2B0E7466"/>
    <w:rsid w:val="2B0F8158"/>
    <w:rsid w:val="2B2A6211"/>
    <w:rsid w:val="2B2D9B2F"/>
    <w:rsid w:val="2B314D16"/>
    <w:rsid w:val="2B422515"/>
    <w:rsid w:val="2B50AAE8"/>
    <w:rsid w:val="2B575369"/>
    <w:rsid w:val="2B5DD25D"/>
    <w:rsid w:val="2B6880C7"/>
    <w:rsid w:val="2B721404"/>
    <w:rsid w:val="2B75FBAA"/>
    <w:rsid w:val="2B812E24"/>
    <w:rsid w:val="2B86F1A6"/>
    <w:rsid w:val="2BA16485"/>
    <w:rsid w:val="2BAB7600"/>
    <w:rsid w:val="2BB4B46B"/>
    <w:rsid w:val="2BB80360"/>
    <w:rsid w:val="2BBF82D2"/>
    <w:rsid w:val="2BCACA95"/>
    <w:rsid w:val="2BCDF90F"/>
    <w:rsid w:val="2BD28C87"/>
    <w:rsid w:val="2BD59E5D"/>
    <w:rsid w:val="2BE6B2FA"/>
    <w:rsid w:val="2BF3B04C"/>
    <w:rsid w:val="2BFAF524"/>
    <w:rsid w:val="2BFD8756"/>
    <w:rsid w:val="2BFECD1C"/>
    <w:rsid w:val="2C052D0F"/>
    <w:rsid w:val="2C05A1D5"/>
    <w:rsid w:val="2C07CAD4"/>
    <w:rsid w:val="2C11C98B"/>
    <w:rsid w:val="2C20D233"/>
    <w:rsid w:val="2C26E088"/>
    <w:rsid w:val="2C2CA326"/>
    <w:rsid w:val="2C30C237"/>
    <w:rsid w:val="2C30E7E8"/>
    <w:rsid w:val="2C3497FA"/>
    <w:rsid w:val="2C498620"/>
    <w:rsid w:val="2C571186"/>
    <w:rsid w:val="2C6EB123"/>
    <w:rsid w:val="2C70CB1A"/>
    <w:rsid w:val="2C727F27"/>
    <w:rsid w:val="2C7FD7A9"/>
    <w:rsid w:val="2C8E1812"/>
    <w:rsid w:val="2C95366E"/>
    <w:rsid w:val="2CAC4021"/>
    <w:rsid w:val="2CB31708"/>
    <w:rsid w:val="2CC320D9"/>
    <w:rsid w:val="2CF8D3B5"/>
    <w:rsid w:val="2D0CEB22"/>
    <w:rsid w:val="2D0EA0F3"/>
    <w:rsid w:val="2D14CA31"/>
    <w:rsid w:val="2D26B5B3"/>
    <w:rsid w:val="2D3FDA28"/>
    <w:rsid w:val="2D603944"/>
    <w:rsid w:val="2D754415"/>
    <w:rsid w:val="2D77B30A"/>
    <w:rsid w:val="2D805511"/>
    <w:rsid w:val="2D83453B"/>
    <w:rsid w:val="2D8E9C78"/>
    <w:rsid w:val="2D917797"/>
    <w:rsid w:val="2DB3B893"/>
    <w:rsid w:val="2DBB86CF"/>
    <w:rsid w:val="2DC56F02"/>
    <w:rsid w:val="2DE38889"/>
    <w:rsid w:val="2DE75C81"/>
    <w:rsid w:val="2DEF6528"/>
    <w:rsid w:val="2DFADEA2"/>
    <w:rsid w:val="2E08BC0B"/>
    <w:rsid w:val="2E0E839F"/>
    <w:rsid w:val="2E16C1F8"/>
    <w:rsid w:val="2E17BA4F"/>
    <w:rsid w:val="2E1A4F0E"/>
    <w:rsid w:val="2E2C2827"/>
    <w:rsid w:val="2E2EA636"/>
    <w:rsid w:val="2E3500AA"/>
    <w:rsid w:val="2E3DF8E8"/>
    <w:rsid w:val="2E495685"/>
    <w:rsid w:val="2E5CE00D"/>
    <w:rsid w:val="2E80FDAA"/>
    <w:rsid w:val="2E94305C"/>
    <w:rsid w:val="2E948703"/>
    <w:rsid w:val="2E989303"/>
    <w:rsid w:val="2EC3C455"/>
    <w:rsid w:val="2F51B491"/>
    <w:rsid w:val="2F53BDFB"/>
    <w:rsid w:val="2F6F075C"/>
    <w:rsid w:val="2F8514C1"/>
    <w:rsid w:val="2F87C757"/>
    <w:rsid w:val="2F8C17AC"/>
    <w:rsid w:val="2F942184"/>
    <w:rsid w:val="2F9CFE81"/>
    <w:rsid w:val="2F9DCE7F"/>
    <w:rsid w:val="2FA92BF9"/>
    <w:rsid w:val="2FAD04A9"/>
    <w:rsid w:val="2FB931BA"/>
    <w:rsid w:val="2FD05F84"/>
    <w:rsid w:val="2FFD0A31"/>
    <w:rsid w:val="2FFFDC85"/>
    <w:rsid w:val="300D8798"/>
    <w:rsid w:val="301999CF"/>
    <w:rsid w:val="30284D06"/>
    <w:rsid w:val="30493905"/>
    <w:rsid w:val="3051D254"/>
    <w:rsid w:val="305EAB20"/>
    <w:rsid w:val="3091F8F1"/>
    <w:rsid w:val="30934437"/>
    <w:rsid w:val="30A2EC24"/>
    <w:rsid w:val="30A46A4F"/>
    <w:rsid w:val="30A7A9F9"/>
    <w:rsid w:val="30A9D2D0"/>
    <w:rsid w:val="30BF13F0"/>
    <w:rsid w:val="30BF3148"/>
    <w:rsid w:val="30C59D51"/>
    <w:rsid w:val="30E6D6B1"/>
    <w:rsid w:val="3102C64F"/>
    <w:rsid w:val="3107FC50"/>
    <w:rsid w:val="312F8198"/>
    <w:rsid w:val="3139609B"/>
    <w:rsid w:val="3143CDFD"/>
    <w:rsid w:val="31766AAA"/>
    <w:rsid w:val="317873D7"/>
    <w:rsid w:val="31789B3F"/>
    <w:rsid w:val="317FA6B6"/>
    <w:rsid w:val="3184382B"/>
    <w:rsid w:val="3191CE06"/>
    <w:rsid w:val="31A0C56E"/>
    <w:rsid w:val="31B0A06B"/>
    <w:rsid w:val="31B7BA37"/>
    <w:rsid w:val="31B9F2A9"/>
    <w:rsid w:val="31D2C578"/>
    <w:rsid w:val="31D73813"/>
    <w:rsid w:val="31D923A1"/>
    <w:rsid w:val="31DB1383"/>
    <w:rsid w:val="321C29EC"/>
    <w:rsid w:val="321EFF8E"/>
    <w:rsid w:val="3227B874"/>
    <w:rsid w:val="32394F00"/>
    <w:rsid w:val="32467D25"/>
    <w:rsid w:val="325035B9"/>
    <w:rsid w:val="326F8936"/>
    <w:rsid w:val="3276407E"/>
    <w:rsid w:val="3279B890"/>
    <w:rsid w:val="327FAB3B"/>
    <w:rsid w:val="3280E5C7"/>
    <w:rsid w:val="328F8B5E"/>
    <w:rsid w:val="3293AEAB"/>
    <w:rsid w:val="32AFFE7E"/>
    <w:rsid w:val="32B5C4EF"/>
    <w:rsid w:val="32BF14CB"/>
    <w:rsid w:val="32FC34BF"/>
    <w:rsid w:val="331A91B3"/>
    <w:rsid w:val="33237308"/>
    <w:rsid w:val="3338081F"/>
    <w:rsid w:val="335932E3"/>
    <w:rsid w:val="335EEE37"/>
    <w:rsid w:val="335F7772"/>
    <w:rsid w:val="33665CB6"/>
    <w:rsid w:val="336B1F5E"/>
    <w:rsid w:val="33700FA9"/>
    <w:rsid w:val="33781614"/>
    <w:rsid w:val="338142CF"/>
    <w:rsid w:val="33879B3E"/>
    <w:rsid w:val="33908CF7"/>
    <w:rsid w:val="33A36899"/>
    <w:rsid w:val="33AB98FE"/>
    <w:rsid w:val="33B9DD5F"/>
    <w:rsid w:val="33D5D69D"/>
    <w:rsid w:val="33EFD90D"/>
    <w:rsid w:val="3404D26C"/>
    <w:rsid w:val="340A1597"/>
    <w:rsid w:val="3411C170"/>
    <w:rsid w:val="3412FD3D"/>
    <w:rsid w:val="3419D0FF"/>
    <w:rsid w:val="342AC5D9"/>
    <w:rsid w:val="342C7FD2"/>
    <w:rsid w:val="34636F09"/>
    <w:rsid w:val="34704EB9"/>
    <w:rsid w:val="3494F399"/>
    <w:rsid w:val="349EF1CA"/>
    <w:rsid w:val="34A4B5DB"/>
    <w:rsid w:val="34ABE367"/>
    <w:rsid w:val="34B1B905"/>
    <w:rsid w:val="34BCC32A"/>
    <w:rsid w:val="34C7CC21"/>
    <w:rsid w:val="34D3DC47"/>
    <w:rsid w:val="34DD0E41"/>
    <w:rsid w:val="34E3D717"/>
    <w:rsid w:val="34F141BC"/>
    <w:rsid w:val="34F9174B"/>
    <w:rsid w:val="350458C0"/>
    <w:rsid w:val="350B4D5E"/>
    <w:rsid w:val="350D423F"/>
    <w:rsid w:val="351C993D"/>
    <w:rsid w:val="35360550"/>
    <w:rsid w:val="35404DA4"/>
    <w:rsid w:val="354C4490"/>
    <w:rsid w:val="3551B5F0"/>
    <w:rsid w:val="35534191"/>
    <w:rsid w:val="356D078A"/>
    <w:rsid w:val="35704F16"/>
    <w:rsid w:val="35768C65"/>
    <w:rsid w:val="35778C52"/>
    <w:rsid w:val="3592B4AD"/>
    <w:rsid w:val="359B3ED9"/>
    <w:rsid w:val="35A2FD4D"/>
    <w:rsid w:val="35A4CFE7"/>
    <w:rsid w:val="35A61852"/>
    <w:rsid w:val="35B24497"/>
    <w:rsid w:val="35C175B6"/>
    <w:rsid w:val="35C31468"/>
    <w:rsid w:val="35DF7A54"/>
    <w:rsid w:val="35F06064"/>
    <w:rsid w:val="36066A7E"/>
    <w:rsid w:val="3609AF3A"/>
    <w:rsid w:val="360E12A0"/>
    <w:rsid w:val="360F6381"/>
    <w:rsid w:val="361B6892"/>
    <w:rsid w:val="36293882"/>
    <w:rsid w:val="3645E981"/>
    <w:rsid w:val="36513E0C"/>
    <w:rsid w:val="3664D53F"/>
    <w:rsid w:val="36788D5F"/>
    <w:rsid w:val="3698588E"/>
    <w:rsid w:val="369C2F73"/>
    <w:rsid w:val="36A65B29"/>
    <w:rsid w:val="36AF0631"/>
    <w:rsid w:val="36CC736B"/>
    <w:rsid w:val="36DCB12D"/>
    <w:rsid w:val="36E48973"/>
    <w:rsid w:val="36EBAF20"/>
    <w:rsid w:val="37030C51"/>
    <w:rsid w:val="37038E7A"/>
    <w:rsid w:val="371AB0F4"/>
    <w:rsid w:val="372A8815"/>
    <w:rsid w:val="372F8F7F"/>
    <w:rsid w:val="372FA04D"/>
    <w:rsid w:val="374BCCCB"/>
    <w:rsid w:val="3755AFC6"/>
    <w:rsid w:val="375C6A46"/>
    <w:rsid w:val="375CE18F"/>
    <w:rsid w:val="3767BC6F"/>
    <w:rsid w:val="37689991"/>
    <w:rsid w:val="376C04F5"/>
    <w:rsid w:val="37766DCC"/>
    <w:rsid w:val="377770C5"/>
    <w:rsid w:val="378733D5"/>
    <w:rsid w:val="37A1686D"/>
    <w:rsid w:val="37A8FC9A"/>
    <w:rsid w:val="37B30BD1"/>
    <w:rsid w:val="37B31679"/>
    <w:rsid w:val="37BF6857"/>
    <w:rsid w:val="37CF0A89"/>
    <w:rsid w:val="37DBBCD9"/>
    <w:rsid w:val="37DE449B"/>
    <w:rsid w:val="37E2D01C"/>
    <w:rsid w:val="37E92FAB"/>
    <w:rsid w:val="37EF668F"/>
    <w:rsid w:val="38038777"/>
    <w:rsid w:val="38060368"/>
    <w:rsid w:val="3808D288"/>
    <w:rsid w:val="380EA047"/>
    <w:rsid w:val="380F1347"/>
    <w:rsid w:val="38242E9F"/>
    <w:rsid w:val="383A1C84"/>
    <w:rsid w:val="3843B085"/>
    <w:rsid w:val="3847F9BA"/>
    <w:rsid w:val="384C52FF"/>
    <w:rsid w:val="3850367E"/>
    <w:rsid w:val="38542552"/>
    <w:rsid w:val="3856F829"/>
    <w:rsid w:val="385A80BB"/>
    <w:rsid w:val="387E91F7"/>
    <w:rsid w:val="38894171"/>
    <w:rsid w:val="388A802B"/>
    <w:rsid w:val="3897AC4D"/>
    <w:rsid w:val="38AB4E54"/>
    <w:rsid w:val="38B40179"/>
    <w:rsid w:val="38C0F638"/>
    <w:rsid w:val="38C489BA"/>
    <w:rsid w:val="38E2F8DF"/>
    <w:rsid w:val="38E5B677"/>
    <w:rsid w:val="38F966BC"/>
    <w:rsid w:val="3900413B"/>
    <w:rsid w:val="39020DCC"/>
    <w:rsid w:val="391730C9"/>
    <w:rsid w:val="39192E4F"/>
    <w:rsid w:val="3919E4B5"/>
    <w:rsid w:val="3942B704"/>
    <w:rsid w:val="39436FE8"/>
    <w:rsid w:val="39627DE2"/>
    <w:rsid w:val="396A8732"/>
    <w:rsid w:val="3973EF32"/>
    <w:rsid w:val="399C4C5E"/>
    <w:rsid w:val="39B5D274"/>
    <w:rsid w:val="39B78108"/>
    <w:rsid w:val="39BE537C"/>
    <w:rsid w:val="39C51211"/>
    <w:rsid w:val="39CF935C"/>
    <w:rsid w:val="39D2BAED"/>
    <w:rsid w:val="39E56245"/>
    <w:rsid w:val="39F51510"/>
    <w:rsid w:val="3A0A7E5A"/>
    <w:rsid w:val="3A0F43EC"/>
    <w:rsid w:val="3A11CFD5"/>
    <w:rsid w:val="3A1D690C"/>
    <w:rsid w:val="3A351AE0"/>
    <w:rsid w:val="3A397DD7"/>
    <w:rsid w:val="3A3C0F9B"/>
    <w:rsid w:val="3A5291E2"/>
    <w:rsid w:val="3A62A9E5"/>
    <w:rsid w:val="3A6758BD"/>
    <w:rsid w:val="3A6A0ADF"/>
    <w:rsid w:val="3A73D440"/>
    <w:rsid w:val="3A8EE77A"/>
    <w:rsid w:val="3AA04103"/>
    <w:rsid w:val="3AA0E3E2"/>
    <w:rsid w:val="3AAE410F"/>
    <w:rsid w:val="3ADD4144"/>
    <w:rsid w:val="3AE2AC98"/>
    <w:rsid w:val="3AEBF4A9"/>
    <w:rsid w:val="3AF95396"/>
    <w:rsid w:val="3AF9DFEC"/>
    <w:rsid w:val="3AFC3907"/>
    <w:rsid w:val="3B0679D3"/>
    <w:rsid w:val="3B131FDC"/>
    <w:rsid w:val="3B1E4697"/>
    <w:rsid w:val="3B24EE9C"/>
    <w:rsid w:val="3B2F7AC8"/>
    <w:rsid w:val="3B325E92"/>
    <w:rsid w:val="3B4B056A"/>
    <w:rsid w:val="3B5E370D"/>
    <w:rsid w:val="3B6C3C13"/>
    <w:rsid w:val="3B740F9C"/>
    <w:rsid w:val="3B76432E"/>
    <w:rsid w:val="3B847B83"/>
    <w:rsid w:val="3BBCA5C6"/>
    <w:rsid w:val="3BC7710E"/>
    <w:rsid w:val="3BFBC890"/>
    <w:rsid w:val="3BFD1F31"/>
    <w:rsid w:val="3C0E1B7A"/>
    <w:rsid w:val="3C24DF3B"/>
    <w:rsid w:val="3C2C1423"/>
    <w:rsid w:val="3C33ECBB"/>
    <w:rsid w:val="3C41780C"/>
    <w:rsid w:val="3C4B727D"/>
    <w:rsid w:val="3C4E8EF8"/>
    <w:rsid w:val="3C6C7972"/>
    <w:rsid w:val="3C731C99"/>
    <w:rsid w:val="3C75BEC2"/>
    <w:rsid w:val="3CAE0B3E"/>
    <w:rsid w:val="3CB518F9"/>
    <w:rsid w:val="3CB63703"/>
    <w:rsid w:val="3CBA4A37"/>
    <w:rsid w:val="3CBFB10F"/>
    <w:rsid w:val="3CC4B1A0"/>
    <w:rsid w:val="3CD134E7"/>
    <w:rsid w:val="3CD1ED70"/>
    <w:rsid w:val="3CD643CC"/>
    <w:rsid w:val="3D30A1FD"/>
    <w:rsid w:val="3D34CBD4"/>
    <w:rsid w:val="3D3C3FBB"/>
    <w:rsid w:val="3D3E6038"/>
    <w:rsid w:val="3D4D0BF7"/>
    <w:rsid w:val="3D563EFA"/>
    <w:rsid w:val="3D58043A"/>
    <w:rsid w:val="3D5C6748"/>
    <w:rsid w:val="3D6214E1"/>
    <w:rsid w:val="3D625FC5"/>
    <w:rsid w:val="3D6406D9"/>
    <w:rsid w:val="3D7369B1"/>
    <w:rsid w:val="3D759B61"/>
    <w:rsid w:val="3D7D380B"/>
    <w:rsid w:val="3D941316"/>
    <w:rsid w:val="3D95F76D"/>
    <w:rsid w:val="3DA03168"/>
    <w:rsid w:val="3DA67375"/>
    <w:rsid w:val="3DB32557"/>
    <w:rsid w:val="3DB612C5"/>
    <w:rsid w:val="3DB8767F"/>
    <w:rsid w:val="3DBA7769"/>
    <w:rsid w:val="3DC118D9"/>
    <w:rsid w:val="3DC1C1E4"/>
    <w:rsid w:val="3DD7F310"/>
    <w:rsid w:val="3DDB208C"/>
    <w:rsid w:val="3DDD15D2"/>
    <w:rsid w:val="3DE3DA69"/>
    <w:rsid w:val="3DF14ECB"/>
    <w:rsid w:val="3E0C5072"/>
    <w:rsid w:val="3E22B46B"/>
    <w:rsid w:val="3E33CCFD"/>
    <w:rsid w:val="3E3B48B9"/>
    <w:rsid w:val="3E3BB135"/>
    <w:rsid w:val="3E464B54"/>
    <w:rsid w:val="3E52249E"/>
    <w:rsid w:val="3E5334E4"/>
    <w:rsid w:val="3E55F544"/>
    <w:rsid w:val="3E9BE3F5"/>
    <w:rsid w:val="3EA0BB9D"/>
    <w:rsid w:val="3EAF9ABB"/>
    <w:rsid w:val="3EB246FA"/>
    <w:rsid w:val="3EBC281F"/>
    <w:rsid w:val="3EC38647"/>
    <w:rsid w:val="3EE709BE"/>
    <w:rsid w:val="3EE90E40"/>
    <w:rsid w:val="3F088385"/>
    <w:rsid w:val="3F1800D3"/>
    <w:rsid w:val="3F2FF795"/>
    <w:rsid w:val="3F36AFCB"/>
    <w:rsid w:val="3F4B3790"/>
    <w:rsid w:val="3F56AF30"/>
    <w:rsid w:val="3F832D62"/>
    <w:rsid w:val="3F868E82"/>
    <w:rsid w:val="3F86DAC9"/>
    <w:rsid w:val="3F8D03A2"/>
    <w:rsid w:val="3F99A176"/>
    <w:rsid w:val="3FB1FC51"/>
    <w:rsid w:val="3FBC306D"/>
    <w:rsid w:val="3FBE3A33"/>
    <w:rsid w:val="3FC42E6C"/>
    <w:rsid w:val="3FC528F0"/>
    <w:rsid w:val="3FDC0321"/>
    <w:rsid w:val="3FF8A8ED"/>
    <w:rsid w:val="3FFE9A14"/>
    <w:rsid w:val="40086EA0"/>
    <w:rsid w:val="403A3023"/>
    <w:rsid w:val="40459AD3"/>
    <w:rsid w:val="4063A327"/>
    <w:rsid w:val="407470A9"/>
    <w:rsid w:val="407B9F70"/>
    <w:rsid w:val="40B04E68"/>
    <w:rsid w:val="40B56F09"/>
    <w:rsid w:val="40BFFD2C"/>
    <w:rsid w:val="40C079D0"/>
    <w:rsid w:val="40C4DFFD"/>
    <w:rsid w:val="40F78667"/>
    <w:rsid w:val="41013CE2"/>
    <w:rsid w:val="4102E4E9"/>
    <w:rsid w:val="41057128"/>
    <w:rsid w:val="410B052A"/>
    <w:rsid w:val="411C285E"/>
    <w:rsid w:val="412492E4"/>
    <w:rsid w:val="4131B2B2"/>
    <w:rsid w:val="41386EEE"/>
    <w:rsid w:val="4138CEAC"/>
    <w:rsid w:val="4143361A"/>
    <w:rsid w:val="414C51F0"/>
    <w:rsid w:val="41636C5A"/>
    <w:rsid w:val="416D2466"/>
    <w:rsid w:val="417FC4AF"/>
    <w:rsid w:val="4182290B"/>
    <w:rsid w:val="418CE5F1"/>
    <w:rsid w:val="41A74936"/>
    <w:rsid w:val="41B9E965"/>
    <w:rsid w:val="41D0CC70"/>
    <w:rsid w:val="41DA4B40"/>
    <w:rsid w:val="41F18F38"/>
    <w:rsid w:val="41F2E6F7"/>
    <w:rsid w:val="41FE3446"/>
    <w:rsid w:val="421BBA59"/>
    <w:rsid w:val="422D9D68"/>
    <w:rsid w:val="42489B9F"/>
    <w:rsid w:val="425F28AB"/>
    <w:rsid w:val="4273D4D3"/>
    <w:rsid w:val="42871A75"/>
    <w:rsid w:val="428D3443"/>
    <w:rsid w:val="429381B8"/>
    <w:rsid w:val="429CB13E"/>
    <w:rsid w:val="42A5E204"/>
    <w:rsid w:val="42E359EE"/>
    <w:rsid w:val="42E8F556"/>
    <w:rsid w:val="42F95B13"/>
    <w:rsid w:val="42FF2A38"/>
    <w:rsid w:val="43196828"/>
    <w:rsid w:val="4321563F"/>
    <w:rsid w:val="432D5CB1"/>
    <w:rsid w:val="433FF0C2"/>
    <w:rsid w:val="434B71BC"/>
    <w:rsid w:val="43507DD3"/>
    <w:rsid w:val="436C9052"/>
    <w:rsid w:val="4372E1F4"/>
    <w:rsid w:val="437541B0"/>
    <w:rsid w:val="43816E16"/>
    <w:rsid w:val="4383A299"/>
    <w:rsid w:val="438B09B7"/>
    <w:rsid w:val="439C1187"/>
    <w:rsid w:val="43A30018"/>
    <w:rsid w:val="43A66B7D"/>
    <w:rsid w:val="43AEA703"/>
    <w:rsid w:val="43B3FF39"/>
    <w:rsid w:val="43CC8408"/>
    <w:rsid w:val="43CF60FB"/>
    <w:rsid w:val="43EE984F"/>
    <w:rsid w:val="43FDEAC8"/>
    <w:rsid w:val="441C6BAC"/>
    <w:rsid w:val="44229E2C"/>
    <w:rsid w:val="44315651"/>
    <w:rsid w:val="4438518F"/>
    <w:rsid w:val="4467F146"/>
    <w:rsid w:val="448AE631"/>
    <w:rsid w:val="448C4F2B"/>
    <w:rsid w:val="44998BE0"/>
    <w:rsid w:val="449A5B11"/>
    <w:rsid w:val="44AAD460"/>
    <w:rsid w:val="44ABBC7D"/>
    <w:rsid w:val="44AD0DB9"/>
    <w:rsid w:val="44B18AD3"/>
    <w:rsid w:val="44B7FCE9"/>
    <w:rsid w:val="44F91998"/>
    <w:rsid w:val="4510B639"/>
    <w:rsid w:val="451BBE7C"/>
    <w:rsid w:val="4529BACE"/>
    <w:rsid w:val="453D2B81"/>
    <w:rsid w:val="4542E753"/>
    <w:rsid w:val="455966C3"/>
    <w:rsid w:val="455AAD12"/>
    <w:rsid w:val="455EC3E9"/>
    <w:rsid w:val="456B10E4"/>
    <w:rsid w:val="45742E3F"/>
    <w:rsid w:val="4576B301"/>
    <w:rsid w:val="457AEE70"/>
    <w:rsid w:val="457C63B9"/>
    <w:rsid w:val="457F065B"/>
    <w:rsid w:val="4588D1D9"/>
    <w:rsid w:val="458BB9C6"/>
    <w:rsid w:val="45CF8F89"/>
    <w:rsid w:val="45E6236D"/>
    <w:rsid w:val="45E8D55D"/>
    <w:rsid w:val="45F9E27B"/>
    <w:rsid w:val="4609CCB0"/>
    <w:rsid w:val="461EDB03"/>
    <w:rsid w:val="4625C15F"/>
    <w:rsid w:val="462CBE68"/>
    <w:rsid w:val="46397573"/>
    <w:rsid w:val="46450582"/>
    <w:rsid w:val="464B08CB"/>
    <w:rsid w:val="4675EAE7"/>
    <w:rsid w:val="468EECFD"/>
    <w:rsid w:val="4695A566"/>
    <w:rsid w:val="469D1ABF"/>
    <w:rsid w:val="46A194DC"/>
    <w:rsid w:val="46E07269"/>
    <w:rsid w:val="46EACF97"/>
    <w:rsid w:val="46EE344E"/>
    <w:rsid w:val="46F32D1B"/>
    <w:rsid w:val="4712E4F7"/>
    <w:rsid w:val="471C7A87"/>
    <w:rsid w:val="471E156E"/>
    <w:rsid w:val="47464FB6"/>
    <w:rsid w:val="4752808B"/>
    <w:rsid w:val="47545292"/>
    <w:rsid w:val="47585AB1"/>
    <w:rsid w:val="477A84E9"/>
    <w:rsid w:val="4794787F"/>
    <w:rsid w:val="47A0FC02"/>
    <w:rsid w:val="47CAF0DF"/>
    <w:rsid w:val="47CC6BB6"/>
    <w:rsid w:val="47D24069"/>
    <w:rsid w:val="47DA0570"/>
    <w:rsid w:val="47DE90CB"/>
    <w:rsid w:val="480483C1"/>
    <w:rsid w:val="4835B3E4"/>
    <w:rsid w:val="483AF476"/>
    <w:rsid w:val="4852E8C3"/>
    <w:rsid w:val="485DC6B2"/>
    <w:rsid w:val="4861E5C1"/>
    <w:rsid w:val="48832AA3"/>
    <w:rsid w:val="488A914A"/>
    <w:rsid w:val="488F2839"/>
    <w:rsid w:val="4898DF32"/>
    <w:rsid w:val="48A06561"/>
    <w:rsid w:val="48A3CF59"/>
    <w:rsid w:val="48A43B4A"/>
    <w:rsid w:val="48A8B2DF"/>
    <w:rsid w:val="48AFD602"/>
    <w:rsid w:val="48BD2AC6"/>
    <w:rsid w:val="48C238DE"/>
    <w:rsid w:val="48CC5C9E"/>
    <w:rsid w:val="48E1BB75"/>
    <w:rsid w:val="48F40E95"/>
    <w:rsid w:val="48F41686"/>
    <w:rsid w:val="48FDFBBE"/>
    <w:rsid w:val="4922E7FF"/>
    <w:rsid w:val="493EF55E"/>
    <w:rsid w:val="494E1BA4"/>
    <w:rsid w:val="4951AF52"/>
    <w:rsid w:val="4956D2C2"/>
    <w:rsid w:val="49635494"/>
    <w:rsid w:val="497B2803"/>
    <w:rsid w:val="4987EFB8"/>
    <w:rsid w:val="49A89549"/>
    <w:rsid w:val="49AC4E61"/>
    <w:rsid w:val="49AD0D9F"/>
    <w:rsid w:val="49C4947B"/>
    <w:rsid w:val="49C5BBE9"/>
    <w:rsid w:val="49DAD4CD"/>
    <w:rsid w:val="49DB4218"/>
    <w:rsid w:val="49EB77F2"/>
    <w:rsid w:val="49EC6039"/>
    <w:rsid w:val="49F13FE6"/>
    <w:rsid w:val="49F27980"/>
    <w:rsid w:val="49F6625F"/>
    <w:rsid w:val="4A0176D1"/>
    <w:rsid w:val="4A259B08"/>
    <w:rsid w:val="4A2B46CE"/>
    <w:rsid w:val="4A412662"/>
    <w:rsid w:val="4A4B5D0E"/>
    <w:rsid w:val="4A4F9E50"/>
    <w:rsid w:val="4A5AAA00"/>
    <w:rsid w:val="4A86BD7B"/>
    <w:rsid w:val="4AAF76F7"/>
    <w:rsid w:val="4AB87C54"/>
    <w:rsid w:val="4AD00216"/>
    <w:rsid w:val="4AE660E7"/>
    <w:rsid w:val="4AEA5BB0"/>
    <w:rsid w:val="4B09B91B"/>
    <w:rsid w:val="4B3E1291"/>
    <w:rsid w:val="4B44B6A6"/>
    <w:rsid w:val="4B550258"/>
    <w:rsid w:val="4B55735F"/>
    <w:rsid w:val="4B6338FE"/>
    <w:rsid w:val="4B6C8EE2"/>
    <w:rsid w:val="4B740325"/>
    <w:rsid w:val="4B74ABAC"/>
    <w:rsid w:val="4B877DE6"/>
    <w:rsid w:val="4B96857B"/>
    <w:rsid w:val="4BC53776"/>
    <w:rsid w:val="4BE0EAF8"/>
    <w:rsid w:val="4BF4EF75"/>
    <w:rsid w:val="4C018E97"/>
    <w:rsid w:val="4C04C5CB"/>
    <w:rsid w:val="4C08513D"/>
    <w:rsid w:val="4C17CDC6"/>
    <w:rsid w:val="4C33492C"/>
    <w:rsid w:val="4C3973CD"/>
    <w:rsid w:val="4C54780D"/>
    <w:rsid w:val="4C6639C6"/>
    <w:rsid w:val="4C6F33C9"/>
    <w:rsid w:val="4C794C66"/>
    <w:rsid w:val="4C967783"/>
    <w:rsid w:val="4C9C1924"/>
    <w:rsid w:val="4CA20D4A"/>
    <w:rsid w:val="4CA745D2"/>
    <w:rsid w:val="4CA7934B"/>
    <w:rsid w:val="4CB55FEA"/>
    <w:rsid w:val="4CC00F74"/>
    <w:rsid w:val="4CC0174C"/>
    <w:rsid w:val="4CC368D8"/>
    <w:rsid w:val="4CCE6759"/>
    <w:rsid w:val="4CD7B3D9"/>
    <w:rsid w:val="4CDBE21A"/>
    <w:rsid w:val="4CDC5AA9"/>
    <w:rsid w:val="4CF3C3E3"/>
    <w:rsid w:val="4D0748B0"/>
    <w:rsid w:val="4D186ED1"/>
    <w:rsid w:val="4D23094B"/>
    <w:rsid w:val="4D23A416"/>
    <w:rsid w:val="4D7B1D8E"/>
    <w:rsid w:val="4D8542AD"/>
    <w:rsid w:val="4DB4954D"/>
    <w:rsid w:val="4DB4A6EF"/>
    <w:rsid w:val="4DB670FC"/>
    <w:rsid w:val="4DBE10A6"/>
    <w:rsid w:val="4DE9A57B"/>
    <w:rsid w:val="4DF3B9BC"/>
    <w:rsid w:val="4DF90AE7"/>
    <w:rsid w:val="4DFD54B4"/>
    <w:rsid w:val="4E047F78"/>
    <w:rsid w:val="4E0C5A6E"/>
    <w:rsid w:val="4E1BE007"/>
    <w:rsid w:val="4E27FF66"/>
    <w:rsid w:val="4E2CD87D"/>
    <w:rsid w:val="4E32E613"/>
    <w:rsid w:val="4E3427D6"/>
    <w:rsid w:val="4E41981E"/>
    <w:rsid w:val="4E46D31D"/>
    <w:rsid w:val="4E4853E9"/>
    <w:rsid w:val="4E51EFA6"/>
    <w:rsid w:val="4E716B96"/>
    <w:rsid w:val="4E73FE50"/>
    <w:rsid w:val="4E7761BE"/>
    <w:rsid w:val="4E83F582"/>
    <w:rsid w:val="4EAB5E02"/>
    <w:rsid w:val="4ED40233"/>
    <w:rsid w:val="4EE4A5EA"/>
    <w:rsid w:val="4EF81B4E"/>
    <w:rsid w:val="4F021AD9"/>
    <w:rsid w:val="4F0CE274"/>
    <w:rsid w:val="4F13DA62"/>
    <w:rsid w:val="4F251C28"/>
    <w:rsid w:val="4F2BB2A3"/>
    <w:rsid w:val="4F2C7F9A"/>
    <w:rsid w:val="4F32EE00"/>
    <w:rsid w:val="4F4588FA"/>
    <w:rsid w:val="4F572798"/>
    <w:rsid w:val="4F604A55"/>
    <w:rsid w:val="4F6B5F2F"/>
    <w:rsid w:val="4F9AEED2"/>
    <w:rsid w:val="4FBF4121"/>
    <w:rsid w:val="4FC8CC7D"/>
    <w:rsid w:val="4FC96DAB"/>
    <w:rsid w:val="4FC9B5D8"/>
    <w:rsid w:val="4FD76F99"/>
    <w:rsid w:val="4FDCCD66"/>
    <w:rsid w:val="4FF2A0B7"/>
    <w:rsid w:val="500E5A87"/>
    <w:rsid w:val="5010BEA8"/>
    <w:rsid w:val="5015ABFC"/>
    <w:rsid w:val="502C013E"/>
    <w:rsid w:val="50395BA8"/>
    <w:rsid w:val="50472481"/>
    <w:rsid w:val="505BB2FC"/>
    <w:rsid w:val="50646DE5"/>
    <w:rsid w:val="50684EFE"/>
    <w:rsid w:val="506C92FF"/>
    <w:rsid w:val="5072AB2C"/>
    <w:rsid w:val="507AC0B0"/>
    <w:rsid w:val="507DBEE1"/>
    <w:rsid w:val="508C2457"/>
    <w:rsid w:val="509012DE"/>
    <w:rsid w:val="50954132"/>
    <w:rsid w:val="509E033E"/>
    <w:rsid w:val="50A325E2"/>
    <w:rsid w:val="50AB446D"/>
    <w:rsid w:val="50B49DA2"/>
    <w:rsid w:val="50C2846F"/>
    <w:rsid w:val="50C4E04F"/>
    <w:rsid w:val="50C5A60D"/>
    <w:rsid w:val="50E9A53C"/>
    <w:rsid w:val="50FBD318"/>
    <w:rsid w:val="5102E792"/>
    <w:rsid w:val="5108C900"/>
    <w:rsid w:val="510AAA25"/>
    <w:rsid w:val="510E9380"/>
    <w:rsid w:val="5123C3D0"/>
    <w:rsid w:val="51452F4F"/>
    <w:rsid w:val="514FE682"/>
    <w:rsid w:val="51752B05"/>
    <w:rsid w:val="517AACC1"/>
    <w:rsid w:val="5181D930"/>
    <w:rsid w:val="519B2C50"/>
    <w:rsid w:val="519D6AA0"/>
    <w:rsid w:val="51AD187A"/>
    <w:rsid w:val="51C65894"/>
    <w:rsid w:val="51C8FE94"/>
    <w:rsid w:val="51CE4C30"/>
    <w:rsid w:val="51E2715B"/>
    <w:rsid w:val="51EF47E2"/>
    <w:rsid w:val="51F81C60"/>
    <w:rsid w:val="51F9CC16"/>
    <w:rsid w:val="520023AD"/>
    <w:rsid w:val="52302382"/>
    <w:rsid w:val="52318B63"/>
    <w:rsid w:val="5247D102"/>
    <w:rsid w:val="52540620"/>
    <w:rsid w:val="52599C7A"/>
    <w:rsid w:val="525A582B"/>
    <w:rsid w:val="527AA9F8"/>
    <w:rsid w:val="527ACF0B"/>
    <w:rsid w:val="529F6E0D"/>
    <w:rsid w:val="52B1CFB0"/>
    <w:rsid w:val="52B4470A"/>
    <w:rsid w:val="52BADE6D"/>
    <w:rsid w:val="52C66DDB"/>
    <w:rsid w:val="52CCCD6A"/>
    <w:rsid w:val="52CE5E54"/>
    <w:rsid w:val="52DCC9C5"/>
    <w:rsid w:val="52EEAD2F"/>
    <w:rsid w:val="52FBB832"/>
    <w:rsid w:val="52FC4D2A"/>
    <w:rsid w:val="53141CCA"/>
    <w:rsid w:val="53174E02"/>
    <w:rsid w:val="5319ED69"/>
    <w:rsid w:val="531B1837"/>
    <w:rsid w:val="531DA0B9"/>
    <w:rsid w:val="531FFF17"/>
    <w:rsid w:val="53295B7C"/>
    <w:rsid w:val="534E91CE"/>
    <w:rsid w:val="535FC5B0"/>
    <w:rsid w:val="5366E2F6"/>
    <w:rsid w:val="5376CC6C"/>
    <w:rsid w:val="53865709"/>
    <w:rsid w:val="5386BE7A"/>
    <w:rsid w:val="538AE995"/>
    <w:rsid w:val="53975403"/>
    <w:rsid w:val="53AA8CB5"/>
    <w:rsid w:val="53B2028F"/>
    <w:rsid w:val="53CADBFF"/>
    <w:rsid w:val="53DA5CA3"/>
    <w:rsid w:val="53DCC63D"/>
    <w:rsid w:val="53E7ABCC"/>
    <w:rsid w:val="53E7E783"/>
    <w:rsid w:val="53FAD1CD"/>
    <w:rsid w:val="54034DD3"/>
    <w:rsid w:val="544C18BA"/>
    <w:rsid w:val="544DC443"/>
    <w:rsid w:val="545CFC44"/>
    <w:rsid w:val="545F5E08"/>
    <w:rsid w:val="5469FFC4"/>
    <w:rsid w:val="547E9C6C"/>
    <w:rsid w:val="5484218C"/>
    <w:rsid w:val="54A603DF"/>
    <w:rsid w:val="54CBE6E3"/>
    <w:rsid w:val="54D1E55E"/>
    <w:rsid w:val="54F0DC4F"/>
    <w:rsid w:val="55050857"/>
    <w:rsid w:val="55175FF7"/>
    <w:rsid w:val="551B0782"/>
    <w:rsid w:val="552E134A"/>
    <w:rsid w:val="55407345"/>
    <w:rsid w:val="5544DA81"/>
    <w:rsid w:val="555DDE8A"/>
    <w:rsid w:val="5562CBD9"/>
    <w:rsid w:val="556C7E12"/>
    <w:rsid w:val="557F6F1B"/>
    <w:rsid w:val="558D6220"/>
    <w:rsid w:val="55904CAA"/>
    <w:rsid w:val="55A4A6B2"/>
    <w:rsid w:val="55ABB417"/>
    <w:rsid w:val="55B2FD73"/>
    <w:rsid w:val="55B61A43"/>
    <w:rsid w:val="55B91A38"/>
    <w:rsid w:val="55C0D9DD"/>
    <w:rsid w:val="55EEBF8C"/>
    <w:rsid w:val="55EF560C"/>
    <w:rsid w:val="55F6EA56"/>
    <w:rsid w:val="56169E42"/>
    <w:rsid w:val="561C5BEB"/>
    <w:rsid w:val="56368A22"/>
    <w:rsid w:val="56427688"/>
    <w:rsid w:val="5651502E"/>
    <w:rsid w:val="5666A20E"/>
    <w:rsid w:val="567287FF"/>
    <w:rsid w:val="567C5B5D"/>
    <w:rsid w:val="568DF8FB"/>
    <w:rsid w:val="568E5A52"/>
    <w:rsid w:val="569C18F3"/>
    <w:rsid w:val="56A647A4"/>
    <w:rsid w:val="56AA9021"/>
    <w:rsid w:val="56D16031"/>
    <w:rsid w:val="56E1B037"/>
    <w:rsid w:val="56FAEED9"/>
    <w:rsid w:val="570CB946"/>
    <w:rsid w:val="5712316F"/>
    <w:rsid w:val="57155EB1"/>
    <w:rsid w:val="5733CD49"/>
    <w:rsid w:val="573D63B7"/>
    <w:rsid w:val="57456C51"/>
    <w:rsid w:val="57520DB4"/>
    <w:rsid w:val="5753F0DB"/>
    <w:rsid w:val="575F51E0"/>
    <w:rsid w:val="5771113B"/>
    <w:rsid w:val="57852825"/>
    <w:rsid w:val="57CC2E32"/>
    <w:rsid w:val="57CCA089"/>
    <w:rsid w:val="580B5967"/>
    <w:rsid w:val="5810E9AF"/>
    <w:rsid w:val="581B96BB"/>
    <w:rsid w:val="5825F95F"/>
    <w:rsid w:val="582AAAFA"/>
    <w:rsid w:val="58335F88"/>
    <w:rsid w:val="583901BD"/>
    <w:rsid w:val="5861B550"/>
    <w:rsid w:val="586773EB"/>
    <w:rsid w:val="5868181B"/>
    <w:rsid w:val="587912D2"/>
    <w:rsid w:val="587FFCBF"/>
    <w:rsid w:val="58B09932"/>
    <w:rsid w:val="58BAE125"/>
    <w:rsid w:val="58BF0FA6"/>
    <w:rsid w:val="58BF8A14"/>
    <w:rsid w:val="58E032CC"/>
    <w:rsid w:val="58E5638B"/>
    <w:rsid w:val="5901B02D"/>
    <w:rsid w:val="592E6938"/>
    <w:rsid w:val="5930A047"/>
    <w:rsid w:val="5933B0C5"/>
    <w:rsid w:val="5936E49F"/>
    <w:rsid w:val="59453A44"/>
    <w:rsid w:val="59464EE4"/>
    <w:rsid w:val="5949AEB2"/>
    <w:rsid w:val="594F2E91"/>
    <w:rsid w:val="59561347"/>
    <w:rsid w:val="59629D06"/>
    <w:rsid w:val="596BF8E4"/>
    <w:rsid w:val="596DF19B"/>
    <w:rsid w:val="599398C2"/>
    <w:rsid w:val="59A484E1"/>
    <w:rsid w:val="59B315B5"/>
    <w:rsid w:val="59C4A1CD"/>
    <w:rsid w:val="59CEB6EB"/>
    <w:rsid w:val="59F03FF3"/>
    <w:rsid w:val="5A00B846"/>
    <w:rsid w:val="5A0B09E0"/>
    <w:rsid w:val="5A0CAF9B"/>
    <w:rsid w:val="5A1174EF"/>
    <w:rsid w:val="5A473028"/>
    <w:rsid w:val="5A479C9E"/>
    <w:rsid w:val="5A64C1C9"/>
    <w:rsid w:val="5A669EAB"/>
    <w:rsid w:val="5A6A0188"/>
    <w:rsid w:val="5A6BCA50"/>
    <w:rsid w:val="5A6D2E54"/>
    <w:rsid w:val="5A7BF548"/>
    <w:rsid w:val="5A8696E5"/>
    <w:rsid w:val="5A8E277A"/>
    <w:rsid w:val="5A94B479"/>
    <w:rsid w:val="5ACE3ADB"/>
    <w:rsid w:val="5AEF928A"/>
    <w:rsid w:val="5AFD49A0"/>
    <w:rsid w:val="5B05F9B7"/>
    <w:rsid w:val="5B0A2B25"/>
    <w:rsid w:val="5B33DB70"/>
    <w:rsid w:val="5B47152A"/>
    <w:rsid w:val="5B53969E"/>
    <w:rsid w:val="5B59FC9A"/>
    <w:rsid w:val="5B66D6BB"/>
    <w:rsid w:val="5B7DC8FF"/>
    <w:rsid w:val="5B89D243"/>
    <w:rsid w:val="5B8FB357"/>
    <w:rsid w:val="5BA50C3D"/>
    <w:rsid w:val="5BA94077"/>
    <w:rsid w:val="5BAFA446"/>
    <w:rsid w:val="5BD29DE3"/>
    <w:rsid w:val="5C017E91"/>
    <w:rsid w:val="5C065EB9"/>
    <w:rsid w:val="5C0F7D4A"/>
    <w:rsid w:val="5C1AE3F5"/>
    <w:rsid w:val="5C31F198"/>
    <w:rsid w:val="5C468B1D"/>
    <w:rsid w:val="5C5E3B30"/>
    <w:rsid w:val="5C72D59E"/>
    <w:rsid w:val="5C84D6CC"/>
    <w:rsid w:val="5C85AA00"/>
    <w:rsid w:val="5C95CB51"/>
    <w:rsid w:val="5CBA6C28"/>
    <w:rsid w:val="5CC31007"/>
    <w:rsid w:val="5CC6643A"/>
    <w:rsid w:val="5CCEB55C"/>
    <w:rsid w:val="5CD67011"/>
    <w:rsid w:val="5CE96B47"/>
    <w:rsid w:val="5D28AD73"/>
    <w:rsid w:val="5D334F2C"/>
    <w:rsid w:val="5D3A908F"/>
    <w:rsid w:val="5D440156"/>
    <w:rsid w:val="5D61C8CF"/>
    <w:rsid w:val="5D69B29C"/>
    <w:rsid w:val="5D6F1B87"/>
    <w:rsid w:val="5D7E0498"/>
    <w:rsid w:val="5D8B1237"/>
    <w:rsid w:val="5D8B5E20"/>
    <w:rsid w:val="5D951039"/>
    <w:rsid w:val="5DC79EDA"/>
    <w:rsid w:val="5DDAE4E4"/>
    <w:rsid w:val="5DE34AD4"/>
    <w:rsid w:val="5DF806DB"/>
    <w:rsid w:val="5E139948"/>
    <w:rsid w:val="5E5773D2"/>
    <w:rsid w:val="5E5CE250"/>
    <w:rsid w:val="5E6279AC"/>
    <w:rsid w:val="5E9AD890"/>
    <w:rsid w:val="5EA897E5"/>
    <w:rsid w:val="5EAD728E"/>
    <w:rsid w:val="5EB06604"/>
    <w:rsid w:val="5EC3B04A"/>
    <w:rsid w:val="5EC700C7"/>
    <w:rsid w:val="5ED0B363"/>
    <w:rsid w:val="5EF7B1AF"/>
    <w:rsid w:val="5EFC2AD4"/>
    <w:rsid w:val="5F0159DE"/>
    <w:rsid w:val="5F25B40C"/>
    <w:rsid w:val="5F3455B0"/>
    <w:rsid w:val="5F4F0B75"/>
    <w:rsid w:val="5F623191"/>
    <w:rsid w:val="5F6F1433"/>
    <w:rsid w:val="5F6FDC77"/>
    <w:rsid w:val="5F73E141"/>
    <w:rsid w:val="5F81F7E6"/>
    <w:rsid w:val="5F8497DB"/>
    <w:rsid w:val="5F892D2E"/>
    <w:rsid w:val="5F91427D"/>
    <w:rsid w:val="5F9C8BA1"/>
    <w:rsid w:val="5FC1AB63"/>
    <w:rsid w:val="5FCBA863"/>
    <w:rsid w:val="5FD4E303"/>
    <w:rsid w:val="5FEB5F0E"/>
    <w:rsid w:val="5FF3A6BB"/>
    <w:rsid w:val="5FFEC1B8"/>
    <w:rsid w:val="6005E5B3"/>
    <w:rsid w:val="6012167B"/>
    <w:rsid w:val="6012D1EB"/>
    <w:rsid w:val="6018B730"/>
    <w:rsid w:val="6036928B"/>
    <w:rsid w:val="6039A257"/>
    <w:rsid w:val="6051D0D8"/>
    <w:rsid w:val="605846C7"/>
    <w:rsid w:val="605D3758"/>
    <w:rsid w:val="606363D5"/>
    <w:rsid w:val="6063A215"/>
    <w:rsid w:val="606B97AC"/>
    <w:rsid w:val="6083C3EA"/>
    <w:rsid w:val="60881020"/>
    <w:rsid w:val="608AC9F6"/>
    <w:rsid w:val="609BBF66"/>
    <w:rsid w:val="609CA43E"/>
    <w:rsid w:val="60A1A325"/>
    <w:rsid w:val="60CEEF1E"/>
    <w:rsid w:val="60E0F1F7"/>
    <w:rsid w:val="60E46F24"/>
    <w:rsid w:val="60F46445"/>
    <w:rsid w:val="60FD1A64"/>
    <w:rsid w:val="61032945"/>
    <w:rsid w:val="6145011E"/>
    <w:rsid w:val="614A35B8"/>
    <w:rsid w:val="614EF19A"/>
    <w:rsid w:val="6154B8C6"/>
    <w:rsid w:val="61611D39"/>
    <w:rsid w:val="616C1507"/>
    <w:rsid w:val="61798944"/>
    <w:rsid w:val="617CB8DA"/>
    <w:rsid w:val="61960291"/>
    <w:rsid w:val="6196D55D"/>
    <w:rsid w:val="619B50FA"/>
    <w:rsid w:val="61A4D556"/>
    <w:rsid w:val="61AA7EF7"/>
    <w:rsid w:val="61B41571"/>
    <w:rsid w:val="61D085C2"/>
    <w:rsid w:val="61E024C0"/>
    <w:rsid w:val="61E28D22"/>
    <w:rsid w:val="61E75EA5"/>
    <w:rsid w:val="61ED0800"/>
    <w:rsid w:val="6202CC13"/>
    <w:rsid w:val="621453FD"/>
    <w:rsid w:val="62206907"/>
    <w:rsid w:val="622307F0"/>
    <w:rsid w:val="62374623"/>
    <w:rsid w:val="623A5EE7"/>
    <w:rsid w:val="62436F54"/>
    <w:rsid w:val="62501687"/>
    <w:rsid w:val="62536511"/>
    <w:rsid w:val="625BA5F5"/>
    <w:rsid w:val="625DDD5E"/>
    <w:rsid w:val="62633663"/>
    <w:rsid w:val="6267EAD8"/>
    <w:rsid w:val="6290891C"/>
    <w:rsid w:val="62A90848"/>
    <w:rsid w:val="62AD2AFD"/>
    <w:rsid w:val="62BF9743"/>
    <w:rsid w:val="62E2009F"/>
    <w:rsid w:val="62E71F09"/>
    <w:rsid w:val="630581E4"/>
    <w:rsid w:val="633865E8"/>
    <w:rsid w:val="6339FCF6"/>
    <w:rsid w:val="6340E493"/>
    <w:rsid w:val="6343D754"/>
    <w:rsid w:val="6350FA09"/>
    <w:rsid w:val="63556F79"/>
    <w:rsid w:val="637D3775"/>
    <w:rsid w:val="638CE2DB"/>
    <w:rsid w:val="63E370E8"/>
    <w:rsid w:val="63E7B700"/>
    <w:rsid w:val="63E95909"/>
    <w:rsid w:val="643F558B"/>
    <w:rsid w:val="644A3145"/>
    <w:rsid w:val="6455086E"/>
    <w:rsid w:val="6455C545"/>
    <w:rsid w:val="646B8E92"/>
    <w:rsid w:val="646D318E"/>
    <w:rsid w:val="647294E2"/>
    <w:rsid w:val="648BA085"/>
    <w:rsid w:val="649162C7"/>
    <w:rsid w:val="6491C338"/>
    <w:rsid w:val="64943462"/>
    <w:rsid w:val="64A09BBA"/>
    <w:rsid w:val="64A76376"/>
    <w:rsid w:val="64AC7BDA"/>
    <w:rsid w:val="64AE1A7E"/>
    <w:rsid w:val="64B29895"/>
    <w:rsid w:val="64B558CC"/>
    <w:rsid w:val="64B9650D"/>
    <w:rsid w:val="64DE40A8"/>
    <w:rsid w:val="64EC219B"/>
    <w:rsid w:val="6503C94D"/>
    <w:rsid w:val="6503D5B1"/>
    <w:rsid w:val="6508D508"/>
    <w:rsid w:val="650DACDF"/>
    <w:rsid w:val="651A7F2E"/>
    <w:rsid w:val="651FDF17"/>
    <w:rsid w:val="65203437"/>
    <w:rsid w:val="65295F2C"/>
    <w:rsid w:val="653466BB"/>
    <w:rsid w:val="653F21EA"/>
    <w:rsid w:val="654ABC72"/>
    <w:rsid w:val="6561C23A"/>
    <w:rsid w:val="656D11B2"/>
    <w:rsid w:val="657749B6"/>
    <w:rsid w:val="6591B20B"/>
    <w:rsid w:val="659FBF5B"/>
    <w:rsid w:val="65A80901"/>
    <w:rsid w:val="65ABBC2B"/>
    <w:rsid w:val="65B76DF1"/>
    <w:rsid w:val="65C6C0BF"/>
    <w:rsid w:val="65DC6088"/>
    <w:rsid w:val="65EEC981"/>
    <w:rsid w:val="661F7F04"/>
    <w:rsid w:val="662D51BB"/>
    <w:rsid w:val="6638F2D2"/>
    <w:rsid w:val="663D1C24"/>
    <w:rsid w:val="66621B56"/>
    <w:rsid w:val="666C72EB"/>
    <w:rsid w:val="667AC74F"/>
    <w:rsid w:val="6685DFE4"/>
    <w:rsid w:val="668F9F8A"/>
    <w:rsid w:val="6690045C"/>
    <w:rsid w:val="6691FCEA"/>
    <w:rsid w:val="6693BE27"/>
    <w:rsid w:val="669B0EA6"/>
    <w:rsid w:val="66DA6163"/>
    <w:rsid w:val="66E11508"/>
    <w:rsid w:val="66E2F67C"/>
    <w:rsid w:val="66E915ED"/>
    <w:rsid w:val="66F43F63"/>
    <w:rsid w:val="66FE33E7"/>
    <w:rsid w:val="67050649"/>
    <w:rsid w:val="670A984A"/>
    <w:rsid w:val="6711FD24"/>
    <w:rsid w:val="6712947E"/>
    <w:rsid w:val="67182A52"/>
    <w:rsid w:val="672BC771"/>
    <w:rsid w:val="6737AD15"/>
    <w:rsid w:val="673963DD"/>
    <w:rsid w:val="67479C18"/>
    <w:rsid w:val="674941CC"/>
    <w:rsid w:val="6753D528"/>
    <w:rsid w:val="675A9E72"/>
    <w:rsid w:val="675DCE5B"/>
    <w:rsid w:val="677A1579"/>
    <w:rsid w:val="67910DF0"/>
    <w:rsid w:val="6795E8DF"/>
    <w:rsid w:val="67B9DED5"/>
    <w:rsid w:val="68054617"/>
    <w:rsid w:val="68184C38"/>
    <w:rsid w:val="6822B21F"/>
    <w:rsid w:val="68385D6D"/>
    <w:rsid w:val="684A66EB"/>
    <w:rsid w:val="68580A92"/>
    <w:rsid w:val="6871D84C"/>
    <w:rsid w:val="68741EC8"/>
    <w:rsid w:val="687E5E0D"/>
    <w:rsid w:val="68BA00DA"/>
    <w:rsid w:val="68D1812F"/>
    <w:rsid w:val="68F5449B"/>
    <w:rsid w:val="6902BEA4"/>
    <w:rsid w:val="69054C49"/>
    <w:rsid w:val="69311F50"/>
    <w:rsid w:val="6938D1BC"/>
    <w:rsid w:val="69480C69"/>
    <w:rsid w:val="695D6EE0"/>
    <w:rsid w:val="697DFAF8"/>
    <w:rsid w:val="699C9583"/>
    <w:rsid w:val="69A1A3E9"/>
    <w:rsid w:val="69AC3F30"/>
    <w:rsid w:val="69AF8016"/>
    <w:rsid w:val="69B5CF7B"/>
    <w:rsid w:val="69CE0E24"/>
    <w:rsid w:val="69D46839"/>
    <w:rsid w:val="69DED987"/>
    <w:rsid w:val="69EF43A6"/>
    <w:rsid w:val="69F91BE3"/>
    <w:rsid w:val="69FE3900"/>
    <w:rsid w:val="6A1B71C6"/>
    <w:rsid w:val="6A1D540D"/>
    <w:rsid w:val="6A1E79A5"/>
    <w:rsid w:val="6A2994D0"/>
    <w:rsid w:val="6A2E303C"/>
    <w:rsid w:val="6A40D935"/>
    <w:rsid w:val="6A65CA2B"/>
    <w:rsid w:val="6A68B9A9"/>
    <w:rsid w:val="6A6BA7CE"/>
    <w:rsid w:val="6A7BE5BD"/>
    <w:rsid w:val="6A82ACAC"/>
    <w:rsid w:val="6A8433A9"/>
    <w:rsid w:val="6A84C387"/>
    <w:rsid w:val="6AC6E12E"/>
    <w:rsid w:val="6ACB3F48"/>
    <w:rsid w:val="6ACD040F"/>
    <w:rsid w:val="6ACE59CC"/>
    <w:rsid w:val="6AD3F83C"/>
    <w:rsid w:val="6AE3C873"/>
    <w:rsid w:val="6B18FCB4"/>
    <w:rsid w:val="6B19C8E4"/>
    <w:rsid w:val="6B36C68A"/>
    <w:rsid w:val="6B3B7E43"/>
    <w:rsid w:val="6B3FB282"/>
    <w:rsid w:val="6B416288"/>
    <w:rsid w:val="6B4BBAD0"/>
    <w:rsid w:val="6B4E507F"/>
    <w:rsid w:val="6B69A563"/>
    <w:rsid w:val="6B736F24"/>
    <w:rsid w:val="6B738471"/>
    <w:rsid w:val="6B74F4EF"/>
    <w:rsid w:val="6B7EAD65"/>
    <w:rsid w:val="6B87F539"/>
    <w:rsid w:val="6B91F4F7"/>
    <w:rsid w:val="6B968761"/>
    <w:rsid w:val="6B9A162E"/>
    <w:rsid w:val="6BAC91DF"/>
    <w:rsid w:val="6BC2942E"/>
    <w:rsid w:val="6BDF0032"/>
    <w:rsid w:val="6BE57A80"/>
    <w:rsid w:val="6BEE3139"/>
    <w:rsid w:val="6BFBFDB6"/>
    <w:rsid w:val="6BFF3B47"/>
    <w:rsid w:val="6C1E035C"/>
    <w:rsid w:val="6C240A8B"/>
    <w:rsid w:val="6C42A348"/>
    <w:rsid w:val="6C49E342"/>
    <w:rsid w:val="6C59CD68"/>
    <w:rsid w:val="6C6BC79F"/>
    <w:rsid w:val="6C7B7330"/>
    <w:rsid w:val="6C81840A"/>
    <w:rsid w:val="6C8FFE2C"/>
    <w:rsid w:val="6CA08896"/>
    <w:rsid w:val="6CA1DFA8"/>
    <w:rsid w:val="6CBEEF81"/>
    <w:rsid w:val="6CCC7EC6"/>
    <w:rsid w:val="6CCCAAE9"/>
    <w:rsid w:val="6CD618DC"/>
    <w:rsid w:val="6CDA5277"/>
    <w:rsid w:val="6CDC743C"/>
    <w:rsid w:val="6D04E3ED"/>
    <w:rsid w:val="6D09007E"/>
    <w:rsid w:val="6D0FC9FD"/>
    <w:rsid w:val="6D231278"/>
    <w:rsid w:val="6D550897"/>
    <w:rsid w:val="6D6F0D1F"/>
    <w:rsid w:val="6D730933"/>
    <w:rsid w:val="6D808C71"/>
    <w:rsid w:val="6D88517B"/>
    <w:rsid w:val="6D970AD0"/>
    <w:rsid w:val="6D9BA123"/>
    <w:rsid w:val="6DAA86E3"/>
    <w:rsid w:val="6DB85718"/>
    <w:rsid w:val="6DBE0E86"/>
    <w:rsid w:val="6DCBCC42"/>
    <w:rsid w:val="6DCEF436"/>
    <w:rsid w:val="6DDF27DE"/>
    <w:rsid w:val="6DE4222B"/>
    <w:rsid w:val="6DF94193"/>
    <w:rsid w:val="6E12735C"/>
    <w:rsid w:val="6E18BC84"/>
    <w:rsid w:val="6E5478D7"/>
    <w:rsid w:val="6E6734C3"/>
    <w:rsid w:val="6E6BE410"/>
    <w:rsid w:val="6E6BFCFE"/>
    <w:rsid w:val="6E831535"/>
    <w:rsid w:val="6E87DEC0"/>
    <w:rsid w:val="6E8881D1"/>
    <w:rsid w:val="6E8B4FF6"/>
    <w:rsid w:val="6EA56FCC"/>
    <w:rsid w:val="6EBAC1F3"/>
    <w:rsid w:val="6EC6BA61"/>
    <w:rsid w:val="6ED4CBED"/>
    <w:rsid w:val="6EE6E643"/>
    <w:rsid w:val="6EE83F04"/>
    <w:rsid w:val="6EF20A1F"/>
    <w:rsid w:val="6EF24360"/>
    <w:rsid w:val="6EF8A5B5"/>
    <w:rsid w:val="6EF8F27D"/>
    <w:rsid w:val="6F2358CE"/>
    <w:rsid w:val="6F4C57E2"/>
    <w:rsid w:val="6F65DE37"/>
    <w:rsid w:val="6F680630"/>
    <w:rsid w:val="6F705181"/>
    <w:rsid w:val="6F767AC8"/>
    <w:rsid w:val="6F82AF44"/>
    <w:rsid w:val="6F895408"/>
    <w:rsid w:val="6F9082C8"/>
    <w:rsid w:val="6F95D58B"/>
    <w:rsid w:val="6F9FC427"/>
    <w:rsid w:val="6FA54503"/>
    <w:rsid w:val="6FAA29D1"/>
    <w:rsid w:val="6FC30039"/>
    <w:rsid w:val="6FCA2492"/>
    <w:rsid w:val="6FDC82F9"/>
    <w:rsid w:val="6FED70B8"/>
    <w:rsid w:val="6FEE4D94"/>
    <w:rsid w:val="700AA2BF"/>
    <w:rsid w:val="70283DC8"/>
    <w:rsid w:val="70376F5C"/>
    <w:rsid w:val="7043831D"/>
    <w:rsid w:val="7051BEA4"/>
    <w:rsid w:val="7054E373"/>
    <w:rsid w:val="7068756E"/>
    <w:rsid w:val="70738644"/>
    <w:rsid w:val="7078F5E8"/>
    <w:rsid w:val="7090EA3D"/>
    <w:rsid w:val="70AA37EE"/>
    <w:rsid w:val="70C05488"/>
    <w:rsid w:val="70C192F9"/>
    <w:rsid w:val="70C6A8A8"/>
    <w:rsid w:val="70EC015D"/>
    <w:rsid w:val="71238B51"/>
    <w:rsid w:val="71239D26"/>
    <w:rsid w:val="7142DA17"/>
    <w:rsid w:val="714B5747"/>
    <w:rsid w:val="7156E776"/>
    <w:rsid w:val="7187BA67"/>
    <w:rsid w:val="719A4C5B"/>
    <w:rsid w:val="71A8DB28"/>
    <w:rsid w:val="71A9C28A"/>
    <w:rsid w:val="71B20A3C"/>
    <w:rsid w:val="71B403F0"/>
    <w:rsid w:val="71B69F25"/>
    <w:rsid w:val="71B845C4"/>
    <w:rsid w:val="71BB4D7D"/>
    <w:rsid w:val="71C4C800"/>
    <w:rsid w:val="71CEAC45"/>
    <w:rsid w:val="71DAFF0E"/>
    <w:rsid w:val="71DB94D8"/>
    <w:rsid w:val="71E0ACCE"/>
    <w:rsid w:val="71FB71C7"/>
    <w:rsid w:val="7207F657"/>
    <w:rsid w:val="720E70D3"/>
    <w:rsid w:val="7214048A"/>
    <w:rsid w:val="722E7D06"/>
    <w:rsid w:val="7235BBAB"/>
    <w:rsid w:val="7245D69A"/>
    <w:rsid w:val="7257E357"/>
    <w:rsid w:val="7259072C"/>
    <w:rsid w:val="7260DDDA"/>
    <w:rsid w:val="7279B1D7"/>
    <w:rsid w:val="727F35BB"/>
    <w:rsid w:val="72A65B45"/>
    <w:rsid w:val="72A79DE8"/>
    <w:rsid w:val="72CA874F"/>
    <w:rsid w:val="72CAAFD7"/>
    <w:rsid w:val="72CD8500"/>
    <w:rsid w:val="72DC7D57"/>
    <w:rsid w:val="72DE38B9"/>
    <w:rsid w:val="72ED2A10"/>
    <w:rsid w:val="7312A5FF"/>
    <w:rsid w:val="731C1C04"/>
    <w:rsid w:val="732F6234"/>
    <w:rsid w:val="733DF3CF"/>
    <w:rsid w:val="7348725F"/>
    <w:rsid w:val="734C8C3D"/>
    <w:rsid w:val="734DD6B8"/>
    <w:rsid w:val="7351CE95"/>
    <w:rsid w:val="735EBB4A"/>
    <w:rsid w:val="7364332C"/>
    <w:rsid w:val="73796066"/>
    <w:rsid w:val="738397DB"/>
    <w:rsid w:val="73867AF5"/>
    <w:rsid w:val="73984DFB"/>
    <w:rsid w:val="73A02A3A"/>
    <w:rsid w:val="73AB5E86"/>
    <w:rsid w:val="73DEA687"/>
    <w:rsid w:val="73EB4F33"/>
    <w:rsid w:val="73FC78A8"/>
    <w:rsid w:val="74406960"/>
    <w:rsid w:val="74428CD7"/>
    <w:rsid w:val="74498249"/>
    <w:rsid w:val="744989EF"/>
    <w:rsid w:val="744DD1EA"/>
    <w:rsid w:val="7471DC30"/>
    <w:rsid w:val="747298B1"/>
    <w:rsid w:val="74A59747"/>
    <w:rsid w:val="74B57028"/>
    <w:rsid w:val="74BB0BE8"/>
    <w:rsid w:val="74BB575D"/>
    <w:rsid w:val="74CA04C1"/>
    <w:rsid w:val="74CA7E94"/>
    <w:rsid w:val="74CCB4C4"/>
    <w:rsid w:val="74D83277"/>
    <w:rsid w:val="74E329FA"/>
    <w:rsid w:val="74FA0E38"/>
    <w:rsid w:val="75274BCA"/>
    <w:rsid w:val="75556A02"/>
    <w:rsid w:val="75568D08"/>
    <w:rsid w:val="75569DEB"/>
    <w:rsid w:val="756D57F6"/>
    <w:rsid w:val="758F21B7"/>
    <w:rsid w:val="75908B68"/>
    <w:rsid w:val="75950544"/>
    <w:rsid w:val="75979DA7"/>
    <w:rsid w:val="759C3F6B"/>
    <w:rsid w:val="75AE434D"/>
    <w:rsid w:val="75B1521C"/>
    <w:rsid w:val="75B4E713"/>
    <w:rsid w:val="75BEEBB6"/>
    <w:rsid w:val="75C0B3F5"/>
    <w:rsid w:val="75C3AE80"/>
    <w:rsid w:val="75D124C8"/>
    <w:rsid w:val="75DFD518"/>
    <w:rsid w:val="76010106"/>
    <w:rsid w:val="760DC92D"/>
    <w:rsid w:val="762D4069"/>
    <w:rsid w:val="763C2581"/>
    <w:rsid w:val="764A9E1D"/>
    <w:rsid w:val="767F5590"/>
    <w:rsid w:val="7693AFA7"/>
    <w:rsid w:val="7697D720"/>
    <w:rsid w:val="76AAF889"/>
    <w:rsid w:val="76B0A270"/>
    <w:rsid w:val="76B88F10"/>
    <w:rsid w:val="76D777F8"/>
    <w:rsid w:val="76E06DB2"/>
    <w:rsid w:val="76E4CF1A"/>
    <w:rsid w:val="76F0FBA8"/>
    <w:rsid w:val="770E8592"/>
    <w:rsid w:val="77171D50"/>
    <w:rsid w:val="771CDED6"/>
    <w:rsid w:val="7727F1E4"/>
    <w:rsid w:val="773023B3"/>
    <w:rsid w:val="774C76B1"/>
    <w:rsid w:val="774D7217"/>
    <w:rsid w:val="775A6BE6"/>
    <w:rsid w:val="777D88DC"/>
    <w:rsid w:val="778702D6"/>
    <w:rsid w:val="77B7CF7C"/>
    <w:rsid w:val="77D65433"/>
    <w:rsid w:val="77EC528C"/>
    <w:rsid w:val="77FB1371"/>
    <w:rsid w:val="7800D491"/>
    <w:rsid w:val="78049F79"/>
    <w:rsid w:val="7812E039"/>
    <w:rsid w:val="781EF6C8"/>
    <w:rsid w:val="782B7D5D"/>
    <w:rsid w:val="78362E36"/>
    <w:rsid w:val="78366FCB"/>
    <w:rsid w:val="783D880E"/>
    <w:rsid w:val="783F77DC"/>
    <w:rsid w:val="7846BC33"/>
    <w:rsid w:val="78506C8C"/>
    <w:rsid w:val="7859E0E3"/>
    <w:rsid w:val="7860790C"/>
    <w:rsid w:val="787958BB"/>
    <w:rsid w:val="7899C35A"/>
    <w:rsid w:val="78A32009"/>
    <w:rsid w:val="78A5BF0D"/>
    <w:rsid w:val="78B2E9AE"/>
    <w:rsid w:val="78B51A53"/>
    <w:rsid w:val="78B8E32E"/>
    <w:rsid w:val="78C6FFF3"/>
    <w:rsid w:val="78D547B1"/>
    <w:rsid w:val="78D87E4E"/>
    <w:rsid w:val="78DFFEE3"/>
    <w:rsid w:val="78E9E5D0"/>
    <w:rsid w:val="790D4341"/>
    <w:rsid w:val="79223EA9"/>
    <w:rsid w:val="7927B5B5"/>
    <w:rsid w:val="79285290"/>
    <w:rsid w:val="793C0355"/>
    <w:rsid w:val="7943FB56"/>
    <w:rsid w:val="794C6DE2"/>
    <w:rsid w:val="7952BA11"/>
    <w:rsid w:val="795E4CDD"/>
    <w:rsid w:val="796167F4"/>
    <w:rsid w:val="796A305E"/>
    <w:rsid w:val="79707561"/>
    <w:rsid w:val="797BE17B"/>
    <w:rsid w:val="797EE2B3"/>
    <w:rsid w:val="79833B91"/>
    <w:rsid w:val="7988F712"/>
    <w:rsid w:val="799B08C4"/>
    <w:rsid w:val="79B71E7A"/>
    <w:rsid w:val="79BF6A00"/>
    <w:rsid w:val="79C3FC97"/>
    <w:rsid w:val="79C531D5"/>
    <w:rsid w:val="79C541AD"/>
    <w:rsid w:val="79C9536D"/>
    <w:rsid w:val="79D8E649"/>
    <w:rsid w:val="79E98CCA"/>
    <w:rsid w:val="79F82032"/>
    <w:rsid w:val="79FD01FC"/>
    <w:rsid w:val="7A08BC4F"/>
    <w:rsid w:val="7A0A318A"/>
    <w:rsid w:val="7A1AB5AE"/>
    <w:rsid w:val="7A41F503"/>
    <w:rsid w:val="7A46A102"/>
    <w:rsid w:val="7A4BFB9A"/>
    <w:rsid w:val="7A511540"/>
    <w:rsid w:val="7A53AE23"/>
    <w:rsid w:val="7A5F175D"/>
    <w:rsid w:val="7A6F3471"/>
    <w:rsid w:val="7A7244D5"/>
    <w:rsid w:val="7A7E96E9"/>
    <w:rsid w:val="7A80CF11"/>
    <w:rsid w:val="7A8436D7"/>
    <w:rsid w:val="7A851537"/>
    <w:rsid w:val="7AA72265"/>
    <w:rsid w:val="7AA80892"/>
    <w:rsid w:val="7AB08580"/>
    <w:rsid w:val="7AC61E38"/>
    <w:rsid w:val="7ACDF1F6"/>
    <w:rsid w:val="7AD95AE1"/>
    <w:rsid w:val="7B1556E6"/>
    <w:rsid w:val="7B174FD3"/>
    <w:rsid w:val="7B1B815B"/>
    <w:rsid w:val="7B229C1F"/>
    <w:rsid w:val="7B372C93"/>
    <w:rsid w:val="7B54E424"/>
    <w:rsid w:val="7B55D496"/>
    <w:rsid w:val="7B591F9C"/>
    <w:rsid w:val="7B6F945A"/>
    <w:rsid w:val="7B7CAC26"/>
    <w:rsid w:val="7B907B88"/>
    <w:rsid w:val="7B92B04D"/>
    <w:rsid w:val="7B9CF4A8"/>
    <w:rsid w:val="7BB976AF"/>
    <w:rsid w:val="7BD7D937"/>
    <w:rsid w:val="7BDBC091"/>
    <w:rsid w:val="7BF2F553"/>
    <w:rsid w:val="7C156749"/>
    <w:rsid w:val="7C17C51B"/>
    <w:rsid w:val="7C2CF05C"/>
    <w:rsid w:val="7C33A0FB"/>
    <w:rsid w:val="7C3BF234"/>
    <w:rsid w:val="7C3DB43B"/>
    <w:rsid w:val="7C47C964"/>
    <w:rsid w:val="7C4A3061"/>
    <w:rsid w:val="7C4CC715"/>
    <w:rsid w:val="7C4DFA35"/>
    <w:rsid w:val="7C4FB631"/>
    <w:rsid w:val="7C5C2677"/>
    <w:rsid w:val="7C678ABD"/>
    <w:rsid w:val="7C68B1D0"/>
    <w:rsid w:val="7C6A05CF"/>
    <w:rsid w:val="7C72D5E9"/>
    <w:rsid w:val="7C826634"/>
    <w:rsid w:val="7C8B879A"/>
    <w:rsid w:val="7C8F2318"/>
    <w:rsid w:val="7C9B8047"/>
    <w:rsid w:val="7CAF3F76"/>
    <w:rsid w:val="7CB37BBC"/>
    <w:rsid w:val="7CB424FA"/>
    <w:rsid w:val="7CDBE37E"/>
    <w:rsid w:val="7CE46C61"/>
    <w:rsid w:val="7D0088BC"/>
    <w:rsid w:val="7D00C943"/>
    <w:rsid w:val="7D012E1D"/>
    <w:rsid w:val="7D292914"/>
    <w:rsid w:val="7D2B180D"/>
    <w:rsid w:val="7D4AB944"/>
    <w:rsid w:val="7D836751"/>
    <w:rsid w:val="7D920059"/>
    <w:rsid w:val="7DB3F23D"/>
    <w:rsid w:val="7DB9061D"/>
    <w:rsid w:val="7DBD5C3A"/>
    <w:rsid w:val="7DBF7646"/>
    <w:rsid w:val="7DF33B4C"/>
    <w:rsid w:val="7DF6C3EF"/>
    <w:rsid w:val="7DFE40DC"/>
    <w:rsid w:val="7E09C2E5"/>
    <w:rsid w:val="7E0B7DB1"/>
    <w:rsid w:val="7E113C77"/>
    <w:rsid w:val="7E1E584F"/>
    <w:rsid w:val="7E31442F"/>
    <w:rsid w:val="7E402FB2"/>
    <w:rsid w:val="7E4CDBBF"/>
    <w:rsid w:val="7E4F64EA"/>
    <w:rsid w:val="7E6A138F"/>
    <w:rsid w:val="7E6D707A"/>
    <w:rsid w:val="7E8B55F8"/>
    <w:rsid w:val="7E97C1B6"/>
    <w:rsid w:val="7E98B938"/>
    <w:rsid w:val="7E9D95B9"/>
    <w:rsid w:val="7EB7496D"/>
    <w:rsid w:val="7EBCE97C"/>
    <w:rsid w:val="7EC2C297"/>
    <w:rsid w:val="7EE79468"/>
    <w:rsid w:val="7EE851CC"/>
    <w:rsid w:val="7F005D31"/>
    <w:rsid w:val="7F04D35E"/>
    <w:rsid w:val="7F0D3493"/>
    <w:rsid w:val="7F17A379"/>
    <w:rsid w:val="7F2C17D3"/>
    <w:rsid w:val="7F34541D"/>
    <w:rsid w:val="7F370689"/>
    <w:rsid w:val="7F5214A2"/>
    <w:rsid w:val="7F6915A7"/>
    <w:rsid w:val="7F6D1D52"/>
    <w:rsid w:val="7F7ABDAE"/>
    <w:rsid w:val="7F9EC329"/>
    <w:rsid w:val="7F9F8942"/>
    <w:rsid w:val="7FD05E85"/>
    <w:rsid w:val="7FD383FA"/>
    <w:rsid w:val="7FE2B69B"/>
    <w:rsid w:val="7FF74483"/>
    <w:rsid w:val="7FF9A07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6AF366"/>
  <w15:chartTrackingRefBased/>
  <w15:docId w15:val="{0FFF0B2F-8631-4540-97E4-CEC3A74BE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inorEastAsia" w:hAnsiTheme="majorHAnsi" w:cstheme="minorBidi"/>
        <w:lang w:val="en-AU" w:eastAsia="en-AU" w:bidi="ar-SA"/>
      </w:rPr>
    </w:rPrDefault>
    <w:pPrDefault/>
  </w:docDefaults>
  <w:latentStyles w:defLockedState="1" w:defUIPriority="99" w:defSemiHidden="0" w:defUnhideWhenUsed="0" w:defQFormat="0" w:count="376">
    <w:lsdException w:name="Normal" w:locked="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locked="0" w:semiHidden="1" w:uiPriority="0" w:unhideWhenUsed="1" w:qFormat="1"/>
    <w:lsdException w:name="heading 7" w:semiHidden="1" w:unhideWhenUsed="1"/>
    <w:lsdException w:name="heading 8" w:semiHidden="1" w:unhideWhenUsed="1"/>
    <w:lsdException w:name="heading 9" w:semiHidden="1" w:uiPriority="1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locked="0" w:semiHidden="1" w:uiPriority="1" w:unhideWhenUsed="1"/>
    <w:lsdException w:name="Body Text" w:locked="0"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locked="0" w:semiHidden="1" w:unhideWhenUsed="1"/>
  </w:latentStyles>
  <w:style w:type="paragraph" w:default="1" w:styleId="Normal">
    <w:name w:val="Normal"/>
    <w:uiPriority w:val="99"/>
    <w:qFormat/>
    <w:rsid w:val="00CC7EAD"/>
    <w:rPr>
      <w:rFonts w:ascii="Arial" w:hAnsi="Arial"/>
      <w:lang w:eastAsia="en-US"/>
    </w:rPr>
  </w:style>
  <w:style w:type="paragraph" w:styleId="Heading1">
    <w:name w:val="heading 1"/>
    <w:basedOn w:val="Normal"/>
    <w:next w:val="BodyText"/>
    <w:link w:val="Heading1Char"/>
    <w:qFormat/>
    <w:rsid w:val="00070AC8"/>
    <w:pPr>
      <w:keepNext/>
      <w:keepLines/>
      <w:pageBreakBefore/>
      <w:numPr>
        <w:numId w:val="21"/>
      </w:numPr>
      <w:spacing w:before="240" w:after="120"/>
      <w:outlineLvl w:val="0"/>
    </w:pPr>
    <w:rPr>
      <w:rFonts w:eastAsiaTheme="majorEastAsia" w:cstheme="majorBidi"/>
      <w:b/>
      <w:color w:val="231EDC" w:themeColor="accent1"/>
      <w:sz w:val="32"/>
      <w:szCs w:val="32"/>
    </w:rPr>
  </w:style>
  <w:style w:type="paragraph" w:styleId="Heading2">
    <w:name w:val="heading 2"/>
    <w:basedOn w:val="Normal"/>
    <w:next w:val="BodyText"/>
    <w:link w:val="Heading2Char"/>
    <w:qFormat/>
    <w:rsid w:val="00070AC8"/>
    <w:pPr>
      <w:keepNext/>
      <w:keepLines/>
      <w:numPr>
        <w:ilvl w:val="1"/>
        <w:numId w:val="21"/>
      </w:numPr>
      <w:spacing w:before="240" w:after="120"/>
      <w:outlineLvl w:val="1"/>
    </w:pPr>
    <w:rPr>
      <w:rFonts w:eastAsiaTheme="majorEastAsia" w:cstheme="majorBidi"/>
      <w:b/>
      <w:sz w:val="28"/>
      <w:szCs w:val="26"/>
    </w:rPr>
  </w:style>
  <w:style w:type="paragraph" w:styleId="Heading3">
    <w:name w:val="heading 3"/>
    <w:basedOn w:val="Normal"/>
    <w:next w:val="BodyText"/>
    <w:link w:val="Heading3Char"/>
    <w:qFormat/>
    <w:rsid w:val="00015FE5"/>
    <w:pPr>
      <w:keepNext/>
      <w:keepLines/>
      <w:numPr>
        <w:ilvl w:val="2"/>
        <w:numId w:val="21"/>
      </w:numPr>
      <w:spacing w:before="240" w:after="120"/>
      <w:outlineLvl w:val="2"/>
    </w:pPr>
    <w:rPr>
      <w:rFonts w:asciiTheme="majorHAnsi" w:eastAsiaTheme="majorEastAsia" w:hAnsiTheme="majorHAnsi" w:cstheme="majorBidi"/>
      <w:b/>
      <w:sz w:val="26"/>
      <w:szCs w:val="24"/>
    </w:rPr>
  </w:style>
  <w:style w:type="paragraph" w:styleId="Heading4">
    <w:name w:val="heading 4"/>
    <w:basedOn w:val="Normal"/>
    <w:next w:val="BodyText"/>
    <w:link w:val="Heading4Char"/>
    <w:qFormat/>
    <w:rsid w:val="00015FE5"/>
    <w:pPr>
      <w:keepNext/>
      <w:keepLines/>
      <w:numPr>
        <w:ilvl w:val="3"/>
        <w:numId w:val="21"/>
      </w:numPr>
      <w:spacing w:before="240" w:after="120"/>
      <w:outlineLvl w:val="3"/>
    </w:pPr>
    <w:rPr>
      <w:rFonts w:asciiTheme="majorHAnsi" w:eastAsiaTheme="majorEastAsia" w:hAnsiTheme="majorHAnsi" w:cstheme="majorBidi"/>
      <w:b/>
      <w:iCs/>
      <w:sz w:val="24"/>
    </w:rPr>
  </w:style>
  <w:style w:type="paragraph" w:styleId="Heading5">
    <w:name w:val="heading 5"/>
    <w:basedOn w:val="Normal"/>
    <w:next w:val="BodyText"/>
    <w:link w:val="Heading5Char"/>
    <w:qFormat/>
    <w:rsid w:val="00015FE5"/>
    <w:pPr>
      <w:keepNext/>
      <w:keepLines/>
      <w:numPr>
        <w:ilvl w:val="4"/>
        <w:numId w:val="21"/>
      </w:numPr>
      <w:spacing w:before="240" w:after="120"/>
      <w:outlineLvl w:val="4"/>
    </w:pPr>
    <w:rPr>
      <w:rFonts w:asciiTheme="majorHAnsi" w:eastAsiaTheme="majorEastAsia" w:hAnsiTheme="majorHAnsi" w:cstheme="majorBidi"/>
      <w:b/>
      <w:sz w:val="22"/>
    </w:rPr>
  </w:style>
  <w:style w:type="paragraph" w:styleId="Heading6">
    <w:name w:val="heading 6"/>
    <w:basedOn w:val="Normal"/>
    <w:next w:val="BodyText"/>
    <w:link w:val="Heading6Char"/>
    <w:qFormat/>
    <w:rsid w:val="00015FE5"/>
    <w:pPr>
      <w:keepNext/>
      <w:keepLines/>
      <w:numPr>
        <w:ilvl w:val="5"/>
        <w:numId w:val="21"/>
      </w:numPr>
      <w:spacing w:before="240" w:after="120"/>
      <w:outlineLvl w:val="5"/>
    </w:pPr>
    <w:rPr>
      <w:rFonts w:asciiTheme="majorHAnsi" w:eastAsiaTheme="majorEastAsia" w:hAnsiTheme="majorHAnsi" w:cstheme="majorBidi"/>
      <w:b/>
    </w:rPr>
  </w:style>
  <w:style w:type="paragraph" w:styleId="Heading7">
    <w:name w:val="heading 7"/>
    <w:basedOn w:val="Normal"/>
    <w:next w:val="Normal"/>
    <w:link w:val="Heading7Char"/>
    <w:uiPriority w:val="99"/>
    <w:semiHidden/>
    <w:rsid w:val="00015FE5"/>
    <w:pPr>
      <w:keepNext/>
      <w:keepLines/>
      <w:numPr>
        <w:ilvl w:val="6"/>
        <w:numId w:val="21"/>
      </w:numPr>
      <w:spacing w:before="240" w:after="120"/>
      <w:outlineLvl w:val="6"/>
    </w:pPr>
    <w:rPr>
      <w:rFonts w:asciiTheme="majorHAnsi" w:eastAsiaTheme="majorEastAsia" w:hAnsiTheme="majorHAnsi" w:cstheme="majorBidi"/>
      <w:b/>
      <w:iCs/>
    </w:rPr>
  </w:style>
  <w:style w:type="paragraph" w:styleId="Heading8">
    <w:name w:val="heading 8"/>
    <w:basedOn w:val="Normal"/>
    <w:next w:val="Normal"/>
    <w:link w:val="Heading8Char"/>
    <w:uiPriority w:val="99"/>
    <w:semiHidden/>
    <w:rsid w:val="00015FE5"/>
    <w:pPr>
      <w:keepNext/>
      <w:keepLines/>
      <w:numPr>
        <w:ilvl w:val="7"/>
        <w:numId w:val="21"/>
      </w:numPr>
      <w:spacing w:before="240" w:after="120"/>
      <w:outlineLvl w:val="7"/>
    </w:pPr>
    <w:rPr>
      <w:rFonts w:asciiTheme="majorHAnsi" w:eastAsiaTheme="majorEastAsia" w:hAnsiTheme="majorHAnsi" w:cstheme="majorBidi"/>
      <w:b/>
      <w:sz w:val="21"/>
      <w:szCs w:val="21"/>
    </w:rPr>
  </w:style>
  <w:style w:type="paragraph" w:styleId="Heading9">
    <w:name w:val="heading 9"/>
    <w:aliases w:val="Appendix Heading 1"/>
    <w:basedOn w:val="Normal"/>
    <w:next w:val="BodyText"/>
    <w:link w:val="Heading9Char"/>
    <w:uiPriority w:val="19"/>
    <w:qFormat/>
    <w:rsid w:val="00B41E72"/>
    <w:pPr>
      <w:keepNext/>
      <w:keepLines/>
      <w:pageBreakBefore/>
      <w:spacing w:before="240" w:after="120"/>
      <w:ind w:left="1985" w:hanging="1985"/>
      <w:outlineLvl w:val="8"/>
    </w:pPr>
    <w:rPr>
      <w:rFonts w:eastAsiaTheme="majorEastAsia" w:cstheme="majorBidi"/>
      <w:b/>
      <w:iCs/>
      <w:color w:val="231EDC" w:themeColor="accent1"/>
      <w:sz w:val="3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015FE5"/>
    <w:rPr>
      <w:rFonts w:ascii="Jacobs Chronos Light" w:hAnsi="Jacobs Chronos Light"/>
      <w:color w:val="333333" w:themeColor="text2"/>
      <w:sz w:val="24"/>
    </w:rPr>
  </w:style>
  <w:style w:type="character" w:customStyle="1" w:styleId="HeaderChar">
    <w:name w:val="Header Char"/>
    <w:basedOn w:val="DefaultParagraphFont"/>
    <w:link w:val="Header"/>
    <w:uiPriority w:val="99"/>
    <w:semiHidden/>
    <w:rsid w:val="00015FE5"/>
    <w:rPr>
      <w:rFonts w:ascii="Jacobs Chronos Light" w:hAnsi="Jacobs Chronos Light"/>
      <w:color w:val="333333" w:themeColor="text2"/>
      <w:sz w:val="24"/>
      <w:lang w:val="en-US" w:eastAsia="en-US"/>
    </w:rPr>
  </w:style>
  <w:style w:type="paragraph" w:styleId="Footer">
    <w:name w:val="footer"/>
    <w:basedOn w:val="Normal"/>
    <w:link w:val="FooterChar"/>
    <w:uiPriority w:val="99"/>
    <w:rsid w:val="00D4669F"/>
    <w:rPr>
      <w:color w:val="333333" w:themeColor="text2"/>
      <w:sz w:val="18"/>
    </w:rPr>
  </w:style>
  <w:style w:type="character" w:customStyle="1" w:styleId="FooterChar">
    <w:name w:val="Footer Char"/>
    <w:basedOn w:val="DefaultParagraphFont"/>
    <w:link w:val="Footer"/>
    <w:uiPriority w:val="99"/>
    <w:rsid w:val="00D4669F"/>
    <w:rPr>
      <w:rFonts w:ascii="Arial" w:hAnsi="Arial"/>
      <w:color w:val="333333" w:themeColor="text2"/>
      <w:sz w:val="18"/>
      <w:lang w:eastAsia="en-US"/>
    </w:rPr>
  </w:style>
  <w:style w:type="table" w:styleId="TableGrid">
    <w:name w:val="Table Grid"/>
    <w:basedOn w:val="TableNormal"/>
    <w:uiPriority w:val="39"/>
    <w:rsid w:val="00015FE5"/>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Number">
    <w:name w:val="Body Text 1 Number"/>
    <w:basedOn w:val="Normal"/>
    <w:uiPriority w:val="2"/>
    <w:qFormat/>
    <w:rsid w:val="00015FE5"/>
    <w:pPr>
      <w:spacing w:before="180" w:after="120"/>
      <w:ind w:left="360" w:hanging="360"/>
    </w:pPr>
  </w:style>
  <w:style w:type="paragraph" w:customStyle="1" w:styleId="BodyText2Letter">
    <w:name w:val="Body Text 2 Letter"/>
    <w:basedOn w:val="Normal"/>
    <w:uiPriority w:val="2"/>
    <w:qFormat/>
    <w:rsid w:val="00015FE5"/>
    <w:pPr>
      <w:spacing w:after="120"/>
      <w:ind w:left="720" w:hanging="360"/>
    </w:pPr>
  </w:style>
  <w:style w:type="paragraph" w:customStyle="1" w:styleId="BodyText3Roman">
    <w:name w:val="Body Text 3 Roman"/>
    <w:basedOn w:val="Normal"/>
    <w:uiPriority w:val="2"/>
    <w:qFormat/>
    <w:rsid w:val="00015FE5"/>
    <w:pPr>
      <w:spacing w:after="120"/>
      <w:ind w:left="1072" w:hanging="358"/>
    </w:pPr>
  </w:style>
  <w:style w:type="paragraph" w:customStyle="1" w:styleId="TableText">
    <w:name w:val="Table Text"/>
    <w:basedOn w:val="BodyText"/>
    <w:uiPriority w:val="4"/>
    <w:qFormat/>
    <w:rsid w:val="00E67F7E"/>
    <w:pPr>
      <w:spacing w:before="40" w:after="40"/>
    </w:pPr>
    <w:rPr>
      <w:sz w:val="20"/>
    </w:rPr>
  </w:style>
  <w:style w:type="character" w:customStyle="1" w:styleId="Heading1Char">
    <w:name w:val="Heading 1 Char"/>
    <w:basedOn w:val="DefaultParagraphFont"/>
    <w:link w:val="Heading1"/>
    <w:rsid w:val="00015FE5"/>
    <w:rPr>
      <w:rFonts w:ascii="Arial" w:eastAsiaTheme="majorEastAsia" w:hAnsi="Arial" w:cstheme="majorBidi"/>
      <w:b/>
      <w:color w:val="231EDC" w:themeColor="accent1"/>
      <w:sz w:val="32"/>
      <w:szCs w:val="32"/>
      <w:lang w:eastAsia="en-US"/>
    </w:rPr>
  </w:style>
  <w:style w:type="paragraph" w:customStyle="1" w:styleId="BulletLevel1">
    <w:name w:val="Bullet Level 1"/>
    <w:basedOn w:val="Normal"/>
    <w:uiPriority w:val="2"/>
    <w:qFormat/>
    <w:rsid w:val="008A7232"/>
    <w:pPr>
      <w:numPr>
        <w:numId w:val="18"/>
      </w:numPr>
      <w:spacing w:before="120" w:after="60"/>
    </w:pPr>
    <w:rPr>
      <w:sz w:val="22"/>
      <w:lang w:val="en-US"/>
    </w:rPr>
  </w:style>
  <w:style w:type="paragraph" w:customStyle="1" w:styleId="TableHeading">
    <w:name w:val="Table Heading"/>
    <w:basedOn w:val="Normal"/>
    <w:uiPriority w:val="3"/>
    <w:qFormat/>
    <w:rsid w:val="001119B6"/>
    <w:pPr>
      <w:keepNext/>
      <w:spacing w:before="60" w:after="60"/>
    </w:pPr>
    <w:rPr>
      <w:b/>
    </w:rPr>
  </w:style>
  <w:style w:type="paragraph" w:customStyle="1" w:styleId="BulletLevel2">
    <w:name w:val="Bullet Level 2"/>
    <w:basedOn w:val="Normal"/>
    <w:uiPriority w:val="2"/>
    <w:qFormat/>
    <w:rsid w:val="007601C9"/>
    <w:pPr>
      <w:numPr>
        <w:ilvl w:val="1"/>
        <w:numId w:val="18"/>
      </w:numPr>
      <w:spacing w:before="120" w:after="60"/>
    </w:pPr>
    <w:rPr>
      <w:sz w:val="22"/>
    </w:rPr>
  </w:style>
  <w:style w:type="paragraph" w:customStyle="1" w:styleId="BulletLevel3">
    <w:name w:val="Bullet Level 3"/>
    <w:basedOn w:val="Normal"/>
    <w:uiPriority w:val="2"/>
    <w:qFormat/>
    <w:rsid w:val="00015FE5"/>
    <w:pPr>
      <w:numPr>
        <w:ilvl w:val="2"/>
        <w:numId w:val="18"/>
      </w:numPr>
      <w:spacing w:before="120" w:after="60"/>
    </w:pPr>
  </w:style>
  <w:style w:type="character" w:customStyle="1" w:styleId="Heading3Char">
    <w:name w:val="Heading 3 Char"/>
    <w:basedOn w:val="DefaultParagraphFont"/>
    <w:link w:val="Heading3"/>
    <w:rsid w:val="00015FE5"/>
    <w:rPr>
      <w:rFonts w:eastAsiaTheme="majorEastAsia" w:cstheme="majorBidi"/>
      <w:b/>
      <w:sz w:val="26"/>
      <w:szCs w:val="24"/>
      <w:lang w:eastAsia="en-US"/>
    </w:rPr>
  </w:style>
  <w:style w:type="paragraph" w:customStyle="1" w:styleId="AppendixHeading2">
    <w:name w:val="Appendix Heading 2"/>
    <w:basedOn w:val="Normal"/>
    <w:next w:val="BodyText"/>
    <w:uiPriority w:val="19"/>
    <w:qFormat/>
    <w:rsid w:val="003A706E"/>
    <w:pPr>
      <w:keepNext/>
      <w:spacing w:before="240" w:after="120"/>
      <w:ind w:left="1134" w:hanging="1134"/>
      <w:outlineLvl w:val="1"/>
    </w:pPr>
    <w:rPr>
      <w:rFonts w:asciiTheme="majorHAnsi" w:hAnsiTheme="majorHAnsi"/>
      <w:b/>
      <w:sz w:val="28"/>
    </w:rPr>
  </w:style>
  <w:style w:type="paragraph" w:customStyle="1" w:styleId="AppendixHeading3">
    <w:name w:val="Appendix Heading 3"/>
    <w:basedOn w:val="Normal"/>
    <w:next w:val="BodyText"/>
    <w:uiPriority w:val="19"/>
    <w:qFormat/>
    <w:rsid w:val="003A706E"/>
    <w:pPr>
      <w:keepNext/>
      <w:spacing w:before="240" w:after="120"/>
      <w:ind w:left="1134" w:hanging="1134"/>
      <w:outlineLvl w:val="2"/>
    </w:pPr>
    <w:rPr>
      <w:rFonts w:asciiTheme="majorHAnsi" w:hAnsiTheme="majorHAnsi"/>
      <w:b/>
      <w:sz w:val="24"/>
    </w:rPr>
  </w:style>
  <w:style w:type="paragraph" w:customStyle="1" w:styleId="AppendixHeading4">
    <w:name w:val="Appendix Heading 4"/>
    <w:basedOn w:val="Normal"/>
    <w:next w:val="BodyText"/>
    <w:uiPriority w:val="19"/>
    <w:qFormat/>
    <w:rsid w:val="003A706E"/>
    <w:pPr>
      <w:keepNext/>
      <w:spacing w:before="240" w:after="120"/>
      <w:ind w:left="1134" w:hanging="1134"/>
      <w:outlineLvl w:val="3"/>
    </w:pPr>
    <w:rPr>
      <w:rFonts w:asciiTheme="majorHAnsi" w:hAnsiTheme="majorHAnsi"/>
      <w:b/>
      <w:sz w:val="22"/>
    </w:rPr>
  </w:style>
  <w:style w:type="paragraph" w:customStyle="1" w:styleId="TableBullet">
    <w:name w:val="Table Bullet"/>
    <w:basedOn w:val="Normal"/>
    <w:uiPriority w:val="6"/>
    <w:qFormat/>
    <w:rsid w:val="00FC4E10"/>
    <w:pPr>
      <w:numPr>
        <w:numId w:val="17"/>
      </w:numPr>
      <w:spacing w:before="60" w:after="60"/>
      <w:ind w:left="288" w:hanging="288"/>
    </w:pPr>
    <w:rPr>
      <w:rFonts w:cstheme="majorHAnsi"/>
      <w:lang w:val="en-US"/>
    </w:rPr>
  </w:style>
  <w:style w:type="paragraph" w:customStyle="1" w:styleId="FigureNumberandTitle">
    <w:name w:val="Figure Number and Title"/>
    <w:next w:val="FigureCaption"/>
    <w:uiPriority w:val="99"/>
    <w:semiHidden/>
    <w:rsid w:val="00015FE5"/>
    <w:pPr>
      <w:spacing w:before="120" w:after="40"/>
      <w:ind w:left="907" w:hanging="907"/>
    </w:pPr>
    <w:rPr>
      <w:b/>
      <w:lang w:val="en-US" w:eastAsia="en-US"/>
    </w:rPr>
  </w:style>
  <w:style w:type="paragraph" w:customStyle="1" w:styleId="Sourcecitation">
    <w:name w:val="Source/citation"/>
    <w:next w:val="BodyText"/>
    <w:uiPriority w:val="99"/>
    <w:semiHidden/>
    <w:rsid w:val="00015FE5"/>
    <w:pPr>
      <w:spacing w:before="40" w:after="40"/>
    </w:pPr>
    <w:rPr>
      <w:i/>
      <w:sz w:val="18"/>
      <w:lang w:val="en-US" w:eastAsia="en-US"/>
    </w:rPr>
  </w:style>
  <w:style w:type="paragraph" w:customStyle="1" w:styleId="CoverHeading">
    <w:name w:val="Cover Heading"/>
    <w:basedOn w:val="Normal"/>
    <w:uiPriority w:val="99"/>
    <w:semiHidden/>
    <w:rsid w:val="00015FE5"/>
    <w:pPr>
      <w:spacing w:before="240" w:after="1200"/>
    </w:pPr>
    <w:rPr>
      <w:rFonts w:asciiTheme="majorHAnsi" w:hAnsiTheme="majorHAnsi"/>
      <w:b/>
      <w:color w:val="231EDC" w:themeColor="accent1"/>
      <w:sz w:val="52"/>
    </w:rPr>
  </w:style>
  <w:style w:type="paragraph" w:customStyle="1" w:styleId="CoverInformationBold">
    <w:name w:val="Cover Information Bold"/>
    <w:basedOn w:val="CoverInformation"/>
    <w:uiPriority w:val="99"/>
    <w:semiHidden/>
    <w:rsid w:val="00015FE5"/>
    <w:pPr>
      <w:spacing w:after="0"/>
    </w:pPr>
    <w:rPr>
      <w:b/>
      <w:bCs/>
    </w:rPr>
  </w:style>
  <w:style w:type="paragraph" w:customStyle="1" w:styleId="CoverInformation">
    <w:name w:val="Cover Information"/>
    <w:basedOn w:val="Normal"/>
    <w:uiPriority w:val="99"/>
    <w:semiHidden/>
    <w:rsid w:val="00015FE5"/>
    <w:pPr>
      <w:spacing w:after="480"/>
      <w:contextualSpacing/>
    </w:pPr>
    <w:rPr>
      <w:rFonts w:ascii="Jacobs Chronos Light" w:hAnsi="Jacobs Chronos Light"/>
      <w:sz w:val="28"/>
    </w:rPr>
  </w:style>
  <w:style w:type="paragraph" w:customStyle="1" w:styleId="TableText1Number">
    <w:name w:val="Table Text 1 Number"/>
    <w:basedOn w:val="TableText"/>
    <w:uiPriority w:val="99"/>
    <w:semiHidden/>
    <w:rsid w:val="00015FE5"/>
  </w:style>
  <w:style w:type="paragraph" w:customStyle="1" w:styleId="Disclaimer">
    <w:name w:val="Disclaimer"/>
    <w:basedOn w:val="Normal"/>
    <w:uiPriority w:val="99"/>
    <w:semiHidden/>
    <w:rsid w:val="00015FE5"/>
    <w:pPr>
      <w:spacing w:before="180"/>
    </w:pPr>
    <w:rPr>
      <w:rFonts w:ascii="Jacobs Chronos Light" w:hAnsi="Jacobs Chronos Light"/>
      <w:sz w:val="16"/>
    </w:rPr>
  </w:style>
  <w:style w:type="character" w:customStyle="1" w:styleId="Heading2Char">
    <w:name w:val="Heading 2 Char"/>
    <w:basedOn w:val="DefaultParagraphFont"/>
    <w:link w:val="Heading2"/>
    <w:rsid w:val="00015FE5"/>
    <w:rPr>
      <w:rFonts w:ascii="Arial" w:eastAsiaTheme="majorEastAsia" w:hAnsi="Arial" w:cstheme="majorBidi"/>
      <w:b/>
      <w:sz w:val="28"/>
      <w:szCs w:val="26"/>
      <w:lang w:eastAsia="en-US"/>
    </w:rPr>
  </w:style>
  <w:style w:type="paragraph" w:customStyle="1" w:styleId="Divider">
    <w:name w:val="Divider"/>
    <w:uiPriority w:val="99"/>
    <w:semiHidden/>
    <w:rsid w:val="00015FE5"/>
    <w:pPr>
      <w:outlineLvl w:val="0"/>
    </w:pPr>
    <w:rPr>
      <w:rFonts w:eastAsia="MS Gothic" w:cs="Jacobs Chronos Light"/>
      <w:b/>
      <w:color w:val="231EDC"/>
      <w:sz w:val="52"/>
      <w:szCs w:val="56"/>
      <w:lang w:val="en-US" w:eastAsia="en-US"/>
    </w:rPr>
  </w:style>
  <w:style w:type="paragraph" w:customStyle="1" w:styleId="Headingunnumbered1">
    <w:name w:val="Heading (unnumbered) 1"/>
    <w:basedOn w:val="Normal"/>
    <w:next w:val="BodyText"/>
    <w:uiPriority w:val="1"/>
    <w:qFormat/>
    <w:rsid w:val="008A7232"/>
    <w:pPr>
      <w:keepNext/>
      <w:spacing w:before="240" w:after="120"/>
      <w:outlineLvl w:val="0"/>
    </w:pPr>
    <w:rPr>
      <w:b/>
      <w:color w:val="231EDC" w:themeColor="accent1"/>
      <w:sz w:val="32"/>
    </w:rPr>
  </w:style>
  <w:style w:type="paragraph" w:customStyle="1" w:styleId="Headingunnumbered2">
    <w:name w:val="Heading (unnumbered) 2"/>
    <w:basedOn w:val="Normal"/>
    <w:next w:val="BodyText"/>
    <w:uiPriority w:val="1"/>
    <w:qFormat/>
    <w:rsid w:val="00015FE5"/>
    <w:pPr>
      <w:keepNext/>
      <w:spacing w:before="240" w:after="120"/>
      <w:outlineLvl w:val="1"/>
    </w:pPr>
    <w:rPr>
      <w:rFonts w:asciiTheme="majorHAnsi" w:hAnsiTheme="majorHAnsi"/>
      <w:b/>
      <w:sz w:val="28"/>
    </w:rPr>
  </w:style>
  <w:style w:type="paragraph" w:customStyle="1" w:styleId="Headingunnumbered3">
    <w:name w:val="Heading (unnumbered) 3"/>
    <w:basedOn w:val="Normal"/>
    <w:next w:val="BodyText"/>
    <w:uiPriority w:val="1"/>
    <w:qFormat/>
    <w:rsid w:val="00015FE5"/>
    <w:pPr>
      <w:keepNext/>
      <w:spacing w:before="240" w:after="120"/>
      <w:outlineLvl w:val="2"/>
    </w:pPr>
    <w:rPr>
      <w:rFonts w:asciiTheme="majorHAnsi" w:hAnsiTheme="majorHAnsi"/>
      <w:b/>
      <w:sz w:val="24"/>
    </w:rPr>
  </w:style>
  <w:style w:type="paragraph" w:customStyle="1" w:styleId="TableText2Letter">
    <w:name w:val="Table Text 2 Letter"/>
    <w:basedOn w:val="TableText1Number"/>
    <w:uiPriority w:val="99"/>
    <w:semiHidden/>
    <w:rsid w:val="00015FE5"/>
  </w:style>
  <w:style w:type="paragraph" w:styleId="BalloonText">
    <w:name w:val="Balloon Text"/>
    <w:basedOn w:val="Normal"/>
    <w:link w:val="BalloonTextChar"/>
    <w:uiPriority w:val="99"/>
    <w:semiHidden/>
    <w:unhideWhenUsed/>
    <w:rsid w:val="00015F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5FE5"/>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015FE5"/>
    <w:rPr>
      <w:sz w:val="16"/>
      <w:szCs w:val="16"/>
    </w:rPr>
  </w:style>
  <w:style w:type="paragraph" w:styleId="CommentText">
    <w:name w:val="annotation text"/>
    <w:basedOn w:val="Normal"/>
    <w:link w:val="CommentTextChar"/>
    <w:uiPriority w:val="99"/>
    <w:unhideWhenUsed/>
    <w:rsid w:val="00015FE5"/>
  </w:style>
  <w:style w:type="character" w:customStyle="1" w:styleId="CommentTextChar">
    <w:name w:val="Comment Text Char"/>
    <w:basedOn w:val="DefaultParagraphFont"/>
    <w:link w:val="CommentText"/>
    <w:uiPriority w:val="99"/>
    <w:rsid w:val="00015FE5"/>
    <w:rPr>
      <w:rFonts w:asciiTheme="minorHAnsi" w:hAnsiTheme="minorHAnsi"/>
      <w:lang w:val="en-US" w:eastAsia="en-US"/>
    </w:rPr>
  </w:style>
  <w:style w:type="paragraph" w:styleId="CommentSubject">
    <w:name w:val="annotation subject"/>
    <w:basedOn w:val="CommentText"/>
    <w:next w:val="CommentText"/>
    <w:link w:val="CommentSubjectChar"/>
    <w:uiPriority w:val="99"/>
    <w:semiHidden/>
    <w:unhideWhenUsed/>
    <w:rsid w:val="00015FE5"/>
    <w:rPr>
      <w:b/>
      <w:bCs/>
    </w:rPr>
  </w:style>
  <w:style w:type="character" w:customStyle="1" w:styleId="CommentSubjectChar">
    <w:name w:val="Comment Subject Char"/>
    <w:basedOn w:val="CommentTextChar"/>
    <w:link w:val="CommentSubject"/>
    <w:uiPriority w:val="99"/>
    <w:semiHidden/>
    <w:rsid w:val="00015FE5"/>
    <w:rPr>
      <w:rFonts w:asciiTheme="minorHAnsi" w:hAnsiTheme="minorHAnsi"/>
      <w:b/>
      <w:bCs/>
      <w:lang w:val="en-US" w:eastAsia="en-US"/>
    </w:rPr>
  </w:style>
  <w:style w:type="table" w:styleId="PlainTable1">
    <w:name w:val="Plain Table 1"/>
    <w:basedOn w:val="TableNormal"/>
    <w:uiPriority w:val="41"/>
    <w:rsid w:val="00015FE5"/>
    <w:rPr>
      <w:lang w:val="en-US"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015FE5"/>
    <w:rPr>
      <w:lang w:val="en-US"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Style1">
    <w:name w:val="Style1"/>
    <w:basedOn w:val="TableNormal"/>
    <w:uiPriority w:val="99"/>
    <w:semiHidden/>
    <w:rsid w:val="00015FE5"/>
    <w:rPr>
      <w:lang w:val="en-US" w:eastAsia="en-US"/>
    </w:rPr>
    <w:tblPr/>
  </w:style>
  <w:style w:type="table" w:customStyle="1" w:styleId="Style2">
    <w:name w:val="Style2"/>
    <w:basedOn w:val="TableNormal"/>
    <w:uiPriority w:val="99"/>
    <w:semiHidden/>
    <w:rsid w:val="00015FE5"/>
    <w:rPr>
      <w:lang w:val="en-US" w:eastAsia="en-US"/>
    </w:rPr>
    <w:tblPr/>
  </w:style>
  <w:style w:type="table" w:styleId="GridTable4-Accent6">
    <w:name w:val="Grid Table 4 Accent 6"/>
    <w:basedOn w:val="TableNormal"/>
    <w:uiPriority w:val="49"/>
    <w:rsid w:val="00015FE5"/>
    <w:rPr>
      <w:lang w:val="en-US" w:eastAsia="en-US"/>
    </w:rPr>
    <w:tblPr>
      <w:tblStyleRowBandSize w:val="1"/>
      <w:tblStyleColBandSize w:val="1"/>
      <w:tblBorders>
        <w:top w:val="single" w:sz="4" w:space="0" w:color="DEDEDE" w:themeColor="accent6" w:themeTint="99"/>
        <w:left w:val="single" w:sz="4" w:space="0" w:color="DEDEDE" w:themeColor="accent6" w:themeTint="99"/>
        <w:bottom w:val="single" w:sz="4" w:space="0" w:color="DEDEDE" w:themeColor="accent6" w:themeTint="99"/>
        <w:right w:val="single" w:sz="4" w:space="0" w:color="DEDEDE" w:themeColor="accent6" w:themeTint="99"/>
        <w:insideH w:val="single" w:sz="4" w:space="0" w:color="DEDEDE" w:themeColor="accent6" w:themeTint="99"/>
        <w:insideV w:val="single" w:sz="4" w:space="0" w:color="DEDEDE" w:themeColor="accent6" w:themeTint="99"/>
      </w:tblBorders>
    </w:tblPr>
    <w:tblStylePr w:type="firstRow">
      <w:rPr>
        <w:b/>
        <w:bCs/>
        <w:color w:val="FFFFFF" w:themeColor="background1"/>
      </w:rPr>
      <w:tblPr/>
      <w:tcPr>
        <w:tcBorders>
          <w:top w:val="single" w:sz="4" w:space="0" w:color="C8C8C8" w:themeColor="accent6"/>
          <w:left w:val="single" w:sz="4" w:space="0" w:color="C8C8C8" w:themeColor="accent6"/>
          <w:bottom w:val="single" w:sz="4" w:space="0" w:color="C8C8C8" w:themeColor="accent6"/>
          <w:right w:val="single" w:sz="4" w:space="0" w:color="C8C8C8" w:themeColor="accent6"/>
          <w:insideH w:val="nil"/>
          <w:insideV w:val="nil"/>
        </w:tcBorders>
        <w:shd w:val="clear" w:color="auto" w:fill="C8C8C8" w:themeFill="accent6"/>
      </w:tcPr>
    </w:tblStylePr>
    <w:tblStylePr w:type="lastRow">
      <w:rPr>
        <w:b/>
        <w:bCs/>
      </w:rPr>
      <w:tblPr/>
      <w:tcPr>
        <w:tcBorders>
          <w:top w:val="double" w:sz="4" w:space="0" w:color="C8C8C8" w:themeColor="accent6"/>
        </w:tcBorders>
      </w:tcPr>
    </w:tblStylePr>
    <w:tblStylePr w:type="firstCol">
      <w:rPr>
        <w:b/>
        <w:bCs/>
      </w:rPr>
    </w:tblStylePr>
    <w:tblStylePr w:type="lastCol">
      <w:rPr>
        <w:b/>
        <w:bCs/>
      </w:rPr>
    </w:tblStylePr>
    <w:tblStylePr w:type="band1Vert">
      <w:tblPr/>
      <w:tcPr>
        <w:shd w:val="clear" w:color="auto" w:fill="F4F4F4" w:themeFill="accent6" w:themeFillTint="33"/>
      </w:tcPr>
    </w:tblStylePr>
    <w:tblStylePr w:type="band1Horz">
      <w:tblPr/>
      <w:tcPr>
        <w:shd w:val="clear" w:color="auto" w:fill="F4F4F4" w:themeFill="accent6" w:themeFillTint="33"/>
      </w:tcPr>
    </w:tblStylePr>
  </w:style>
  <w:style w:type="paragraph" w:customStyle="1" w:styleId="TableText3Roman">
    <w:name w:val="Table Text 3 Roman"/>
    <w:basedOn w:val="TableText"/>
    <w:uiPriority w:val="99"/>
    <w:semiHidden/>
    <w:rsid w:val="00015FE5"/>
  </w:style>
  <w:style w:type="paragraph" w:customStyle="1" w:styleId="BodyTextBold">
    <w:name w:val="Body Text Bold"/>
    <w:basedOn w:val="BodyText"/>
    <w:next w:val="BodyText"/>
    <w:uiPriority w:val="99"/>
    <w:semiHidden/>
    <w:rsid w:val="00015FE5"/>
    <w:rPr>
      <w:b/>
    </w:rPr>
  </w:style>
  <w:style w:type="paragraph" w:customStyle="1" w:styleId="TableTextBold">
    <w:name w:val="Table Text Bold"/>
    <w:basedOn w:val="TableText"/>
    <w:next w:val="TableText"/>
    <w:uiPriority w:val="99"/>
    <w:semiHidden/>
    <w:rsid w:val="00015FE5"/>
    <w:rPr>
      <w:b/>
    </w:rPr>
  </w:style>
  <w:style w:type="paragraph" w:customStyle="1" w:styleId="TableHeading2">
    <w:name w:val="Table Heading 2"/>
    <w:basedOn w:val="Normal"/>
    <w:uiPriority w:val="4"/>
    <w:qFormat/>
    <w:rsid w:val="00015FE5"/>
    <w:pPr>
      <w:spacing w:before="60" w:after="60"/>
    </w:pPr>
    <w:rPr>
      <w:rFonts w:ascii="Jacobs Chronos Cd" w:hAnsi="Jacobs Chronos Cd"/>
      <w:b/>
      <w:sz w:val="22"/>
    </w:rPr>
  </w:style>
  <w:style w:type="character" w:styleId="Hyperlink">
    <w:name w:val="Hyperlink"/>
    <w:basedOn w:val="DefaultParagraphFont"/>
    <w:uiPriority w:val="99"/>
    <w:rsid w:val="00015FE5"/>
    <w:rPr>
      <w:color w:val="231EDC" w:themeColor="hyperlink"/>
      <w:u w:val="single"/>
    </w:rPr>
  </w:style>
  <w:style w:type="paragraph" w:customStyle="1" w:styleId="DocumentSubject">
    <w:name w:val="Document Subject"/>
    <w:basedOn w:val="Normal"/>
    <w:uiPriority w:val="99"/>
    <w:semiHidden/>
    <w:rsid w:val="00015FE5"/>
    <w:pPr>
      <w:spacing w:before="360" w:after="240"/>
    </w:pPr>
    <w:rPr>
      <w:rFonts w:ascii="Jacobs Chronos Light" w:hAnsi="Jacobs Chronos Light"/>
      <w:b/>
      <w:color w:val="231EDC" w:themeColor="accent1"/>
      <w:sz w:val="24"/>
    </w:rPr>
  </w:style>
  <w:style w:type="character" w:customStyle="1" w:styleId="Heading4Char">
    <w:name w:val="Heading 4 Char"/>
    <w:basedOn w:val="DefaultParagraphFont"/>
    <w:link w:val="Heading4"/>
    <w:rsid w:val="00015FE5"/>
    <w:rPr>
      <w:rFonts w:eastAsiaTheme="majorEastAsia" w:cstheme="majorBidi"/>
      <w:b/>
      <w:iCs/>
      <w:sz w:val="24"/>
      <w:lang w:eastAsia="en-US"/>
    </w:rPr>
  </w:style>
  <w:style w:type="character" w:customStyle="1" w:styleId="Heading5Char">
    <w:name w:val="Heading 5 Char"/>
    <w:basedOn w:val="DefaultParagraphFont"/>
    <w:link w:val="Heading5"/>
    <w:rsid w:val="00015FE5"/>
    <w:rPr>
      <w:rFonts w:eastAsiaTheme="majorEastAsia" w:cstheme="majorBidi"/>
      <w:b/>
      <w:sz w:val="22"/>
      <w:lang w:eastAsia="en-US"/>
    </w:rPr>
  </w:style>
  <w:style w:type="character" w:customStyle="1" w:styleId="Heading6Char">
    <w:name w:val="Heading 6 Char"/>
    <w:basedOn w:val="DefaultParagraphFont"/>
    <w:link w:val="Heading6"/>
    <w:rsid w:val="00015FE5"/>
    <w:rPr>
      <w:rFonts w:eastAsiaTheme="majorEastAsia" w:cstheme="majorBidi"/>
      <w:b/>
      <w:lang w:eastAsia="en-US"/>
    </w:rPr>
  </w:style>
  <w:style w:type="character" w:customStyle="1" w:styleId="Heading7Char">
    <w:name w:val="Heading 7 Char"/>
    <w:basedOn w:val="DefaultParagraphFont"/>
    <w:link w:val="Heading7"/>
    <w:uiPriority w:val="99"/>
    <w:semiHidden/>
    <w:rsid w:val="00015FE5"/>
    <w:rPr>
      <w:rFonts w:eastAsiaTheme="majorEastAsia" w:cstheme="majorBidi"/>
      <w:b/>
      <w:iCs/>
      <w:lang w:eastAsia="en-US"/>
    </w:rPr>
  </w:style>
  <w:style w:type="character" w:customStyle="1" w:styleId="Heading8Char">
    <w:name w:val="Heading 8 Char"/>
    <w:basedOn w:val="DefaultParagraphFont"/>
    <w:link w:val="Heading8"/>
    <w:uiPriority w:val="99"/>
    <w:semiHidden/>
    <w:rsid w:val="00015FE5"/>
    <w:rPr>
      <w:rFonts w:eastAsiaTheme="majorEastAsia" w:cstheme="majorBidi"/>
      <w:b/>
      <w:sz w:val="21"/>
      <w:szCs w:val="21"/>
      <w:lang w:eastAsia="en-US"/>
    </w:rPr>
  </w:style>
  <w:style w:type="character" w:customStyle="1" w:styleId="Heading9Char">
    <w:name w:val="Heading 9 Char"/>
    <w:aliases w:val="Appendix Heading 1 Char"/>
    <w:basedOn w:val="DefaultParagraphFont"/>
    <w:link w:val="Heading9"/>
    <w:uiPriority w:val="19"/>
    <w:rsid w:val="00B41E72"/>
    <w:rPr>
      <w:rFonts w:ascii="Arial" w:eastAsiaTheme="majorEastAsia" w:hAnsi="Arial" w:cstheme="majorBidi"/>
      <w:b/>
      <w:iCs/>
      <w:color w:val="231EDC" w:themeColor="accent1"/>
      <w:sz w:val="32"/>
      <w:szCs w:val="21"/>
      <w:lang w:eastAsia="en-US"/>
    </w:rPr>
  </w:style>
  <w:style w:type="numbering" w:styleId="ArticleSection">
    <w:name w:val="Outline List 3"/>
    <w:aliases w:val="REMOVE 3"/>
    <w:basedOn w:val="NoList"/>
    <w:uiPriority w:val="99"/>
    <w:semiHidden/>
    <w:unhideWhenUsed/>
    <w:rsid w:val="00015FE5"/>
    <w:pPr>
      <w:numPr>
        <w:numId w:val="1"/>
      </w:numPr>
    </w:pPr>
  </w:style>
  <w:style w:type="paragraph" w:customStyle="1" w:styleId="TableTextItalic">
    <w:name w:val="Table Text Italic"/>
    <w:basedOn w:val="TableText"/>
    <w:uiPriority w:val="99"/>
    <w:semiHidden/>
    <w:rsid w:val="00015FE5"/>
    <w:rPr>
      <w:i/>
    </w:rPr>
  </w:style>
  <w:style w:type="paragraph" w:customStyle="1" w:styleId="CaptionSubText">
    <w:name w:val="Caption Sub Text"/>
    <w:basedOn w:val="Caption"/>
    <w:next w:val="BodyText"/>
    <w:uiPriority w:val="99"/>
    <w:semiHidden/>
    <w:rsid w:val="00015FE5"/>
    <w:rPr>
      <w:rFonts w:cs="Jacobs Chronos Light"/>
      <w:b w:val="0"/>
      <w:szCs w:val="16"/>
    </w:rPr>
  </w:style>
  <w:style w:type="paragraph" w:customStyle="1" w:styleId="Footnote">
    <w:name w:val="Footnote"/>
    <w:basedOn w:val="BodyText"/>
    <w:next w:val="BodyText"/>
    <w:uiPriority w:val="99"/>
    <w:semiHidden/>
    <w:rsid w:val="00025ACF"/>
    <w:pPr>
      <w:numPr>
        <w:numId w:val="2"/>
      </w:numPr>
      <w:spacing w:before="40" w:after="40"/>
      <w:ind w:left="170" w:hanging="170"/>
    </w:pPr>
    <w:rPr>
      <w:rFonts w:cs="Jacobs Chronos Light"/>
      <w:sz w:val="16"/>
      <w:szCs w:val="16"/>
    </w:rPr>
  </w:style>
  <w:style w:type="paragraph" w:customStyle="1" w:styleId="QuoteText">
    <w:name w:val="Quote Text"/>
    <w:basedOn w:val="Normal"/>
    <w:uiPriority w:val="7"/>
    <w:qFormat/>
    <w:rsid w:val="00015FE5"/>
    <w:pPr>
      <w:spacing w:before="60" w:after="40"/>
      <w:ind w:left="1134" w:right="1134"/>
    </w:pPr>
    <w:rPr>
      <w:rFonts w:ascii="Jacobs Chronos Cd" w:hAnsi="Jacobs Chronos Cd"/>
      <w:i/>
      <w:color w:val="231EDC" w:themeColor="accent1"/>
    </w:rPr>
  </w:style>
  <w:style w:type="paragraph" w:customStyle="1" w:styleId="QuoteAuthor">
    <w:name w:val="Quote Author"/>
    <w:basedOn w:val="Normal"/>
    <w:uiPriority w:val="8"/>
    <w:qFormat/>
    <w:rsid w:val="00015FE5"/>
    <w:pPr>
      <w:spacing w:before="40" w:after="40"/>
      <w:ind w:left="1134" w:right="1134"/>
    </w:pPr>
    <w:rPr>
      <w:rFonts w:ascii="Jacobs Chronos Cd" w:hAnsi="Jacobs Chronos Cd"/>
      <w:color w:val="333333" w:themeColor="text2"/>
    </w:rPr>
  </w:style>
  <w:style w:type="paragraph" w:customStyle="1" w:styleId="QuoteAuthorTitle">
    <w:name w:val="Quote Author Title"/>
    <w:basedOn w:val="Normal"/>
    <w:next w:val="BodyText"/>
    <w:uiPriority w:val="8"/>
    <w:qFormat/>
    <w:rsid w:val="00015FE5"/>
    <w:pPr>
      <w:spacing w:before="40" w:after="60"/>
      <w:ind w:left="1134" w:right="1134"/>
    </w:pPr>
    <w:rPr>
      <w:rFonts w:ascii="Jacobs Chronos Cd" w:hAnsi="Jacobs Chronos Cd"/>
      <w:i/>
      <w:color w:val="333333" w:themeColor="text2"/>
      <w:sz w:val="16"/>
    </w:rPr>
  </w:style>
  <w:style w:type="paragraph" w:customStyle="1" w:styleId="FigureCaption">
    <w:name w:val="Figure Caption"/>
    <w:basedOn w:val="Caption"/>
    <w:next w:val="BodyText"/>
    <w:uiPriority w:val="99"/>
    <w:semiHidden/>
    <w:rsid w:val="00B45DCB"/>
  </w:style>
  <w:style w:type="paragraph" w:customStyle="1" w:styleId="TableNumberandTitle">
    <w:name w:val="Table Number and Title"/>
    <w:next w:val="TableCaption"/>
    <w:uiPriority w:val="99"/>
    <w:semiHidden/>
    <w:rsid w:val="00552B1D"/>
    <w:pPr>
      <w:keepNext/>
      <w:numPr>
        <w:numId w:val="5"/>
      </w:numPr>
      <w:spacing w:before="120" w:after="40"/>
    </w:pPr>
    <w:rPr>
      <w:b/>
      <w:color w:val="333333"/>
    </w:rPr>
  </w:style>
  <w:style w:type="paragraph" w:customStyle="1" w:styleId="TableCaption">
    <w:name w:val="Table Caption"/>
    <w:basedOn w:val="Caption"/>
    <w:next w:val="BodyText"/>
    <w:uiPriority w:val="99"/>
    <w:semiHidden/>
    <w:rsid w:val="00B45DCB"/>
    <w:pPr>
      <w:keepNext/>
    </w:pPr>
  </w:style>
  <w:style w:type="paragraph" w:customStyle="1" w:styleId="InstructionalText">
    <w:name w:val="Instructional Text"/>
    <w:uiPriority w:val="99"/>
    <w:semiHidden/>
    <w:rsid w:val="00015FE5"/>
    <w:pPr>
      <w:spacing w:before="120" w:after="120"/>
    </w:pPr>
    <w:rPr>
      <w:i/>
      <w:sz w:val="18"/>
      <w:lang w:val="en-US" w:eastAsia="en-US"/>
    </w:rPr>
  </w:style>
  <w:style w:type="paragraph" w:customStyle="1" w:styleId="BodyText4Number">
    <w:name w:val="Body Text 4 Number"/>
    <w:basedOn w:val="Normal"/>
    <w:uiPriority w:val="2"/>
    <w:qFormat/>
    <w:rsid w:val="00015FE5"/>
    <w:pPr>
      <w:spacing w:after="120"/>
      <w:ind w:left="1429" w:hanging="357"/>
    </w:pPr>
  </w:style>
  <w:style w:type="paragraph" w:styleId="TOC1">
    <w:name w:val="toc 1"/>
    <w:basedOn w:val="Normal"/>
    <w:next w:val="Normal"/>
    <w:autoRedefine/>
    <w:uiPriority w:val="39"/>
    <w:rsid w:val="00480EB6"/>
    <w:pPr>
      <w:tabs>
        <w:tab w:val="right" w:leader="dot" w:pos="9628"/>
      </w:tabs>
      <w:spacing w:after="100"/>
      <w:ind w:left="567" w:hanging="567"/>
    </w:pPr>
    <w:rPr>
      <w:b/>
    </w:rPr>
  </w:style>
  <w:style w:type="paragraph" w:styleId="TOC2">
    <w:name w:val="toc 2"/>
    <w:basedOn w:val="Normal"/>
    <w:next w:val="Normal"/>
    <w:autoRedefine/>
    <w:uiPriority w:val="39"/>
    <w:rsid w:val="00C40678"/>
    <w:pPr>
      <w:tabs>
        <w:tab w:val="left" w:pos="1134"/>
        <w:tab w:val="right" w:leader="dot" w:pos="9628"/>
      </w:tabs>
      <w:spacing w:after="100"/>
      <w:ind w:left="1134" w:hanging="567"/>
    </w:pPr>
    <w:rPr>
      <w:lang w:val="en-US"/>
    </w:rPr>
  </w:style>
  <w:style w:type="paragraph" w:styleId="TOC3">
    <w:name w:val="toc 3"/>
    <w:basedOn w:val="Normal"/>
    <w:next w:val="Normal"/>
    <w:autoRedefine/>
    <w:uiPriority w:val="99"/>
    <w:semiHidden/>
    <w:rsid w:val="00015FE5"/>
    <w:pPr>
      <w:spacing w:after="100"/>
      <w:ind w:left="1701" w:hanging="567"/>
    </w:pPr>
  </w:style>
  <w:style w:type="paragraph" w:styleId="TOCHeading">
    <w:name w:val="TOC Heading"/>
    <w:basedOn w:val="Normal"/>
    <w:next w:val="Normal"/>
    <w:uiPriority w:val="39"/>
    <w:semiHidden/>
    <w:rsid w:val="00015FE5"/>
    <w:pPr>
      <w:spacing w:before="120" w:after="120"/>
      <w:outlineLvl w:val="0"/>
    </w:pPr>
    <w:rPr>
      <w:rFonts w:asciiTheme="majorHAnsi" w:hAnsiTheme="majorHAnsi"/>
      <w:b/>
      <w:color w:val="231EDC" w:themeColor="accent1"/>
      <w:sz w:val="28"/>
    </w:rPr>
  </w:style>
  <w:style w:type="paragraph" w:customStyle="1" w:styleId="TableBullet2ndLevel">
    <w:name w:val="Table Bullet 2nd Level"/>
    <w:basedOn w:val="TableBullet"/>
    <w:uiPriority w:val="99"/>
    <w:semiHidden/>
    <w:rsid w:val="00025ACF"/>
    <w:pPr>
      <w:numPr>
        <w:numId w:val="3"/>
      </w:numPr>
      <w:ind w:left="340" w:hanging="170"/>
    </w:pPr>
  </w:style>
  <w:style w:type="paragraph" w:styleId="FootnoteText">
    <w:name w:val="footnote text"/>
    <w:basedOn w:val="Normal"/>
    <w:link w:val="FootnoteTextChar"/>
    <w:uiPriority w:val="99"/>
    <w:semiHidden/>
    <w:rsid w:val="00015FE5"/>
    <w:pPr>
      <w:spacing w:before="60" w:after="60"/>
      <w:ind w:left="176" w:hanging="176"/>
    </w:pPr>
    <w:rPr>
      <w:sz w:val="16"/>
    </w:rPr>
  </w:style>
  <w:style w:type="character" w:customStyle="1" w:styleId="FootnoteTextChar">
    <w:name w:val="Footnote Text Char"/>
    <w:basedOn w:val="DefaultParagraphFont"/>
    <w:link w:val="FootnoteText"/>
    <w:uiPriority w:val="99"/>
    <w:rsid w:val="00015FE5"/>
    <w:rPr>
      <w:rFonts w:asciiTheme="minorHAnsi" w:hAnsiTheme="minorHAnsi"/>
      <w:sz w:val="16"/>
      <w:lang w:val="en-US" w:eastAsia="en-US"/>
    </w:rPr>
  </w:style>
  <w:style w:type="paragraph" w:customStyle="1" w:styleId="HeaderSpacer">
    <w:name w:val="Header Spacer"/>
    <w:basedOn w:val="Header"/>
    <w:uiPriority w:val="99"/>
    <w:semiHidden/>
    <w:rsid w:val="00015FE5"/>
    <w:rPr>
      <w:sz w:val="16"/>
    </w:rPr>
  </w:style>
  <w:style w:type="paragraph" w:customStyle="1" w:styleId="AcronymText">
    <w:name w:val="Acronym Text"/>
    <w:basedOn w:val="BodyText"/>
    <w:uiPriority w:val="99"/>
    <w:semiHidden/>
    <w:rsid w:val="00015FE5"/>
    <w:pPr>
      <w:tabs>
        <w:tab w:val="left" w:pos="2160"/>
      </w:tabs>
    </w:pPr>
  </w:style>
  <w:style w:type="paragraph" w:styleId="BodyText">
    <w:name w:val="Body Text"/>
    <w:basedOn w:val="Normal"/>
    <w:link w:val="BodyTextChar"/>
    <w:qFormat/>
    <w:rsid w:val="008A7232"/>
    <w:pPr>
      <w:spacing w:before="180" w:after="60"/>
    </w:pPr>
    <w:rPr>
      <w:sz w:val="22"/>
    </w:rPr>
  </w:style>
  <w:style w:type="character" w:customStyle="1" w:styleId="BodyTextChar">
    <w:name w:val="Body Text Char"/>
    <w:basedOn w:val="DefaultParagraphFont"/>
    <w:link w:val="BodyText"/>
    <w:rsid w:val="00015FE5"/>
    <w:rPr>
      <w:rFonts w:ascii="Arial" w:hAnsi="Arial"/>
      <w:sz w:val="22"/>
      <w:lang w:eastAsia="en-US"/>
    </w:rPr>
  </w:style>
  <w:style w:type="paragraph" w:customStyle="1" w:styleId="TableNotes">
    <w:name w:val="Table Notes"/>
    <w:basedOn w:val="Normal"/>
    <w:uiPriority w:val="6"/>
    <w:qFormat/>
    <w:rsid w:val="00015FE5"/>
    <w:pPr>
      <w:spacing w:before="80" w:after="80"/>
    </w:pPr>
    <w:rPr>
      <w:rFonts w:ascii="Jacobs Chronos Cd" w:hAnsi="Jacobs Chronos Cd"/>
      <w:sz w:val="16"/>
    </w:rPr>
  </w:style>
  <w:style w:type="paragraph" w:styleId="Caption">
    <w:name w:val="caption"/>
    <w:basedOn w:val="Normal"/>
    <w:next w:val="BodyText"/>
    <w:uiPriority w:val="99"/>
    <w:semiHidden/>
    <w:rsid w:val="00015FE5"/>
    <w:pPr>
      <w:spacing w:before="120" w:after="40"/>
    </w:pPr>
    <w:rPr>
      <w:b/>
      <w:iCs/>
      <w:color w:val="333333" w:themeColor="text2"/>
      <w:szCs w:val="18"/>
    </w:rPr>
  </w:style>
  <w:style w:type="paragraph" w:customStyle="1" w:styleId="TableNotesIndented">
    <w:name w:val="Table Notes Indented"/>
    <w:basedOn w:val="Normal"/>
    <w:uiPriority w:val="6"/>
    <w:qFormat/>
    <w:rsid w:val="00015FE5"/>
    <w:pPr>
      <w:spacing w:before="80" w:after="80"/>
      <w:ind w:left="113"/>
    </w:pPr>
    <w:rPr>
      <w:rFonts w:ascii="Jacobs Chronos Cd" w:hAnsi="Jacobs Chronos Cd"/>
      <w:sz w:val="16"/>
    </w:rPr>
  </w:style>
  <w:style w:type="character" w:styleId="PlaceholderText">
    <w:name w:val="Placeholder Text"/>
    <w:basedOn w:val="DefaultParagraphFont"/>
    <w:uiPriority w:val="99"/>
    <w:semiHidden/>
    <w:rsid w:val="00015FE5"/>
    <w:rPr>
      <w:i/>
      <w:color w:val="auto"/>
      <w:bdr w:val="none" w:sz="0" w:space="0" w:color="auto"/>
      <w:shd w:val="clear" w:color="auto" w:fill="auto"/>
    </w:rPr>
  </w:style>
  <w:style w:type="paragraph" w:customStyle="1" w:styleId="TableBullet3rdLevel">
    <w:name w:val="Table Bullet 3rd Level"/>
    <w:basedOn w:val="TableBullet2ndLevel"/>
    <w:uiPriority w:val="99"/>
    <w:semiHidden/>
    <w:rsid w:val="00025ACF"/>
    <w:pPr>
      <w:numPr>
        <w:numId w:val="4"/>
      </w:numPr>
      <w:ind w:left="510" w:hanging="170"/>
    </w:pPr>
  </w:style>
  <w:style w:type="character" w:styleId="FootnoteReference">
    <w:name w:val="footnote reference"/>
    <w:basedOn w:val="DefaultParagraphFont"/>
    <w:uiPriority w:val="99"/>
    <w:semiHidden/>
    <w:unhideWhenUsed/>
    <w:rsid w:val="00015FE5"/>
    <w:rPr>
      <w:vertAlign w:val="superscript"/>
    </w:rPr>
  </w:style>
  <w:style w:type="paragraph" w:styleId="BodyText3">
    <w:name w:val="Body Text 3"/>
    <w:basedOn w:val="Normal"/>
    <w:link w:val="BodyText3Char"/>
    <w:uiPriority w:val="99"/>
    <w:semiHidden/>
    <w:unhideWhenUsed/>
    <w:rsid w:val="00015FE5"/>
    <w:pPr>
      <w:spacing w:after="120"/>
    </w:pPr>
    <w:rPr>
      <w:sz w:val="16"/>
      <w:szCs w:val="16"/>
    </w:rPr>
  </w:style>
  <w:style w:type="character" w:customStyle="1" w:styleId="BodyText3Char">
    <w:name w:val="Body Text 3 Char"/>
    <w:basedOn w:val="DefaultParagraphFont"/>
    <w:link w:val="BodyText3"/>
    <w:uiPriority w:val="99"/>
    <w:semiHidden/>
    <w:rsid w:val="00015FE5"/>
    <w:rPr>
      <w:rFonts w:asciiTheme="minorHAnsi" w:hAnsiTheme="minorHAnsi"/>
      <w:sz w:val="16"/>
      <w:szCs w:val="16"/>
      <w:lang w:val="en-US" w:eastAsia="en-US"/>
    </w:rPr>
  </w:style>
  <w:style w:type="paragraph" w:customStyle="1" w:styleId="TableHeadingWhite">
    <w:name w:val="Table Heading White"/>
    <w:basedOn w:val="Normal"/>
    <w:uiPriority w:val="3"/>
    <w:qFormat/>
    <w:rsid w:val="0095057F"/>
    <w:pPr>
      <w:keepNext/>
      <w:spacing w:before="120" w:after="120"/>
    </w:pPr>
    <w:rPr>
      <w:b/>
      <w:color w:val="FFFFFF" w:themeColor="background1"/>
    </w:rPr>
  </w:style>
  <w:style w:type="paragraph" w:styleId="ListParagraph">
    <w:name w:val="List Paragraph"/>
    <w:aliases w:val="Bullet List,NFP GP Bulleted List,Recommendation,List Paragraph1,L,List Paragraph11,List Paragraph Number,Bullet point,Content descriptions,Bullet Point,bullet point list,List Paragraph2"/>
    <w:basedOn w:val="Normal"/>
    <w:link w:val="ListParagraphChar"/>
    <w:uiPriority w:val="99"/>
    <w:rsid w:val="00015FE5"/>
    <w:pPr>
      <w:ind w:left="720"/>
      <w:contextualSpacing/>
    </w:pPr>
  </w:style>
  <w:style w:type="paragraph" w:customStyle="1" w:styleId="BlankPage">
    <w:name w:val="Blank Page"/>
    <w:basedOn w:val="Normal"/>
    <w:uiPriority w:val="99"/>
    <w:semiHidden/>
    <w:rsid w:val="00015FE5"/>
    <w:rPr>
      <w:rFonts w:eastAsiaTheme="majorEastAsia" w:cs="Jacobs Chronos Light"/>
      <w:b/>
      <w:color w:val="231EDC" w:themeColor="accent1"/>
      <w:sz w:val="28"/>
      <w:szCs w:val="56"/>
    </w:rPr>
  </w:style>
  <w:style w:type="table" w:customStyle="1" w:styleId="TableGrid1">
    <w:name w:val="Table Grid1"/>
    <w:basedOn w:val="TableNormal"/>
    <w:next w:val="TableGrid"/>
    <w:uiPriority w:val="99"/>
    <w:semiHidden/>
    <w:rsid w:val="00015FE5"/>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15FE5"/>
    <w:rPr>
      <w:lang w:val="en-US" w:eastAsia="en-US"/>
    </w:rPr>
  </w:style>
  <w:style w:type="numbering" w:customStyle="1" w:styleId="Headings">
    <w:name w:val="Headings"/>
    <w:uiPriority w:val="99"/>
    <w:semiHidden/>
    <w:rsid w:val="00015FE5"/>
    <w:pPr>
      <w:numPr>
        <w:numId w:val="8"/>
      </w:numPr>
    </w:pPr>
  </w:style>
  <w:style w:type="paragraph" w:customStyle="1" w:styleId="TableNumber">
    <w:name w:val="Table Number"/>
    <w:basedOn w:val="BodyText"/>
    <w:uiPriority w:val="5"/>
    <w:qFormat/>
    <w:rsid w:val="00EA7367"/>
    <w:pPr>
      <w:widowControl w:val="0"/>
      <w:numPr>
        <w:numId w:val="25"/>
      </w:numPr>
      <w:spacing w:before="40" w:after="40"/>
    </w:pPr>
    <w:rPr>
      <w:sz w:val="20"/>
    </w:rPr>
  </w:style>
  <w:style w:type="paragraph" w:styleId="Title">
    <w:name w:val="Title"/>
    <w:basedOn w:val="Normal"/>
    <w:next w:val="Normal"/>
    <w:link w:val="TitleChar"/>
    <w:uiPriority w:val="99"/>
    <w:semiHidden/>
    <w:rsid w:val="00015FE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99"/>
    <w:semiHidden/>
    <w:rsid w:val="00015FE5"/>
    <w:rPr>
      <w:rFonts w:eastAsiaTheme="majorEastAsia" w:cstheme="majorBidi"/>
      <w:spacing w:val="-10"/>
      <w:kern w:val="28"/>
      <w:sz w:val="56"/>
      <w:szCs w:val="56"/>
      <w:lang w:val="en-US" w:eastAsia="en-US"/>
    </w:rPr>
  </w:style>
  <w:style w:type="paragraph" w:styleId="Bibliography">
    <w:name w:val="Bibliography"/>
    <w:basedOn w:val="Normal"/>
    <w:next w:val="Normal"/>
    <w:uiPriority w:val="99"/>
    <w:semiHidden/>
    <w:unhideWhenUsed/>
    <w:rsid w:val="00015FE5"/>
  </w:style>
  <w:style w:type="paragraph" w:styleId="BlockText">
    <w:name w:val="Block Text"/>
    <w:basedOn w:val="Normal"/>
    <w:uiPriority w:val="99"/>
    <w:semiHidden/>
    <w:unhideWhenUsed/>
    <w:rsid w:val="00015FE5"/>
    <w:pPr>
      <w:pBdr>
        <w:top w:val="single" w:sz="2" w:space="10" w:color="231EDC" w:themeColor="accent1" w:frame="1"/>
        <w:left w:val="single" w:sz="2" w:space="10" w:color="231EDC" w:themeColor="accent1" w:frame="1"/>
        <w:bottom w:val="single" w:sz="2" w:space="10" w:color="231EDC" w:themeColor="accent1" w:frame="1"/>
        <w:right w:val="single" w:sz="2" w:space="10" w:color="231EDC" w:themeColor="accent1" w:frame="1"/>
      </w:pBdr>
      <w:ind w:left="1152" w:right="1152"/>
    </w:pPr>
    <w:rPr>
      <w:i/>
      <w:iCs/>
      <w:color w:val="231EDC" w:themeColor="accent1"/>
    </w:rPr>
  </w:style>
  <w:style w:type="paragraph" w:styleId="BodyText2">
    <w:name w:val="Body Text 2"/>
    <w:basedOn w:val="Normal"/>
    <w:link w:val="BodyText2Char"/>
    <w:uiPriority w:val="99"/>
    <w:semiHidden/>
    <w:unhideWhenUsed/>
    <w:rsid w:val="00015FE5"/>
    <w:pPr>
      <w:spacing w:after="120" w:line="480" w:lineRule="auto"/>
    </w:pPr>
  </w:style>
  <w:style w:type="character" w:customStyle="1" w:styleId="BodyText2Char">
    <w:name w:val="Body Text 2 Char"/>
    <w:basedOn w:val="DefaultParagraphFont"/>
    <w:link w:val="BodyText2"/>
    <w:uiPriority w:val="99"/>
    <w:semiHidden/>
    <w:rsid w:val="00015FE5"/>
    <w:rPr>
      <w:rFonts w:asciiTheme="minorHAnsi" w:hAnsiTheme="minorHAnsi"/>
      <w:lang w:val="en-US" w:eastAsia="en-US"/>
    </w:rPr>
  </w:style>
  <w:style w:type="paragraph" w:styleId="BodyTextFirstIndent">
    <w:name w:val="Body Text First Indent"/>
    <w:basedOn w:val="BodyText"/>
    <w:link w:val="BodyTextFirstIndentChar"/>
    <w:uiPriority w:val="99"/>
    <w:semiHidden/>
    <w:unhideWhenUsed/>
    <w:rsid w:val="00015FE5"/>
    <w:pPr>
      <w:spacing w:after="0"/>
      <w:ind w:firstLine="360"/>
    </w:pPr>
  </w:style>
  <w:style w:type="character" w:customStyle="1" w:styleId="BodyTextFirstIndentChar">
    <w:name w:val="Body Text First Indent Char"/>
    <w:basedOn w:val="BodyTextChar"/>
    <w:link w:val="BodyTextFirstIndent"/>
    <w:uiPriority w:val="99"/>
    <w:semiHidden/>
    <w:rsid w:val="00015FE5"/>
    <w:rPr>
      <w:rFonts w:asciiTheme="minorHAnsi" w:hAnsiTheme="minorHAnsi"/>
      <w:sz w:val="22"/>
      <w:lang w:val="en-US" w:eastAsia="en-US"/>
    </w:rPr>
  </w:style>
  <w:style w:type="paragraph" w:styleId="BodyTextIndent">
    <w:name w:val="Body Text Indent"/>
    <w:basedOn w:val="Normal"/>
    <w:link w:val="BodyTextIndentChar"/>
    <w:uiPriority w:val="99"/>
    <w:semiHidden/>
    <w:unhideWhenUsed/>
    <w:rsid w:val="00015FE5"/>
    <w:pPr>
      <w:spacing w:after="120"/>
      <w:ind w:left="283"/>
    </w:pPr>
  </w:style>
  <w:style w:type="character" w:customStyle="1" w:styleId="BodyTextIndentChar">
    <w:name w:val="Body Text Indent Char"/>
    <w:basedOn w:val="DefaultParagraphFont"/>
    <w:link w:val="BodyTextIndent"/>
    <w:uiPriority w:val="99"/>
    <w:semiHidden/>
    <w:rsid w:val="00015FE5"/>
    <w:rPr>
      <w:rFonts w:asciiTheme="minorHAnsi" w:hAnsiTheme="minorHAnsi"/>
      <w:lang w:val="en-US" w:eastAsia="en-US"/>
    </w:rPr>
  </w:style>
  <w:style w:type="paragraph" w:styleId="BodyTextFirstIndent2">
    <w:name w:val="Body Text First Indent 2"/>
    <w:basedOn w:val="Normal"/>
    <w:link w:val="BodyTextFirstIndent2Char"/>
    <w:uiPriority w:val="99"/>
    <w:semiHidden/>
    <w:unhideWhenUsed/>
    <w:rsid w:val="00015FE5"/>
    <w:pPr>
      <w:ind w:left="360" w:firstLine="360"/>
    </w:pPr>
  </w:style>
  <w:style w:type="character" w:customStyle="1" w:styleId="BodyTextFirstIndent2Char">
    <w:name w:val="Body Text First Indent 2 Char"/>
    <w:basedOn w:val="DefaultParagraphFont"/>
    <w:link w:val="BodyTextFirstIndent2"/>
    <w:uiPriority w:val="99"/>
    <w:semiHidden/>
    <w:rsid w:val="00015FE5"/>
    <w:rPr>
      <w:rFonts w:asciiTheme="minorHAnsi" w:hAnsiTheme="minorHAnsi"/>
      <w:lang w:val="en-US" w:eastAsia="en-US"/>
    </w:rPr>
  </w:style>
  <w:style w:type="paragraph" w:styleId="BodyTextIndent2">
    <w:name w:val="Body Text Indent 2"/>
    <w:basedOn w:val="Normal"/>
    <w:link w:val="BodyTextIndent2Char"/>
    <w:uiPriority w:val="99"/>
    <w:semiHidden/>
    <w:unhideWhenUsed/>
    <w:rsid w:val="00015FE5"/>
    <w:pPr>
      <w:spacing w:after="120" w:line="276" w:lineRule="auto"/>
      <w:ind w:left="1418"/>
    </w:pPr>
  </w:style>
  <w:style w:type="character" w:customStyle="1" w:styleId="BodyTextIndent2Char">
    <w:name w:val="Body Text Indent 2 Char"/>
    <w:basedOn w:val="DefaultParagraphFont"/>
    <w:link w:val="BodyTextIndent2"/>
    <w:uiPriority w:val="99"/>
    <w:semiHidden/>
    <w:rsid w:val="00015FE5"/>
    <w:rPr>
      <w:rFonts w:asciiTheme="minorHAnsi" w:hAnsiTheme="minorHAnsi"/>
      <w:lang w:val="en-US" w:eastAsia="en-US"/>
    </w:rPr>
  </w:style>
  <w:style w:type="paragraph" w:styleId="BodyTextIndent3">
    <w:name w:val="Body Text Indent 3"/>
    <w:basedOn w:val="Normal"/>
    <w:link w:val="BodyTextIndent3Char"/>
    <w:uiPriority w:val="99"/>
    <w:semiHidden/>
    <w:unhideWhenUsed/>
    <w:rsid w:val="00015FE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15FE5"/>
    <w:rPr>
      <w:rFonts w:asciiTheme="minorHAnsi" w:hAnsiTheme="minorHAnsi"/>
      <w:sz w:val="16"/>
      <w:szCs w:val="16"/>
      <w:lang w:val="en-US" w:eastAsia="en-US"/>
    </w:rPr>
  </w:style>
  <w:style w:type="character" w:styleId="BookTitle">
    <w:name w:val="Book Title"/>
    <w:basedOn w:val="DefaultParagraphFont"/>
    <w:uiPriority w:val="99"/>
    <w:semiHidden/>
    <w:rsid w:val="00015FE5"/>
    <w:rPr>
      <w:b/>
      <w:bCs/>
      <w:i/>
      <w:iCs/>
      <w:spacing w:val="5"/>
    </w:rPr>
  </w:style>
  <w:style w:type="paragraph" w:styleId="Closing">
    <w:name w:val="Closing"/>
    <w:basedOn w:val="Normal"/>
    <w:link w:val="ClosingChar"/>
    <w:uiPriority w:val="99"/>
    <w:semiHidden/>
    <w:unhideWhenUsed/>
    <w:rsid w:val="00015FE5"/>
    <w:pPr>
      <w:ind w:left="4252"/>
    </w:pPr>
  </w:style>
  <w:style w:type="character" w:customStyle="1" w:styleId="ClosingChar">
    <w:name w:val="Closing Char"/>
    <w:basedOn w:val="DefaultParagraphFont"/>
    <w:link w:val="Closing"/>
    <w:uiPriority w:val="99"/>
    <w:semiHidden/>
    <w:rsid w:val="00015FE5"/>
    <w:rPr>
      <w:rFonts w:asciiTheme="minorHAnsi" w:hAnsiTheme="minorHAnsi"/>
      <w:lang w:val="en-US" w:eastAsia="en-US"/>
    </w:rPr>
  </w:style>
  <w:style w:type="table" w:styleId="ColorfulGrid">
    <w:name w:val="Colorful Grid"/>
    <w:basedOn w:val="TableNormal"/>
    <w:uiPriority w:val="73"/>
    <w:semiHidden/>
    <w:unhideWhenUsed/>
    <w:rsid w:val="00015FE5"/>
    <w:rPr>
      <w:color w:val="000000" w:themeColor="text1"/>
      <w:lang w:val="en-US"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015FE5"/>
    <w:rPr>
      <w:color w:val="000000" w:themeColor="text1"/>
      <w:lang w:val="en-US" w:eastAsia="en-US"/>
    </w:rPr>
    <w:tblPr>
      <w:tblStyleRowBandSize w:val="1"/>
      <w:tblStyleColBandSize w:val="1"/>
      <w:tblBorders>
        <w:insideH w:val="single" w:sz="4" w:space="0" w:color="FFFFFF" w:themeColor="background1"/>
      </w:tblBorders>
    </w:tblPr>
    <w:tcPr>
      <w:shd w:val="clear" w:color="auto" w:fill="D2D1F8" w:themeFill="accent1" w:themeFillTint="33"/>
    </w:tcPr>
    <w:tblStylePr w:type="firstRow">
      <w:rPr>
        <w:b/>
        <w:bCs/>
      </w:rPr>
      <w:tblPr/>
      <w:tcPr>
        <w:shd w:val="clear" w:color="auto" w:fill="A5A3F2" w:themeFill="accent1" w:themeFillTint="66"/>
      </w:tcPr>
    </w:tblStylePr>
    <w:tblStylePr w:type="lastRow">
      <w:rPr>
        <w:b/>
        <w:bCs/>
        <w:color w:val="000000" w:themeColor="text1"/>
      </w:rPr>
      <w:tblPr/>
      <w:tcPr>
        <w:shd w:val="clear" w:color="auto" w:fill="A5A3F2" w:themeFill="accent1" w:themeFillTint="66"/>
      </w:tcPr>
    </w:tblStylePr>
    <w:tblStylePr w:type="firstCol">
      <w:rPr>
        <w:color w:val="FFFFFF" w:themeColor="background1"/>
      </w:rPr>
      <w:tblPr/>
      <w:tcPr>
        <w:shd w:val="clear" w:color="auto" w:fill="1916A4" w:themeFill="accent1" w:themeFillShade="BF"/>
      </w:tcPr>
    </w:tblStylePr>
    <w:tblStylePr w:type="lastCol">
      <w:rPr>
        <w:color w:val="FFFFFF" w:themeColor="background1"/>
      </w:rPr>
      <w:tblPr/>
      <w:tcPr>
        <w:shd w:val="clear" w:color="auto" w:fill="1916A4" w:themeFill="accent1" w:themeFillShade="BF"/>
      </w:tcPr>
    </w:tblStylePr>
    <w:tblStylePr w:type="band1Vert">
      <w:tblPr/>
      <w:tcPr>
        <w:shd w:val="clear" w:color="auto" w:fill="8F8CEF" w:themeFill="accent1" w:themeFillTint="7F"/>
      </w:tcPr>
    </w:tblStylePr>
    <w:tblStylePr w:type="band1Horz">
      <w:tblPr/>
      <w:tcPr>
        <w:shd w:val="clear" w:color="auto" w:fill="8F8CEF" w:themeFill="accent1" w:themeFillTint="7F"/>
      </w:tcPr>
    </w:tblStylePr>
  </w:style>
  <w:style w:type="table" w:styleId="ColorfulGrid-Accent2">
    <w:name w:val="Colorful Grid Accent 2"/>
    <w:basedOn w:val="TableNormal"/>
    <w:uiPriority w:val="73"/>
    <w:semiHidden/>
    <w:unhideWhenUsed/>
    <w:rsid w:val="00015FE5"/>
    <w:rPr>
      <w:color w:val="000000" w:themeColor="text1"/>
      <w:lang w:val="en-US" w:eastAsia="en-US"/>
    </w:rPr>
    <w:tblPr>
      <w:tblStyleRowBandSize w:val="1"/>
      <w:tblStyleColBandSize w:val="1"/>
      <w:tblBorders>
        <w:insideH w:val="single" w:sz="4" w:space="0" w:color="FFFFFF" w:themeColor="background1"/>
      </w:tblBorders>
    </w:tblPr>
    <w:tcPr>
      <w:shd w:val="clear" w:color="auto" w:fill="CEE4FF" w:themeFill="accent2" w:themeFillTint="33"/>
    </w:tcPr>
    <w:tblStylePr w:type="firstRow">
      <w:rPr>
        <w:b/>
        <w:bCs/>
      </w:rPr>
      <w:tblPr/>
      <w:tcPr>
        <w:shd w:val="clear" w:color="auto" w:fill="9DCAFF" w:themeFill="accent2" w:themeFillTint="66"/>
      </w:tcPr>
    </w:tblStylePr>
    <w:tblStylePr w:type="lastRow">
      <w:rPr>
        <w:b/>
        <w:bCs/>
        <w:color w:val="000000" w:themeColor="text1"/>
      </w:rPr>
      <w:tblPr/>
      <w:tcPr>
        <w:shd w:val="clear" w:color="auto" w:fill="9DCAFF" w:themeFill="accent2" w:themeFillTint="66"/>
      </w:tcPr>
    </w:tblStylePr>
    <w:tblStylePr w:type="firstCol">
      <w:rPr>
        <w:color w:val="FFFFFF" w:themeColor="background1"/>
      </w:rPr>
      <w:tblPr/>
      <w:tcPr>
        <w:shd w:val="clear" w:color="auto" w:fill="005CC6" w:themeFill="accent2" w:themeFillShade="BF"/>
      </w:tcPr>
    </w:tblStylePr>
    <w:tblStylePr w:type="lastCol">
      <w:rPr>
        <w:color w:val="FFFFFF" w:themeColor="background1"/>
      </w:rPr>
      <w:tblPr/>
      <w:tcPr>
        <w:shd w:val="clear" w:color="auto" w:fill="005CC6" w:themeFill="accent2" w:themeFillShade="BF"/>
      </w:tcPr>
    </w:tblStylePr>
    <w:tblStylePr w:type="band1Vert">
      <w:tblPr/>
      <w:tcPr>
        <w:shd w:val="clear" w:color="auto" w:fill="84BDFF" w:themeFill="accent2" w:themeFillTint="7F"/>
      </w:tcPr>
    </w:tblStylePr>
    <w:tblStylePr w:type="band1Horz">
      <w:tblPr/>
      <w:tcPr>
        <w:shd w:val="clear" w:color="auto" w:fill="84BDFF" w:themeFill="accent2" w:themeFillTint="7F"/>
      </w:tcPr>
    </w:tblStylePr>
  </w:style>
  <w:style w:type="table" w:styleId="ColorfulGrid-Accent3">
    <w:name w:val="Colorful Grid Accent 3"/>
    <w:basedOn w:val="TableNormal"/>
    <w:uiPriority w:val="73"/>
    <w:semiHidden/>
    <w:unhideWhenUsed/>
    <w:rsid w:val="00015FE5"/>
    <w:rPr>
      <w:color w:val="000000" w:themeColor="text1"/>
      <w:lang w:val="en-US" w:eastAsia="en-US"/>
    </w:rPr>
    <w:tblPr>
      <w:tblStyleRowBandSize w:val="1"/>
      <w:tblStyleColBandSize w:val="1"/>
      <w:tblBorders>
        <w:insideH w:val="single" w:sz="4" w:space="0" w:color="FFFFFF" w:themeColor="background1"/>
      </w:tblBorders>
    </w:tblPr>
    <w:tcPr>
      <w:shd w:val="clear" w:color="auto" w:fill="DEF9FF" w:themeFill="accent3" w:themeFillTint="33"/>
    </w:tcPr>
    <w:tblStylePr w:type="firstRow">
      <w:rPr>
        <w:b/>
        <w:bCs/>
      </w:rPr>
      <w:tblPr/>
      <w:tcPr>
        <w:shd w:val="clear" w:color="auto" w:fill="BDF4FF" w:themeFill="accent3" w:themeFillTint="66"/>
      </w:tcPr>
    </w:tblStylePr>
    <w:tblStylePr w:type="lastRow">
      <w:rPr>
        <w:b/>
        <w:bCs/>
        <w:color w:val="000000" w:themeColor="text1"/>
      </w:rPr>
      <w:tblPr/>
      <w:tcPr>
        <w:shd w:val="clear" w:color="auto" w:fill="BDF4FF" w:themeFill="accent3" w:themeFillTint="66"/>
      </w:tcPr>
    </w:tblStylePr>
    <w:tblStylePr w:type="firstCol">
      <w:rPr>
        <w:color w:val="FFFFFF" w:themeColor="background1"/>
      </w:rPr>
      <w:tblPr/>
      <w:tcPr>
        <w:shd w:val="clear" w:color="auto" w:fill="03D8FF" w:themeFill="accent3" w:themeFillShade="BF"/>
      </w:tcPr>
    </w:tblStylePr>
    <w:tblStylePr w:type="lastCol">
      <w:rPr>
        <w:color w:val="FFFFFF" w:themeColor="background1"/>
      </w:rPr>
      <w:tblPr/>
      <w:tcPr>
        <w:shd w:val="clear" w:color="auto" w:fill="03D8FF" w:themeFill="accent3" w:themeFillShade="BF"/>
      </w:tcPr>
    </w:tblStylePr>
    <w:tblStylePr w:type="band1Vert">
      <w:tblPr/>
      <w:tcPr>
        <w:shd w:val="clear" w:color="auto" w:fill="ACF2FF" w:themeFill="accent3" w:themeFillTint="7F"/>
      </w:tcPr>
    </w:tblStylePr>
    <w:tblStylePr w:type="band1Horz">
      <w:tblPr/>
      <w:tcPr>
        <w:shd w:val="clear" w:color="auto" w:fill="ACF2FF" w:themeFill="accent3" w:themeFillTint="7F"/>
      </w:tcPr>
    </w:tblStylePr>
  </w:style>
  <w:style w:type="table" w:styleId="ColorfulGrid-Accent4">
    <w:name w:val="Colorful Grid Accent 4"/>
    <w:basedOn w:val="TableNormal"/>
    <w:uiPriority w:val="73"/>
    <w:semiHidden/>
    <w:unhideWhenUsed/>
    <w:rsid w:val="00015FE5"/>
    <w:rPr>
      <w:color w:val="000000" w:themeColor="text1"/>
      <w:lang w:val="en-US" w:eastAsia="en-US"/>
    </w:rPr>
    <w:tblPr>
      <w:tblStyleRowBandSize w:val="1"/>
      <w:tblStyleColBandSize w:val="1"/>
      <w:tblBorders>
        <w:insideH w:val="single" w:sz="4" w:space="0" w:color="FFFFFF" w:themeColor="background1"/>
      </w:tblBorders>
    </w:tblPr>
    <w:tcPr>
      <w:shd w:val="clear" w:color="auto" w:fill="AAC8FF" w:themeFill="accent4" w:themeFillTint="33"/>
    </w:tcPr>
    <w:tblStylePr w:type="firstRow">
      <w:rPr>
        <w:b/>
        <w:bCs/>
      </w:rPr>
      <w:tblPr/>
      <w:tcPr>
        <w:shd w:val="clear" w:color="auto" w:fill="5591FF" w:themeFill="accent4" w:themeFillTint="66"/>
      </w:tcPr>
    </w:tblStylePr>
    <w:tblStylePr w:type="lastRow">
      <w:rPr>
        <w:b/>
        <w:bCs/>
        <w:color w:val="000000" w:themeColor="text1"/>
      </w:rPr>
      <w:tblPr/>
      <w:tcPr>
        <w:shd w:val="clear" w:color="auto" w:fill="5591FF" w:themeFill="accent4" w:themeFillTint="66"/>
      </w:tcPr>
    </w:tblStylePr>
    <w:tblStylePr w:type="firstCol">
      <w:rPr>
        <w:color w:val="FFFFFF" w:themeColor="background1"/>
      </w:rPr>
      <w:tblPr/>
      <w:tcPr>
        <w:shd w:val="clear" w:color="auto" w:fill="00163F" w:themeFill="accent4" w:themeFillShade="BF"/>
      </w:tcPr>
    </w:tblStylePr>
    <w:tblStylePr w:type="lastCol">
      <w:rPr>
        <w:color w:val="FFFFFF" w:themeColor="background1"/>
      </w:rPr>
      <w:tblPr/>
      <w:tcPr>
        <w:shd w:val="clear" w:color="auto" w:fill="00163F" w:themeFill="accent4" w:themeFillShade="BF"/>
      </w:tcPr>
    </w:tblStylePr>
    <w:tblStylePr w:type="band1Vert">
      <w:tblPr/>
      <w:tcPr>
        <w:shd w:val="clear" w:color="auto" w:fill="2B76FF" w:themeFill="accent4" w:themeFillTint="7F"/>
      </w:tcPr>
    </w:tblStylePr>
    <w:tblStylePr w:type="band1Horz">
      <w:tblPr/>
      <w:tcPr>
        <w:shd w:val="clear" w:color="auto" w:fill="2B76FF" w:themeFill="accent4" w:themeFillTint="7F"/>
      </w:tcPr>
    </w:tblStylePr>
  </w:style>
  <w:style w:type="table" w:styleId="ColorfulGrid-Accent5">
    <w:name w:val="Colorful Grid Accent 5"/>
    <w:basedOn w:val="TableNormal"/>
    <w:uiPriority w:val="73"/>
    <w:semiHidden/>
    <w:unhideWhenUsed/>
    <w:rsid w:val="00015FE5"/>
    <w:rPr>
      <w:color w:val="000000" w:themeColor="text1"/>
      <w:lang w:val="en-US" w:eastAsia="en-US"/>
    </w:rPr>
    <w:tblPr>
      <w:tblStyleRowBandSize w:val="1"/>
      <w:tblStyleColBandSize w:val="1"/>
      <w:tblBorders>
        <w:insideH w:val="single" w:sz="4" w:space="0" w:color="FFFFFF" w:themeColor="background1"/>
      </w:tblBorders>
    </w:tblPr>
    <w:tcPr>
      <w:shd w:val="clear" w:color="auto" w:fill="EDEDED" w:themeFill="accent5" w:themeFillTint="33"/>
    </w:tcPr>
    <w:tblStylePr w:type="firstRow">
      <w:rPr>
        <w:b/>
        <w:bCs/>
      </w:rPr>
      <w:tblPr/>
      <w:tcPr>
        <w:shd w:val="clear" w:color="auto" w:fill="DBDBDB" w:themeFill="accent5" w:themeFillTint="66"/>
      </w:tcPr>
    </w:tblStylePr>
    <w:tblStylePr w:type="lastRow">
      <w:rPr>
        <w:b/>
        <w:bCs/>
        <w:color w:val="000000" w:themeColor="text1"/>
      </w:rPr>
      <w:tblPr/>
      <w:tcPr>
        <w:shd w:val="clear" w:color="auto" w:fill="DBDBDB" w:themeFill="accent5" w:themeFillTint="66"/>
      </w:tcPr>
    </w:tblStylePr>
    <w:tblStylePr w:type="firstCol">
      <w:rPr>
        <w:color w:val="FFFFFF" w:themeColor="background1"/>
      </w:rPr>
      <w:tblPr/>
      <w:tcPr>
        <w:shd w:val="clear" w:color="auto" w:fill="7B7B7B" w:themeFill="accent5" w:themeFillShade="BF"/>
      </w:tcPr>
    </w:tblStylePr>
    <w:tblStylePr w:type="lastCol">
      <w:rPr>
        <w:color w:val="FFFFFF" w:themeColor="background1"/>
      </w:rPr>
      <w:tblPr/>
      <w:tcPr>
        <w:shd w:val="clear" w:color="auto" w:fill="7B7B7B" w:themeFill="accent5" w:themeFillShade="BF"/>
      </w:tcPr>
    </w:tblStylePr>
    <w:tblStylePr w:type="band1Vert">
      <w:tblPr/>
      <w:tcPr>
        <w:shd w:val="clear" w:color="auto" w:fill="D2D2D2" w:themeFill="accent5" w:themeFillTint="7F"/>
      </w:tcPr>
    </w:tblStylePr>
    <w:tblStylePr w:type="band1Horz">
      <w:tblPr/>
      <w:tcPr>
        <w:shd w:val="clear" w:color="auto" w:fill="D2D2D2" w:themeFill="accent5" w:themeFillTint="7F"/>
      </w:tcPr>
    </w:tblStylePr>
  </w:style>
  <w:style w:type="table" w:styleId="ColorfulGrid-Accent6">
    <w:name w:val="Colorful Grid Accent 6"/>
    <w:basedOn w:val="TableNormal"/>
    <w:uiPriority w:val="73"/>
    <w:semiHidden/>
    <w:unhideWhenUsed/>
    <w:rsid w:val="00015FE5"/>
    <w:rPr>
      <w:color w:val="000000" w:themeColor="text1"/>
      <w:lang w:val="en-US" w:eastAsia="en-US"/>
    </w:rPr>
    <w:tblPr>
      <w:tblStyleRowBandSize w:val="1"/>
      <w:tblStyleColBandSize w:val="1"/>
      <w:tblBorders>
        <w:insideH w:val="single" w:sz="4" w:space="0" w:color="FFFFFF" w:themeColor="background1"/>
      </w:tblBorders>
    </w:tblPr>
    <w:tcPr>
      <w:shd w:val="clear" w:color="auto" w:fill="F4F4F4" w:themeFill="accent6" w:themeFillTint="33"/>
    </w:tcPr>
    <w:tblStylePr w:type="firstRow">
      <w:rPr>
        <w:b/>
        <w:bCs/>
      </w:rPr>
      <w:tblPr/>
      <w:tcPr>
        <w:shd w:val="clear" w:color="auto" w:fill="E9E9E9" w:themeFill="accent6" w:themeFillTint="66"/>
      </w:tcPr>
    </w:tblStylePr>
    <w:tblStylePr w:type="lastRow">
      <w:rPr>
        <w:b/>
        <w:bCs/>
        <w:color w:val="000000" w:themeColor="text1"/>
      </w:rPr>
      <w:tblPr/>
      <w:tcPr>
        <w:shd w:val="clear" w:color="auto" w:fill="E9E9E9" w:themeFill="accent6" w:themeFillTint="66"/>
      </w:tcPr>
    </w:tblStylePr>
    <w:tblStylePr w:type="firstCol">
      <w:rPr>
        <w:color w:val="FFFFFF" w:themeColor="background1"/>
      </w:rPr>
      <w:tblPr/>
      <w:tcPr>
        <w:shd w:val="clear" w:color="auto" w:fill="959595" w:themeFill="accent6" w:themeFillShade="BF"/>
      </w:tcPr>
    </w:tblStylePr>
    <w:tblStylePr w:type="lastCol">
      <w:rPr>
        <w:color w:val="FFFFFF" w:themeColor="background1"/>
      </w:rPr>
      <w:tblPr/>
      <w:tcPr>
        <w:shd w:val="clear" w:color="auto" w:fill="959595" w:themeFill="accent6" w:themeFillShade="BF"/>
      </w:tcPr>
    </w:tblStylePr>
    <w:tblStylePr w:type="band1Vert">
      <w:tblPr/>
      <w:tcPr>
        <w:shd w:val="clear" w:color="auto" w:fill="E3E3E3" w:themeFill="accent6" w:themeFillTint="7F"/>
      </w:tcPr>
    </w:tblStylePr>
    <w:tblStylePr w:type="band1Horz">
      <w:tblPr/>
      <w:tcPr>
        <w:shd w:val="clear" w:color="auto" w:fill="E3E3E3" w:themeFill="accent6" w:themeFillTint="7F"/>
      </w:tcPr>
    </w:tblStylePr>
  </w:style>
  <w:style w:type="table" w:styleId="ColorfulList">
    <w:name w:val="Colorful List"/>
    <w:basedOn w:val="TableNormal"/>
    <w:uiPriority w:val="72"/>
    <w:semiHidden/>
    <w:unhideWhenUsed/>
    <w:rsid w:val="00015FE5"/>
    <w:rPr>
      <w:color w:val="000000" w:themeColor="text1"/>
      <w:lang w:val="en-US"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62D4" w:themeFill="accent2" w:themeFillShade="CC"/>
      </w:tcPr>
    </w:tblStylePr>
    <w:tblStylePr w:type="lastRow">
      <w:rPr>
        <w:b/>
        <w:bCs/>
        <w:color w:val="0062D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015FE5"/>
    <w:rPr>
      <w:color w:val="000000" w:themeColor="text1"/>
      <w:lang w:val="en-US" w:eastAsia="en-US"/>
    </w:rPr>
    <w:tblPr>
      <w:tblStyleRowBandSize w:val="1"/>
      <w:tblStyleColBandSize w:val="1"/>
    </w:tblPr>
    <w:tcPr>
      <w:shd w:val="clear" w:color="auto" w:fill="E8E8FC" w:themeFill="accent1" w:themeFillTint="19"/>
    </w:tcPr>
    <w:tblStylePr w:type="firstRow">
      <w:rPr>
        <w:b/>
        <w:bCs/>
        <w:color w:val="FFFFFF" w:themeColor="background1"/>
      </w:rPr>
      <w:tblPr/>
      <w:tcPr>
        <w:tcBorders>
          <w:bottom w:val="single" w:sz="12" w:space="0" w:color="FFFFFF" w:themeColor="background1"/>
        </w:tcBorders>
        <w:shd w:val="clear" w:color="auto" w:fill="0062D4" w:themeFill="accent2" w:themeFillShade="CC"/>
      </w:tcPr>
    </w:tblStylePr>
    <w:tblStylePr w:type="lastRow">
      <w:rPr>
        <w:b/>
        <w:bCs/>
        <w:color w:val="0062D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7C6F7" w:themeFill="accent1" w:themeFillTint="3F"/>
      </w:tcPr>
    </w:tblStylePr>
    <w:tblStylePr w:type="band1Horz">
      <w:tblPr/>
      <w:tcPr>
        <w:shd w:val="clear" w:color="auto" w:fill="D2D1F8" w:themeFill="accent1" w:themeFillTint="33"/>
      </w:tcPr>
    </w:tblStylePr>
  </w:style>
  <w:style w:type="table" w:styleId="ColorfulList-Accent2">
    <w:name w:val="Colorful List Accent 2"/>
    <w:basedOn w:val="TableNormal"/>
    <w:uiPriority w:val="72"/>
    <w:semiHidden/>
    <w:unhideWhenUsed/>
    <w:rsid w:val="00015FE5"/>
    <w:rPr>
      <w:color w:val="000000" w:themeColor="text1"/>
      <w:lang w:val="en-US" w:eastAsia="en-US"/>
    </w:rPr>
    <w:tblPr>
      <w:tblStyleRowBandSize w:val="1"/>
      <w:tblStyleColBandSize w:val="1"/>
    </w:tblPr>
    <w:tcPr>
      <w:shd w:val="clear" w:color="auto" w:fill="E6F2FF" w:themeFill="accent2" w:themeFillTint="19"/>
    </w:tcPr>
    <w:tblStylePr w:type="firstRow">
      <w:rPr>
        <w:b/>
        <w:bCs/>
        <w:color w:val="FFFFFF" w:themeColor="background1"/>
      </w:rPr>
      <w:tblPr/>
      <w:tcPr>
        <w:tcBorders>
          <w:bottom w:val="single" w:sz="12" w:space="0" w:color="FFFFFF" w:themeColor="background1"/>
        </w:tcBorders>
        <w:shd w:val="clear" w:color="auto" w:fill="0062D4" w:themeFill="accent2" w:themeFillShade="CC"/>
      </w:tcPr>
    </w:tblStylePr>
    <w:tblStylePr w:type="lastRow">
      <w:rPr>
        <w:b/>
        <w:bCs/>
        <w:color w:val="0062D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2DEFF" w:themeFill="accent2" w:themeFillTint="3F"/>
      </w:tcPr>
    </w:tblStylePr>
    <w:tblStylePr w:type="band1Horz">
      <w:tblPr/>
      <w:tcPr>
        <w:shd w:val="clear" w:color="auto" w:fill="CEE4FF" w:themeFill="accent2" w:themeFillTint="33"/>
      </w:tcPr>
    </w:tblStylePr>
  </w:style>
  <w:style w:type="table" w:styleId="ColorfulList-Accent3">
    <w:name w:val="Colorful List Accent 3"/>
    <w:basedOn w:val="TableNormal"/>
    <w:uiPriority w:val="72"/>
    <w:semiHidden/>
    <w:unhideWhenUsed/>
    <w:rsid w:val="00015FE5"/>
    <w:rPr>
      <w:color w:val="000000" w:themeColor="text1"/>
      <w:lang w:val="en-US" w:eastAsia="en-US"/>
    </w:rPr>
    <w:tblPr>
      <w:tblStyleRowBandSize w:val="1"/>
      <w:tblStyleColBandSize w:val="1"/>
    </w:tblPr>
    <w:tcPr>
      <w:shd w:val="clear" w:color="auto" w:fill="EEFCFF" w:themeFill="accent3" w:themeFillTint="19"/>
    </w:tcPr>
    <w:tblStylePr w:type="firstRow">
      <w:rPr>
        <w:b/>
        <w:bCs/>
        <w:color w:val="FFFFFF" w:themeColor="background1"/>
      </w:rPr>
      <w:tblPr/>
      <w:tcPr>
        <w:tcBorders>
          <w:bottom w:val="single" w:sz="12" w:space="0" w:color="FFFFFF" w:themeColor="background1"/>
        </w:tcBorders>
        <w:shd w:val="clear" w:color="auto" w:fill="001844" w:themeFill="accent4" w:themeFillShade="CC"/>
      </w:tcPr>
    </w:tblStylePr>
    <w:tblStylePr w:type="lastRow">
      <w:rPr>
        <w:b/>
        <w:bCs/>
        <w:color w:val="00184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F8FF" w:themeFill="accent3" w:themeFillTint="3F"/>
      </w:tcPr>
    </w:tblStylePr>
    <w:tblStylePr w:type="band1Horz">
      <w:tblPr/>
      <w:tcPr>
        <w:shd w:val="clear" w:color="auto" w:fill="DEF9FF" w:themeFill="accent3" w:themeFillTint="33"/>
      </w:tcPr>
    </w:tblStylePr>
  </w:style>
  <w:style w:type="table" w:styleId="ColorfulList-Accent4">
    <w:name w:val="Colorful List Accent 4"/>
    <w:basedOn w:val="TableNormal"/>
    <w:uiPriority w:val="72"/>
    <w:semiHidden/>
    <w:unhideWhenUsed/>
    <w:rsid w:val="00015FE5"/>
    <w:rPr>
      <w:color w:val="000000" w:themeColor="text1"/>
      <w:lang w:val="en-US" w:eastAsia="en-US"/>
    </w:rPr>
    <w:tblPr>
      <w:tblStyleRowBandSize w:val="1"/>
      <w:tblStyleColBandSize w:val="1"/>
    </w:tblPr>
    <w:tcPr>
      <w:shd w:val="clear" w:color="auto" w:fill="D5E4FF" w:themeFill="accent4" w:themeFillTint="19"/>
    </w:tcPr>
    <w:tblStylePr w:type="firstRow">
      <w:rPr>
        <w:b/>
        <w:bCs/>
        <w:color w:val="FFFFFF" w:themeColor="background1"/>
      </w:rPr>
      <w:tblPr/>
      <w:tcPr>
        <w:tcBorders>
          <w:bottom w:val="single" w:sz="12" w:space="0" w:color="FFFFFF" w:themeColor="background1"/>
        </w:tcBorders>
        <w:shd w:val="clear" w:color="auto" w:fill="15DBFF" w:themeFill="accent3" w:themeFillShade="CC"/>
      </w:tcPr>
    </w:tblStylePr>
    <w:tblStylePr w:type="lastRow">
      <w:rPr>
        <w:b/>
        <w:bCs/>
        <w:color w:val="15DBFF"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6BBFF" w:themeFill="accent4" w:themeFillTint="3F"/>
      </w:tcPr>
    </w:tblStylePr>
    <w:tblStylePr w:type="band1Horz">
      <w:tblPr/>
      <w:tcPr>
        <w:shd w:val="clear" w:color="auto" w:fill="AAC8FF" w:themeFill="accent4" w:themeFillTint="33"/>
      </w:tcPr>
    </w:tblStylePr>
  </w:style>
  <w:style w:type="table" w:styleId="ColorfulList-Accent5">
    <w:name w:val="Colorful List Accent 5"/>
    <w:basedOn w:val="TableNormal"/>
    <w:uiPriority w:val="72"/>
    <w:semiHidden/>
    <w:unhideWhenUsed/>
    <w:rsid w:val="00015FE5"/>
    <w:rPr>
      <w:color w:val="000000" w:themeColor="text1"/>
      <w:lang w:val="en-US" w:eastAsia="en-US"/>
    </w:rPr>
    <w:tblPr>
      <w:tblStyleRowBandSize w:val="1"/>
      <w:tblStyleColBandSize w:val="1"/>
    </w:tblPr>
    <w:tcPr>
      <w:shd w:val="clear" w:color="auto" w:fill="F6F6F6" w:themeFill="accent5" w:themeFillTint="19"/>
    </w:tcPr>
    <w:tblStylePr w:type="firstRow">
      <w:rPr>
        <w:b/>
        <w:bCs/>
        <w:color w:val="FFFFFF" w:themeColor="background1"/>
      </w:rPr>
      <w:tblPr/>
      <w:tcPr>
        <w:tcBorders>
          <w:bottom w:val="single" w:sz="12" w:space="0" w:color="FFFFFF" w:themeColor="background1"/>
        </w:tcBorders>
        <w:shd w:val="clear" w:color="auto" w:fill="A0A0A0" w:themeFill="accent6" w:themeFillShade="CC"/>
      </w:tcPr>
    </w:tblStylePr>
    <w:tblStylePr w:type="lastRow">
      <w:rPr>
        <w:b/>
        <w:bCs/>
        <w:color w:val="A0A0A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5" w:themeFillTint="3F"/>
      </w:tcPr>
    </w:tblStylePr>
    <w:tblStylePr w:type="band1Horz">
      <w:tblPr/>
      <w:tcPr>
        <w:shd w:val="clear" w:color="auto" w:fill="EDEDED" w:themeFill="accent5" w:themeFillTint="33"/>
      </w:tcPr>
    </w:tblStylePr>
  </w:style>
  <w:style w:type="table" w:styleId="ColorfulList-Accent6">
    <w:name w:val="Colorful List Accent 6"/>
    <w:basedOn w:val="TableNormal"/>
    <w:uiPriority w:val="72"/>
    <w:semiHidden/>
    <w:unhideWhenUsed/>
    <w:rsid w:val="00015FE5"/>
    <w:rPr>
      <w:color w:val="000000" w:themeColor="text1"/>
      <w:lang w:val="en-US" w:eastAsia="en-US"/>
    </w:rPr>
    <w:tblPr>
      <w:tblStyleRowBandSize w:val="1"/>
      <w:tblStyleColBandSize w:val="1"/>
    </w:tblPr>
    <w:tcPr>
      <w:shd w:val="clear" w:color="auto" w:fill="F9F9F9" w:themeFill="accent6" w:themeFillTint="19"/>
    </w:tcPr>
    <w:tblStylePr w:type="firstRow">
      <w:rPr>
        <w:b/>
        <w:bCs/>
        <w:color w:val="FFFFFF" w:themeColor="background1"/>
      </w:rPr>
      <w:tblPr/>
      <w:tcPr>
        <w:tcBorders>
          <w:bottom w:val="single" w:sz="12" w:space="0" w:color="FFFFFF" w:themeColor="background1"/>
        </w:tcBorders>
        <w:shd w:val="clear" w:color="auto" w:fill="848484" w:themeFill="accent5" w:themeFillShade="CC"/>
      </w:tcPr>
    </w:tblStylePr>
    <w:tblStylePr w:type="lastRow">
      <w:rPr>
        <w:b/>
        <w:bCs/>
        <w:color w:val="848484"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1F1F1" w:themeFill="accent6" w:themeFillTint="3F"/>
      </w:tcPr>
    </w:tblStylePr>
    <w:tblStylePr w:type="band1Horz">
      <w:tblPr/>
      <w:tcPr>
        <w:shd w:val="clear" w:color="auto" w:fill="F4F4F4" w:themeFill="accent6" w:themeFillTint="33"/>
      </w:tcPr>
    </w:tblStylePr>
  </w:style>
  <w:style w:type="table" w:styleId="ColorfulShading">
    <w:name w:val="Colorful Shading"/>
    <w:basedOn w:val="TableNormal"/>
    <w:uiPriority w:val="71"/>
    <w:semiHidden/>
    <w:unhideWhenUsed/>
    <w:rsid w:val="00015FE5"/>
    <w:rPr>
      <w:color w:val="000000" w:themeColor="text1"/>
      <w:lang w:val="en-US" w:eastAsia="en-US"/>
    </w:rPr>
    <w:tblPr>
      <w:tblStyleRowBandSize w:val="1"/>
      <w:tblStyleColBandSize w:val="1"/>
      <w:tblBorders>
        <w:top w:val="single" w:sz="24" w:space="0" w:color="0A7DFF"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A7DF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015FE5"/>
    <w:rPr>
      <w:color w:val="000000" w:themeColor="text1"/>
      <w:lang w:val="en-US" w:eastAsia="en-US"/>
    </w:rPr>
    <w:tblPr>
      <w:tblStyleRowBandSize w:val="1"/>
      <w:tblStyleColBandSize w:val="1"/>
      <w:tblBorders>
        <w:top w:val="single" w:sz="24" w:space="0" w:color="0A7DFF" w:themeColor="accent2"/>
        <w:left w:val="single" w:sz="4" w:space="0" w:color="231EDC" w:themeColor="accent1"/>
        <w:bottom w:val="single" w:sz="4" w:space="0" w:color="231EDC" w:themeColor="accent1"/>
        <w:right w:val="single" w:sz="4" w:space="0" w:color="231EDC" w:themeColor="accent1"/>
        <w:insideH w:val="single" w:sz="4" w:space="0" w:color="FFFFFF" w:themeColor="background1"/>
        <w:insideV w:val="single" w:sz="4" w:space="0" w:color="FFFFFF" w:themeColor="background1"/>
      </w:tblBorders>
    </w:tblPr>
    <w:tcPr>
      <w:shd w:val="clear" w:color="auto" w:fill="E8E8FC" w:themeFill="accent1" w:themeFillTint="19"/>
    </w:tcPr>
    <w:tblStylePr w:type="firstRow">
      <w:rPr>
        <w:b/>
        <w:bCs/>
      </w:rPr>
      <w:tblPr/>
      <w:tcPr>
        <w:tcBorders>
          <w:top w:val="nil"/>
          <w:left w:val="nil"/>
          <w:bottom w:val="single" w:sz="24" w:space="0" w:color="0A7DF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283" w:themeFill="accent1" w:themeFillShade="99"/>
      </w:tcPr>
    </w:tblStylePr>
    <w:tblStylePr w:type="firstCol">
      <w:rPr>
        <w:color w:val="FFFFFF" w:themeColor="background1"/>
      </w:rPr>
      <w:tblPr/>
      <w:tcPr>
        <w:tcBorders>
          <w:top w:val="nil"/>
          <w:left w:val="nil"/>
          <w:bottom w:val="nil"/>
          <w:right w:val="nil"/>
          <w:insideH w:val="single" w:sz="4" w:space="0" w:color="141283" w:themeColor="accent1" w:themeShade="99"/>
          <w:insideV w:val="nil"/>
        </w:tcBorders>
        <w:shd w:val="clear" w:color="auto" w:fill="14128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41283" w:themeFill="accent1" w:themeFillShade="99"/>
      </w:tcPr>
    </w:tblStylePr>
    <w:tblStylePr w:type="band1Vert">
      <w:tblPr/>
      <w:tcPr>
        <w:shd w:val="clear" w:color="auto" w:fill="A5A3F2" w:themeFill="accent1" w:themeFillTint="66"/>
      </w:tcPr>
    </w:tblStylePr>
    <w:tblStylePr w:type="band1Horz">
      <w:tblPr/>
      <w:tcPr>
        <w:shd w:val="clear" w:color="auto" w:fill="8F8CE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015FE5"/>
    <w:rPr>
      <w:color w:val="000000" w:themeColor="text1"/>
      <w:lang w:val="en-US" w:eastAsia="en-US"/>
    </w:rPr>
    <w:tblPr>
      <w:tblStyleRowBandSize w:val="1"/>
      <w:tblStyleColBandSize w:val="1"/>
      <w:tblBorders>
        <w:top w:val="single" w:sz="24" w:space="0" w:color="0A7DFF" w:themeColor="accent2"/>
        <w:left w:val="single" w:sz="4" w:space="0" w:color="0A7DFF" w:themeColor="accent2"/>
        <w:bottom w:val="single" w:sz="4" w:space="0" w:color="0A7DFF" w:themeColor="accent2"/>
        <w:right w:val="single" w:sz="4" w:space="0" w:color="0A7DFF" w:themeColor="accent2"/>
        <w:insideH w:val="single" w:sz="4" w:space="0" w:color="FFFFFF" w:themeColor="background1"/>
        <w:insideV w:val="single" w:sz="4" w:space="0" w:color="FFFFFF" w:themeColor="background1"/>
      </w:tblBorders>
    </w:tblPr>
    <w:tcPr>
      <w:shd w:val="clear" w:color="auto" w:fill="E6F2FF" w:themeFill="accent2" w:themeFillTint="19"/>
    </w:tcPr>
    <w:tblStylePr w:type="firstRow">
      <w:rPr>
        <w:b/>
        <w:bCs/>
      </w:rPr>
      <w:tblPr/>
      <w:tcPr>
        <w:tcBorders>
          <w:top w:val="nil"/>
          <w:left w:val="nil"/>
          <w:bottom w:val="single" w:sz="24" w:space="0" w:color="0A7DF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A9F" w:themeFill="accent2" w:themeFillShade="99"/>
      </w:tcPr>
    </w:tblStylePr>
    <w:tblStylePr w:type="firstCol">
      <w:rPr>
        <w:color w:val="FFFFFF" w:themeColor="background1"/>
      </w:rPr>
      <w:tblPr/>
      <w:tcPr>
        <w:tcBorders>
          <w:top w:val="nil"/>
          <w:left w:val="nil"/>
          <w:bottom w:val="nil"/>
          <w:right w:val="nil"/>
          <w:insideH w:val="single" w:sz="4" w:space="0" w:color="004A9F" w:themeColor="accent2" w:themeShade="99"/>
          <w:insideV w:val="nil"/>
        </w:tcBorders>
        <w:shd w:val="clear" w:color="auto" w:fill="004A9F"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4A9F" w:themeFill="accent2" w:themeFillShade="99"/>
      </w:tcPr>
    </w:tblStylePr>
    <w:tblStylePr w:type="band1Vert">
      <w:tblPr/>
      <w:tcPr>
        <w:shd w:val="clear" w:color="auto" w:fill="9DCAFF" w:themeFill="accent2" w:themeFillTint="66"/>
      </w:tcPr>
    </w:tblStylePr>
    <w:tblStylePr w:type="band1Horz">
      <w:tblPr/>
      <w:tcPr>
        <w:shd w:val="clear" w:color="auto" w:fill="84BDF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015FE5"/>
    <w:rPr>
      <w:color w:val="000000" w:themeColor="text1"/>
      <w:lang w:val="en-US" w:eastAsia="en-US"/>
    </w:rPr>
    <w:tblPr>
      <w:tblStyleRowBandSize w:val="1"/>
      <w:tblStyleColBandSize w:val="1"/>
      <w:tblBorders>
        <w:top w:val="single" w:sz="24" w:space="0" w:color="001E55" w:themeColor="accent4"/>
        <w:left w:val="single" w:sz="4" w:space="0" w:color="5AE6FF" w:themeColor="accent3"/>
        <w:bottom w:val="single" w:sz="4" w:space="0" w:color="5AE6FF" w:themeColor="accent3"/>
        <w:right w:val="single" w:sz="4" w:space="0" w:color="5AE6FF" w:themeColor="accent3"/>
        <w:insideH w:val="single" w:sz="4" w:space="0" w:color="FFFFFF" w:themeColor="background1"/>
        <w:insideV w:val="single" w:sz="4" w:space="0" w:color="FFFFFF" w:themeColor="background1"/>
      </w:tblBorders>
    </w:tblPr>
    <w:tcPr>
      <w:shd w:val="clear" w:color="auto" w:fill="EEFCFF" w:themeFill="accent3" w:themeFillTint="19"/>
    </w:tcPr>
    <w:tblStylePr w:type="firstRow">
      <w:rPr>
        <w:b/>
        <w:bCs/>
      </w:rPr>
      <w:tblPr/>
      <w:tcPr>
        <w:tcBorders>
          <w:top w:val="nil"/>
          <w:left w:val="nil"/>
          <w:bottom w:val="single" w:sz="24" w:space="0" w:color="001E5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AFCF" w:themeFill="accent3" w:themeFillShade="99"/>
      </w:tcPr>
    </w:tblStylePr>
    <w:tblStylePr w:type="firstCol">
      <w:rPr>
        <w:color w:val="FFFFFF" w:themeColor="background1"/>
      </w:rPr>
      <w:tblPr/>
      <w:tcPr>
        <w:tcBorders>
          <w:top w:val="nil"/>
          <w:left w:val="nil"/>
          <w:bottom w:val="nil"/>
          <w:right w:val="nil"/>
          <w:insideH w:val="single" w:sz="4" w:space="0" w:color="00AFCF" w:themeColor="accent3" w:themeShade="99"/>
          <w:insideV w:val="nil"/>
        </w:tcBorders>
        <w:shd w:val="clear" w:color="auto" w:fill="00AFCF"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AFCF" w:themeFill="accent3" w:themeFillShade="99"/>
      </w:tcPr>
    </w:tblStylePr>
    <w:tblStylePr w:type="band1Vert">
      <w:tblPr/>
      <w:tcPr>
        <w:shd w:val="clear" w:color="auto" w:fill="BDF4FF" w:themeFill="accent3" w:themeFillTint="66"/>
      </w:tcPr>
    </w:tblStylePr>
    <w:tblStylePr w:type="band1Horz">
      <w:tblPr/>
      <w:tcPr>
        <w:shd w:val="clear" w:color="auto" w:fill="ACF2FF" w:themeFill="accent3" w:themeFillTint="7F"/>
      </w:tcPr>
    </w:tblStylePr>
  </w:style>
  <w:style w:type="table" w:styleId="ColorfulShading-Accent4">
    <w:name w:val="Colorful Shading Accent 4"/>
    <w:basedOn w:val="TableNormal"/>
    <w:uiPriority w:val="71"/>
    <w:semiHidden/>
    <w:unhideWhenUsed/>
    <w:rsid w:val="00015FE5"/>
    <w:rPr>
      <w:color w:val="000000" w:themeColor="text1"/>
      <w:lang w:val="en-US" w:eastAsia="en-US"/>
    </w:rPr>
    <w:tblPr>
      <w:tblStyleRowBandSize w:val="1"/>
      <w:tblStyleColBandSize w:val="1"/>
      <w:tblBorders>
        <w:top w:val="single" w:sz="24" w:space="0" w:color="5AE6FF" w:themeColor="accent3"/>
        <w:left w:val="single" w:sz="4" w:space="0" w:color="001E55" w:themeColor="accent4"/>
        <w:bottom w:val="single" w:sz="4" w:space="0" w:color="001E55" w:themeColor="accent4"/>
        <w:right w:val="single" w:sz="4" w:space="0" w:color="001E55" w:themeColor="accent4"/>
        <w:insideH w:val="single" w:sz="4" w:space="0" w:color="FFFFFF" w:themeColor="background1"/>
        <w:insideV w:val="single" w:sz="4" w:space="0" w:color="FFFFFF" w:themeColor="background1"/>
      </w:tblBorders>
    </w:tblPr>
    <w:tcPr>
      <w:shd w:val="clear" w:color="auto" w:fill="D5E4FF" w:themeFill="accent4" w:themeFillTint="19"/>
    </w:tcPr>
    <w:tblStylePr w:type="firstRow">
      <w:rPr>
        <w:b/>
        <w:bCs/>
      </w:rPr>
      <w:tblPr/>
      <w:tcPr>
        <w:tcBorders>
          <w:top w:val="nil"/>
          <w:left w:val="nil"/>
          <w:bottom w:val="single" w:sz="24" w:space="0" w:color="5AE6F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233" w:themeFill="accent4" w:themeFillShade="99"/>
      </w:tcPr>
    </w:tblStylePr>
    <w:tblStylePr w:type="firstCol">
      <w:rPr>
        <w:color w:val="FFFFFF" w:themeColor="background1"/>
      </w:rPr>
      <w:tblPr/>
      <w:tcPr>
        <w:tcBorders>
          <w:top w:val="nil"/>
          <w:left w:val="nil"/>
          <w:bottom w:val="nil"/>
          <w:right w:val="nil"/>
          <w:insideH w:val="single" w:sz="4" w:space="0" w:color="001233" w:themeColor="accent4" w:themeShade="99"/>
          <w:insideV w:val="nil"/>
        </w:tcBorders>
        <w:shd w:val="clear" w:color="auto" w:fill="00123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1233" w:themeFill="accent4" w:themeFillShade="99"/>
      </w:tcPr>
    </w:tblStylePr>
    <w:tblStylePr w:type="band1Vert">
      <w:tblPr/>
      <w:tcPr>
        <w:shd w:val="clear" w:color="auto" w:fill="5591FF" w:themeFill="accent4" w:themeFillTint="66"/>
      </w:tcPr>
    </w:tblStylePr>
    <w:tblStylePr w:type="band1Horz">
      <w:tblPr/>
      <w:tcPr>
        <w:shd w:val="clear" w:color="auto" w:fill="2B76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015FE5"/>
    <w:rPr>
      <w:color w:val="000000" w:themeColor="text1"/>
      <w:lang w:val="en-US" w:eastAsia="en-US"/>
    </w:rPr>
    <w:tblPr>
      <w:tblStyleRowBandSize w:val="1"/>
      <w:tblStyleColBandSize w:val="1"/>
      <w:tblBorders>
        <w:top w:val="single" w:sz="24" w:space="0" w:color="C8C8C8" w:themeColor="accent6"/>
        <w:left w:val="single" w:sz="4" w:space="0" w:color="A5A5A5" w:themeColor="accent5"/>
        <w:bottom w:val="single" w:sz="4" w:space="0" w:color="A5A5A5" w:themeColor="accent5"/>
        <w:right w:val="single" w:sz="4" w:space="0" w:color="A5A5A5" w:themeColor="accent5"/>
        <w:insideH w:val="single" w:sz="4" w:space="0" w:color="FFFFFF" w:themeColor="background1"/>
        <w:insideV w:val="single" w:sz="4" w:space="0" w:color="FFFFFF" w:themeColor="background1"/>
      </w:tblBorders>
    </w:tblPr>
    <w:tcPr>
      <w:shd w:val="clear" w:color="auto" w:fill="F6F6F6" w:themeFill="accent5" w:themeFillTint="19"/>
    </w:tcPr>
    <w:tblStylePr w:type="firstRow">
      <w:rPr>
        <w:b/>
        <w:bCs/>
      </w:rPr>
      <w:tblPr/>
      <w:tcPr>
        <w:tcBorders>
          <w:top w:val="nil"/>
          <w:left w:val="nil"/>
          <w:bottom w:val="single" w:sz="24" w:space="0" w:color="C8C8C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5" w:themeFillShade="99"/>
      </w:tcPr>
    </w:tblStylePr>
    <w:tblStylePr w:type="firstCol">
      <w:rPr>
        <w:color w:val="FFFFFF" w:themeColor="background1"/>
      </w:rPr>
      <w:tblPr/>
      <w:tcPr>
        <w:tcBorders>
          <w:top w:val="nil"/>
          <w:left w:val="nil"/>
          <w:bottom w:val="nil"/>
          <w:right w:val="nil"/>
          <w:insideH w:val="single" w:sz="4" w:space="0" w:color="636363" w:themeColor="accent5" w:themeShade="99"/>
          <w:insideV w:val="nil"/>
        </w:tcBorders>
        <w:shd w:val="clear" w:color="auto" w:fill="63636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5" w:themeFillShade="99"/>
      </w:tcPr>
    </w:tblStylePr>
    <w:tblStylePr w:type="band1Vert">
      <w:tblPr/>
      <w:tcPr>
        <w:shd w:val="clear" w:color="auto" w:fill="DBDBDB" w:themeFill="accent5" w:themeFillTint="66"/>
      </w:tcPr>
    </w:tblStylePr>
    <w:tblStylePr w:type="band1Horz">
      <w:tblPr/>
      <w:tcPr>
        <w:shd w:val="clear" w:color="auto" w:fill="D2D2D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015FE5"/>
    <w:rPr>
      <w:color w:val="000000" w:themeColor="text1"/>
      <w:lang w:val="en-US" w:eastAsia="en-US"/>
    </w:rPr>
    <w:tblPr>
      <w:tblStyleRowBandSize w:val="1"/>
      <w:tblStyleColBandSize w:val="1"/>
      <w:tblBorders>
        <w:top w:val="single" w:sz="24" w:space="0" w:color="A5A5A5" w:themeColor="accent5"/>
        <w:left w:val="single" w:sz="4" w:space="0" w:color="C8C8C8" w:themeColor="accent6"/>
        <w:bottom w:val="single" w:sz="4" w:space="0" w:color="C8C8C8" w:themeColor="accent6"/>
        <w:right w:val="single" w:sz="4" w:space="0" w:color="C8C8C8" w:themeColor="accent6"/>
        <w:insideH w:val="single" w:sz="4" w:space="0" w:color="FFFFFF" w:themeColor="background1"/>
        <w:insideV w:val="single" w:sz="4" w:space="0" w:color="FFFFFF" w:themeColor="background1"/>
      </w:tblBorders>
    </w:tblPr>
    <w:tcPr>
      <w:shd w:val="clear" w:color="auto" w:fill="F9F9F9" w:themeFill="accent6" w:themeFillTint="19"/>
    </w:tcPr>
    <w:tblStylePr w:type="firstRow">
      <w:rPr>
        <w:b/>
        <w:bCs/>
      </w:rPr>
      <w:tblPr/>
      <w:tcPr>
        <w:tcBorders>
          <w:top w:val="nil"/>
          <w:left w:val="nil"/>
          <w:bottom w:val="single" w:sz="24" w:space="0" w:color="A5A5A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87878" w:themeFill="accent6" w:themeFillShade="99"/>
      </w:tcPr>
    </w:tblStylePr>
    <w:tblStylePr w:type="firstCol">
      <w:rPr>
        <w:color w:val="FFFFFF" w:themeColor="background1"/>
      </w:rPr>
      <w:tblPr/>
      <w:tcPr>
        <w:tcBorders>
          <w:top w:val="nil"/>
          <w:left w:val="nil"/>
          <w:bottom w:val="nil"/>
          <w:right w:val="nil"/>
          <w:insideH w:val="single" w:sz="4" w:space="0" w:color="787878" w:themeColor="accent6" w:themeShade="99"/>
          <w:insideV w:val="nil"/>
        </w:tcBorders>
        <w:shd w:val="clear" w:color="auto" w:fill="78787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87878" w:themeFill="accent6" w:themeFillShade="99"/>
      </w:tcPr>
    </w:tblStylePr>
    <w:tblStylePr w:type="band1Vert">
      <w:tblPr/>
      <w:tcPr>
        <w:shd w:val="clear" w:color="auto" w:fill="E9E9E9" w:themeFill="accent6" w:themeFillTint="66"/>
      </w:tcPr>
    </w:tblStylePr>
    <w:tblStylePr w:type="band1Horz">
      <w:tblPr/>
      <w:tcPr>
        <w:shd w:val="clear" w:color="auto" w:fill="E3E3E3"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015FE5"/>
    <w:rPr>
      <w:color w:val="FFFFFF" w:themeColor="background1"/>
      <w:lang w:val="en-US"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015FE5"/>
    <w:rPr>
      <w:color w:val="FFFFFF" w:themeColor="background1"/>
      <w:lang w:val="en-US" w:eastAsia="en-US"/>
    </w:rPr>
    <w:tblPr>
      <w:tblStyleRowBandSize w:val="1"/>
      <w:tblStyleColBandSize w:val="1"/>
    </w:tblPr>
    <w:tcPr>
      <w:shd w:val="clear" w:color="auto" w:fill="231ED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10F6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916A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916A4" w:themeFill="accent1" w:themeFillShade="BF"/>
      </w:tcPr>
    </w:tblStylePr>
    <w:tblStylePr w:type="band1Vert">
      <w:tblPr/>
      <w:tcPr>
        <w:tcBorders>
          <w:top w:val="nil"/>
          <w:left w:val="nil"/>
          <w:bottom w:val="nil"/>
          <w:right w:val="nil"/>
          <w:insideH w:val="nil"/>
          <w:insideV w:val="nil"/>
        </w:tcBorders>
        <w:shd w:val="clear" w:color="auto" w:fill="1916A4" w:themeFill="accent1" w:themeFillShade="BF"/>
      </w:tcPr>
    </w:tblStylePr>
    <w:tblStylePr w:type="band1Horz">
      <w:tblPr/>
      <w:tcPr>
        <w:tcBorders>
          <w:top w:val="nil"/>
          <w:left w:val="nil"/>
          <w:bottom w:val="nil"/>
          <w:right w:val="nil"/>
          <w:insideH w:val="nil"/>
          <w:insideV w:val="nil"/>
        </w:tcBorders>
        <w:shd w:val="clear" w:color="auto" w:fill="1916A4" w:themeFill="accent1" w:themeFillShade="BF"/>
      </w:tcPr>
    </w:tblStylePr>
  </w:style>
  <w:style w:type="table" w:styleId="DarkList-Accent2">
    <w:name w:val="Dark List Accent 2"/>
    <w:basedOn w:val="TableNormal"/>
    <w:uiPriority w:val="70"/>
    <w:semiHidden/>
    <w:unhideWhenUsed/>
    <w:rsid w:val="00015FE5"/>
    <w:rPr>
      <w:color w:val="FFFFFF" w:themeColor="background1"/>
      <w:lang w:val="en-US" w:eastAsia="en-US"/>
    </w:rPr>
    <w:tblPr>
      <w:tblStyleRowBandSize w:val="1"/>
      <w:tblStyleColBandSize w:val="1"/>
    </w:tblPr>
    <w:tcPr>
      <w:shd w:val="clear" w:color="auto" w:fill="0A7DF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D8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5CC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5CC6" w:themeFill="accent2" w:themeFillShade="BF"/>
      </w:tcPr>
    </w:tblStylePr>
    <w:tblStylePr w:type="band1Vert">
      <w:tblPr/>
      <w:tcPr>
        <w:tcBorders>
          <w:top w:val="nil"/>
          <w:left w:val="nil"/>
          <w:bottom w:val="nil"/>
          <w:right w:val="nil"/>
          <w:insideH w:val="nil"/>
          <w:insideV w:val="nil"/>
        </w:tcBorders>
        <w:shd w:val="clear" w:color="auto" w:fill="005CC6" w:themeFill="accent2" w:themeFillShade="BF"/>
      </w:tcPr>
    </w:tblStylePr>
    <w:tblStylePr w:type="band1Horz">
      <w:tblPr/>
      <w:tcPr>
        <w:tcBorders>
          <w:top w:val="nil"/>
          <w:left w:val="nil"/>
          <w:bottom w:val="nil"/>
          <w:right w:val="nil"/>
          <w:insideH w:val="nil"/>
          <w:insideV w:val="nil"/>
        </w:tcBorders>
        <w:shd w:val="clear" w:color="auto" w:fill="005CC6" w:themeFill="accent2" w:themeFillShade="BF"/>
      </w:tcPr>
    </w:tblStylePr>
  </w:style>
  <w:style w:type="table" w:styleId="DarkList-Accent3">
    <w:name w:val="Dark List Accent 3"/>
    <w:basedOn w:val="TableNormal"/>
    <w:uiPriority w:val="70"/>
    <w:semiHidden/>
    <w:unhideWhenUsed/>
    <w:rsid w:val="00015FE5"/>
    <w:rPr>
      <w:color w:val="FFFFFF" w:themeColor="background1"/>
      <w:lang w:val="en-US" w:eastAsia="en-US"/>
    </w:rPr>
    <w:tblPr>
      <w:tblStyleRowBandSize w:val="1"/>
      <w:tblStyleColBandSize w:val="1"/>
    </w:tblPr>
    <w:tcPr>
      <w:shd w:val="clear" w:color="auto" w:fill="5AE6F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91A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3D8F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3D8FF" w:themeFill="accent3" w:themeFillShade="BF"/>
      </w:tcPr>
    </w:tblStylePr>
    <w:tblStylePr w:type="band1Vert">
      <w:tblPr/>
      <w:tcPr>
        <w:tcBorders>
          <w:top w:val="nil"/>
          <w:left w:val="nil"/>
          <w:bottom w:val="nil"/>
          <w:right w:val="nil"/>
          <w:insideH w:val="nil"/>
          <w:insideV w:val="nil"/>
        </w:tcBorders>
        <w:shd w:val="clear" w:color="auto" w:fill="03D8FF" w:themeFill="accent3" w:themeFillShade="BF"/>
      </w:tcPr>
    </w:tblStylePr>
    <w:tblStylePr w:type="band1Horz">
      <w:tblPr/>
      <w:tcPr>
        <w:tcBorders>
          <w:top w:val="nil"/>
          <w:left w:val="nil"/>
          <w:bottom w:val="nil"/>
          <w:right w:val="nil"/>
          <w:insideH w:val="nil"/>
          <w:insideV w:val="nil"/>
        </w:tcBorders>
        <w:shd w:val="clear" w:color="auto" w:fill="03D8FF" w:themeFill="accent3" w:themeFillShade="BF"/>
      </w:tcPr>
    </w:tblStylePr>
  </w:style>
  <w:style w:type="table" w:styleId="DarkList-Accent4">
    <w:name w:val="Dark List Accent 4"/>
    <w:basedOn w:val="TableNormal"/>
    <w:uiPriority w:val="70"/>
    <w:semiHidden/>
    <w:unhideWhenUsed/>
    <w:rsid w:val="00015FE5"/>
    <w:rPr>
      <w:color w:val="FFFFFF" w:themeColor="background1"/>
      <w:lang w:val="en-US" w:eastAsia="en-US"/>
    </w:rPr>
    <w:tblPr>
      <w:tblStyleRowBandSize w:val="1"/>
      <w:tblStyleColBandSize w:val="1"/>
    </w:tblPr>
    <w:tcPr>
      <w:shd w:val="clear" w:color="auto" w:fill="001E5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E2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163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163F" w:themeFill="accent4" w:themeFillShade="BF"/>
      </w:tcPr>
    </w:tblStylePr>
    <w:tblStylePr w:type="band1Vert">
      <w:tblPr/>
      <w:tcPr>
        <w:tcBorders>
          <w:top w:val="nil"/>
          <w:left w:val="nil"/>
          <w:bottom w:val="nil"/>
          <w:right w:val="nil"/>
          <w:insideH w:val="nil"/>
          <w:insideV w:val="nil"/>
        </w:tcBorders>
        <w:shd w:val="clear" w:color="auto" w:fill="00163F" w:themeFill="accent4" w:themeFillShade="BF"/>
      </w:tcPr>
    </w:tblStylePr>
    <w:tblStylePr w:type="band1Horz">
      <w:tblPr/>
      <w:tcPr>
        <w:tcBorders>
          <w:top w:val="nil"/>
          <w:left w:val="nil"/>
          <w:bottom w:val="nil"/>
          <w:right w:val="nil"/>
          <w:insideH w:val="nil"/>
          <w:insideV w:val="nil"/>
        </w:tcBorders>
        <w:shd w:val="clear" w:color="auto" w:fill="00163F" w:themeFill="accent4" w:themeFillShade="BF"/>
      </w:tcPr>
    </w:tblStylePr>
  </w:style>
  <w:style w:type="table" w:styleId="DarkList-Accent5">
    <w:name w:val="Dark List Accent 5"/>
    <w:basedOn w:val="TableNormal"/>
    <w:uiPriority w:val="70"/>
    <w:semiHidden/>
    <w:unhideWhenUsed/>
    <w:rsid w:val="00015FE5"/>
    <w:rPr>
      <w:color w:val="FFFFFF" w:themeColor="background1"/>
      <w:lang w:val="en-US" w:eastAsia="en-US"/>
    </w:rPr>
    <w:tblPr>
      <w:tblStyleRowBandSize w:val="1"/>
      <w:tblStyleColBandSize w:val="1"/>
    </w:tblPr>
    <w:tcPr>
      <w:shd w:val="clear" w:color="auto" w:fill="A5A5A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5" w:themeFillShade="BF"/>
      </w:tcPr>
    </w:tblStylePr>
    <w:tblStylePr w:type="band1Vert">
      <w:tblPr/>
      <w:tcPr>
        <w:tcBorders>
          <w:top w:val="nil"/>
          <w:left w:val="nil"/>
          <w:bottom w:val="nil"/>
          <w:right w:val="nil"/>
          <w:insideH w:val="nil"/>
          <w:insideV w:val="nil"/>
        </w:tcBorders>
        <w:shd w:val="clear" w:color="auto" w:fill="7B7B7B" w:themeFill="accent5" w:themeFillShade="BF"/>
      </w:tcPr>
    </w:tblStylePr>
    <w:tblStylePr w:type="band1Horz">
      <w:tblPr/>
      <w:tcPr>
        <w:tcBorders>
          <w:top w:val="nil"/>
          <w:left w:val="nil"/>
          <w:bottom w:val="nil"/>
          <w:right w:val="nil"/>
          <w:insideH w:val="nil"/>
          <w:insideV w:val="nil"/>
        </w:tcBorders>
        <w:shd w:val="clear" w:color="auto" w:fill="7B7B7B" w:themeFill="accent5" w:themeFillShade="BF"/>
      </w:tcPr>
    </w:tblStylePr>
  </w:style>
  <w:style w:type="table" w:styleId="DarkList-Accent6">
    <w:name w:val="Dark List Accent 6"/>
    <w:basedOn w:val="TableNormal"/>
    <w:uiPriority w:val="70"/>
    <w:semiHidden/>
    <w:unhideWhenUsed/>
    <w:rsid w:val="00015FE5"/>
    <w:rPr>
      <w:color w:val="FFFFFF" w:themeColor="background1"/>
      <w:lang w:val="en-US" w:eastAsia="en-US"/>
    </w:rPr>
    <w:tblPr>
      <w:tblStyleRowBandSize w:val="1"/>
      <w:tblStyleColBandSize w:val="1"/>
    </w:tblPr>
    <w:tcPr>
      <w:shd w:val="clear" w:color="auto" w:fill="C8C8C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3636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959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9595" w:themeFill="accent6" w:themeFillShade="BF"/>
      </w:tcPr>
    </w:tblStylePr>
    <w:tblStylePr w:type="band1Vert">
      <w:tblPr/>
      <w:tcPr>
        <w:tcBorders>
          <w:top w:val="nil"/>
          <w:left w:val="nil"/>
          <w:bottom w:val="nil"/>
          <w:right w:val="nil"/>
          <w:insideH w:val="nil"/>
          <w:insideV w:val="nil"/>
        </w:tcBorders>
        <w:shd w:val="clear" w:color="auto" w:fill="959595" w:themeFill="accent6" w:themeFillShade="BF"/>
      </w:tcPr>
    </w:tblStylePr>
    <w:tblStylePr w:type="band1Horz">
      <w:tblPr/>
      <w:tcPr>
        <w:tcBorders>
          <w:top w:val="nil"/>
          <w:left w:val="nil"/>
          <w:bottom w:val="nil"/>
          <w:right w:val="nil"/>
          <w:insideH w:val="nil"/>
          <w:insideV w:val="nil"/>
        </w:tcBorders>
        <w:shd w:val="clear" w:color="auto" w:fill="959595" w:themeFill="accent6" w:themeFillShade="BF"/>
      </w:tcPr>
    </w:tblStylePr>
  </w:style>
  <w:style w:type="paragraph" w:styleId="Date">
    <w:name w:val="Date"/>
    <w:basedOn w:val="Normal"/>
    <w:next w:val="Normal"/>
    <w:link w:val="DateChar"/>
    <w:uiPriority w:val="99"/>
    <w:semiHidden/>
    <w:unhideWhenUsed/>
    <w:rsid w:val="00015FE5"/>
  </w:style>
  <w:style w:type="character" w:customStyle="1" w:styleId="DateChar">
    <w:name w:val="Date Char"/>
    <w:basedOn w:val="DefaultParagraphFont"/>
    <w:link w:val="Date"/>
    <w:uiPriority w:val="99"/>
    <w:semiHidden/>
    <w:rsid w:val="00015FE5"/>
    <w:rPr>
      <w:rFonts w:asciiTheme="minorHAnsi" w:hAnsiTheme="minorHAnsi"/>
      <w:lang w:val="en-US" w:eastAsia="en-US"/>
    </w:rPr>
  </w:style>
  <w:style w:type="paragraph" w:styleId="DocumentMap">
    <w:name w:val="Document Map"/>
    <w:basedOn w:val="Normal"/>
    <w:link w:val="DocumentMapChar"/>
    <w:uiPriority w:val="99"/>
    <w:semiHidden/>
    <w:unhideWhenUsed/>
    <w:rsid w:val="00015FE5"/>
    <w:rPr>
      <w:rFonts w:ascii="Segoe UI" w:hAnsi="Segoe UI" w:cs="Segoe UI"/>
      <w:sz w:val="16"/>
      <w:szCs w:val="16"/>
    </w:rPr>
  </w:style>
  <w:style w:type="character" w:customStyle="1" w:styleId="DocumentMapChar">
    <w:name w:val="Document Map Char"/>
    <w:basedOn w:val="DefaultParagraphFont"/>
    <w:link w:val="DocumentMap"/>
    <w:uiPriority w:val="99"/>
    <w:semiHidden/>
    <w:rsid w:val="00015FE5"/>
    <w:rPr>
      <w:rFonts w:ascii="Segoe UI" w:hAnsi="Segoe UI" w:cs="Segoe UI"/>
      <w:sz w:val="16"/>
      <w:szCs w:val="16"/>
      <w:lang w:val="en-US" w:eastAsia="en-US"/>
    </w:rPr>
  </w:style>
  <w:style w:type="paragraph" w:styleId="E-mailSignature">
    <w:name w:val="E-mail Signature"/>
    <w:basedOn w:val="Normal"/>
    <w:link w:val="E-mailSignatureChar"/>
    <w:uiPriority w:val="99"/>
    <w:semiHidden/>
    <w:rsid w:val="00015FE5"/>
    <w:pPr>
      <w:tabs>
        <w:tab w:val="left" w:pos="425"/>
      </w:tabs>
      <w:spacing w:after="120"/>
    </w:pPr>
    <w:rPr>
      <w:noProof/>
    </w:rPr>
  </w:style>
  <w:style w:type="character" w:customStyle="1" w:styleId="E-mailSignatureChar">
    <w:name w:val="E-mail Signature Char"/>
    <w:basedOn w:val="DefaultParagraphFont"/>
    <w:link w:val="E-mailSignature"/>
    <w:uiPriority w:val="99"/>
    <w:semiHidden/>
    <w:rsid w:val="00015FE5"/>
    <w:rPr>
      <w:rFonts w:asciiTheme="minorHAnsi" w:hAnsiTheme="minorHAnsi"/>
      <w:noProof/>
      <w:lang w:val="en-US" w:eastAsia="en-US"/>
    </w:rPr>
  </w:style>
  <w:style w:type="character" w:styleId="Emphasis">
    <w:name w:val="Emphasis"/>
    <w:basedOn w:val="DefaultParagraphFont"/>
    <w:uiPriority w:val="99"/>
    <w:semiHidden/>
    <w:rsid w:val="00015FE5"/>
    <w:rPr>
      <w:i/>
      <w:iCs/>
    </w:rPr>
  </w:style>
  <w:style w:type="character" w:styleId="EndnoteReference">
    <w:name w:val="endnote reference"/>
    <w:basedOn w:val="DefaultParagraphFont"/>
    <w:uiPriority w:val="99"/>
    <w:semiHidden/>
    <w:unhideWhenUsed/>
    <w:rsid w:val="00015FE5"/>
    <w:rPr>
      <w:vertAlign w:val="superscript"/>
    </w:rPr>
  </w:style>
  <w:style w:type="paragraph" w:styleId="EndnoteText">
    <w:name w:val="endnote text"/>
    <w:basedOn w:val="Normal"/>
    <w:link w:val="EndnoteTextChar"/>
    <w:uiPriority w:val="99"/>
    <w:semiHidden/>
    <w:unhideWhenUsed/>
    <w:rsid w:val="00015FE5"/>
  </w:style>
  <w:style w:type="character" w:customStyle="1" w:styleId="EndnoteTextChar">
    <w:name w:val="Endnote Text Char"/>
    <w:basedOn w:val="DefaultParagraphFont"/>
    <w:link w:val="EndnoteText"/>
    <w:uiPriority w:val="99"/>
    <w:semiHidden/>
    <w:rsid w:val="00015FE5"/>
    <w:rPr>
      <w:rFonts w:asciiTheme="minorHAnsi" w:hAnsiTheme="minorHAnsi"/>
      <w:lang w:val="en-US" w:eastAsia="en-US"/>
    </w:rPr>
  </w:style>
  <w:style w:type="paragraph" w:styleId="EnvelopeAddress">
    <w:name w:val="envelope address"/>
    <w:basedOn w:val="Normal"/>
    <w:uiPriority w:val="99"/>
    <w:semiHidden/>
    <w:unhideWhenUsed/>
    <w:rsid w:val="003A706E"/>
    <w:pPr>
      <w:framePr w:w="7920" w:h="1980" w:hRule="exact" w:hSpace="180" w:wrap="auto" w:hAnchor="page" w:xAlign="center" w:yAlign="bottom"/>
      <w:ind w:left="2880"/>
    </w:pPr>
    <w:rPr>
      <w:rFonts w:eastAsiaTheme="majorEastAsia" w:cstheme="majorBidi"/>
      <w:sz w:val="24"/>
      <w:szCs w:val="24"/>
    </w:rPr>
  </w:style>
  <w:style w:type="paragraph" w:styleId="EnvelopeReturn">
    <w:name w:val="envelope return"/>
    <w:basedOn w:val="Normal"/>
    <w:uiPriority w:val="99"/>
    <w:semiHidden/>
    <w:unhideWhenUsed/>
    <w:rsid w:val="00015FE5"/>
    <w:rPr>
      <w:rFonts w:eastAsiaTheme="majorEastAsia" w:cstheme="majorBidi"/>
    </w:rPr>
  </w:style>
  <w:style w:type="character" w:styleId="FollowedHyperlink">
    <w:name w:val="FollowedHyperlink"/>
    <w:basedOn w:val="DefaultParagraphFont"/>
    <w:uiPriority w:val="99"/>
    <w:semiHidden/>
    <w:rsid w:val="00015FE5"/>
    <w:rPr>
      <w:color w:val="0A7DFF" w:themeColor="accent2"/>
      <w:u w:val="single"/>
    </w:rPr>
  </w:style>
  <w:style w:type="table" w:styleId="GridTable1Light">
    <w:name w:val="Grid Table 1 Light"/>
    <w:basedOn w:val="TableNormal"/>
    <w:uiPriority w:val="46"/>
    <w:rsid w:val="00015FE5"/>
    <w:rPr>
      <w:lang w:val="en-US"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015FE5"/>
    <w:rPr>
      <w:lang w:val="en-US" w:eastAsia="en-US"/>
    </w:rPr>
    <w:tblPr>
      <w:tblStyleRowBandSize w:val="1"/>
      <w:tblStyleColBandSize w:val="1"/>
      <w:tblBorders>
        <w:top w:val="single" w:sz="4" w:space="0" w:color="A5A3F2" w:themeColor="accent1" w:themeTint="66"/>
        <w:left w:val="single" w:sz="4" w:space="0" w:color="A5A3F2" w:themeColor="accent1" w:themeTint="66"/>
        <w:bottom w:val="single" w:sz="4" w:space="0" w:color="A5A3F2" w:themeColor="accent1" w:themeTint="66"/>
        <w:right w:val="single" w:sz="4" w:space="0" w:color="A5A3F2" w:themeColor="accent1" w:themeTint="66"/>
        <w:insideH w:val="single" w:sz="4" w:space="0" w:color="A5A3F2" w:themeColor="accent1" w:themeTint="66"/>
        <w:insideV w:val="single" w:sz="4" w:space="0" w:color="A5A3F2" w:themeColor="accent1" w:themeTint="66"/>
      </w:tblBorders>
    </w:tblPr>
    <w:tblStylePr w:type="firstRow">
      <w:rPr>
        <w:b/>
        <w:bCs/>
      </w:rPr>
      <w:tblPr/>
      <w:tcPr>
        <w:tcBorders>
          <w:bottom w:val="single" w:sz="12" w:space="0" w:color="7875EC" w:themeColor="accent1" w:themeTint="99"/>
        </w:tcBorders>
      </w:tcPr>
    </w:tblStylePr>
    <w:tblStylePr w:type="lastRow">
      <w:rPr>
        <w:b/>
        <w:bCs/>
      </w:rPr>
      <w:tblPr/>
      <w:tcPr>
        <w:tcBorders>
          <w:top w:val="double" w:sz="2" w:space="0" w:color="7875EC"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015FE5"/>
    <w:rPr>
      <w:lang w:val="en-US" w:eastAsia="en-US"/>
    </w:rPr>
    <w:tblPr>
      <w:tblStyleRowBandSize w:val="1"/>
      <w:tblStyleColBandSize w:val="1"/>
      <w:tblBorders>
        <w:top w:val="single" w:sz="4" w:space="0" w:color="9DCAFF" w:themeColor="accent2" w:themeTint="66"/>
        <w:left w:val="single" w:sz="4" w:space="0" w:color="9DCAFF" w:themeColor="accent2" w:themeTint="66"/>
        <w:bottom w:val="single" w:sz="4" w:space="0" w:color="9DCAFF" w:themeColor="accent2" w:themeTint="66"/>
        <w:right w:val="single" w:sz="4" w:space="0" w:color="9DCAFF" w:themeColor="accent2" w:themeTint="66"/>
        <w:insideH w:val="single" w:sz="4" w:space="0" w:color="9DCAFF" w:themeColor="accent2" w:themeTint="66"/>
        <w:insideV w:val="single" w:sz="4" w:space="0" w:color="9DCAFF" w:themeColor="accent2" w:themeTint="66"/>
      </w:tblBorders>
    </w:tblPr>
    <w:tblStylePr w:type="firstRow">
      <w:rPr>
        <w:b/>
        <w:bCs/>
      </w:rPr>
      <w:tblPr/>
      <w:tcPr>
        <w:tcBorders>
          <w:bottom w:val="single" w:sz="12" w:space="0" w:color="6CB0FF" w:themeColor="accent2" w:themeTint="99"/>
        </w:tcBorders>
      </w:tcPr>
    </w:tblStylePr>
    <w:tblStylePr w:type="lastRow">
      <w:rPr>
        <w:b/>
        <w:bCs/>
      </w:rPr>
      <w:tblPr/>
      <w:tcPr>
        <w:tcBorders>
          <w:top w:val="double" w:sz="2" w:space="0" w:color="6CB0FF"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015FE5"/>
    <w:rPr>
      <w:lang w:val="en-US" w:eastAsia="en-US"/>
    </w:rPr>
    <w:tblPr>
      <w:tblStyleRowBandSize w:val="1"/>
      <w:tblStyleColBandSize w:val="1"/>
      <w:tblBorders>
        <w:top w:val="single" w:sz="4" w:space="0" w:color="BDF4FF" w:themeColor="accent3" w:themeTint="66"/>
        <w:left w:val="single" w:sz="4" w:space="0" w:color="BDF4FF" w:themeColor="accent3" w:themeTint="66"/>
        <w:bottom w:val="single" w:sz="4" w:space="0" w:color="BDF4FF" w:themeColor="accent3" w:themeTint="66"/>
        <w:right w:val="single" w:sz="4" w:space="0" w:color="BDF4FF" w:themeColor="accent3" w:themeTint="66"/>
        <w:insideH w:val="single" w:sz="4" w:space="0" w:color="BDF4FF" w:themeColor="accent3" w:themeTint="66"/>
        <w:insideV w:val="single" w:sz="4" w:space="0" w:color="BDF4FF" w:themeColor="accent3" w:themeTint="66"/>
      </w:tblBorders>
    </w:tblPr>
    <w:tblStylePr w:type="firstRow">
      <w:rPr>
        <w:b/>
        <w:bCs/>
      </w:rPr>
      <w:tblPr/>
      <w:tcPr>
        <w:tcBorders>
          <w:bottom w:val="single" w:sz="12" w:space="0" w:color="9CEFFF" w:themeColor="accent3" w:themeTint="99"/>
        </w:tcBorders>
      </w:tcPr>
    </w:tblStylePr>
    <w:tblStylePr w:type="lastRow">
      <w:rPr>
        <w:b/>
        <w:bCs/>
      </w:rPr>
      <w:tblPr/>
      <w:tcPr>
        <w:tcBorders>
          <w:top w:val="double" w:sz="2" w:space="0" w:color="9CEFF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015FE5"/>
    <w:rPr>
      <w:lang w:val="en-US" w:eastAsia="en-US"/>
    </w:rPr>
    <w:tblPr>
      <w:tblStyleRowBandSize w:val="1"/>
      <w:tblStyleColBandSize w:val="1"/>
      <w:tblBorders>
        <w:top w:val="single" w:sz="4" w:space="0" w:color="5591FF" w:themeColor="accent4" w:themeTint="66"/>
        <w:left w:val="single" w:sz="4" w:space="0" w:color="5591FF" w:themeColor="accent4" w:themeTint="66"/>
        <w:bottom w:val="single" w:sz="4" w:space="0" w:color="5591FF" w:themeColor="accent4" w:themeTint="66"/>
        <w:right w:val="single" w:sz="4" w:space="0" w:color="5591FF" w:themeColor="accent4" w:themeTint="66"/>
        <w:insideH w:val="single" w:sz="4" w:space="0" w:color="5591FF" w:themeColor="accent4" w:themeTint="66"/>
        <w:insideV w:val="single" w:sz="4" w:space="0" w:color="5591FF" w:themeColor="accent4" w:themeTint="66"/>
      </w:tblBorders>
    </w:tblPr>
    <w:tblStylePr w:type="firstRow">
      <w:rPr>
        <w:b/>
        <w:bCs/>
      </w:rPr>
      <w:tblPr/>
      <w:tcPr>
        <w:tcBorders>
          <w:bottom w:val="single" w:sz="12" w:space="0" w:color="005AFF" w:themeColor="accent4" w:themeTint="99"/>
        </w:tcBorders>
      </w:tcPr>
    </w:tblStylePr>
    <w:tblStylePr w:type="lastRow">
      <w:rPr>
        <w:b/>
        <w:bCs/>
      </w:rPr>
      <w:tblPr/>
      <w:tcPr>
        <w:tcBorders>
          <w:top w:val="double" w:sz="2" w:space="0" w:color="005AFF"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015FE5"/>
    <w:rPr>
      <w:lang w:val="en-US" w:eastAsia="en-US"/>
    </w:rPr>
    <w:tblPr>
      <w:tblStyleRowBandSize w:val="1"/>
      <w:tblStyleColBandSize w:val="1"/>
      <w:tblBorders>
        <w:top w:val="single" w:sz="4" w:space="0" w:color="DBDBDB" w:themeColor="accent5" w:themeTint="66"/>
        <w:left w:val="single" w:sz="4" w:space="0" w:color="DBDBDB" w:themeColor="accent5" w:themeTint="66"/>
        <w:bottom w:val="single" w:sz="4" w:space="0" w:color="DBDBDB" w:themeColor="accent5" w:themeTint="66"/>
        <w:right w:val="single" w:sz="4" w:space="0" w:color="DBDBDB" w:themeColor="accent5" w:themeTint="66"/>
        <w:insideH w:val="single" w:sz="4" w:space="0" w:color="DBDBDB" w:themeColor="accent5" w:themeTint="66"/>
        <w:insideV w:val="single" w:sz="4" w:space="0" w:color="DBDBDB" w:themeColor="accent5" w:themeTint="66"/>
      </w:tblBorders>
    </w:tblPr>
    <w:tblStylePr w:type="firstRow">
      <w:rPr>
        <w:b/>
        <w:bCs/>
      </w:rPr>
      <w:tblPr/>
      <w:tcPr>
        <w:tcBorders>
          <w:bottom w:val="single" w:sz="12" w:space="0" w:color="C9C9C9" w:themeColor="accent5" w:themeTint="99"/>
        </w:tcBorders>
      </w:tcPr>
    </w:tblStylePr>
    <w:tblStylePr w:type="lastRow">
      <w:rPr>
        <w:b/>
        <w:bCs/>
      </w:rPr>
      <w:tblPr/>
      <w:tcPr>
        <w:tcBorders>
          <w:top w:val="double" w:sz="2" w:space="0" w:color="C9C9C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015FE5"/>
    <w:rPr>
      <w:lang w:val="en-US" w:eastAsia="en-US"/>
    </w:rPr>
    <w:tblPr>
      <w:tblStyleRowBandSize w:val="1"/>
      <w:tblStyleColBandSize w:val="1"/>
      <w:tblBorders>
        <w:top w:val="single" w:sz="4" w:space="0" w:color="E9E9E9" w:themeColor="accent6" w:themeTint="66"/>
        <w:left w:val="single" w:sz="4" w:space="0" w:color="E9E9E9" w:themeColor="accent6" w:themeTint="66"/>
        <w:bottom w:val="single" w:sz="4" w:space="0" w:color="E9E9E9" w:themeColor="accent6" w:themeTint="66"/>
        <w:right w:val="single" w:sz="4" w:space="0" w:color="E9E9E9" w:themeColor="accent6" w:themeTint="66"/>
        <w:insideH w:val="single" w:sz="4" w:space="0" w:color="E9E9E9" w:themeColor="accent6" w:themeTint="66"/>
        <w:insideV w:val="single" w:sz="4" w:space="0" w:color="E9E9E9" w:themeColor="accent6" w:themeTint="66"/>
      </w:tblBorders>
    </w:tblPr>
    <w:tblStylePr w:type="firstRow">
      <w:rPr>
        <w:b/>
        <w:bCs/>
      </w:rPr>
      <w:tblPr/>
      <w:tcPr>
        <w:tcBorders>
          <w:bottom w:val="single" w:sz="12" w:space="0" w:color="DEDEDE" w:themeColor="accent6" w:themeTint="99"/>
        </w:tcBorders>
      </w:tcPr>
    </w:tblStylePr>
    <w:tblStylePr w:type="lastRow">
      <w:rPr>
        <w:b/>
        <w:bCs/>
      </w:rPr>
      <w:tblPr/>
      <w:tcPr>
        <w:tcBorders>
          <w:top w:val="double" w:sz="2" w:space="0" w:color="DEDEDE"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015FE5"/>
    <w:rPr>
      <w:lang w:val="en-US"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015FE5"/>
    <w:rPr>
      <w:lang w:val="en-US" w:eastAsia="en-US"/>
    </w:rPr>
    <w:tblPr>
      <w:tblStyleRowBandSize w:val="1"/>
      <w:tblStyleColBandSize w:val="1"/>
      <w:tblBorders>
        <w:top w:val="single" w:sz="2" w:space="0" w:color="7875EC" w:themeColor="accent1" w:themeTint="99"/>
        <w:bottom w:val="single" w:sz="2" w:space="0" w:color="7875EC" w:themeColor="accent1" w:themeTint="99"/>
        <w:insideH w:val="single" w:sz="2" w:space="0" w:color="7875EC" w:themeColor="accent1" w:themeTint="99"/>
        <w:insideV w:val="single" w:sz="2" w:space="0" w:color="7875EC" w:themeColor="accent1" w:themeTint="99"/>
      </w:tblBorders>
    </w:tblPr>
    <w:tblStylePr w:type="firstRow">
      <w:rPr>
        <w:b/>
        <w:bCs/>
      </w:rPr>
      <w:tblPr/>
      <w:tcPr>
        <w:tcBorders>
          <w:top w:val="nil"/>
          <w:bottom w:val="single" w:sz="12" w:space="0" w:color="7875EC" w:themeColor="accent1" w:themeTint="99"/>
          <w:insideH w:val="nil"/>
          <w:insideV w:val="nil"/>
        </w:tcBorders>
        <w:shd w:val="clear" w:color="auto" w:fill="FFFFFF" w:themeFill="background1"/>
      </w:tcPr>
    </w:tblStylePr>
    <w:tblStylePr w:type="lastRow">
      <w:rPr>
        <w:b/>
        <w:bCs/>
      </w:rPr>
      <w:tblPr/>
      <w:tcPr>
        <w:tcBorders>
          <w:top w:val="double" w:sz="2" w:space="0" w:color="7875E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2D1F8" w:themeFill="accent1" w:themeFillTint="33"/>
      </w:tcPr>
    </w:tblStylePr>
    <w:tblStylePr w:type="band1Horz">
      <w:tblPr/>
      <w:tcPr>
        <w:shd w:val="clear" w:color="auto" w:fill="D2D1F8" w:themeFill="accent1" w:themeFillTint="33"/>
      </w:tcPr>
    </w:tblStylePr>
  </w:style>
  <w:style w:type="table" w:styleId="GridTable2-Accent2">
    <w:name w:val="Grid Table 2 Accent 2"/>
    <w:basedOn w:val="TableNormal"/>
    <w:uiPriority w:val="47"/>
    <w:rsid w:val="00015FE5"/>
    <w:rPr>
      <w:lang w:val="en-US" w:eastAsia="en-US"/>
    </w:rPr>
    <w:tblPr>
      <w:tblStyleRowBandSize w:val="1"/>
      <w:tblStyleColBandSize w:val="1"/>
      <w:tblBorders>
        <w:top w:val="single" w:sz="2" w:space="0" w:color="6CB0FF" w:themeColor="accent2" w:themeTint="99"/>
        <w:bottom w:val="single" w:sz="2" w:space="0" w:color="6CB0FF" w:themeColor="accent2" w:themeTint="99"/>
        <w:insideH w:val="single" w:sz="2" w:space="0" w:color="6CB0FF" w:themeColor="accent2" w:themeTint="99"/>
        <w:insideV w:val="single" w:sz="2" w:space="0" w:color="6CB0FF" w:themeColor="accent2" w:themeTint="99"/>
      </w:tblBorders>
    </w:tblPr>
    <w:tblStylePr w:type="firstRow">
      <w:rPr>
        <w:b/>
        <w:bCs/>
      </w:rPr>
      <w:tblPr/>
      <w:tcPr>
        <w:tcBorders>
          <w:top w:val="nil"/>
          <w:bottom w:val="single" w:sz="12" w:space="0" w:color="6CB0FF" w:themeColor="accent2" w:themeTint="99"/>
          <w:insideH w:val="nil"/>
          <w:insideV w:val="nil"/>
        </w:tcBorders>
        <w:shd w:val="clear" w:color="auto" w:fill="FFFFFF" w:themeFill="background1"/>
      </w:tcPr>
    </w:tblStylePr>
    <w:tblStylePr w:type="lastRow">
      <w:rPr>
        <w:b/>
        <w:bCs/>
      </w:rPr>
      <w:tblPr/>
      <w:tcPr>
        <w:tcBorders>
          <w:top w:val="double" w:sz="2" w:space="0" w:color="6CB0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EE4FF" w:themeFill="accent2" w:themeFillTint="33"/>
      </w:tcPr>
    </w:tblStylePr>
    <w:tblStylePr w:type="band1Horz">
      <w:tblPr/>
      <w:tcPr>
        <w:shd w:val="clear" w:color="auto" w:fill="CEE4FF" w:themeFill="accent2" w:themeFillTint="33"/>
      </w:tcPr>
    </w:tblStylePr>
  </w:style>
  <w:style w:type="table" w:styleId="GridTable2-Accent3">
    <w:name w:val="Grid Table 2 Accent 3"/>
    <w:basedOn w:val="TableNormal"/>
    <w:uiPriority w:val="47"/>
    <w:rsid w:val="00015FE5"/>
    <w:rPr>
      <w:lang w:val="en-US" w:eastAsia="en-US"/>
    </w:rPr>
    <w:tblPr>
      <w:tblStyleRowBandSize w:val="1"/>
      <w:tblStyleColBandSize w:val="1"/>
      <w:tblBorders>
        <w:top w:val="single" w:sz="2" w:space="0" w:color="9CEFFF" w:themeColor="accent3" w:themeTint="99"/>
        <w:bottom w:val="single" w:sz="2" w:space="0" w:color="9CEFFF" w:themeColor="accent3" w:themeTint="99"/>
        <w:insideH w:val="single" w:sz="2" w:space="0" w:color="9CEFFF" w:themeColor="accent3" w:themeTint="99"/>
        <w:insideV w:val="single" w:sz="2" w:space="0" w:color="9CEFFF" w:themeColor="accent3" w:themeTint="99"/>
      </w:tblBorders>
    </w:tblPr>
    <w:tblStylePr w:type="firstRow">
      <w:rPr>
        <w:b/>
        <w:bCs/>
      </w:rPr>
      <w:tblPr/>
      <w:tcPr>
        <w:tcBorders>
          <w:top w:val="nil"/>
          <w:bottom w:val="single" w:sz="12" w:space="0" w:color="9CEFFF" w:themeColor="accent3" w:themeTint="99"/>
          <w:insideH w:val="nil"/>
          <w:insideV w:val="nil"/>
        </w:tcBorders>
        <w:shd w:val="clear" w:color="auto" w:fill="FFFFFF" w:themeFill="background1"/>
      </w:tcPr>
    </w:tblStylePr>
    <w:tblStylePr w:type="lastRow">
      <w:rPr>
        <w:b/>
        <w:bCs/>
      </w:rPr>
      <w:tblPr/>
      <w:tcPr>
        <w:tcBorders>
          <w:top w:val="double" w:sz="2" w:space="0" w:color="9CEF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F9FF" w:themeFill="accent3" w:themeFillTint="33"/>
      </w:tcPr>
    </w:tblStylePr>
    <w:tblStylePr w:type="band1Horz">
      <w:tblPr/>
      <w:tcPr>
        <w:shd w:val="clear" w:color="auto" w:fill="DEF9FF" w:themeFill="accent3" w:themeFillTint="33"/>
      </w:tcPr>
    </w:tblStylePr>
  </w:style>
  <w:style w:type="table" w:styleId="GridTable2-Accent4">
    <w:name w:val="Grid Table 2 Accent 4"/>
    <w:basedOn w:val="TableNormal"/>
    <w:uiPriority w:val="47"/>
    <w:rsid w:val="00015FE5"/>
    <w:rPr>
      <w:lang w:val="en-US" w:eastAsia="en-US"/>
    </w:rPr>
    <w:tblPr>
      <w:tblStyleRowBandSize w:val="1"/>
      <w:tblStyleColBandSize w:val="1"/>
      <w:tblBorders>
        <w:top w:val="single" w:sz="2" w:space="0" w:color="005AFF" w:themeColor="accent4" w:themeTint="99"/>
        <w:bottom w:val="single" w:sz="2" w:space="0" w:color="005AFF" w:themeColor="accent4" w:themeTint="99"/>
        <w:insideH w:val="single" w:sz="2" w:space="0" w:color="005AFF" w:themeColor="accent4" w:themeTint="99"/>
        <w:insideV w:val="single" w:sz="2" w:space="0" w:color="005AFF" w:themeColor="accent4" w:themeTint="99"/>
      </w:tblBorders>
    </w:tblPr>
    <w:tblStylePr w:type="firstRow">
      <w:rPr>
        <w:b/>
        <w:bCs/>
      </w:rPr>
      <w:tblPr/>
      <w:tcPr>
        <w:tcBorders>
          <w:top w:val="nil"/>
          <w:bottom w:val="single" w:sz="12" w:space="0" w:color="005AFF" w:themeColor="accent4" w:themeTint="99"/>
          <w:insideH w:val="nil"/>
          <w:insideV w:val="nil"/>
        </w:tcBorders>
        <w:shd w:val="clear" w:color="auto" w:fill="FFFFFF" w:themeFill="background1"/>
      </w:tcPr>
    </w:tblStylePr>
    <w:tblStylePr w:type="lastRow">
      <w:rPr>
        <w:b/>
        <w:bCs/>
      </w:rPr>
      <w:tblPr/>
      <w:tcPr>
        <w:tcBorders>
          <w:top w:val="double" w:sz="2" w:space="0" w:color="005A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AC8FF" w:themeFill="accent4" w:themeFillTint="33"/>
      </w:tcPr>
    </w:tblStylePr>
    <w:tblStylePr w:type="band1Horz">
      <w:tblPr/>
      <w:tcPr>
        <w:shd w:val="clear" w:color="auto" w:fill="AAC8FF" w:themeFill="accent4" w:themeFillTint="33"/>
      </w:tcPr>
    </w:tblStylePr>
  </w:style>
  <w:style w:type="table" w:styleId="GridTable2-Accent5">
    <w:name w:val="Grid Table 2 Accent 5"/>
    <w:basedOn w:val="TableNormal"/>
    <w:uiPriority w:val="47"/>
    <w:rsid w:val="00015FE5"/>
    <w:rPr>
      <w:lang w:val="en-US" w:eastAsia="en-US"/>
    </w:rPr>
    <w:tblPr>
      <w:tblStyleRowBandSize w:val="1"/>
      <w:tblStyleColBandSize w:val="1"/>
      <w:tblBorders>
        <w:top w:val="single" w:sz="2" w:space="0" w:color="C9C9C9" w:themeColor="accent5" w:themeTint="99"/>
        <w:bottom w:val="single" w:sz="2" w:space="0" w:color="C9C9C9" w:themeColor="accent5" w:themeTint="99"/>
        <w:insideH w:val="single" w:sz="2" w:space="0" w:color="C9C9C9" w:themeColor="accent5" w:themeTint="99"/>
        <w:insideV w:val="single" w:sz="2" w:space="0" w:color="C9C9C9" w:themeColor="accent5" w:themeTint="99"/>
      </w:tblBorders>
    </w:tblPr>
    <w:tblStylePr w:type="firstRow">
      <w:rPr>
        <w:b/>
        <w:bCs/>
      </w:rPr>
      <w:tblPr/>
      <w:tcPr>
        <w:tcBorders>
          <w:top w:val="nil"/>
          <w:bottom w:val="single" w:sz="12" w:space="0" w:color="C9C9C9" w:themeColor="accent5" w:themeTint="99"/>
          <w:insideH w:val="nil"/>
          <w:insideV w:val="nil"/>
        </w:tcBorders>
        <w:shd w:val="clear" w:color="auto" w:fill="FFFFFF" w:themeFill="background1"/>
      </w:tcPr>
    </w:tblStylePr>
    <w:tblStylePr w:type="lastRow">
      <w:rPr>
        <w:b/>
        <w:bCs/>
      </w:rPr>
      <w:tblPr/>
      <w:tcPr>
        <w:tcBorders>
          <w:top w:val="double" w:sz="2" w:space="0" w:color="C9C9C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5" w:themeFillTint="33"/>
      </w:tcPr>
    </w:tblStylePr>
    <w:tblStylePr w:type="band1Horz">
      <w:tblPr/>
      <w:tcPr>
        <w:shd w:val="clear" w:color="auto" w:fill="EDEDED" w:themeFill="accent5" w:themeFillTint="33"/>
      </w:tcPr>
    </w:tblStylePr>
  </w:style>
  <w:style w:type="table" w:styleId="GridTable2-Accent6">
    <w:name w:val="Grid Table 2 Accent 6"/>
    <w:basedOn w:val="TableNormal"/>
    <w:uiPriority w:val="47"/>
    <w:rsid w:val="00015FE5"/>
    <w:rPr>
      <w:lang w:val="en-US" w:eastAsia="en-US"/>
    </w:rPr>
    <w:tblPr>
      <w:tblStyleRowBandSize w:val="1"/>
      <w:tblStyleColBandSize w:val="1"/>
      <w:tblBorders>
        <w:top w:val="single" w:sz="2" w:space="0" w:color="DEDEDE" w:themeColor="accent6" w:themeTint="99"/>
        <w:bottom w:val="single" w:sz="2" w:space="0" w:color="DEDEDE" w:themeColor="accent6" w:themeTint="99"/>
        <w:insideH w:val="single" w:sz="2" w:space="0" w:color="DEDEDE" w:themeColor="accent6" w:themeTint="99"/>
        <w:insideV w:val="single" w:sz="2" w:space="0" w:color="DEDEDE" w:themeColor="accent6" w:themeTint="99"/>
      </w:tblBorders>
    </w:tblPr>
    <w:tblStylePr w:type="firstRow">
      <w:rPr>
        <w:b/>
        <w:bCs/>
      </w:rPr>
      <w:tblPr/>
      <w:tcPr>
        <w:tcBorders>
          <w:top w:val="nil"/>
          <w:bottom w:val="single" w:sz="12" w:space="0" w:color="DEDEDE" w:themeColor="accent6" w:themeTint="99"/>
          <w:insideH w:val="nil"/>
          <w:insideV w:val="nil"/>
        </w:tcBorders>
        <w:shd w:val="clear" w:color="auto" w:fill="FFFFFF" w:themeFill="background1"/>
      </w:tcPr>
    </w:tblStylePr>
    <w:tblStylePr w:type="lastRow">
      <w:rPr>
        <w:b/>
        <w:bCs/>
      </w:rPr>
      <w:tblPr/>
      <w:tcPr>
        <w:tcBorders>
          <w:top w:val="double" w:sz="2" w:space="0" w:color="DEDEDE"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F4F4" w:themeFill="accent6" w:themeFillTint="33"/>
      </w:tcPr>
    </w:tblStylePr>
    <w:tblStylePr w:type="band1Horz">
      <w:tblPr/>
      <w:tcPr>
        <w:shd w:val="clear" w:color="auto" w:fill="F4F4F4" w:themeFill="accent6" w:themeFillTint="33"/>
      </w:tcPr>
    </w:tblStylePr>
  </w:style>
  <w:style w:type="table" w:styleId="GridTable3">
    <w:name w:val="Grid Table 3"/>
    <w:basedOn w:val="TableNormal"/>
    <w:uiPriority w:val="48"/>
    <w:rsid w:val="00015FE5"/>
    <w:rPr>
      <w:lang w:val="en-US"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015FE5"/>
    <w:rPr>
      <w:lang w:val="en-US" w:eastAsia="en-US"/>
    </w:rPr>
    <w:tblPr>
      <w:tblStyleRowBandSize w:val="1"/>
      <w:tblStyleColBandSize w:val="1"/>
      <w:tblBorders>
        <w:top w:val="single" w:sz="4" w:space="0" w:color="7875EC" w:themeColor="accent1" w:themeTint="99"/>
        <w:left w:val="single" w:sz="4" w:space="0" w:color="7875EC" w:themeColor="accent1" w:themeTint="99"/>
        <w:bottom w:val="single" w:sz="4" w:space="0" w:color="7875EC" w:themeColor="accent1" w:themeTint="99"/>
        <w:right w:val="single" w:sz="4" w:space="0" w:color="7875EC" w:themeColor="accent1" w:themeTint="99"/>
        <w:insideH w:val="single" w:sz="4" w:space="0" w:color="7875EC" w:themeColor="accent1" w:themeTint="99"/>
        <w:insideV w:val="single" w:sz="4" w:space="0" w:color="7875E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D1F8" w:themeFill="accent1" w:themeFillTint="33"/>
      </w:tcPr>
    </w:tblStylePr>
    <w:tblStylePr w:type="band1Horz">
      <w:tblPr/>
      <w:tcPr>
        <w:shd w:val="clear" w:color="auto" w:fill="D2D1F8" w:themeFill="accent1" w:themeFillTint="33"/>
      </w:tcPr>
    </w:tblStylePr>
    <w:tblStylePr w:type="neCell">
      <w:tblPr/>
      <w:tcPr>
        <w:tcBorders>
          <w:bottom w:val="single" w:sz="4" w:space="0" w:color="7875EC" w:themeColor="accent1" w:themeTint="99"/>
        </w:tcBorders>
      </w:tcPr>
    </w:tblStylePr>
    <w:tblStylePr w:type="nwCell">
      <w:tblPr/>
      <w:tcPr>
        <w:tcBorders>
          <w:bottom w:val="single" w:sz="4" w:space="0" w:color="7875EC" w:themeColor="accent1" w:themeTint="99"/>
        </w:tcBorders>
      </w:tcPr>
    </w:tblStylePr>
    <w:tblStylePr w:type="seCell">
      <w:tblPr/>
      <w:tcPr>
        <w:tcBorders>
          <w:top w:val="single" w:sz="4" w:space="0" w:color="7875EC" w:themeColor="accent1" w:themeTint="99"/>
        </w:tcBorders>
      </w:tcPr>
    </w:tblStylePr>
    <w:tblStylePr w:type="swCell">
      <w:tblPr/>
      <w:tcPr>
        <w:tcBorders>
          <w:top w:val="single" w:sz="4" w:space="0" w:color="7875EC" w:themeColor="accent1" w:themeTint="99"/>
        </w:tcBorders>
      </w:tcPr>
    </w:tblStylePr>
  </w:style>
  <w:style w:type="table" w:styleId="GridTable3-Accent2">
    <w:name w:val="Grid Table 3 Accent 2"/>
    <w:basedOn w:val="TableNormal"/>
    <w:uiPriority w:val="48"/>
    <w:rsid w:val="00015FE5"/>
    <w:rPr>
      <w:lang w:val="en-US" w:eastAsia="en-US"/>
    </w:rPr>
    <w:tblPr>
      <w:tblStyleRowBandSize w:val="1"/>
      <w:tblStyleColBandSize w:val="1"/>
      <w:tblBorders>
        <w:top w:val="single" w:sz="4" w:space="0" w:color="6CB0FF" w:themeColor="accent2" w:themeTint="99"/>
        <w:left w:val="single" w:sz="4" w:space="0" w:color="6CB0FF" w:themeColor="accent2" w:themeTint="99"/>
        <w:bottom w:val="single" w:sz="4" w:space="0" w:color="6CB0FF" w:themeColor="accent2" w:themeTint="99"/>
        <w:right w:val="single" w:sz="4" w:space="0" w:color="6CB0FF" w:themeColor="accent2" w:themeTint="99"/>
        <w:insideH w:val="single" w:sz="4" w:space="0" w:color="6CB0FF" w:themeColor="accent2" w:themeTint="99"/>
        <w:insideV w:val="single" w:sz="4" w:space="0" w:color="6CB0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E4FF" w:themeFill="accent2" w:themeFillTint="33"/>
      </w:tcPr>
    </w:tblStylePr>
    <w:tblStylePr w:type="band1Horz">
      <w:tblPr/>
      <w:tcPr>
        <w:shd w:val="clear" w:color="auto" w:fill="CEE4FF" w:themeFill="accent2" w:themeFillTint="33"/>
      </w:tcPr>
    </w:tblStylePr>
    <w:tblStylePr w:type="neCell">
      <w:tblPr/>
      <w:tcPr>
        <w:tcBorders>
          <w:bottom w:val="single" w:sz="4" w:space="0" w:color="6CB0FF" w:themeColor="accent2" w:themeTint="99"/>
        </w:tcBorders>
      </w:tcPr>
    </w:tblStylePr>
    <w:tblStylePr w:type="nwCell">
      <w:tblPr/>
      <w:tcPr>
        <w:tcBorders>
          <w:bottom w:val="single" w:sz="4" w:space="0" w:color="6CB0FF" w:themeColor="accent2" w:themeTint="99"/>
        </w:tcBorders>
      </w:tcPr>
    </w:tblStylePr>
    <w:tblStylePr w:type="seCell">
      <w:tblPr/>
      <w:tcPr>
        <w:tcBorders>
          <w:top w:val="single" w:sz="4" w:space="0" w:color="6CB0FF" w:themeColor="accent2" w:themeTint="99"/>
        </w:tcBorders>
      </w:tcPr>
    </w:tblStylePr>
    <w:tblStylePr w:type="swCell">
      <w:tblPr/>
      <w:tcPr>
        <w:tcBorders>
          <w:top w:val="single" w:sz="4" w:space="0" w:color="6CB0FF" w:themeColor="accent2" w:themeTint="99"/>
        </w:tcBorders>
      </w:tcPr>
    </w:tblStylePr>
  </w:style>
  <w:style w:type="table" w:styleId="GridTable3-Accent3">
    <w:name w:val="Grid Table 3 Accent 3"/>
    <w:basedOn w:val="TableNormal"/>
    <w:uiPriority w:val="48"/>
    <w:rsid w:val="00015FE5"/>
    <w:rPr>
      <w:lang w:val="en-US" w:eastAsia="en-US"/>
    </w:rPr>
    <w:tblPr>
      <w:tblStyleRowBandSize w:val="1"/>
      <w:tblStyleColBandSize w:val="1"/>
      <w:tblBorders>
        <w:top w:val="single" w:sz="4" w:space="0" w:color="9CEFFF" w:themeColor="accent3" w:themeTint="99"/>
        <w:left w:val="single" w:sz="4" w:space="0" w:color="9CEFFF" w:themeColor="accent3" w:themeTint="99"/>
        <w:bottom w:val="single" w:sz="4" w:space="0" w:color="9CEFFF" w:themeColor="accent3" w:themeTint="99"/>
        <w:right w:val="single" w:sz="4" w:space="0" w:color="9CEFFF" w:themeColor="accent3" w:themeTint="99"/>
        <w:insideH w:val="single" w:sz="4" w:space="0" w:color="9CEFFF" w:themeColor="accent3" w:themeTint="99"/>
        <w:insideV w:val="single" w:sz="4" w:space="0" w:color="9CEF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9FF" w:themeFill="accent3" w:themeFillTint="33"/>
      </w:tcPr>
    </w:tblStylePr>
    <w:tblStylePr w:type="band1Horz">
      <w:tblPr/>
      <w:tcPr>
        <w:shd w:val="clear" w:color="auto" w:fill="DEF9FF" w:themeFill="accent3" w:themeFillTint="33"/>
      </w:tcPr>
    </w:tblStylePr>
    <w:tblStylePr w:type="neCell">
      <w:tblPr/>
      <w:tcPr>
        <w:tcBorders>
          <w:bottom w:val="single" w:sz="4" w:space="0" w:color="9CEFFF" w:themeColor="accent3" w:themeTint="99"/>
        </w:tcBorders>
      </w:tcPr>
    </w:tblStylePr>
    <w:tblStylePr w:type="nwCell">
      <w:tblPr/>
      <w:tcPr>
        <w:tcBorders>
          <w:bottom w:val="single" w:sz="4" w:space="0" w:color="9CEFFF" w:themeColor="accent3" w:themeTint="99"/>
        </w:tcBorders>
      </w:tcPr>
    </w:tblStylePr>
    <w:tblStylePr w:type="seCell">
      <w:tblPr/>
      <w:tcPr>
        <w:tcBorders>
          <w:top w:val="single" w:sz="4" w:space="0" w:color="9CEFFF" w:themeColor="accent3" w:themeTint="99"/>
        </w:tcBorders>
      </w:tcPr>
    </w:tblStylePr>
    <w:tblStylePr w:type="swCell">
      <w:tblPr/>
      <w:tcPr>
        <w:tcBorders>
          <w:top w:val="single" w:sz="4" w:space="0" w:color="9CEFFF" w:themeColor="accent3" w:themeTint="99"/>
        </w:tcBorders>
      </w:tcPr>
    </w:tblStylePr>
  </w:style>
  <w:style w:type="table" w:styleId="GridTable3-Accent4">
    <w:name w:val="Grid Table 3 Accent 4"/>
    <w:basedOn w:val="TableNormal"/>
    <w:uiPriority w:val="48"/>
    <w:rsid w:val="00015FE5"/>
    <w:rPr>
      <w:lang w:val="en-US" w:eastAsia="en-US"/>
    </w:rPr>
    <w:tblPr>
      <w:tblStyleRowBandSize w:val="1"/>
      <w:tblStyleColBandSize w:val="1"/>
      <w:tblBorders>
        <w:top w:val="single" w:sz="4" w:space="0" w:color="005AFF" w:themeColor="accent4" w:themeTint="99"/>
        <w:left w:val="single" w:sz="4" w:space="0" w:color="005AFF" w:themeColor="accent4" w:themeTint="99"/>
        <w:bottom w:val="single" w:sz="4" w:space="0" w:color="005AFF" w:themeColor="accent4" w:themeTint="99"/>
        <w:right w:val="single" w:sz="4" w:space="0" w:color="005AFF" w:themeColor="accent4" w:themeTint="99"/>
        <w:insideH w:val="single" w:sz="4" w:space="0" w:color="005AFF" w:themeColor="accent4" w:themeTint="99"/>
        <w:insideV w:val="single" w:sz="4" w:space="0" w:color="005A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C8FF" w:themeFill="accent4" w:themeFillTint="33"/>
      </w:tcPr>
    </w:tblStylePr>
    <w:tblStylePr w:type="band1Horz">
      <w:tblPr/>
      <w:tcPr>
        <w:shd w:val="clear" w:color="auto" w:fill="AAC8FF" w:themeFill="accent4" w:themeFillTint="33"/>
      </w:tcPr>
    </w:tblStylePr>
    <w:tblStylePr w:type="neCell">
      <w:tblPr/>
      <w:tcPr>
        <w:tcBorders>
          <w:bottom w:val="single" w:sz="4" w:space="0" w:color="005AFF" w:themeColor="accent4" w:themeTint="99"/>
        </w:tcBorders>
      </w:tcPr>
    </w:tblStylePr>
    <w:tblStylePr w:type="nwCell">
      <w:tblPr/>
      <w:tcPr>
        <w:tcBorders>
          <w:bottom w:val="single" w:sz="4" w:space="0" w:color="005AFF" w:themeColor="accent4" w:themeTint="99"/>
        </w:tcBorders>
      </w:tcPr>
    </w:tblStylePr>
    <w:tblStylePr w:type="seCell">
      <w:tblPr/>
      <w:tcPr>
        <w:tcBorders>
          <w:top w:val="single" w:sz="4" w:space="0" w:color="005AFF" w:themeColor="accent4" w:themeTint="99"/>
        </w:tcBorders>
      </w:tcPr>
    </w:tblStylePr>
    <w:tblStylePr w:type="swCell">
      <w:tblPr/>
      <w:tcPr>
        <w:tcBorders>
          <w:top w:val="single" w:sz="4" w:space="0" w:color="005AFF" w:themeColor="accent4" w:themeTint="99"/>
        </w:tcBorders>
      </w:tcPr>
    </w:tblStylePr>
  </w:style>
  <w:style w:type="table" w:styleId="GridTable3-Accent5">
    <w:name w:val="Grid Table 3 Accent 5"/>
    <w:basedOn w:val="TableNormal"/>
    <w:uiPriority w:val="48"/>
    <w:rsid w:val="00015FE5"/>
    <w:rPr>
      <w:lang w:val="en-US" w:eastAsia="en-US"/>
    </w:rPr>
    <w:tblPr>
      <w:tblStyleRowBandSize w:val="1"/>
      <w:tblStyleColBandSize w:val="1"/>
      <w:tblBorders>
        <w:top w:val="single" w:sz="4" w:space="0" w:color="C9C9C9" w:themeColor="accent5" w:themeTint="99"/>
        <w:left w:val="single" w:sz="4" w:space="0" w:color="C9C9C9" w:themeColor="accent5" w:themeTint="99"/>
        <w:bottom w:val="single" w:sz="4" w:space="0" w:color="C9C9C9" w:themeColor="accent5" w:themeTint="99"/>
        <w:right w:val="single" w:sz="4" w:space="0" w:color="C9C9C9" w:themeColor="accent5" w:themeTint="99"/>
        <w:insideH w:val="single" w:sz="4" w:space="0" w:color="C9C9C9" w:themeColor="accent5" w:themeTint="99"/>
        <w:insideV w:val="single" w:sz="4" w:space="0" w:color="C9C9C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5" w:themeFillTint="33"/>
      </w:tcPr>
    </w:tblStylePr>
    <w:tblStylePr w:type="band1Horz">
      <w:tblPr/>
      <w:tcPr>
        <w:shd w:val="clear" w:color="auto" w:fill="EDEDED" w:themeFill="accent5" w:themeFillTint="33"/>
      </w:tcPr>
    </w:tblStylePr>
    <w:tblStylePr w:type="neCell">
      <w:tblPr/>
      <w:tcPr>
        <w:tcBorders>
          <w:bottom w:val="single" w:sz="4" w:space="0" w:color="C9C9C9" w:themeColor="accent5" w:themeTint="99"/>
        </w:tcBorders>
      </w:tcPr>
    </w:tblStylePr>
    <w:tblStylePr w:type="nwCell">
      <w:tblPr/>
      <w:tcPr>
        <w:tcBorders>
          <w:bottom w:val="single" w:sz="4" w:space="0" w:color="C9C9C9" w:themeColor="accent5" w:themeTint="99"/>
        </w:tcBorders>
      </w:tcPr>
    </w:tblStylePr>
    <w:tblStylePr w:type="seCell">
      <w:tblPr/>
      <w:tcPr>
        <w:tcBorders>
          <w:top w:val="single" w:sz="4" w:space="0" w:color="C9C9C9" w:themeColor="accent5" w:themeTint="99"/>
        </w:tcBorders>
      </w:tcPr>
    </w:tblStylePr>
    <w:tblStylePr w:type="swCell">
      <w:tblPr/>
      <w:tcPr>
        <w:tcBorders>
          <w:top w:val="single" w:sz="4" w:space="0" w:color="C9C9C9" w:themeColor="accent5" w:themeTint="99"/>
        </w:tcBorders>
      </w:tcPr>
    </w:tblStylePr>
  </w:style>
  <w:style w:type="table" w:styleId="GridTable3-Accent6">
    <w:name w:val="Grid Table 3 Accent 6"/>
    <w:basedOn w:val="TableNormal"/>
    <w:uiPriority w:val="48"/>
    <w:rsid w:val="00015FE5"/>
    <w:rPr>
      <w:lang w:val="en-US" w:eastAsia="en-US"/>
    </w:rPr>
    <w:tblPr>
      <w:tblStyleRowBandSize w:val="1"/>
      <w:tblStyleColBandSize w:val="1"/>
      <w:tblBorders>
        <w:top w:val="single" w:sz="4" w:space="0" w:color="DEDEDE" w:themeColor="accent6" w:themeTint="99"/>
        <w:left w:val="single" w:sz="4" w:space="0" w:color="DEDEDE" w:themeColor="accent6" w:themeTint="99"/>
        <w:bottom w:val="single" w:sz="4" w:space="0" w:color="DEDEDE" w:themeColor="accent6" w:themeTint="99"/>
        <w:right w:val="single" w:sz="4" w:space="0" w:color="DEDEDE" w:themeColor="accent6" w:themeTint="99"/>
        <w:insideH w:val="single" w:sz="4" w:space="0" w:color="DEDEDE" w:themeColor="accent6" w:themeTint="99"/>
        <w:insideV w:val="single" w:sz="4" w:space="0" w:color="DEDED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4F4" w:themeFill="accent6" w:themeFillTint="33"/>
      </w:tcPr>
    </w:tblStylePr>
    <w:tblStylePr w:type="band1Horz">
      <w:tblPr/>
      <w:tcPr>
        <w:shd w:val="clear" w:color="auto" w:fill="F4F4F4" w:themeFill="accent6" w:themeFillTint="33"/>
      </w:tcPr>
    </w:tblStylePr>
    <w:tblStylePr w:type="neCell">
      <w:tblPr/>
      <w:tcPr>
        <w:tcBorders>
          <w:bottom w:val="single" w:sz="4" w:space="0" w:color="DEDEDE" w:themeColor="accent6" w:themeTint="99"/>
        </w:tcBorders>
      </w:tcPr>
    </w:tblStylePr>
    <w:tblStylePr w:type="nwCell">
      <w:tblPr/>
      <w:tcPr>
        <w:tcBorders>
          <w:bottom w:val="single" w:sz="4" w:space="0" w:color="DEDEDE" w:themeColor="accent6" w:themeTint="99"/>
        </w:tcBorders>
      </w:tcPr>
    </w:tblStylePr>
    <w:tblStylePr w:type="seCell">
      <w:tblPr/>
      <w:tcPr>
        <w:tcBorders>
          <w:top w:val="single" w:sz="4" w:space="0" w:color="DEDEDE" w:themeColor="accent6" w:themeTint="99"/>
        </w:tcBorders>
      </w:tcPr>
    </w:tblStylePr>
    <w:tblStylePr w:type="swCell">
      <w:tblPr/>
      <w:tcPr>
        <w:tcBorders>
          <w:top w:val="single" w:sz="4" w:space="0" w:color="DEDEDE" w:themeColor="accent6" w:themeTint="99"/>
        </w:tcBorders>
      </w:tcPr>
    </w:tblStylePr>
  </w:style>
  <w:style w:type="table" w:styleId="GridTable4">
    <w:name w:val="Grid Table 4"/>
    <w:basedOn w:val="TableNormal"/>
    <w:uiPriority w:val="49"/>
    <w:rsid w:val="00015FE5"/>
    <w:rPr>
      <w:lang w:val="en-US"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015FE5"/>
    <w:rPr>
      <w:lang w:val="en-US" w:eastAsia="en-US"/>
    </w:rPr>
    <w:tblPr>
      <w:tblStyleRowBandSize w:val="1"/>
      <w:tblStyleColBandSize w:val="1"/>
      <w:tblBorders>
        <w:top w:val="single" w:sz="4" w:space="0" w:color="7875EC" w:themeColor="accent1" w:themeTint="99"/>
        <w:left w:val="single" w:sz="4" w:space="0" w:color="7875EC" w:themeColor="accent1" w:themeTint="99"/>
        <w:bottom w:val="single" w:sz="4" w:space="0" w:color="7875EC" w:themeColor="accent1" w:themeTint="99"/>
        <w:right w:val="single" w:sz="4" w:space="0" w:color="7875EC" w:themeColor="accent1" w:themeTint="99"/>
        <w:insideH w:val="single" w:sz="4" w:space="0" w:color="7875EC" w:themeColor="accent1" w:themeTint="99"/>
        <w:insideV w:val="single" w:sz="4" w:space="0" w:color="7875EC" w:themeColor="accent1" w:themeTint="99"/>
      </w:tblBorders>
    </w:tblPr>
    <w:tblStylePr w:type="firstRow">
      <w:rPr>
        <w:b/>
        <w:bCs/>
        <w:color w:val="FFFFFF" w:themeColor="background1"/>
      </w:rPr>
      <w:tblPr/>
      <w:tcPr>
        <w:tcBorders>
          <w:top w:val="single" w:sz="4" w:space="0" w:color="231EDC" w:themeColor="accent1"/>
          <w:left w:val="single" w:sz="4" w:space="0" w:color="231EDC" w:themeColor="accent1"/>
          <w:bottom w:val="single" w:sz="4" w:space="0" w:color="231EDC" w:themeColor="accent1"/>
          <w:right w:val="single" w:sz="4" w:space="0" w:color="231EDC" w:themeColor="accent1"/>
          <w:insideH w:val="nil"/>
          <w:insideV w:val="nil"/>
        </w:tcBorders>
        <w:shd w:val="clear" w:color="auto" w:fill="231EDC" w:themeFill="accent1"/>
      </w:tcPr>
    </w:tblStylePr>
    <w:tblStylePr w:type="lastRow">
      <w:rPr>
        <w:b/>
        <w:bCs/>
      </w:rPr>
      <w:tblPr/>
      <w:tcPr>
        <w:tcBorders>
          <w:top w:val="double" w:sz="4" w:space="0" w:color="231EDC" w:themeColor="accent1"/>
        </w:tcBorders>
      </w:tcPr>
    </w:tblStylePr>
    <w:tblStylePr w:type="firstCol">
      <w:rPr>
        <w:b/>
        <w:bCs/>
      </w:rPr>
    </w:tblStylePr>
    <w:tblStylePr w:type="lastCol">
      <w:rPr>
        <w:b/>
        <w:bCs/>
      </w:rPr>
    </w:tblStylePr>
    <w:tblStylePr w:type="band1Vert">
      <w:tblPr/>
      <w:tcPr>
        <w:shd w:val="clear" w:color="auto" w:fill="D2D1F8" w:themeFill="accent1" w:themeFillTint="33"/>
      </w:tcPr>
    </w:tblStylePr>
    <w:tblStylePr w:type="band1Horz">
      <w:tblPr/>
      <w:tcPr>
        <w:shd w:val="clear" w:color="auto" w:fill="D2D1F8" w:themeFill="accent1" w:themeFillTint="33"/>
      </w:tcPr>
    </w:tblStylePr>
  </w:style>
  <w:style w:type="table" w:styleId="GridTable4-Accent2">
    <w:name w:val="Grid Table 4 Accent 2"/>
    <w:basedOn w:val="TableNormal"/>
    <w:uiPriority w:val="49"/>
    <w:rsid w:val="00015FE5"/>
    <w:rPr>
      <w:lang w:val="en-US" w:eastAsia="en-US"/>
    </w:rPr>
    <w:tblPr>
      <w:tblStyleRowBandSize w:val="1"/>
      <w:tblStyleColBandSize w:val="1"/>
      <w:tblBorders>
        <w:top w:val="single" w:sz="4" w:space="0" w:color="6CB0FF" w:themeColor="accent2" w:themeTint="99"/>
        <w:left w:val="single" w:sz="4" w:space="0" w:color="6CB0FF" w:themeColor="accent2" w:themeTint="99"/>
        <w:bottom w:val="single" w:sz="4" w:space="0" w:color="6CB0FF" w:themeColor="accent2" w:themeTint="99"/>
        <w:right w:val="single" w:sz="4" w:space="0" w:color="6CB0FF" w:themeColor="accent2" w:themeTint="99"/>
        <w:insideH w:val="single" w:sz="4" w:space="0" w:color="6CB0FF" w:themeColor="accent2" w:themeTint="99"/>
        <w:insideV w:val="single" w:sz="4" w:space="0" w:color="6CB0FF" w:themeColor="accent2" w:themeTint="99"/>
      </w:tblBorders>
    </w:tblPr>
    <w:tblStylePr w:type="firstRow">
      <w:rPr>
        <w:b/>
        <w:bCs/>
        <w:color w:val="FFFFFF" w:themeColor="background1"/>
      </w:rPr>
      <w:tblPr/>
      <w:tcPr>
        <w:tcBorders>
          <w:top w:val="single" w:sz="4" w:space="0" w:color="0A7DFF" w:themeColor="accent2"/>
          <w:left w:val="single" w:sz="4" w:space="0" w:color="0A7DFF" w:themeColor="accent2"/>
          <w:bottom w:val="single" w:sz="4" w:space="0" w:color="0A7DFF" w:themeColor="accent2"/>
          <w:right w:val="single" w:sz="4" w:space="0" w:color="0A7DFF" w:themeColor="accent2"/>
          <w:insideH w:val="nil"/>
          <w:insideV w:val="nil"/>
        </w:tcBorders>
        <w:shd w:val="clear" w:color="auto" w:fill="0A7DFF" w:themeFill="accent2"/>
      </w:tcPr>
    </w:tblStylePr>
    <w:tblStylePr w:type="lastRow">
      <w:rPr>
        <w:b/>
        <w:bCs/>
      </w:rPr>
      <w:tblPr/>
      <w:tcPr>
        <w:tcBorders>
          <w:top w:val="double" w:sz="4" w:space="0" w:color="0A7DFF" w:themeColor="accent2"/>
        </w:tcBorders>
      </w:tcPr>
    </w:tblStylePr>
    <w:tblStylePr w:type="firstCol">
      <w:rPr>
        <w:b/>
        <w:bCs/>
      </w:rPr>
    </w:tblStylePr>
    <w:tblStylePr w:type="lastCol">
      <w:rPr>
        <w:b/>
        <w:bCs/>
      </w:rPr>
    </w:tblStylePr>
    <w:tblStylePr w:type="band1Vert">
      <w:tblPr/>
      <w:tcPr>
        <w:shd w:val="clear" w:color="auto" w:fill="CEE4FF" w:themeFill="accent2" w:themeFillTint="33"/>
      </w:tcPr>
    </w:tblStylePr>
    <w:tblStylePr w:type="band1Horz">
      <w:tblPr/>
      <w:tcPr>
        <w:shd w:val="clear" w:color="auto" w:fill="CEE4FF" w:themeFill="accent2" w:themeFillTint="33"/>
      </w:tcPr>
    </w:tblStylePr>
  </w:style>
  <w:style w:type="table" w:styleId="GridTable4-Accent3">
    <w:name w:val="Grid Table 4 Accent 3"/>
    <w:basedOn w:val="TableNormal"/>
    <w:uiPriority w:val="49"/>
    <w:rsid w:val="00015FE5"/>
    <w:rPr>
      <w:lang w:val="en-US" w:eastAsia="en-US"/>
    </w:rPr>
    <w:tblPr>
      <w:tblStyleRowBandSize w:val="1"/>
      <w:tblStyleColBandSize w:val="1"/>
      <w:tblBorders>
        <w:top w:val="single" w:sz="4" w:space="0" w:color="9CEFFF" w:themeColor="accent3" w:themeTint="99"/>
        <w:left w:val="single" w:sz="4" w:space="0" w:color="9CEFFF" w:themeColor="accent3" w:themeTint="99"/>
        <w:bottom w:val="single" w:sz="4" w:space="0" w:color="9CEFFF" w:themeColor="accent3" w:themeTint="99"/>
        <w:right w:val="single" w:sz="4" w:space="0" w:color="9CEFFF" w:themeColor="accent3" w:themeTint="99"/>
        <w:insideH w:val="single" w:sz="4" w:space="0" w:color="9CEFFF" w:themeColor="accent3" w:themeTint="99"/>
        <w:insideV w:val="single" w:sz="4" w:space="0" w:color="9CEFFF" w:themeColor="accent3" w:themeTint="99"/>
      </w:tblBorders>
    </w:tblPr>
    <w:tblStylePr w:type="firstRow">
      <w:rPr>
        <w:b/>
        <w:bCs/>
        <w:color w:val="FFFFFF" w:themeColor="background1"/>
      </w:rPr>
      <w:tblPr/>
      <w:tcPr>
        <w:tcBorders>
          <w:top w:val="single" w:sz="4" w:space="0" w:color="5AE6FF" w:themeColor="accent3"/>
          <w:left w:val="single" w:sz="4" w:space="0" w:color="5AE6FF" w:themeColor="accent3"/>
          <w:bottom w:val="single" w:sz="4" w:space="0" w:color="5AE6FF" w:themeColor="accent3"/>
          <w:right w:val="single" w:sz="4" w:space="0" w:color="5AE6FF" w:themeColor="accent3"/>
          <w:insideH w:val="nil"/>
          <w:insideV w:val="nil"/>
        </w:tcBorders>
        <w:shd w:val="clear" w:color="auto" w:fill="5AE6FF" w:themeFill="accent3"/>
      </w:tcPr>
    </w:tblStylePr>
    <w:tblStylePr w:type="lastRow">
      <w:rPr>
        <w:b/>
        <w:bCs/>
      </w:rPr>
      <w:tblPr/>
      <w:tcPr>
        <w:tcBorders>
          <w:top w:val="double" w:sz="4" w:space="0" w:color="5AE6FF" w:themeColor="accent3"/>
        </w:tcBorders>
      </w:tcPr>
    </w:tblStylePr>
    <w:tblStylePr w:type="firstCol">
      <w:rPr>
        <w:b/>
        <w:bCs/>
      </w:rPr>
    </w:tblStylePr>
    <w:tblStylePr w:type="lastCol">
      <w:rPr>
        <w:b/>
        <w:bCs/>
      </w:rPr>
    </w:tblStylePr>
    <w:tblStylePr w:type="band1Vert">
      <w:tblPr/>
      <w:tcPr>
        <w:shd w:val="clear" w:color="auto" w:fill="DEF9FF" w:themeFill="accent3" w:themeFillTint="33"/>
      </w:tcPr>
    </w:tblStylePr>
    <w:tblStylePr w:type="band1Horz">
      <w:tblPr/>
      <w:tcPr>
        <w:shd w:val="clear" w:color="auto" w:fill="DEF9FF" w:themeFill="accent3" w:themeFillTint="33"/>
      </w:tcPr>
    </w:tblStylePr>
  </w:style>
  <w:style w:type="table" w:styleId="GridTable4-Accent4">
    <w:name w:val="Grid Table 4 Accent 4"/>
    <w:basedOn w:val="TableNormal"/>
    <w:uiPriority w:val="49"/>
    <w:rsid w:val="00015FE5"/>
    <w:rPr>
      <w:lang w:val="en-US" w:eastAsia="en-US"/>
    </w:rPr>
    <w:tblPr>
      <w:tblStyleRowBandSize w:val="1"/>
      <w:tblStyleColBandSize w:val="1"/>
      <w:tblBorders>
        <w:top w:val="single" w:sz="4" w:space="0" w:color="005AFF" w:themeColor="accent4" w:themeTint="99"/>
        <w:left w:val="single" w:sz="4" w:space="0" w:color="005AFF" w:themeColor="accent4" w:themeTint="99"/>
        <w:bottom w:val="single" w:sz="4" w:space="0" w:color="005AFF" w:themeColor="accent4" w:themeTint="99"/>
        <w:right w:val="single" w:sz="4" w:space="0" w:color="005AFF" w:themeColor="accent4" w:themeTint="99"/>
        <w:insideH w:val="single" w:sz="4" w:space="0" w:color="005AFF" w:themeColor="accent4" w:themeTint="99"/>
        <w:insideV w:val="single" w:sz="4" w:space="0" w:color="005AFF" w:themeColor="accent4" w:themeTint="99"/>
      </w:tblBorders>
    </w:tblPr>
    <w:tblStylePr w:type="firstRow">
      <w:rPr>
        <w:b/>
        <w:bCs/>
        <w:color w:val="FFFFFF" w:themeColor="background1"/>
      </w:rPr>
      <w:tblPr/>
      <w:tcPr>
        <w:tcBorders>
          <w:top w:val="single" w:sz="4" w:space="0" w:color="001E55" w:themeColor="accent4"/>
          <w:left w:val="single" w:sz="4" w:space="0" w:color="001E55" w:themeColor="accent4"/>
          <w:bottom w:val="single" w:sz="4" w:space="0" w:color="001E55" w:themeColor="accent4"/>
          <w:right w:val="single" w:sz="4" w:space="0" w:color="001E55" w:themeColor="accent4"/>
          <w:insideH w:val="nil"/>
          <w:insideV w:val="nil"/>
        </w:tcBorders>
        <w:shd w:val="clear" w:color="auto" w:fill="001E55" w:themeFill="accent4"/>
      </w:tcPr>
    </w:tblStylePr>
    <w:tblStylePr w:type="lastRow">
      <w:rPr>
        <w:b/>
        <w:bCs/>
      </w:rPr>
      <w:tblPr/>
      <w:tcPr>
        <w:tcBorders>
          <w:top w:val="double" w:sz="4" w:space="0" w:color="001E55" w:themeColor="accent4"/>
        </w:tcBorders>
      </w:tcPr>
    </w:tblStylePr>
    <w:tblStylePr w:type="firstCol">
      <w:rPr>
        <w:b/>
        <w:bCs/>
      </w:rPr>
    </w:tblStylePr>
    <w:tblStylePr w:type="lastCol">
      <w:rPr>
        <w:b/>
        <w:bCs/>
      </w:rPr>
    </w:tblStylePr>
    <w:tblStylePr w:type="band1Vert">
      <w:tblPr/>
      <w:tcPr>
        <w:shd w:val="clear" w:color="auto" w:fill="AAC8FF" w:themeFill="accent4" w:themeFillTint="33"/>
      </w:tcPr>
    </w:tblStylePr>
    <w:tblStylePr w:type="band1Horz">
      <w:tblPr/>
      <w:tcPr>
        <w:shd w:val="clear" w:color="auto" w:fill="AAC8FF" w:themeFill="accent4" w:themeFillTint="33"/>
      </w:tcPr>
    </w:tblStylePr>
  </w:style>
  <w:style w:type="table" w:styleId="GridTable4-Accent5">
    <w:name w:val="Grid Table 4 Accent 5"/>
    <w:basedOn w:val="TableNormal"/>
    <w:uiPriority w:val="49"/>
    <w:rsid w:val="00015FE5"/>
    <w:rPr>
      <w:lang w:val="en-US" w:eastAsia="en-US"/>
    </w:rPr>
    <w:tblPr>
      <w:tblStyleRowBandSize w:val="1"/>
      <w:tblStyleColBandSize w:val="1"/>
      <w:tblBorders>
        <w:top w:val="single" w:sz="4" w:space="0" w:color="C9C9C9" w:themeColor="accent5" w:themeTint="99"/>
        <w:left w:val="single" w:sz="4" w:space="0" w:color="C9C9C9" w:themeColor="accent5" w:themeTint="99"/>
        <w:bottom w:val="single" w:sz="4" w:space="0" w:color="C9C9C9" w:themeColor="accent5" w:themeTint="99"/>
        <w:right w:val="single" w:sz="4" w:space="0" w:color="C9C9C9" w:themeColor="accent5" w:themeTint="99"/>
        <w:insideH w:val="single" w:sz="4" w:space="0" w:color="C9C9C9" w:themeColor="accent5" w:themeTint="99"/>
        <w:insideV w:val="single" w:sz="4" w:space="0" w:color="C9C9C9" w:themeColor="accent5" w:themeTint="99"/>
      </w:tblBorders>
    </w:tblPr>
    <w:tblStylePr w:type="firstRow">
      <w:rPr>
        <w:b/>
        <w:bCs/>
        <w:color w:val="FFFFFF" w:themeColor="background1"/>
      </w:rPr>
      <w:tblPr/>
      <w:tcPr>
        <w:tcBorders>
          <w:top w:val="single" w:sz="4" w:space="0" w:color="A5A5A5" w:themeColor="accent5"/>
          <w:left w:val="single" w:sz="4" w:space="0" w:color="A5A5A5" w:themeColor="accent5"/>
          <w:bottom w:val="single" w:sz="4" w:space="0" w:color="A5A5A5" w:themeColor="accent5"/>
          <w:right w:val="single" w:sz="4" w:space="0" w:color="A5A5A5" w:themeColor="accent5"/>
          <w:insideH w:val="nil"/>
          <w:insideV w:val="nil"/>
        </w:tcBorders>
        <w:shd w:val="clear" w:color="auto" w:fill="A5A5A5" w:themeFill="accent5"/>
      </w:tcPr>
    </w:tblStylePr>
    <w:tblStylePr w:type="lastRow">
      <w:rPr>
        <w:b/>
        <w:bCs/>
      </w:rPr>
      <w:tblPr/>
      <w:tcPr>
        <w:tcBorders>
          <w:top w:val="double" w:sz="4" w:space="0" w:color="A5A5A5" w:themeColor="accent5"/>
        </w:tcBorders>
      </w:tcPr>
    </w:tblStylePr>
    <w:tblStylePr w:type="firstCol">
      <w:rPr>
        <w:b/>
        <w:bCs/>
      </w:rPr>
    </w:tblStylePr>
    <w:tblStylePr w:type="lastCol">
      <w:rPr>
        <w:b/>
        <w:bCs/>
      </w:rPr>
    </w:tblStylePr>
    <w:tblStylePr w:type="band1Vert">
      <w:tblPr/>
      <w:tcPr>
        <w:shd w:val="clear" w:color="auto" w:fill="EDEDED" w:themeFill="accent5" w:themeFillTint="33"/>
      </w:tcPr>
    </w:tblStylePr>
    <w:tblStylePr w:type="band1Horz">
      <w:tblPr/>
      <w:tcPr>
        <w:shd w:val="clear" w:color="auto" w:fill="EDEDED" w:themeFill="accent5" w:themeFillTint="33"/>
      </w:tcPr>
    </w:tblStylePr>
  </w:style>
  <w:style w:type="table" w:styleId="GridTable5Dark">
    <w:name w:val="Grid Table 5 Dark"/>
    <w:basedOn w:val="TableNormal"/>
    <w:uiPriority w:val="50"/>
    <w:rsid w:val="00015FE5"/>
    <w:rPr>
      <w:lang w:val="en-U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015FE5"/>
    <w:rPr>
      <w:lang w:val="en-U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D1F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1ED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1ED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1ED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1EDC" w:themeFill="accent1"/>
      </w:tcPr>
    </w:tblStylePr>
    <w:tblStylePr w:type="band1Vert">
      <w:tblPr/>
      <w:tcPr>
        <w:shd w:val="clear" w:color="auto" w:fill="A5A3F2" w:themeFill="accent1" w:themeFillTint="66"/>
      </w:tcPr>
    </w:tblStylePr>
    <w:tblStylePr w:type="band1Horz">
      <w:tblPr/>
      <w:tcPr>
        <w:shd w:val="clear" w:color="auto" w:fill="A5A3F2" w:themeFill="accent1" w:themeFillTint="66"/>
      </w:tcPr>
    </w:tblStylePr>
  </w:style>
  <w:style w:type="table" w:styleId="GridTable5Dark-Accent2">
    <w:name w:val="Grid Table 5 Dark Accent 2"/>
    <w:basedOn w:val="TableNormal"/>
    <w:uiPriority w:val="50"/>
    <w:rsid w:val="00015FE5"/>
    <w:rPr>
      <w:lang w:val="en-U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EE4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A7DF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A7DF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A7DF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A7DFF" w:themeFill="accent2"/>
      </w:tcPr>
    </w:tblStylePr>
    <w:tblStylePr w:type="band1Vert">
      <w:tblPr/>
      <w:tcPr>
        <w:shd w:val="clear" w:color="auto" w:fill="9DCAFF" w:themeFill="accent2" w:themeFillTint="66"/>
      </w:tcPr>
    </w:tblStylePr>
    <w:tblStylePr w:type="band1Horz">
      <w:tblPr/>
      <w:tcPr>
        <w:shd w:val="clear" w:color="auto" w:fill="9DCAFF" w:themeFill="accent2" w:themeFillTint="66"/>
      </w:tcPr>
    </w:tblStylePr>
  </w:style>
  <w:style w:type="table" w:styleId="GridTable5Dark-Accent3">
    <w:name w:val="Grid Table 5 Dark Accent 3"/>
    <w:basedOn w:val="TableNormal"/>
    <w:uiPriority w:val="50"/>
    <w:rsid w:val="00015FE5"/>
    <w:rPr>
      <w:lang w:val="en-U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F9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AE6F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AE6F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AE6F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AE6FF" w:themeFill="accent3"/>
      </w:tcPr>
    </w:tblStylePr>
    <w:tblStylePr w:type="band1Vert">
      <w:tblPr/>
      <w:tcPr>
        <w:shd w:val="clear" w:color="auto" w:fill="BDF4FF" w:themeFill="accent3" w:themeFillTint="66"/>
      </w:tcPr>
    </w:tblStylePr>
    <w:tblStylePr w:type="band1Horz">
      <w:tblPr/>
      <w:tcPr>
        <w:shd w:val="clear" w:color="auto" w:fill="BDF4FF" w:themeFill="accent3" w:themeFillTint="66"/>
      </w:tcPr>
    </w:tblStylePr>
  </w:style>
  <w:style w:type="table" w:styleId="GridTable5Dark-Accent4">
    <w:name w:val="Grid Table 5 Dark Accent 4"/>
    <w:basedOn w:val="TableNormal"/>
    <w:uiPriority w:val="50"/>
    <w:rsid w:val="00015FE5"/>
    <w:rPr>
      <w:lang w:val="en-U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AC8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1E5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1E5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1E5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1E55" w:themeFill="accent4"/>
      </w:tcPr>
    </w:tblStylePr>
    <w:tblStylePr w:type="band1Vert">
      <w:tblPr/>
      <w:tcPr>
        <w:shd w:val="clear" w:color="auto" w:fill="5591FF" w:themeFill="accent4" w:themeFillTint="66"/>
      </w:tcPr>
    </w:tblStylePr>
    <w:tblStylePr w:type="band1Horz">
      <w:tblPr/>
      <w:tcPr>
        <w:shd w:val="clear" w:color="auto" w:fill="5591FF" w:themeFill="accent4" w:themeFillTint="66"/>
      </w:tcPr>
    </w:tblStylePr>
  </w:style>
  <w:style w:type="table" w:styleId="GridTable5Dark-Accent5">
    <w:name w:val="Grid Table 5 Dark Accent 5"/>
    <w:basedOn w:val="TableNormal"/>
    <w:uiPriority w:val="50"/>
    <w:rsid w:val="00015FE5"/>
    <w:rPr>
      <w:lang w:val="en-U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5"/>
      </w:tcPr>
    </w:tblStylePr>
    <w:tblStylePr w:type="band1Vert">
      <w:tblPr/>
      <w:tcPr>
        <w:shd w:val="clear" w:color="auto" w:fill="DBDBDB" w:themeFill="accent5" w:themeFillTint="66"/>
      </w:tcPr>
    </w:tblStylePr>
    <w:tblStylePr w:type="band1Horz">
      <w:tblPr/>
      <w:tcPr>
        <w:shd w:val="clear" w:color="auto" w:fill="DBDBDB" w:themeFill="accent5" w:themeFillTint="66"/>
      </w:tcPr>
    </w:tblStylePr>
  </w:style>
  <w:style w:type="table" w:styleId="GridTable5Dark-Accent6">
    <w:name w:val="Grid Table 5 Dark Accent 6"/>
    <w:basedOn w:val="TableNormal"/>
    <w:uiPriority w:val="50"/>
    <w:rsid w:val="00015FE5"/>
    <w:rPr>
      <w:lang w:val="en-U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F4F4"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8C8C8"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8C8C8"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8C8C8"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8C8C8" w:themeFill="accent6"/>
      </w:tcPr>
    </w:tblStylePr>
    <w:tblStylePr w:type="band1Vert">
      <w:tblPr/>
      <w:tcPr>
        <w:shd w:val="clear" w:color="auto" w:fill="E9E9E9" w:themeFill="accent6" w:themeFillTint="66"/>
      </w:tcPr>
    </w:tblStylePr>
    <w:tblStylePr w:type="band1Horz">
      <w:tblPr/>
      <w:tcPr>
        <w:shd w:val="clear" w:color="auto" w:fill="E9E9E9" w:themeFill="accent6" w:themeFillTint="66"/>
      </w:tcPr>
    </w:tblStylePr>
  </w:style>
  <w:style w:type="table" w:styleId="GridTable6Colorful">
    <w:name w:val="Grid Table 6 Colorful"/>
    <w:basedOn w:val="TableNormal"/>
    <w:uiPriority w:val="51"/>
    <w:rsid w:val="00015FE5"/>
    <w:rPr>
      <w:color w:val="000000" w:themeColor="text1"/>
      <w:lang w:val="en-US"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015FE5"/>
    <w:rPr>
      <w:color w:val="1916A4" w:themeColor="accent1" w:themeShade="BF"/>
      <w:lang w:val="en-US" w:eastAsia="en-US"/>
    </w:rPr>
    <w:tblPr>
      <w:tblStyleRowBandSize w:val="1"/>
      <w:tblStyleColBandSize w:val="1"/>
      <w:tblBorders>
        <w:top w:val="single" w:sz="4" w:space="0" w:color="7875EC" w:themeColor="accent1" w:themeTint="99"/>
        <w:left w:val="single" w:sz="4" w:space="0" w:color="7875EC" w:themeColor="accent1" w:themeTint="99"/>
        <w:bottom w:val="single" w:sz="4" w:space="0" w:color="7875EC" w:themeColor="accent1" w:themeTint="99"/>
        <w:right w:val="single" w:sz="4" w:space="0" w:color="7875EC" w:themeColor="accent1" w:themeTint="99"/>
        <w:insideH w:val="single" w:sz="4" w:space="0" w:color="7875EC" w:themeColor="accent1" w:themeTint="99"/>
        <w:insideV w:val="single" w:sz="4" w:space="0" w:color="7875EC" w:themeColor="accent1" w:themeTint="99"/>
      </w:tblBorders>
    </w:tblPr>
    <w:tblStylePr w:type="firstRow">
      <w:rPr>
        <w:b/>
        <w:bCs/>
      </w:rPr>
      <w:tblPr/>
      <w:tcPr>
        <w:tcBorders>
          <w:bottom w:val="single" w:sz="12" w:space="0" w:color="7875EC" w:themeColor="accent1" w:themeTint="99"/>
        </w:tcBorders>
      </w:tcPr>
    </w:tblStylePr>
    <w:tblStylePr w:type="lastRow">
      <w:rPr>
        <w:b/>
        <w:bCs/>
      </w:rPr>
      <w:tblPr/>
      <w:tcPr>
        <w:tcBorders>
          <w:top w:val="double" w:sz="4" w:space="0" w:color="7875EC" w:themeColor="accent1" w:themeTint="99"/>
        </w:tcBorders>
      </w:tcPr>
    </w:tblStylePr>
    <w:tblStylePr w:type="firstCol">
      <w:rPr>
        <w:b/>
        <w:bCs/>
      </w:rPr>
    </w:tblStylePr>
    <w:tblStylePr w:type="lastCol">
      <w:rPr>
        <w:b/>
        <w:bCs/>
      </w:rPr>
    </w:tblStylePr>
    <w:tblStylePr w:type="band1Vert">
      <w:tblPr/>
      <w:tcPr>
        <w:shd w:val="clear" w:color="auto" w:fill="D2D1F8" w:themeFill="accent1" w:themeFillTint="33"/>
      </w:tcPr>
    </w:tblStylePr>
    <w:tblStylePr w:type="band1Horz">
      <w:tblPr/>
      <w:tcPr>
        <w:shd w:val="clear" w:color="auto" w:fill="D2D1F8" w:themeFill="accent1" w:themeFillTint="33"/>
      </w:tcPr>
    </w:tblStylePr>
  </w:style>
  <w:style w:type="table" w:styleId="GridTable6Colorful-Accent2">
    <w:name w:val="Grid Table 6 Colorful Accent 2"/>
    <w:basedOn w:val="TableNormal"/>
    <w:uiPriority w:val="51"/>
    <w:rsid w:val="00015FE5"/>
    <w:rPr>
      <w:color w:val="005CC6" w:themeColor="accent2" w:themeShade="BF"/>
      <w:lang w:val="en-US" w:eastAsia="en-US"/>
    </w:rPr>
    <w:tblPr>
      <w:tblStyleRowBandSize w:val="1"/>
      <w:tblStyleColBandSize w:val="1"/>
      <w:tblBorders>
        <w:top w:val="single" w:sz="4" w:space="0" w:color="6CB0FF" w:themeColor="accent2" w:themeTint="99"/>
        <w:left w:val="single" w:sz="4" w:space="0" w:color="6CB0FF" w:themeColor="accent2" w:themeTint="99"/>
        <w:bottom w:val="single" w:sz="4" w:space="0" w:color="6CB0FF" w:themeColor="accent2" w:themeTint="99"/>
        <w:right w:val="single" w:sz="4" w:space="0" w:color="6CB0FF" w:themeColor="accent2" w:themeTint="99"/>
        <w:insideH w:val="single" w:sz="4" w:space="0" w:color="6CB0FF" w:themeColor="accent2" w:themeTint="99"/>
        <w:insideV w:val="single" w:sz="4" w:space="0" w:color="6CB0FF" w:themeColor="accent2" w:themeTint="99"/>
      </w:tblBorders>
    </w:tblPr>
    <w:tblStylePr w:type="firstRow">
      <w:rPr>
        <w:b/>
        <w:bCs/>
      </w:rPr>
      <w:tblPr/>
      <w:tcPr>
        <w:tcBorders>
          <w:bottom w:val="single" w:sz="12" w:space="0" w:color="6CB0FF" w:themeColor="accent2" w:themeTint="99"/>
        </w:tcBorders>
      </w:tcPr>
    </w:tblStylePr>
    <w:tblStylePr w:type="lastRow">
      <w:rPr>
        <w:b/>
        <w:bCs/>
      </w:rPr>
      <w:tblPr/>
      <w:tcPr>
        <w:tcBorders>
          <w:top w:val="double" w:sz="4" w:space="0" w:color="6CB0FF" w:themeColor="accent2" w:themeTint="99"/>
        </w:tcBorders>
      </w:tcPr>
    </w:tblStylePr>
    <w:tblStylePr w:type="firstCol">
      <w:rPr>
        <w:b/>
        <w:bCs/>
      </w:rPr>
    </w:tblStylePr>
    <w:tblStylePr w:type="lastCol">
      <w:rPr>
        <w:b/>
        <w:bCs/>
      </w:rPr>
    </w:tblStylePr>
    <w:tblStylePr w:type="band1Vert">
      <w:tblPr/>
      <w:tcPr>
        <w:shd w:val="clear" w:color="auto" w:fill="CEE4FF" w:themeFill="accent2" w:themeFillTint="33"/>
      </w:tcPr>
    </w:tblStylePr>
    <w:tblStylePr w:type="band1Horz">
      <w:tblPr/>
      <w:tcPr>
        <w:shd w:val="clear" w:color="auto" w:fill="CEE4FF" w:themeFill="accent2" w:themeFillTint="33"/>
      </w:tcPr>
    </w:tblStylePr>
  </w:style>
  <w:style w:type="table" w:styleId="GridTable6Colorful-Accent3">
    <w:name w:val="Grid Table 6 Colorful Accent 3"/>
    <w:basedOn w:val="TableNormal"/>
    <w:uiPriority w:val="51"/>
    <w:rsid w:val="00015FE5"/>
    <w:rPr>
      <w:color w:val="03D8FF" w:themeColor="accent3" w:themeShade="BF"/>
      <w:lang w:val="en-US" w:eastAsia="en-US"/>
    </w:rPr>
    <w:tblPr>
      <w:tblStyleRowBandSize w:val="1"/>
      <w:tblStyleColBandSize w:val="1"/>
      <w:tblBorders>
        <w:top w:val="single" w:sz="4" w:space="0" w:color="9CEFFF" w:themeColor="accent3" w:themeTint="99"/>
        <w:left w:val="single" w:sz="4" w:space="0" w:color="9CEFFF" w:themeColor="accent3" w:themeTint="99"/>
        <w:bottom w:val="single" w:sz="4" w:space="0" w:color="9CEFFF" w:themeColor="accent3" w:themeTint="99"/>
        <w:right w:val="single" w:sz="4" w:space="0" w:color="9CEFFF" w:themeColor="accent3" w:themeTint="99"/>
        <w:insideH w:val="single" w:sz="4" w:space="0" w:color="9CEFFF" w:themeColor="accent3" w:themeTint="99"/>
        <w:insideV w:val="single" w:sz="4" w:space="0" w:color="9CEFFF" w:themeColor="accent3" w:themeTint="99"/>
      </w:tblBorders>
    </w:tblPr>
    <w:tblStylePr w:type="firstRow">
      <w:rPr>
        <w:b/>
        <w:bCs/>
      </w:rPr>
      <w:tblPr/>
      <w:tcPr>
        <w:tcBorders>
          <w:bottom w:val="single" w:sz="12" w:space="0" w:color="9CEFFF" w:themeColor="accent3" w:themeTint="99"/>
        </w:tcBorders>
      </w:tcPr>
    </w:tblStylePr>
    <w:tblStylePr w:type="lastRow">
      <w:rPr>
        <w:b/>
        <w:bCs/>
      </w:rPr>
      <w:tblPr/>
      <w:tcPr>
        <w:tcBorders>
          <w:top w:val="double" w:sz="4" w:space="0" w:color="9CEFFF" w:themeColor="accent3" w:themeTint="99"/>
        </w:tcBorders>
      </w:tcPr>
    </w:tblStylePr>
    <w:tblStylePr w:type="firstCol">
      <w:rPr>
        <w:b/>
        <w:bCs/>
      </w:rPr>
    </w:tblStylePr>
    <w:tblStylePr w:type="lastCol">
      <w:rPr>
        <w:b/>
        <w:bCs/>
      </w:rPr>
    </w:tblStylePr>
    <w:tblStylePr w:type="band1Vert">
      <w:tblPr/>
      <w:tcPr>
        <w:shd w:val="clear" w:color="auto" w:fill="DEF9FF" w:themeFill="accent3" w:themeFillTint="33"/>
      </w:tcPr>
    </w:tblStylePr>
    <w:tblStylePr w:type="band1Horz">
      <w:tblPr/>
      <w:tcPr>
        <w:shd w:val="clear" w:color="auto" w:fill="DEF9FF" w:themeFill="accent3" w:themeFillTint="33"/>
      </w:tcPr>
    </w:tblStylePr>
  </w:style>
  <w:style w:type="table" w:styleId="GridTable6Colorful-Accent4">
    <w:name w:val="Grid Table 6 Colorful Accent 4"/>
    <w:basedOn w:val="TableNormal"/>
    <w:uiPriority w:val="51"/>
    <w:rsid w:val="00015FE5"/>
    <w:rPr>
      <w:color w:val="00163F" w:themeColor="accent4" w:themeShade="BF"/>
      <w:lang w:val="en-US" w:eastAsia="en-US"/>
    </w:rPr>
    <w:tblPr>
      <w:tblStyleRowBandSize w:val="1"/>
      <w:tblStyleColBandSize w:val="1"/>
      <w:tblBorders>
        <w:top w:val="single" w:sz="4" w:space="0" w:color="005AFF" w:themeColor="accent4" w:themeTint="99"/>
        <w:left w:val="single" w:sz="4" w:space="0" w:color="005AFF" w:themeColor="accent4" w:themeTint="99"/>
        <w:bottom w:val="single" w:sz="4" w:space="0" w:color="005AFF" w:themeColor="accent4" w:themeTint="99"/>
        <w:right w:val="single" w:sz="4" w:space="0" w:color="005AFF" w:themeColor="accent4" w:themeTint="99"/>
        <w:insideH w:val="single" w:sz="4" w:space="0" w:color="005AFF" w:themeColor="accent4" w:themeTint="99"/>
        <w:insideV w:val="single" w:sz="4" w:space="0" w:color="005AFF" w:themeColor="accent4" w:themeTint="99"/>
      </w:tblBorders>
    </w:tblPr>
    <w:tblStylePr w:type="firstRow">
      <w:rPr>
        <w:b/>
        <w:bCs/>
      </w:rPr>
      <w:tblPr/>
      <w:tcPr>
        <w:tcBorders>
          <w:bottom w:val="single" w:sz="12" w:space="0" w:color="005AFF" w:themeColor="accent4" w:themeTint="99"/>
        </w:tcBorders>
      </w:tcPr>
    </w:tblStylePr>
    <w:tblStylePr w:type="lastRow">
      <w:rPr>
        <w:b/>
        <w:bCs/>
      </w:rPr>
      <w:tblPr/>
      <w:tcPr>
        <w:tcBorders>
          <w:top w:val="double" w:sz="4" w:space="0" w:color="005AFF" w:themeColor="accent4" w:themeTint="99"/>
        </w:tcBorders>
      </w:tcPr>
    </w:tblStylePr>
    <w:tblStylePr w:type="firstCol">
      <w:rPr>
        <w:b/>
        <w:bCs/>
      </w:rPr>
    </w:tblStylePr>
    <w:tblStylePr w:type="lastCol">
      <w:rPr>
        <w:b/>
        <w:bCs/>
      </w:rPr>
    </w:tblStylePr>
    <w:tblStylePr w:type="band1Vert">
      <w:tblPr/>
      <w:tcPr>
        <w:shd w:val="clear" w:color="auto" w:fill="AAC8FF" w:themeFill="accent4" w:themeFillTint="33"/>
      </w:tcPr>
    </w:tblStylePr>
    <w:tblStylePr w:type="band1Horz">
      <w:tblPr/>
      <w:tcPr>
        <w:shd w:val="clear" w:color="auto" w:fill="AAC8FF" w:themeFill="accent4" w:themeFillTint="33"/>
      </w:tcPr>
    </w:tblStylePr>
  </w:style>
  <w:style w:type="table" w:styleId="GridTable6Colorful-Accent5">
    <w:name w:val="Grid Table 6 Colorful Accent 5"/>
    <w:basedOn w:val="TableNormal"/>
    <w:uiPriority w:val="51"/>
    <w:rsid w:val="00015FE5"/>
    <w:rPr>
      <w:color w:val="7B7B7B" w:themeColor="accent5" w:themeShade="BF"/>
      <w:lang w:val="en-US" w:eastAsia="en-US"/>
    </w:rPr>
    <w:tblPr>
      <w:tblStyleRowBandSize w:val="1"/>
      <w:tblStyleColBandSize w:val="1"/>
      <w:tblBorders>
        <w:top w:val="single" w:sz="4" w:space="0" w:color="C9C9C9" w:themeColor="accent5" w:themeTint="99"/>
        <w:left w:val="single" w:sz="4" w:space="0" w:color="C9C9C9" w:themeColor="accent5" w:themeTint="99"/>
        <w:bottom w:val="single" w:sz="4" w:space="0" w:color="C9C9C9" w:themeColor="accent5" w:themeTint="99"/>
        <w:right w:val="single" w:sz="4" w:space="0" w:color="C9C9C9" w:themeColor="accent5" w:themeTint="99"/>
        <w:insideH w:val="single" w:sz="4" w:space="0" w:color="C9C9C9" w:themeColor="accent5" w:themeTint="99"/>
        <w:insideV w:val="single" w:sz="4" w:space="0" w:color="C9C9C9" w:themeColor="accent5" w:themeTint="99"/>
      </w:tblBorders>
    </w:tblPr>
    <w:tblStylePr w:type="firstRow">
      <w:rPr>
        <w:b/>
        <w:bCs/>
      </w:rPr>
      <w:tblPr/>
      <w:tcPr>
        <w:tcBorders>
          <w:bottom w:val="single" w:sz="12" w:space="0" w:color="C9C9C9" w:themeColor="accent5" w:themeTint="99"/>
        </w:tcBorders>
      </w:tcPr>
    </w:tblStylePr>
    <w:tblStylePr w:type="lastRow">
      <w:rPr>
        <w:b/>
        <w:bCs/>
      </w:rPr>
      <w:tblPr/>
      <w:tcPr>
        <w:tcBorders>
          <w:top w:val="double" w:sz="4" w:space="0" w:color="C9C9C9" w:themeColor="accent5" w:themeTint="99"/>
        </w:tcBorders>
      </w:tcPr>
    </w:tblStylePr>
    <w:tblStylePr w:type="firstCol">
      <w:rPr>
        <w:b/>
        <w:bCs/>
      </w:rPr>
    </w:tblStylePr>
    <w:tblStylePr w:type="lastCol">
      <w:rPr>
        <w:b/>
        <w:bCs/>
      </w:rPr>
    </w:tblStylePr>
    <w:tblStylePr w:type="band1Vert">
      <w:tblPr/>
      <w:tcPr>
        <w:shd w:val="clear" w:color="auto" w:fill="EDEDED" w:themeFill="accent5" w:themeFillTint="33"/>
      </w:tcPr>
    </w:tblStylePr>
    <w:tblStylePr w:type="band1Horz">
      <w:tblPr/>
      <w:tcPr>
        <w:shd w:val="clear" w:color="auto" w:fill="EDEDED" w:themeFill="accent5" w:themeFillTint="33"/>
      </w:tcPr>
    </w:tblStylePr>
  </w:style>
  <w:style w:type="table" w:styleId="GridTable6Colorful-Accent6">
    <w:name w:val="Grid Table 6 Colorful Accent 6"/>
    <w:basedOn w:val="TableNormal"/>
    <w:uiPriority w:val="51"/>
    <w:rsid w:val="00015FE5"/>
    <w:rPr>
      <w:color w:val="959595" w:themeColor="accent6" w:themeShade="BF"/>
      <w:lang w:val="en-US" w:eastAsia="en-US"/>
    </w:rPr>
    <w:tblPr>
      <w:tblStyleRowBandSize w:val="1"/>
      <w:tblStyleColBandSize w:val="1"/>
      <w:tblBorders>
        <w:top w:val="single" w:sz="4" w:space="0" w:color="DEDEDE" w:themeColor="accent6" w:themeTint="99"/>
        <w:left w:val="single" w:sz="4" w:space="0" w:color="DEDEDE" w:themeColor="accent6" w:themeTint="99"/>
        <w:bottom w:val="single" w:sz="4" w:space="0" w:color="DEDEDE" w:themeColor="accent6" w:themeTint="99"/>
        <w:right w:val="single" w:sz="4" w:space="0" w:color="DEDEDE" w:themeColor="accent6" w:themeTint="99"/>
        <w:insideH w:val="single" w:sz="4" w:space="0" w:color="DEDEDE" w:themeColor="accent6" w:themeTint="99"/>
        <w:insideV w:val="single" w:sz="4" w:space="0" w:color="DEDEDE" w:themeColor="accent6" w:themeTint="99"/>
      </w:tblBorders>
    </w:tblPr>
    <w:tblStylePr w:type="firstRow">
      <w:rPr>
        <w:b/>
        <w:bCs/>
      </w:rPr>
      <w:tblPr/>
      <w:tcPr>
        <w:tcBorders>
          <w:bottom w:val="single" w:sz="12" w:space="0" w:color="DEDEDE" w:themeColor="accent6" w:themeTint="99"/>
        </w:tcBorders>
      </w:tcPr>
    </w:tblStylePr>
    <w:tblStylePr w:type="lastRow">
      <w:rPr>
        <w:b/>
        <w:bCs/>
      </w:rPr>
      <w:tblPr/>
      <w:tcPr>
        <w:tcBorders>
          <w:top w:val="double" w:sz="4" w:space="0" w:color="DEDEDE" w:themeColor="accent6" w:themeTint="99"/>
        </w:tcBorders>
      </w:tcPr>
    </w:tblStylePr>
    <w:tblStylePr w:type="firstCol">
      <w:rPr>
        <w:b/>
        <w:bCs/>
      </w:rPr>
    </w:tblStylePr>
    <w:tblStylePr w:type="lastCol">
      <w:rPr>
        <w:b/>
        <w:bCs/>
      </w:rPr>
    </w:tblStylePr>
    <w:tblStylePr w:type="band1Vert">
      <w:tblPr/>
      <w:tcPr>
        <w:shd w:val="clear" w:color="auto" w:fill="F4F4F4" w:themeFill="accent6" w:themeFillTint="33"/>
      </w:tcPr>
    </w:tblStylePr>
    <w:tblStylePr w:type="band1Horz">
      <w:tblPr/>
      <w:tcPr>
        <w:shd w:val="clear" w:color="auto" w:fill="F4F4F4" w:themeFill="accent6" w:themeFillTint="33"/>
      </w:tcPr>
    </w:tblStylePr>
  </w:style>
  <w:style w:type="table" w:styleId="GridTable7Colorful">
    <w:name w:val="Grid Table 7 Colorful"/>
    <w:basedOn w:val="TableNormal"/>
    <w:uiPriority w:val="52"/>
    <w:rsid w:val="00015FE5"/>
    <w:rPr>
      <w:color w:val="000000" w:themeColor="text1"/>
      <w:lang w:val="en-US"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015FE5"/>
    <w:rPr>
      <w:color w:val="1916A4" w:themeColor="accent1" w:themeShade="BF"/>
      <w:lang w:val="en-US" w:eastAsia="en-US"/>
    </w:rPr>
    <w:tblPr>
      <w:tblStyleRowBandSize w:val="1"/>
      <w:tblStyleColBandSize w:val="1"/>
      <w:tblBorders>
        <w:top w:val="single" w:sz="4" w:space="0" w:color="7875EC" w:themeColor="accent1" w:themeTint="99"/>
        <w:left w:val="single" w:sz="4" w:space="0" w:color="7875EC" w:themeColor="accent1" w:themeTint="99"/>
        <w:bottom w:val="single" w:sz="4" w:space="0" w:color="7875EC" w:themeColor="accent1" w:themeTint="99"/>
        <w:right w:val="single" w:sz="4" w:space="0" w:color="7875EC" w:themeColor="accent1" w:themeTint="99"/>
        <w:insideH w:val="single" w:sz="4" w:space="0" w:color="7875EC" w:themeColor="accent1" w:themeTint="99"/>
        <w:insideV w:val="single" w:sz="4" w:space="0" w:color="7875E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D1F8" w:themeFill="accent1" w:themeFillTint="33"/>
      </w:tcPr>
    </w:tblStylePr>
    <w:tblStylePr w:type="band1Horz">
      <w:tblPr/>
      <w:tcPr>
        <w:shd w:val="clear" w:color="auto" w:fill="D2D1F8" w:themeFill="accent1" w:themeFillTint="33"/>
      </w:tcPr>
    </w:tblStylePr>
    <w:tblStylePr w:type="neCell">
      <w:tblPr/>
      <w:tcPr>
        <w:tcBorders>
          <w:bottom w:val="single" w:sz="4" w:space="0" w:color="7875EC" w:themeColor="accent1" w:themeTint="99"/>
        </w:tcBorders>
      </w:tcPr>
    </w:tblStylePr>
    <w:tblStylePr w:type="nwCell">
      <w:tblPr/>
      <w:tcPr>
        <w:tcBorders>
          <w:bottom w:val="single" w:sz="4" w:space="0" w:color="7875EC" w:themeColor="accent1" w:themeTint="99"/>
        </w:tcBorders>
      </w:tcPr>
    </w:tblStylePr>
    <w:tblStylePr w:type="seCell">
      <w:tblPr/>
      <w:tcPr>
        <w:tcBorders>
          <w:top w:val="single" w:sz="4" w:space="0" w:color="7875EC" w:themeColor="accent1" w:themeTint="99"/>
        </w:tcBorders>
      </w:tcPr>
    </w:tblStylePr>
    <w:tblStylePr w:type="swCell">
      <w:tblPr/>
      <w:tcPr>
        <w:tcBorders>
          <w:top w:val="single" w:sz="4" w:space="0" w:color="7875EC" w:themeColor="accent1" w:themeTint="99"/>
        </w:tcBorders>
      </w:tcPr>
    </w:tblStylePr>
  </w:style>
  <w:style w:type="table" w:styleId="GridTable7Colorful-Accent2">
    <w:name w:val="Grid Table 7 Colorful Accent 2"/>
    <w:basedOn w:val="TableNormal"/>
    <w:uiPriority w:val="52"/>
    <w:rsid w:val="00015FE5"/>
    <w:rPr>
      <w:color w:val="005CC6" w:themeColor="accent2" w:themeShade="BF"/>
      <w:lang w:val="en-US" w:eastAsia="en-US"/>
    </w:rPr>
    <w:tblPr>
      <w:tblStyleRowBandSize w:val="1"/>
      <w:tblStyleColBandSize w:val="1"/>
      <w:tblBorders>
        <w:top w:val="single" w:sz="4" w:space="0" w:color="6CB0FF" w:themeColor="accent2" w:themeTint="99"/>
        <w:left w:val="single" w:sz="4" w:space="0" w:color="6CB0FF" w:themeColor="accent2" w:themeTint="99"/>
        <w:bottom w:val="single" w:sz="4" w:space="0" w:color="6CB0FF" w:themeColor="accent2" w:themeTint="99"/>
        <w:right w:val="single" w:sz="4" w:space="0" w:color="6CB0FF" w:themeColor="accent2" w:themeTint="99"/>
        <w:insideH w:val="single" w:sz="4" w:space="0" w:color="6CB0FF" w:themeColor="accent2" w:themeTint="99"/>
        <w:insideV w:val="single" w:sz="4" w:space="0" w:color="6CB0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E4FF" w:themeFill="accent2" w:themeFillTint="33"/>
      </w:tcPr>
    </w:tblStylePr>
    <w:tblStylePr w:type="band1Horz">
      <w:tblPr/>
      <w:tcPr>
        <w:shd w:val="clear" w:color="auto" w:fill="CEE4FF" w:themeFill="accent2" w:themeFillTint="33"/>
      </w:tcPr>
    </w:tblStylePr>
    <w:tblStylePr w:type="neCell">
      <w:tblPr/>
      <w:tcPr>
        <w:tcBorders>
          <w:bottom w:val="single" w:sz="4" w:space="0" w:color="6CB0FF" w:themeColor="accent2" w:themeTint="99"/>
        </w:tcBorders>
      </w:tcPr>
    </w:tblStylePr>
    <w:tblStylePr w:type="nwCell">
      <w:tblPr/>
      <w:tcPr>
        <w:tcBorders>
          <w:bottom w:val="single" w:sz="4" w:space="0" w:color="6CB0FF" w:themeColor="accent2" w:themeTint="99"/>
        </w:tcBorders>
      </w:tcPr>
    </w:tblStylePr>
    <w:tblStylePr w:type="seCell">
      <w:tblPr/>
      <w:tcPr>
        <w:tcBorders>
          <w:top w:val="single" w:sz="4" w:space="0" w:color="6CB0FF" w:themeColor="accent2" w:themeTint="99"/>
        </w:tcBorders>
      </w:tcPr>
    </w:tblStylePr>
    <w:tblStylePr w:type="swCell">
      <w:tblPr/>
      <w:tcPr>
        <w:tcBorders>
          <w:top w:val="single" w:sz="4" w:space="0" w:color="6CB0FF" w:themeColor="accent2" w:themeTint="99"/>
        </w:tcBorders>
      </w:tcPr>
    </w:tblStylePr>
  </w:style>
  <w:style w:type="table" w:styleId="GridTable7Colorful-Accent3">
    <w:name w:val="Grid Table 7 Colorful Accent 3"/>
    <w:basedOn w:val="TableNormal"/>
    <w:uiPriority w:val="52"/>
    <w:rsid w:val="00015FE5"/>
    <w:rPr>
      <w:color w:val="03D8FF" w:themeColor="accent3" w:themeShade="BF"/>
      <w:lang w:val="en-US" w:eastAsia="en-US"/>
    </w:rPr>
    <w:tblPr>
      <w:tblStyleRowBandSize w:val="1"/>
      <w:tblStyleColBandSize w:val="1"/>
      <w:tblBorders>
        <w:top w:val="single" w:sz="4" w:space="0" w:color="9CEFFF" w:themeColor="accent3" w:themeTint="99"/>
        <w:left w:val="single" w:sz="4" w:space="0" w:color="9CEFFF" w:themeColor="accent3" w:themeTint="99"/>
        <w:bottom w:val="single" w:sz="4" w:space="0" w:color="9CEFFF" w:themeColor="accent3" w:themeTint="99"/>
        <w:right w:val="single" w:sz="4" w:space="0" w:color="9CEFFF" w:themeColor="accent3" w:themeTint="99"/>
        <w:insideH w:val="single" w:sz="4" w:space="0" w:color="9CEFFF" w:themeColor="accent3" w:themeTint="99"/>
        <w:insideV w:val="single" w:sz="4" w:space="0" w:color="9CEF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9FF" w:themeFill="accent3" w:themeFillTint="33"/>
      </w:tcPr>
    </w:tblStylePr>
    <w:tblStylePr w:type="band1Horz">
      <w:tblPr/>
      <w:tcPr>
        <w:shd w:val="clear" w:color="auto" w:fill="DEF9FF" w:themeFill="accent3" w:themeFillTint="33"/>
      </w:tcPr>
    </w:tblStylePr>
    <w:tblStylePr w:type="neCell">
      <w:tblPr/>
      <w:tcPr>
        <w:tcBorders>
          <w:bottom w:val="single" w:sz="4" w:space="0" w:color="9CEFFF" w:themeColor="accent3" w:themeTint="99"/>
        </w:tcBorders>
      </w:tcPr>
    </w:tblStylePr>
    <w:tblStylePr w:type="nwCell">
      <w:tblPr/>
      <w:tcPr>
        <w:tcBorders>
          <w:bottom w:val="single" w:sz="4" w:space="0" w:color="9CEFFF" w:themeColor="accent3" w:themeTint="99"/>
        </w:tcBorders>
      </w:tcPr>
    </w:tblStylePr>
    <w:tblStylePr w:type="seCell">
      <w:tblPr/>
      <w:tcPr>
        <w:tcBorders>
          <w:top w:val="single" w:sz="4" w:space="0" w:color="9CEFFF" w:themeColor="accent3" w:themeTint="99"/>
        </w:tcBorders>
      </w:tcPr>
    </w:tblStylePr>
    <w:tblStylePr w:type="swCell">
      <w:tblPr/>
      <w:tcPr>
        <w:tcBorders>
          <w:top w:val="single" w:sz="4" w:space="0" w:color="9CEFFF" w:themeColor="accent3" w:themeTint="99"/>
        </w:tcBorders>
      </w:tcPr>
    </w:tblStylePr>
  </w:style>
  <w:style w:type="table" w:styleId="GridTable7Colorful-Accent4">
    <w:name w:val="Grid Table 7 Colorful Accent 4"/>
    <w:basedOn w:val="TableNormal"/>
    <w:uiPriority w:val="52"/>
    <w:rsid w:val="00015FE5"/>
    <w:rPr>
      <w:color w:val="00163F" w:themeColor="accent4" w:themeShade="BF"/>
      <w:lang w:val="en-US" w:eastAsia="en-US"/>
    </w:rPr>
    <w:tblPr>
      <w:tblStyleRowBandSize w:val="1"/>
      <w:tblStyleColBandSize w:val="1"/>
      <w:tblBorders>
        <w:top w:val="single" w:sz="4" w:space="0" w:color="005AFF" w:themeColor="accent4" w:themeTint="99"/>
        <w:left w:val="single" w:sz="4" w:space="0" w:color="005AFF" w:themeColor="accent4" w:themeTint="99"/>
        <w:bottom w:val="single" w:sz="4" w:space="0" w:color="005AFF" w:themeColor="accent4" w:themeTint="99"/>
        <w:right w:val="single" w:sz="4" w:space="0" w:color="005AFF" w:themeColor="accent4" w:themeTint="99"/>
        <w:insideH w:val="single" w:sz="4" w:space="0" w:color="005AFF" w:themeColor="accent4" w:themeTint="99"/>
        <w:insideV w:val="single" w:sz="4" w:space="0" w:color="005A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C8FF" w:themeFill="accent4" w:themeFillTint="33"/>
      </w:tcPr>
    </w:tblStylePr>
    <w:tblStylePr w:type="band1Horz">
      <w:tblPr/>
      <w:tcPr>
        <w:shd w:val="clear" w:color="auto" w:fill="AAC8FF" w:themeFill="accent4" w:themeFillTint="33"/>
      </w:tcPr>
    </w:tblStylePr>
    <w:tblStylePr w:type="neCell">
      <w:tblPr/>
      <w:tcPr>
        <w:tcBorders>
          <w:bottom w:val="single" w:sz="4" w:space="0" w:color="005AFF" w:themeColor="accent4" w:themeTint="99"/>
        </w:tcBorders>
      </w:tcPr>
    </w:tblStylePr>
    <w:tblStylePr w:type="nwCell">
      <w:tblPr/>
      <w:tcPr>
        <w:tcBorders>
          <w:bottom w:val="single" w:sz="4" w:space="0" w:color="005AFF" w:themeColor="accent4" w:themeTint="99"/>
        </w:tcBorders>
      </w:tcPr>
    </w:tblStylePr>
    <w:tblStylePr w:type="seCell">
      <w:tblPr/>
      <w:tcPr>
        <w:tcBorders>
          <w:top w:val="single" w:sz="4" w:space="0" w:color="005AFF" w:themeColor="accent4" w:themeTint="99"/>
        </w:tcBorders>
      </w:tcPr>
    </w:tblStylePr>
    <w:tblStylePr w:type="swCell">
      <w:tblPr/>
      <w:tcPr>
        <w:tcBorders>
          <w:top w:val="single" w:sz="4" w:space="0" w:color="005AFF" w:themeColor="accent4" w:themeTint="99"/>
        </w:tcBorders>
      </w:tcPr>
    </w:tblStylePr>
  </w:style>
  <w:style w:type="table" w:styleId="GridTable7Colorful-Accent5">
    <w:name w:val="Grid Table 7 Colorful Accent 5"/>
    <w:basedOn w:val="TableNormal"/>
    <w:uiPriority w:val="52"/>
    <w:rsid w:val="00015FE5"/>
    <w:rPr>
      <w:color w:val="7B7B7B" w:themeColor="accent5" w:themeShade="BF"/>
      <w:lang w:val="en-US" w:eastAsia="en-US"/>
    </w:rPr>
    <w:tblPr>
      <w:tblStyleRowBandSize w:val="1"/>
      <w:tblStyleColBandSize w:val="1"/>
      <w:tblBorders>
        <w:top w:val="single" w:sz="4" w:space="0" w:color="C9C9C9" w:themeColor="accent5" w:themeTint="99"/>
        <w:left w:val="single" w:sz="4" w:space="0" w:color="C9C9C9" w:themeColor="accent5" w:themeTint="99"/>
        <w:bottom w:val="single" w:sz="4" w:space="0" w:color="C9C9C9" w:themeColor="accent5" w:themeTint="99"/>
        <w:right w:val="single" w:sz="4" w:space="0" w:color="C9C9C9" w:themeColor="accent5" w:themeTint="99"/>
        <w:insideH w:val="single" w:sz="4" w:space="0" w:color="C9C9C9" w:themeColor="accent5" w:themeTint="99"/>
        <w:insideV w:val="single" w:sz="4" w:space="0" w:color="C9C9C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5" w:themeFillTint="33"/>
      </w:tcPr>
    </w:tblStylePr>
    <w:tblStylePr w:type="band1Horz">
      <w:tblPr/>
      <w:tcPr>
        <w:shd w:val="clear" w:color="auto" w:fill="EDEDED" w:themeFill="accent5" w:themeFillTint="33"/>
      </w:tcPr>
    </w:tblStylePr>
    <w:tblStylePr w:type="neCell">
      <w:tblPr/>
      <w:tcPr>
        <w:tcBorders>
          <w:bottom w:val="single" w:sz="4" w:space="0" w:color="C9C9C9" w:themeColor="accent5" w:themeTint="99"/>
        </w:tcBorders>
      </w:tcPr>
    </w:tblStylePr>
    <w:tblStylePr w:type="nwCell">
      <w:tblPr/>
      <w:tcPr>
        <w:tcBorders>
          <w:bottom w:val="single" w:sz="4" w:space="0" w:color="C9C9C9" w:themeColor="accent5" w:themeTint="99"/>
        </w:tcBorders>
      </w:tcPr>
    </w:tblStylePr>
    <w:tblStylePr w:type="seCell">
      <w:tblPr/>
      <w:tcPr>
        <w:tcBorders>
          <w:top w:val="single" w:sz="4" w:space="0" w:color="C9C9C9" w:themeColor="accent5" w:themeTint="99"/>
        </w:tcBorders>
      </w:tcPr>
    </w:tblStylePr>
    <w:tblStylePr w:type="swCell">
      <w:tblPr/>
      <w:tcPr>
        <w:tcBorders>
          <w:top w:val="single" w:sz="4" w:space="0" w:color="C9C9C9" w:themeColor="accent5" w:themeTint="99"/>
        </w:tcBorders>
      </w:tcPr>
    </w:tblStylePr>
  </w:style>
  <w:style w:type="table" w:styleId="GridTable7Colorful-Accent6">
    <w:name w:val="Grid Table 7 Colorful Accent 6"/>
    <w:basedOn w:val="TableNormal"/>
    <w:uiPriority w:val="52"/>
    <w:rsid w:val="00015FE5"/>
    <w:rPr>
      <w:color w:val="959595" w:themeColor="accent6" w:themeShade="BF"/>
      <w:lang w:val="en-US" w:eastAsia="en-US"/>
    </w:rPr>
    <w:tblPr>
      <w:tblStyleRowBandSize w:val="1"/>
      <w:tblStyleColBandSize w:val="1"/>
      <w:tblBorders>
        <w:top w:val="single" w:sz="4" w:space="0" w:color="DEDEDE" w:themeColor="accent6" w:themeTint="99"/>
        <w:left w:val="single" w:sz="4" w:space="0" w:color="DEDEDE" w:themeColor="accent6" w:themeTint="99"/>
        <w:bottom w:val="single" w:sz="4" w:space="0" w:color="DEDEDE" w:themeColor="accent6" w:themeTint="99"/>
        <w:right w:val="single" w:sz="4" w:space="0" w:color="DEDEDE" w:themeColor="accent6" w:themeTint="99"/>
        <w:insideH w:val="single" w:sz="4" w:space="0" w:color="DEDEDE" w:themeColor="accent6" w:themeTint="99"/>
        <w:insideV w:val="single" w:sz="4" w:space="0" w:color="DEDED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4F4" w:themeFill="accent6" w:themeFillTint="33"/>
      </w:tcPr>
    </w:tblStylePr>
    <w:tblStylePr w:type="band1Horz">
      <w:tblPr/>
      <w:tcPr>
        <w:shd w:val="clear" w:color="auto" w:fill="F4F4F4" w:themeFill="accent6" w:themeFillTint="33"/>
      </w:tcPr>
    </w:tblStylePr>
    <w:tblStylePr w:type="neCell">
      <w:tblPr/>
      <w:tcPr>
        <w:tcBorders>
          <w:bottom w:val="single" w:sz="4" w:space="0" w:color="DEDEDE" w:themeColor="accent6" w:themeTint="99"/>
        </w:tcBorders>
      </w:tcPr>
    </w:tblStylePr>
    <w:tblStylePr w:type="nwCell">
      <w:tblPr/>
      <w:tcPr>
        <w:tcBorders>
          <w:bottom w:val="single" w:sz="4" w:space="0" w:color="DEDEDE" w:themeColor="accent6" w:themeTint="99"/>
        </w:tcBorders>
      </w:tcPr>
    </w:tblStylePr>
    <w:tblStylePr w:type="seCell">
      <w:tblPr/>
      <w:tcPr>
        <w:tcBorders>
          <w:top w:val="single" w:sz="4" w:space="0" w:color="DEDEDE" w:themeColor="accent6" w:themeTint="99"/>
        </w:tcBorders>
      </w:tcPr>
    </w:tblStylePr>
    <w:tblStylePr w:type="swCell">
      <w:tblPr/>
      <w:tcPr>
        <w:tcBorders>
          <w:top w:val="single" w:sz="4" w:space="0" w:color="DEDEDE" w:themeColor="accent6" w:themeTint="99"/>
        </w:tcBorders>
      </w:tcPr>
    </w:tblStylePr>
  </w:style>
  <w:style w:type="character" w:styleId="Hashtag">
    <w:name w:val="Hashtag"/>
    <w:basedOn w:val="DefaultParagraphFont"/>
    <w:uiPriority w:val="99"/>
    <w:semiHidden/>
    <w:unhideWhenUsed/>
    <w:rsid w:val="00015FE5"/>
    <w:rPr>
      <w:color w:val="2B579A"/>
      <w:shd w:val="clear" w:color="auto" w:fill="E6E6E6"/>
    </w:rPr>
  </w:style>
  <w:style w:type="character" w:styleId="HTMLAcronym">
    <w:name w:val="HTML Acronym"/>
    <w:basedOn w:val="DefaultParagraphFont"/>
    <w:uiPriority w:val="99"/>
    <w:semiHidden/>
    <w:unhideWhenUsed/>
    <w:rsid w:val="00015FE5"/>
  </w:style>
  <w:style w:type="paragraph" w:styleId="HTMLAddress">
    <w:name w:val="HTML Address"/>
    <w:basedOn w:val="Normal"/>
    <w:link w:val="HTMLAddressChar"/>
    <w:uiPriority w:val="99"/>
    <w:semiHidden/>
    <w:unhideWhenUsed/>
    <w:rsid w:val="00015FE5"/>
    <w:rPr>
      <w:i/>
      <w:iCs/>
    </w:rPr>
  </w:style>
  <w:style w:type="character" w:customStyle="1" w:styleId="HTMLAddressChar">
    <w:name w:val="HTML Address Char"/>
    <w:basedOn w:val="DefaultParagraphFont"/>
    <w:link w:val="HTMLAddress"/>
    <w:uiPriority w:val="99"/>
    <w:semiHidden/>
    <w:rsid w:val="00015FE5"/>
    <w:rPr>
      <w:rFonts w:asciiTheme="minorHAnsi" w:hAnsiTheme="minorHAnsi"/>
      <w:i/>
      <w:iCs/>
      <w:lang w:val="en-US" w:eastAsia="en-US"/>
    </w:rPr>
  </w:style>
  <w:style w:type="character" w:styleId="HTMLCite">
    <w:name w:val="HTML Cite"/>
    <w:basedOn w:val="DefaultParagraphFont"/>
    <w:uiPriority w:val="99"/>
    <w:semiHidden/>
    <w:unhideWhenUsed/>
    <w:rsid w:val="00015FE5"/>
    <w:rPr>
      <w:i/>
      <w:iCs/>
    </w:rPr>
  </w:style>
  <w:style w:type="character" w:styleId="HTMLCode">
    <w:name w:val="HTML Code"/>
    <w:basedOn w:val="DefaultParagraphFont"/>
    <w:uiPriority w:val="99"/>
    <w:semiHidden/>
    <w:unhideWhenUsed/>
    <w:rsid w:val="00015FE5"/>
    <w:rPr>
      <w:rFonts w:ascii="Consolas" w:hAnsi="Consolas"/>
      <w:sz w:val="20"/>
      <w:szCs w:val="20"/>
    </w:rPr>
  </w:style>
  <w:style w:type="character" w:styleId="HTMLDefinition">
    <w:name w:val="HTML Definition"/>
    <w:basedOn w:val="DefaultParagraphFont"/>
    <w:uiPriority w:val="99"/>
    <w:semiHidden/>
    <w:unhideWhenUsed/>
    <w:rsid w:val="00015FE5"/>
    <w:rPr>
      <w:i/>
      <w:iCs/>
    </w:rPr>
  </w:style>
  <w:style w:type="character" w:styleId="HTMLKeyboard">
    <w:name w:val="HTML Keyboard"/>
    <w:basedOn w:val="DefaultParagraphFont"/>
    <w:uiPriority w:val="99"/>
    <w:semiHidden/>
    <w:unhideWhenUsed/>
    <w:rsid w:val="00015FE5"/>
    <w:rPr>
      <w:rFonts w:ascii="Consolas" w:hAnsi="Consolas"/>
      <w:sz w:val="20"/>
      <w:szCs w:val="20"/>
    </w:rPr>
  </w:style>
  <w:style w:type="paragraph" w:styleId="HTMLPreformatted">
    <w:name w:val="HTML Preformatted"/>
    <w:basedOn w:val="Normal"/>
    <w:link w:val="HTMLPreformattedChar"/>
    <w:uiPriority w:val="99"/>
    <w:semiHidden/>
    <w:unhideWhenUsed/>
    <w:rsid w:val="00015FE5"/>
    <w:rPr>
      <w:rFonts w:ascii="Consolas" w:hAnsi="Consolas"/>
    </w:rPr>
  </w:style>
  <w:style w:type="character" w:customStyle="1" w:styleId="HTMLPreformattedChar">
    <w:name w:val="HTML Preformatted Char"/>
    <w:basedOn w:val="DefaultParagraphFont"/>
    <w:link w:val="HTMLPreformatted"/>
    <w:uiPriority w:val="99"/>
    <w:semiHidden/>
    <w:rsid w:val="00015FE5"/>
    <w:rPr>
      <w:rFonts w:ascii="Consolas" w:hAnsi="Consolas"/>
      <w:lang w:val="en-US" w:eastAsia="en-US"/>
    </w:rPr>
  </w:style>
  <w:style w:type="character" w:styleId="HTMLSample">
    <w:name w:val="HTML Sample"/>
    <w:basedOn w:val="DefaultParagraphFont"/>
    <w:uiPriority w:val="99"/>
    <w:semiHidden/>
    <w:unhideWhenUsed/>
    <w:rsid w:val="00015FE5"/>
    <w:rPr>
      <w:rFonts w:ascii="Consolas" w:hAnsi="Consolas"/>
      <w:sz w:val="24"/>
      <w:szCs w:val="24"/>
    </w:rPr>
  </w:style>
  <w:style w:type="character" w:styleId="HTMLTypewriter">
    <w:name w:val="HTML Typewriter"/>
    <w:basedOn w:val="DefaultParagraphFont"/>
    <w:uiPriority w:val="99"/>
    <w:semiHidden/>
    <w:unhideWhenUsed/>
    <w:rsid w:val="00015FE5"/>
    <w:rPr>
      <w:rFonts w:ascii="Consolas" w:hAnsi="Consolas"/>
      <w:sz w:val="20"/>
      <w:szCs w:val="20"/>
    </w:rPr>
  </w:style>
  <w:style w:type="character" w:styleId="HTMLVariable">
    <w:name w:val="HTML Variable"/>
    <w:basedOn w:val="DefaultParagraphFont"/>
    <w:uiPriority w:val="99"/>
    <w:semiHidden/>
    <w:unhideWhenUsed/>
    <w:rsid w:val="00015FE5"/>
    <w:rPr>
      <w:i/>
      <w:iCs/>
    </w:rPr>
  </w:style>
  <w:style w:type="paragraph" w:styleId="Index1">
    <w:name w:val="index 1"/>
    <w:basedOn w:val="Normal"/>
    <w:next w:val="Normal"/>
    <w:autoRedefine/>
    <w:uiPriority w:val="99"/>
    <w:semiHidden/>
    <w:unhideWhenUsed/>
    <w:rsid w:val="00015FE5"/>
    <w:pPr>
      <w:ind w:left="220" w:hanging="220"/>
    </w:pPr>
  </w:style>
  <w:style w:type="paragraph" w:styleId="Index2">
    <w:name w:val="index 2"/>
    <w:basedOn w:val="Normal"/>
    <w:next w:val="Normal"/>
    <w:autoRedefine/>
    <w:uiPriority w:val="99"/>
    <w:semiHidden/>
    <w:unhideWhenUsed/>
    <w:rsid w:val="00015FE5"/>
    <w:pPr>
      <w:ind w:left="440" w:hanging="220"/>
    </w:pPr>
  </w:style>
  <w:style w:type="paragraph" w:styleId="Index3">
    <w:name w:val="index 3"/>
    <w:basedOn w:val="Normal"/>
    <w:next w:val="Normal"/>
    <w:autoRedefine/>
    <w:uiPriority w:val="99"/>
    <w:semiHidden/>
    <w:unhideWhenUsed/>
    <w:rsid w:val="00015FE5"/>
    <w:pPr>
      <w:ind w:left="660" w:hanging="220"/>
    </w:pPr>
  </w:style>
  <w:style w:type="paragraph" w:styleId="Index4">
    <w:name w:val="index 4"/>
    <w:basedOn w:val="Normal"/>
    <w:next w:val="Normal"/>
    <w:autoRedefine/>
    <w:uiPriority w:val="99"/>
    <w:semiHidden/>
    <w:unhideWhenUsed/>
    <w:rsid w:val="00015FE5"/>
    <w:pPr>
      <w:ind w:left="880" w:hanging="220"/>
    </w:pPr>
  </w:style>
  <w:style w:type="paragraph" w:styleId="Index5">
    <w:name w:val="index 5"/>
    <w:basedOn w:val="Normal"/>
    <w:next w:val="Normal"/>
    <w:autoRedefine/>
    <w:uiPriority w:val="99"/>
    <w:semiHidden/>
    <w:unhideWhenUsed/>
    <w:rsid w:val="00015FE5"/>
    <w:pPr>
      <w:ind w:left="1100" w:hanging="220"/>
    </w:pPr>
  </w:style>
  <w:style w:type="paragraph" w:styleId="Index6">
    <w:name w:val="index 6"/>
    <w:basedOn w:val="Normal"/>
    <w:next w:val="Normal"/>
    <w:autoRedefine/>
    <w:uiPriority w:val="99"/>
    <w:semiHidden/>
    <w:unhideWhenUsed/>
    <w:rsid w:val="00015FE5"/>
    <w:pPr>
      <w:ind w:left="1320" w:hanging="220"/>
    </w:pPr>
  </w:style>
  <w:style w:type="paragraph" w:styleId="Index7">
    <w:name w:val="index 7"/>
    <w:basedOn w:val="Normal"/>
    <w:next w:val="Normal"/>
    <w:autoRedefine/>
    <w:uiPriority w:val="99"/>
    <w:semiHidden/>
    <w:unhideWhenUsed/>
    <w:rsid w:val="00015FE5"/>
    <w:pPr>
      <w:ind w:left="1540" w:hanging="220"/>
    </w:pPr>
  </w:style>
  <w:style w:type="paragraph" w:styleId="Index8">
    <w:name w:val="index 8"/>
    <w:basedOn w:val="Normal"/>
    <w:next w:val="Normal"/>
    <w:autoRedefine/>
    <w:uiPriority w:val="99"/>
    <w:semiHidden/>
    <w:unhideWhenUsed/>
    <w:rsid w:val="00015FE5"/>
    <w:pPr>
      <w:ind w:left="1760" w:hanging="220"/>
    </w:pPr>
  </w:style>
  <w:style w:type="paragraph" w:styleId="Index9">
    <w:name w:val="index 9"/>
    <w:basedOn w:val="Normal"/>
    <w:next w:val="Normal"/>
    <w:autoRedefine/>
    <w:uiPriority w:val="99"/>
    <w:semiHidden/>
    <w:unhideWhenUsed/>
    <w:rsid w:val="00015FE5"/>
    <w:pPr>
      <w:ind w:left="1980" w:hanging="220"/>
    </w:pPr>
  </w:style>
  <w:style w:type="paragraph" w:styleId="IndexHeading">
    <w:name w:val="index heading"/>
    <w:basedOn w:val="Normal"/>
    <w:next w:val="Index1"/>
    <w:uiPriority w:val="99"/>
    <w:semiHidden/>
    <w:unhideWhenUsed/>
    <w:rsid w:val="00015FE5"/>
    <w:rPr>
      <w:rFonts w:eastAsiaTheme="majorEastAsia" w:cstheme="majorBidi"/>
      <w:b/>
      <w:bCs/>
    </w:rPr>
  </w:style>
  <w:style w:type="character" w:styleId="IntenseEmphasis">
    <w:name w:val="Intense Emphasis"/>
    <w:basedOn w:val="DefaultParagraphFont"/>
    <w:uiPriority w:val="99"/>
    <w:semiHidden/>
    <w:rsid w:val="00015FE5"/>
    <w:rPr>
      <w:i/>
      <w:iCs/>
      <w:color w:val="231EDC" w:themeColor="accent1"/>
    </w:rPr>
  </w:style>
  <w:style w:type="paragraph" w:styleId="IntenseQuote">
    <w:name w:val="Intense Quote"/>
    <w:basedOn w:val="Normal"/>
    <w:next w:val="Normal"/>
    <w:link w:val="IntenseQuoteChar"/>
    <w:uiPriority w:val="99"/>
    <w:semiHidden/>
    <w:rsid w:val="00015FE5"/>
    <w:pPr>
      <w:pBdr>
        <w:top w:val="single" w:sz="4" w:space="10" w:color="231EDC" w:themeColor="accent1"/>
        <w:bottom w:val="single" w:sz="4" w:space="10" w:color="231EDC" w:themeColor="accent1"/>
      </w:pBdr>
      <w:spacing w:before="360" w:after="360"/>
      <w:ind w:left="864" w:right="864"/>
      <w:jc w:val="center"/>
    </w:pPr>
    <w:rPr>
      <w:i/>
      <w:iCs/>
      <w:color w:val="231EDC" w:themeColor="accent1"/>
    </w:rPr>
  </w:style>
  <w:style w:type="character" w:customStyle="1" w:styleId="IntenseQuoteChar">
    <w:name w:val="Intense Quote Char"/>
    <w:basedOn w:val="DefaultParagraphFont"/>
    <w:link w:val="IntenseQuote"/>
    <w:uiPriority w:val="99"/>
    <w:semiHidden/>
    <w:rsid w:val="00015FE5"/>
    <w:rPr>
      <w:rFonts w:asciiTheme="minorHAnsi" w:hAnsiTheme="minorHAnsi"/>
      <w:i/>
      <w:iCs/>
      <w:color w:val="231EDC" w:themeColor="accent1"/>
      <w:lang w:val="en-US" w:eastAsia="en-US"/>
    </w:rPr>
  </w:style>
  <w:style w:type="character" w:styleId="IntenseReference">
    <w:name w:val="Intense Reference"/>
    <w:basedOn w:val="DefaultParagraphFont"/>
    <w:uiPriority w:val="99"/>
    <w:semiHidden/>
    <w:rsid w:val="00015FE5"/>
    <w:rPr>
      <w:b/>
      <w:bCs/>
      <w:smallCaps/>
      <w:color w:val="231EDC" w:themeColor="accent1"/>
      <w:spacing w:val="5"/>
    </w:rPr>
  </w:style>
  <w:style w:type="table" w:styleId="LightGrid">
    <w:name w:val="Light Grid"/>
    <w:basedOn w:val="TableNormal"/>
    <w:uiPriority w:val="62"/>
    <w:semiHidden/>
    <w:unhideWhenUsed/>
    <w:rsid w:val="00015FE5"/>
    <w:rPr>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015FE5"/>
    <w:rPr>
      <w:lang w:val="en-US" w:eastAsia="en-US"/>
    </w:rPr>
    <w:tblPr>
      <w:tblStyleRowBandSize w:val="1"/>
      <w:tblStyleColBandSize w:val="1"/>
      <w:tblBorders>
        <w:top w:val="single" w:sz="8" w:space="0" w:color="231EDC" w:themeColor="accent1"/>
        <w:left w:val="single" w:sz="8" w:space="0" w:color="231EDC" w:themeColor="accent1"/>
        <w:bottom w:val="single" w:sz="8" w:space="0" w:color="231EDC" w:themeColor="accent1"/>
        <w:right w:val="single" w:sz="8" w:space="0" w:color="231EDC" w:themeColor="accent1"/>
        <w:insideH w:val="single" w:sz="8" w:space="0" w:color="231EDC" w:themeColor="accent1"/>
        <w:insideV w:val="single" w:sz="8" w:space="0" w:color="231ED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1EDC" w:themeColor="accent1"/>
          <w:left w:val="single" w:sz="8" w:space="0" w:color="231EDC" w:themeColor="accent1"/>
          <w:bottom w:val="single" w:sz="18" w:space="0" w:color="231EDC" w:themeColor="accent1"/>
          <w:right w:val="single" w:sz="8" w:space="0" w:color="231EDC" w:themeColor="accent1"/>
          <w:insideH w:val="nil"/>
          <w:insideV w:val="single" w:sz="8" w:space="0" w:color="231ED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1EDC" w:themeColor="accent1"/>
          <w:left w:val="single" w:sz="8" w:space="0" w:color="231EDC" w:themeColor="accent1"/>
          <w:bottom w:val="single" w:sz="8" w:space="0" w:color="231EDC" w:themeColor="accent1"/>
          <w:right w:val="single" w:sz="8" w:space="0" w:color="231EDC" w:themeColor="accent1"/>
          <w:insideH w:val="nil"/>
          <w:insideV w:val="single" w:sz="8" w:space="0" w:color="231ED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1EDC" w:themeColor="accent1"/>
          <w:left w:val="single" w:sz="8" w:space="0" w:color="231EDC" w:themeColor="accent1"/>
          <w:bottom w:val="single" w:sz="8" w:space="0" w:color="231EDC" w:themeColor="accent1"/>
          <w:right w:val="single" w:sz="8" w:space="0" w:color="231EDC" w:themeColor="accent1"/>
        </w:tcBorders>
      </w:tcPr>
    </w:tblStylePr>
    <w:tblStylePr w:type="band1Vert">
      <w:tblPr/>
      <w:tcPr>
        <w:tcBorders>
          <w:top w:val="single" w:sz="8" w:space="0" w:color="231EDC" w:themeColor="accent1"/>
          <w:left w:val="single" w:sz="8" w:space="0" w:color="231EDC" w:themeColor="accent1"/>
          <w:bottom w:val="single" w:sz="8" w:space="0" w:color="231EDC" w:themeColor="accent1"/>
          <w:right w:val="single" w:sz="8" w:space="0" w:color="231EDC" w:themeColor="accent1"/>
        </w:tcBorders>
        <w:shd w:val="clear" w:color="auto" w:fill="C7C6F7" w:themeFill="accent1" w:themeFillTint="3F"/>
      </w:tcPr>
    </w:tblStylePr>
    <w:tblStylePr w:type="band1Horz">
      <w:tblPr/>
      <w:tcPr>
        <w:tcBorders>
          <w:top w:val="single" w:sz="8" w:space="0" w:color="231EDC" w:themeColor="accent1"/>
          <w:left w:val="single" w:sz="8" w:space="0" w:color="231EDC" w:themeColor="accent1"/>
          <w:bottom w:val="single" w:sz="8" w:space="0" w:color="231EDC" w:themeColor="accent1"/>
          <w:right w:val="single" w:sz="8" w:space="0" w:color="231EDC" w:themeColor="accent1"/>
          <w:insideV w:val="single" w:sz="8" w:space="0" w:color="231EDC" w:themeColor="accent1"/>
        </w:tcBorders>
        <w:shd w:val="clear" w:color="auto" w:fill="C7C6F7" w:themeFill="accent1" w:themeFillTint="3F"/>
      </w:tcPr>
    </w:tblStylePr>
    <w:tblStylePr w:type="band2Horz">
      <w:tblPr/>
      <w:tcPr>
        <w:tcBorders>
          <w:top w:val="single" w:sz="8" w:space="0" w:color="231EDC" w:themeColor="accent1"/>
          <w:left w:val="single" w:sz="8" w:space="0" w:color="231EDC" w:themeColor="accent1"/>
          <w:bottom w:val="single" w:sz="8" w:space="0" w:color="231EDC" w:themeColor="accent1"/>
          <w:right w:val="single" w:sz="8" w:space="0" w:color="231EDC" w:themeColor="accent1"/>
          <w:insideV w:val="single" w:sz="8" w:space="0" w:color="231EDC" w:themeColor="accent1"/>
        </w:tcBorders>
      </w:tcPr>
    </w:tblStylePr>
  </w:style>
  <w:style w:type="table" w:styleId="LightGrid-Accent2">
    <w:name w:val="Light Grid Accent 2"/>
    <w:basedOn w:val="TableNormal"/>
    <w:uiPriority w:val="62"/>
    <w:semiHidden/>
    <w:unhideWhenUsed/>
    <w:rsid w:val="00015FE5"/>
    <w:rPr>
      <w:lang w:val="en-US" w:eastAsia="en-US"/>
    </w:rPr>
    <w:tblPr>
      <w:tblStyleRowBandSize w:val="1"/>
      <w:tblStyleColBandSize w:val="1"/>
      <w:tblBorders>
        <w:top w:val="single" w:sz="8" w:space="0" w:color="0A7DFF" w:themeColor="accent2"/>
        <w:left w:val="single" w:sz="8" w:space="0" w:color="0A7DFF" w:themeColor="accent2"/>
        <w:bottom w:val="single" w:sz="8" w:space="0" w:color="0A7DFF" w:themeColor="accent2"/>
        <w:right w:val="single" w:sz="8" w:space="0" w:color="0A7DFF" w:themeColor="accent2"/>
        <w:insideH w:val="single" w:sz="8" w:space="0" w:color="0A7DFF" w:themeColor="accent2"/>
        <w:insideV w:val="single" w:sz="8" w:space="0" w:color="0A7DF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A7DFF" w:themeColor="accent2"/>
          <w:left w:val="single" w:sz="8" w:space="0" w:color="0A7DFF" w:themeColor="accent2"/>
          <w:bottom w:val="single" w:sz="18" w:space="0" w:color="0A7DFF" w:themeColor="accent2"/>
          <w:right w:val="single" w:sz="8" w:space="0" w:color="0A7DFF" w:themeColor="accent2"/>
          <w:insideH w:val="nil"/>
          <w:insideV w:val="single" w:sz="8" w:space="0" w:color="0A7DF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A7DFF" w:themeColor="accent2"/>
          <w:left w:val="single" w:sz="8" w:space="0" w:color="0A7DFF" w:themeColor="accent2"/>
          <w:bottom w:val="single" w:sz="8" w:space="0" w:color="0A7DFF" w:themeColor="accent2"/>
          <w:right w:val="single" w:sz="8" w:space="0" w:color="0A7DFF" w:themeColor="accent2"/>
          <w:insideH w:val="nil"/>
          <w:insideV w:val="single" w:sz="8" w:space="0" w:color="0A7DF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A7DFF" w:themeColor="accent2"/>
          <w:left w:val="single" w:sz="8" w:space="0" w:color="0A7DFF" w:themeColor="accent2"/>
          <w:bottom w:val="single" w:sz="8" w:space="0" w:color="0A7DFF" w:themeColor="accent2"/>
          <w:right w:val="single" w:sz="8" w:space="0" w:color="0A7DFF" w:themeColor="accent2"/>
        </w:tcBorders>
      </w:tcPr>
    </w:tblStylePr>
    <w:tblStylePr w:type="band1Vert">
      <w:tblPr/>
      <w:tcPr>
        <w:tcBorders>
          <w:top w:val="single" w:sz="8" w:space="0" w:color="0A7DFF" w:themeColor="accent2"/>
          <w:left w:val="single" w:sz="8" w:space="0" w:color="0A7DFF" w:themeColor="accent2"/>
          <w:bottom w:val="single" w:sz="8" w:space="0" w:color="0A7DFF" w:themeColor="accent2"/>
          <w:right w:val="single" w:sz="8" w:space="0" w:color="0A7DFF" w:themeColor="accent2"/>
        </w:tcBorders>
        <w:shd w:val="clear" w:color="auto" w:fill="C2DEFF" w:themeFill="accent2" w:themeFillTint="3F"/>
      </w:tcPr>
    </w:tblStylePr>
    <w:tblStylePr w:type="band1Horz">
      <w:tblPr/>
      <w:tcPr>
        <w:tcBorders>
          <w:top w:val="single" w:sz="8" w:space="0" w:color="0A7DFF" w:themeColor="accent2"/>
          <w:left w:val="single" w:sz="8" w:space="0" w:color="0A7DFF" w:themeColor="accent2"/>
          <w:bottom w:val="single" w:sz="8" w:space="0" w:color="0A7DFF" w:themeColor="accent2"/>
          <w:right w:val="single" w:sz="8" w:space="0" w:color="0A7DFF" w:themeColor="accent2"/>
          <w:insideV w:val="single" w:sz="8" w:space="0" w:color="0A7DFF" w:themeColor="accent2"/>
        </w:tcBorders>
        <w:shd w:val="clear" w:color="auto" w:fill="C2DEFF" w:themeFill="accent2" w:themeFillTint="3F"/>
      </w:tcPr>
    </w:tblStylePr>
    <w:tblStylePr w:type="band2Horz">
      <w:tblPr/>
      <w:tcPr>
        <w:tcBorders>
          <w:top w:val="single" w:sz="8" w:space="0" w:color="0A7DFF" w:themeColor="accent2"/>
          <w:left w:val="single" w:sz="8" w:space="0" w:color="0A7DFF" w:themeColor="accent2"/>
          <w:bottom w:val="single" w:sz="8" w:space="0" w:color="0A7DFF" w:themeColor="accent2"/>
          <w:right w:val="single" w:sz="8" w:space="0" w:color="0A7DFF" w:themeColor="accent2"/>
          <w:insideV w:val="single" w:sz="8" w:space="0" w:color="0A7DFF" w:themeColor="accent2"/>
        </w:tcBorders>
      </w:tcPr>
    </w:tblStylePr>
  </w:style>
  <w:style w:type="table" w:styleId="LightGrid-Accent3">
    <w:name w:val="Light Grid Accent 3"/>
    <w:basedOn w:val="TableNormal"/>
    <w:uiPriority w:val="62"/>
    <w:semiHidden/>
    <w:unhideWhenUsed/>
    <w:rsid w:val="00015FE5"/>
    <w:rPr>
      <w:lang w:val="en-US" w:eastAsia="en-US"/>
    </w:rPr>
    <w:tblPr>
      <w:tblStyleRowBandSize w:val="1"/>
      <w:tblStyleColBandSize w:val="1"/>
      <w:tblBorders>
        <w:top w:val="single" w:sz="8" w:space="0" w:color="5AE6FF" w:themeColor="accent3"/>
        <w:left w:val="single" w:sz="8" w:space="0" w:color="5AE6FF" w:themeColor="accent3"/>
        <w:bottom w:val="single" w:sz="8" w:space="0" w:color="5AE6FF" w:themeColor="accent3"/>
        <w:right w:val="single" w:sz="8" w:space="0" w:color="5AE6FF" w:themeColor="accent3"/>
        <w:insideH w:val="single" w:sz="8" w:space="0" w:color="5AE6FF" w:themeColor="accent3"/>
        <w:insideV w:val="single" w:sz="8" w:space="0" w:color="5AE6F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AE6FF" w:themeColor="accent3"/>
          <w:left w:val="single" w:sz="8" w:space="0" w:color="5AE6FF" w:themeColor="accent3"/>
          <w:bottom w:val="single" w:sz="18" w:space="0" w:color="5AE6FF" w:themeColor="accent3"/>
          <w:right w:val="single" w:sz="8" w:space="0" w:color="5AE6FF" w:themeColor="accent3"/>
          <w:insideH w:val="nil"/>
          <w:insideV w:val="single" w:sz="8" w:space="0" w:color="5AE6F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AE6FF" w:themeColor="accent3"/>
          <w:left w:val="single" w:sz="8" w:space="0" w:color="5AE6FF" w:themeColor="accent3"/>
          <w:bottom w:val="single" w:sz="8" w:space="0" w:color="5AE6FF" w:themeColor="accent3"/>
          <w:right w:val="single" w:sz="8" w:space="0" w:color="5AE6FF" w:themeColor="accent3"/>
          <w:insideH w:val="nil"/>
          <w:insideV w:val="single" w:sz="8" w:space="0" w:color="5AE6F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AE6FF" w:themeColor="accent3"/>
          <w:left w:val="single" w:sz="8" w:space="0" w:color="5AE6FF" w:themeColor="accent3"/>
          <w:bottom w:val="single" w:sz="8" w:space="0" w:color="5AE6FF" w:themeColor="accent3"/>
          <w:right w:val="single" w:sz="8" w:space="0" w:color="5AE6FF" w:themeColor="accent3"/>
        </w:tcBorders>
      </w:tcPr>
    </w:tblStylePr>
    <w:tblStylePr w:type="band1Vert">
      <w:tblPr/>
      <w:tcPr>
        <w:tcBorders>
          <w:top w:val="single" w:sz="8" w:space="0" w:color="5AE6FF" w:themeColor="accent3"/>
          <w:left w:val="single" w:sz="8" w:space="0" w:color="5AE6FF" w:themeColor="accent3"/>
          <w:bottom w:val="single" w:sz="8" w:space="0" w:color="5AE6FF" w:themeColor="accent3"/>
          <w:right w:val="single" w:sz="8" w:space="0" w:color="5AE6FF" w:themeColor="accent3"/>
        </w:tcBorders>
        <w:shd w:val="clear" w:color="auto" w:fill="D6F8FF" w:themeFill="accent3" w:themeFillTint="3F"/>
      </w:tcPr>
    </w:tblStylePr>
    <w:tblStylePr w:type="band1Horz">
      <w:tblPr/>
      <w:tcPr>
        <w:tcBorders>
          <w:top w:val="single" w:sz="8" w:space="0" w:color="5AE6FF" w:themeColor="accent3"/>
          <w:left w:val="single" w:sz="8" w:space="0" w:color="5AE6FF" w:themeColor="accent3"/>
          <w:bottom w:val="single" w:sz="8" w:space="0" w:color="5AE6FF" w:themeColor="accent3"/>
          <w:right w:val="single" w:sz="8" w:space="0" w:color="5AE6FF" w:themeColor="accent3"/>
          <w:insideV w:val="single" w:sz="8" w:space="0" w:color="5AE6FF" w:themeColor="accent3"/>
        </w:tcBorders>
        <w:shd w:val="clear" w:color="auto" w:fill="D6F8FF" w:themeFill="accent3" w:themeFillTint="3F"/>
      </w:tcPr>
    </w:tblStylePr>
    <w:tblStylePr w:type="band2Horz">
      <w:tblPr/>
      <w:tcPr>
        <w:tcBorders>
          <w:top w:val="single" w:sz="8" w:space="0" w:color="5AE6FF" w:themeColor="accent3"/>
          <w:left w:val="single" w:sz="8" w:space="0" w:color="5AE6FF" w:themeColor="accent3"/>
          <w:bottom w:val="single" w:sz="8" w:space="0" w:color="5AE6FF" w:themeColor="accent3"/>
          <w:right w:val="single" w:sz="8" w:space="0" w:color="5AE6FF" w:themeColor="accent3"/>
          <w:insideV w:val="single" w:sz="8" w:space="0" w:color="5AE6FF" w:themeColor="accent3"/>
        </w:tcBorders>
      </w:tcPr>
    </w:tblStylePr>
  </w:style>
  <w:style w:type="table" w:styleId="LightGrid-Accent4">
    <w:name w:val="Light Grid Accent 4"/>
    <w:basedOn w:val="TableNormal"/>
    <w:uiPriority w:val="62"/>
    <w:semiHidden/>
    <w:unhideWhenUsed/>
    <w:rsid w:val="00015FE5"/>
    <w:rPr>
      <w:lang w:val="en-US" w:eastAsia="en-US"/>
    </w:rPr>
    <w:tblPr>
      <w:tblStyleRowBandSize w:val="1"/>
      <w:tblStyleColBandSize w:val="1"/>
      <w:tblBorders>
        <w:top w:val="single" w:sz="8" w:space="0" w:color="001E55" w:themeColor="accent4"/>
        <w:left w:val="single" w:sz="8" w:space="0" w:color="001E55" w:themeColor="accent4"/>
        <w:bottom w:val="single" w:sz="8" w:space="0" w:color="001E55" w:themeColor="accent4"/>
        <w:right w:val="single" w:sz="8" w:space="0" w:color="001E55" w:themeColor="accent4"/>
        <w:insideH w:val="single" w:sz="8" w:space="0" w:color="001E55" w:themeColor="accent4"/>
        <w:insideV w:val="single" w:sz="8" w:space="0" w:color="001E5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1E55" w:themeColor="accent4"/>
          <w:left w:val="single" w:sz="8" w:space="0" w:color="001E55" w:themeColor="accent4"/>
          <w:bottom w:val="single" w:sz="18" w:space="0" w:color="001E55" w:themeColor="accent4"/>
          <w:right w:val="single" w:sz="8" w:space="0" w:color="001E55" w:themeColor="accent4"/>
          <w:insideH w:val="nil"/>
          <w:insideV w:val="single" w:sz="8" w:space="0" w:color="001E5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1E55" w:themeColor="accent4"/>
          <w:left w:val="single" w:sz="8" w:space="0" w:color="001E55" w:themeColor="accent4"/>
          <w:bottom w:val="single" w:sz="8" w:space="0" w:color="001E55" w:themeColor="accent4"/>
          <w:right w:val="single" w:sz="8" w:space="0" w:color="001E55" w:themeColor="accent4"/>
          <w:insideH w:val="nil"/>
          <w:insideV w:val="single" w:sz="8" w:space="0" w:color="001E5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1E55" w:themeColor="accent4"/>
          <w:left w:val="single" w:sz="8" w:space="0" w:color="001E55" w:themeColor="accent4"/>
          <w:bottom w:val="single" w:sz="8" w:space="0" w:color="001E55" w:themeColor="accent4"/>
          <w:right w:val="single" w:sz="8" w:space="0" w:color="001E55" w:themeColor="accent4"/>
        </w:tcBorders>
      </w:tcPr>
    </w:tblStylePr>
    <w:tblStylePr w:type="band1Vert">
      <w:tblPr/>
      <w:tcPr>
        <w:tcBorders>
          <w:top w:val="single" w:sz="8" w:space="0" w:color="001E55" w:themeColor="accent4"/>
          <w:left w:val="single" w:sz="8" w:space="0" w:color="001E55" w:themeColor="accent4"/>
          <w:bottom w:val="single" w:sz="8" w:space="0" w:color="001E55" w:themeColor="accent4"/>
          <w:right w:val="single" w:sz="8" w:space="0" w:color="001E55" w:themeColor="accent4"/>
        </w:tcBorders>
        <w:shd w:val="clear" w:color="auto" w:fill="96BBFF" w:themeFill="accent4" w:themeFillTint="3F"/>
      </w:tcPr>
    </w:tblStylePr>
    <w:tblStylePr w:type="band1Horz">
      <w:tblPr/>
      <w:tcPr>
        <w:tcBorders>
          <w:top w:val="single" w:sz="8" w:space="0" w:color="001E55" w:themeColor="accent4"/>
          <w:left w:val="single" w:sz="8" w:space="0" w:color="001E55" w:themeColor="accent4"/>
          <w:bottom w:val="single" w:sz="8" w:space="0" w:color="001E55" w:themeColor="accent4"/>
          <w:right w:val="single" w:sz="8" w:space="0" w:color="001E55" w:themeColor="accent4"/>
          <w:insideV w:val="single" w:sz="8" w:space="0" w:color="001E55" w:themeColor="accent4"/>
        </w:tcBorders>
        <w:shd w:val="clear" w:color="auto" w:fill="96BBFF" w:themeFill="accent4" w:themeFillTint="3F"/>
      </w:tcPr>
    </w:tblStylePr>
    <w:tblStylePr w:type="band2Horz">
      <w:tblPr/>
      <w:tcPr>
        <w:tcBorders>
          <w:top w:val="single" w:sz="8" w:space="0" w:color="001E55" w:themeColor="accent4"/>
          <w:left w:val="single" w:sz="8" w:space="0" w:color="001E55" w:themeColor="accent4"/>
          <w:bottom w:val="single" w:sz="8" w:space="0" w:color="001E55" w:themeColor="accent4"/>
          <w:right w:val="single" w:sz="8" w:space="0" w:color="001E55" w:themeColor="accent4"/>
          <w:insideV w:val="single" w:sz="8" w:space="0" w:color="001E55" w:themeColor="accent4"/>
        </w:tcBorders>
      </w:tcPr>
    </w:tblStylePr>
  </w:style>
  <w:style w:type="table" w:styleId="LightGrid-Accent5">
    <w:name w:val="Light Grid Accent 5"/>
    <w:basedOn w:val="TableNormal"/>
    <w:uiPriority w:val="62"/>
    <w:semiHidden/>
    <w:unhideWhenUsed/>
    <w:rsid w:val="00015FE5"/>
    <w:rPr>
      <w:lang w:val="en-US" w:eastAsia="en-US"/>
    </w:rPr>
    <w:tblPr>
      <w:tblStyleRowBandSize w:val="1"/>
      <w:tblStyleColBandSize w:val="1"/>
      <w:tblBorders>
        <w:top w:val="single" w:sz="8" w:space="0" w:color="A5A5A5" w:themeColor="accent5"/>
        <w:left w:val="single" w:sz="8" w:space="0" w:color="A5A5A5" w:themeColor="accent5"/>
        <w:bottom w:val="single" w:sz="8" w:space="0" w:color="A5A5A5" w:themeColor="accent5"/>
        <w:right w:val="single" w:sz="8" w:space="0" w:color="A5A5A5" w:themeColor="accent5"/>
        <w:insideH w:val="single" w:sz="8" w:space="0" w:color="A5A5A5" w:themeColor="accent5"/>
        <w:insideV w:val="single" w:sz="8" w:space="0" w:color="A5A5A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5"/>
          <w:left w:val="single" w:sz="8" w:space="0" w:color="A5A5A5" w:themeColor="accent5"/>
          <w:bottom w:val="single" w:sz="18" w:space="0" w:color="A5A5A5" w:themeColor="accent5"/>
          <w:right w:val="single" w:sz="8" w:space="0" w:color="A5A5A5" w:themeColor="accent5"/>
          <w:insideH w:val="nil"/>
          <w:insideV w:val="single" w:sz="8" w:space="0" w:color="A5A5A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5"/>
          <w:left w:val="single" w:sz="8" w:space="0" w:color="A5A5A5" w:themeColor="accent5"/>
          <w:bottom w:val="single" w:sz="8" w:space="0" w:color="A5A5A5" w:themeColor="accent5"/>
          <w:right w:val="single" w:sz="8" w:space="0" w:color="A5A5A5" w:themeColor="accent5"/>
          <w:insideH w:val="nil"/>
          <w:insideV w:val="single" w:sz="8" w:space="0" w:color="A5A5A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5"/>
          <w:left w:val="single" w:sz="8" w:space="0" w:color="A5A5A5" w:themeColor="accent5"/>
          <w:bottom w:val="single" w:sz="8" w:space="0" w:color="A5A5A5" w:themeColor="accent5"/>
          <w:right w:val="single" w:sz="8" w:space="0" w:color="A5A5A5" w:themeColor="accent5"/>
        </w:tcBorders>
      </w:tcPr>
    </w:tblStylePr>
    <w:tblStylePr w:type="band1Vert">
      <w:tblPr/>
      <w:tcPr>
        <w:tcBorders>
          <w:top w:val="single" w:sz="8" w:space="0" w:color="A5A5A5" w:themeColor="accent5"/>
          <w:left w:val="single" w:sz="8" w:space="0" w:color="A5A5A5" w:themeColor="accent5"/>
          <w:bottom w:val="single" w:sz="8" w:space="0" w:color="A5A5A5" w:themeColor="accent5"/>
          <w:right w:val="single" w:sz="8" w:space="0" w:color="A5A5A5" w:themeColor="accent5"/>
        </w:tcBorders>
        <w:shd w:val="clear" w:color="auto" w:fill="E8E8E8" w:themeFill="accent5" w:themeFillTint="3F"/>
      </w:tcPr>
    </w:tblStylePr>
    <w:tblStylePr w:type="band1Horz">
      <w:tblPr/>
      <w:tcPr>
        <w:tcBorders>
          <w:top w:val="single" w:sz="8" w:space="0" w:color="A5A5A5" w:themeColor="accent5"/>
          <w:left w:val="single" w:sz="8" w:space="0" w:color="A5A5A5" w:themeColor="accent5"/>
          <w:bottom w:val="single" w:sz="8" w:space="0" w:color="A5A5A5" w:themeColor="accent5"/>
          <w:right w:val="single" w:sz="8" w:space="0" w:color="A5A5A5" w:themeColor="accent5"/>
          <w:insideV w:val="single" w:sz="8" w:space="0" w:color="A5A5A5" w:themeColor="accent5"/>
        </w:tcBorders>
        <w:shd w:val="clear" w:color="auto" w:fill="E8E8E8" w:themeFill="accent5" w:themeFillTint="3F"/>
      </w:tcPr>
    </w:tblStylePr>
    <w:tblStylePr w:type="band2Horz">
      <w:tblPr/>
      <w:tcPr>
        <w:tcBorders>
          <w:top w:val="single" w:sz="8" w:space="0" w:color="A5A5A5" w:themeColor="accent5"/>
          <w:left w:val="single" w:sz="8" w:space="0" w:color="A5A5A5" w:themeColor="accent5"/>
          <w:bottom w:val="single" w:sz="8" w:space="0" w:color="A5A5A5" w:themeColor="accent5"/>
          <w:right w:val="single" w:sz="8" w:space="0" w:color="A5A5A5" w:themeColor="accent5"/>
          <w:insideV w:val="single" w:sz="8" w:space="0" w:color="A5A5A5" w:themeColor="accent5"/>
        </w:tcBorders>
      </w:tcPr>
    </w:tblStylePr>
  </w:style>
  <w:style w:type="table" w:styleId="LightGrid-Accent6">
    <w:name w:val="Light Grid Accent 6"/>
    <w:basedOn w:val="TableNormal"/>
    <w:uiPriority w:val="62"/>
    <w:semiHidden/>
    <w:unhideWhenUsed/>
    <w:rsid w:val="00015FE5"/>
    <w:rPr>
      <w:lang w:val="en-US" w:eastAsia="en-US"/>
    </w:rPr>
    <w:tblPr>
      <w:tblStyleRowBandSize w:val="1"/>
      <w:tblStyleColBandSize w:val="1"/>
      <w:tblBorders>
        <w:top w:val="single" w:sz="8" w:space="0" w:color="C8C8C8" w:themeColor="accent6"/>
        <w:left w:val="single" w:sz="8" w:space="0" w:color="C8C8C8" w:themeColor="accent6"/>
        <w:bottom w:val="single" w:sz="8" w:space="0" w:color="C8C8C8" w:themeColor="accent6"/>
        <w:right w:val="single" w:sz="8" w:space="0" w:color="C8C8C8" w:themeColor="accent6"/>
        <w:insideH w:val="single" w:sz="8" w:space="0" w:color="C8C8C8" w:themeColor="accent6"/>
        <w:insideV w:val="single" w:sz="8" w:space="0" w:color="C8C8C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8C8C8" w:themeColor="accent6"/>
          <w:left w:val="single" w:sz="8" w:space="0" w:color="C8C8C8" w:themeColor="accent6"/>
          <w:bottom w:val="single" w:sz="18" w:space="0" w:color="C8C8C8" w:themeColor="accent6"/>
          <w:right w:val="single" w:sz="8" w:space="0" w:color="C8C8C8" w:themeColor="accent6"/>
          <w:insideH w:val="nil"/>
          <w:insideV w:val="single" w:sz="8" w:space="0" w:color="C8C8C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8C8C8" w:themeColor="accent6"/>
          <w:left w:val="single" w:sz="8" w:space="0" w:color="C8C8C8" w:themeColor="accent6"/>
          <w:bottom w:val="single" w:sz="8" w:space="0" w:color="C8C8C8" w:themeColor="accent6"/>
          <w:right w:val="single" w:sz="8" w:space="0" w:color="C8C8C8" w:themeColor="accent6"/>
          <w:insideH w:val="nil"/>
          <w:insideV w:val="single" w:sz="8" w:space="0" w:color="C8C8C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8C8C8" w:themeColor="accent6"/>
          <w:left w:val="single" w:sz="8" w:space="0" w:color="C8C8C8" w:themeColor="accent6"/>
          <w:bottom w:val="single" w:sz="8" w:space="0" w:color="C8C8C8" w:themeColor="accent6"/>
          <w:right w:val="single" w:sz="8" w:space="0" w:color="C8C8C8" w:themeColor="accent6"/>
        </w:tcBorders>
      </w:tcPr>
    </w:tblStylePr>
    <w:tblStylePr w:type="band1Vert">
      <w:tblPr/>
      <w:tcPr>
        <w:tcBorders>
          <w:top w:val="single" w:sz="8" w:space="0" w:color="C8C8C8" w:themeColor="accent6"/>
          <w:left w:val="single" w:sz="8" w:space="0" w:color="C8C8C8" w:themeColor="accent6"/>
          <w:bottom w:val="single" w:sz="8" w:space="0" w:color="C8C8C8" w:themeColor="accent6"/>
          <w:right w:val="single" w:sz="8" w:space="0" w:color="C8C8C8" w:themeColor="accent6"/>
        </w:tcBorders>
        <w:shd w:val="clear" w:color="auto" w:fill="F1F1F1" w:themeFill="accent6" w:themeFillTint="3F"/>
      </w:tcPr>
    </w:tblStylePr>
    <w:tblStylePr w:type="band1Horz">
      <w:tblPr/>
      <w:tcPr>
        <w:tcBorders>
          <w:top w:val="single" w:sz="8" w:space="0" w:color="C8C8C8" w:themeColor="accent6"/>
          <w:left w:val="single" w:sz="8" w:space="0" w:color="C8C8C8" w:themeColor="accent6"/>
          <w:bottom w:val="single" w:sz="8" w:space="0" w:color="C8C8C8" w:themeColor="accent6"/>
          <w:right w:val="single" w:sz="8" w:space="0" w:color="C8C8C8" w:themeColor="accent6"/>
          <w:insideV w:val="single" w:sz="8" w:space="0" w:color="C8C8C8" w:themeColor="accent6"/>
        </w:tcBorders>
        <w:shd w:val="clear" w:color="auto" w:fill="F1F1F1" w:themeFill="accent6" w:themeFillTint="3F"/>
      </w:tcPr>
    </w:tblStylePr>
    <w:tblStylePr w:type="band2Horz">
      <w:tblPr/>
      <w:tcPr>
        <w:tcBorders>
          <w:top w:val="single" w:sz="8" w:space="0" w:color="C8C8C8" w:themeColor="accent6"/>
          <w:left w:val="single" w:sz="8" w:space="0" w:color="C8C8C8" w:themeColor="accent6"/>
          <w:bottom w:val="single" w:sz="8" w:space="0" w:color="C8C8C8" w:themeColor="accent6"/>
          <w:right w:val="single" w:sz="8" w:space="0" w:color="C8C8C8" w:themeColor="accent6"/>
          <w:insideV w:val="single" w:sz="8" w:space="0" w:color="C8C8C8" w:themeColor="accent6"/>
        </w:tcBorders>
      </w:tcPr>
    </w:tblStylePr>
  </w:style>
  <w:style w:type="table" w:styleId="LightList">
    <w:name w:val="Light List"/>
    <w:basedOn w:val="TableNormal"/>
    <w:uiPriority w:val="61"/>
    <w:semiHidden/>
    <w:unhideWhenUsed/>
    <w:rsid w:val="00015FE5"/>
    <w:rPr>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015FE5"/>
    <w:rPr>
      <w:lang w:val="en-US" w:eastAsia="en-US"/>
    </w:rPr>
    <w:tblPr>
      <w:tblStyleRowBandSize w:val="1"/>
      <w:tblStyleColBandSize w:val="1"/>
      <w:tblBorders>
        <w:top w:val="single" w:sz="8" w:space="0" w:color="231EDC" w:themeColor="accent1"/>
        <w:left w:val="single" w:sz="8" w:space="0" w:color="231EDC" w:themeColor="accent1"/>
        <w:bottom w:val="single" w:sz="8" w:space="0" w:color="231EDC" w:themeColor="accent1"/>
        <w:right w:val="single" w:sz="8" w:space="0" w:color="231EDC" w:themeColor="accent1"/>
      </w:tblBorders>
    </w:tblPr>
    <w:tblStylePr w:type="firstRow">
      <w:pPr>
        <w:spacing w:before="0" w:after="0" w:line="240" w:lineRule="auto"/>
      </w:pPr>
      <w:rPr>
        <w:b/>
        <w:bCs/>
        <w:color w:val="FFFFFF" w:themeColor="background1"/>
      </w:rPr>
      <w:tblPr/>
      <w:tcPr>
        <w:shd w:val="clear" w:color="auto" w:fill="231EDC" w:themeFill="accent1"/>
      </w:tcPr>
    </w:tblStylePr>
    <w:tblStylePr w:type="lastRow">
      <w:pPr>
        <w:spacing w:before="0" w:after="0" w:line="240" w:lineRule="auto"/>
      </w:pPr>
      <w:rPr>
        <w:b/>
        <w:bCs/>
      </w:rPr>
      <w:tblPr/>
      <w:tcPr>
        <w:tcBorders>
          <w:top w:val="double" w:sz="6" w:space="0" w:color="231EDC" w:themeColor="accent1"/>
          <w:left w:val="single" w:sz="8" w:space="0" w:color="231EDC" w:themeColor="accent1"/>
          <w:bottom w:val="single" w:sz="8" w:space="0" w:color="231EDC" w:themeColor="accent1"/>
          <w:right w:val="single" w:sz="8" w:space="0" w:color="231EDC" w:themeColor="accent1"/>
        </w:tcBorders>
      </w:tcPr>
    </w:tblStylePr>
    <w:tblStylePr w:type="firstCol">
      <w:rPr>
        <w:b/>
        <w:bCs/>
      </w:rPr>
    </w:tblStylePr>
    <w:tblStylePr w:type="lastCol">
      <w:rPr>
        <w:b/>
        <w:bCs/>
      </w:rPr>
    </w:tblStylePr>
    <w:tblStylePr w:type="band1Vert">
      <w:tblPr/>
      <w:tcPr>
        <w:tcBorders>
          <w:top w:val="single" w:sz="8" w:space="0" w:color="231EDC" w:themeColor="accent1"/>
          <w:left w:val="single" w:sz="8" w:space="0" w:color="231EDC" w:themeColor="accent1"/>
          <w:bottom w:val="single" w:sz="8" w:space="0" w:color="231EDC" w:themeColor="accent1"/>
          <w:right w:val="single" w:sz="8" w:space="0" w:color="231EDC" w:themeColor="accent1"/>
        </w:tcBorders>
      </w:tcPr>
    </w:tblStylePr>
    <w:tblStylePr w:type="band1Horz">
      <w:tblPr/>
      <w:tcPr>
        <w:tcBorders>
          <w:top w:val="single" w:sz="8" w:space="0" w:color="231EDC" w:themeColor="accent1"/>
          <w:left w:val="single" w:sz="8" w:space="0" w:color="231EDC" w:themeColor="accent1"/>
          <w:bottom w:val="single" w:sz="8" w:space="0" w:color="231EDC" w:themeColor="accent1"/>
          <w:right w:val="single" w:sz="8" w:space="0" w:color="231EDC" w:themeColor="accent1"/>
        </w:tcBorders>
      </w:tcPr>
    </w:tblStylePr>
  </w:style>
  <w:style w:type="table" w:styleId="LightList-Accent2">
    <w:name w:val="Light List Accent 2"/>
    <w:basedOn w:val="TableNormal"/>
    <w:uiPriority w:val="61"/>
    <w:semiHidden/>
    <w:unhideWhenUsed/>
    <w:rsid w:val="00015FE5"/>
    <w:rPr>
      <w:lang w:val="en-US" w:eastAsia="en-US"/>
    </w:rPr>
    <w:tblPr>
      <w:tblStyleRowBandSize w:val="1"/>
      <w:tblStyleColBandSize w:val="1"/>
      <w:tblBorders>
        <w:top w:val="single" w:sz="8" w:space="0" w:color="0A7DFF" w:themeColor="accent2"/>
        <w:left w:val="single" w:sz="8" w:space="0" w:color="0A7DFF" w:themeColor="accent2"/>
        <w:bottom w:val="single" w:sz="8" w:space="0" w:color="0A7DFF" w:themeColor="accent2"/>
        <w:right w:val="single" w:sz="8" w:space="0" w:color="0A7DFF" w:themeColor="accent2"/>
      </w:tblBorders>
    </w:tblPr>
    <w:tblStylePr w:type="firstRow">
      <w:pPr>
        <w:spacing w:before="0" w:after="0" w:line="240" w:lineRule="auto"/>
      </w:pPr>
      <w:rPr>
        <w:b/>
        <w:bCs/>
        <w:color w:val="FFFFFF" w:themeColor="background1"/>
      </w:rPr>
      <w:tblPr/>
      <w:tcPr>
        <w:shd w:val="clear" w:color="auto" w:fill="0A7DFF" w:themeFill="accent2"/>
      </w:tcPr>
    </w:tblStylePr>
    <w:tblStylePr w:type="lastRow">
      <w:pPr>
        <w:spacing w:before="0" w:after="0" w:line="240" w:lineRule="auto"/>
      </w:pPr>
      <w:rPr>
        <w:b/>
        <w:bCs/>
      </w:rPr>
      <w:tblPr/>
      <w:tcPr>
        <w:tcBorders>
          <w:top w:val="double" w:sz="6" w:space="0" w:color="0A7DFF" w:themeColor="accent2"/>
          <w:left w:val="single" w:sz="8" w:space="0" w:color="0A7DFF" w:themeColor="accent2"/>
          <w:bottom w:val="single" w:sz="8" w:space="0" w:color="0A7DFF" w:themeColor="accent2"/>
          <w:right w:val="single" w:sz="8" w:space="0" w:color="0A7DFF" w:themeColor="accent2"/>
        </w:tcBorders>
      </w:tcPr>
    </w:tblStylePr>
    <w:tblStylePr w:type="firstCol">
      <w:rPr>
        <w:b/>
        <w:bCs/>
      </w:rPr>
    </w:tblStylePr>
    <w:tblStylePr w:type="lastCol">
      <w:rPr>
        <w:b/>
        <w:bCs/>
      </w:rPr>
    </w:tblStylePr>
    <w:tblStylePr w:type="band1Vert">
      <w:tblPr/>
      <w:tcPr>
        <w:tcBorders>
          <w:top w:val="single" w:sz="8" w:space="0" w:color="0A7DFF" w:themeColor="accent2"/>
          <w:left w:val="single" w:sz="8" w:space="0" w:color="0A7DFF" w:themeColor="accent2"/>
          <w:bottom w:val="single" w:sz="8" w:space="0" w:color="0A7DFF" w:themeColor="accent2"/>
          <w:right w:val="single" w:sz="8" w:space="0" w:color="0A7DFF" w:themeColor="accent2"/>
        </w:tcBorders>
      </w:tcPr>
    </w:tblStylePr>
    <w:tblStylePr w:type="band1Horz">
      <w:tblPr/>
      <w:tcPr>
        <w:tcBorders>
          <w:top w:val="single" w:sz="8" w:space="0" w:color="0A7DFF" w:themeColor="accent2"/>
          <w:left w:val="single" w:sz="8" w:space="0" w:color="0A7DFF" w:themeColor="accent2"/>
          <w:bottom w:val="single" w:sz="8" w:space="0" w:color="0A7DFF" w:themeColor="accent2"/>
          <w:right w:val="single" w:sz="8" w:space="0" w:color="0A7DFF" w:themeColor="accent2"/>
        </w:tcBorders>
      </w:tcPr>
    </w:tblStylePr>
  </w:style>
  <w:style w:type="table" w:styleId="LightList-Accent3">
    <w:name w:val="Light List Accent 3"/>
    <w:basedOn w:val="TableNormal"/>
    <w:uiPriority w:val="61"/>
    <w:semiHidden/>
    <w:unhideWhenUsed/>
    <w:rsid w:val="00015FE5"/>
    <w:rPr>
      <w:lang w:val="en-US" w:eastAsia="en-US"/>
    </w:rPr>
    <w:tblPr>
      <w:tblStyleRowBandSize w:val="1"/>
      <w:tblStyleColBandSize w:val="1"/>
      <w:tblBorders>
        <w:top w:val="single" w:sz="8" w:space="0" w:color="5AE6FF" w:themeColor="accent3"/>
        <w:left w:val="single" w:sz="8" w:space="0" w:color="5AE6FF" w:themeColor="accent3"/>
        <w:bottom w:val="single" w:sz="8" w:space="0" w:color="5AE6FF" w:themeColor="accent3"/>
        <w:right w:val="single" w:sz="8" w:space="0" w:color="5AE6FF" w:themeColor="accent3"/>
      </w:tblBorders>
    </w:tblPr>
    <w:tblStylePr w:type="firstRow">
      <w:pPr>
        <w:spacing w:before="0" w:after="0" w:line="240" w:lineRule="auto"/>
      </w:pPr>
      <w:rPr>
        <w:b/>
        <w:bCs/>
        <w:color w:val="FFFFFF" w:themeColor="background1"/>
      </w:rPr>
      <w:tblPr/>
      <w:tcPr>
        <w:shd w:val="clear" w:color="auto" w:fill="5AE6FF" w:themeFill="accent3"/>
      </w:tcPr>
    </w:tblStylePr>
    <w:tblStylePr w:type="lastRow">
      <w:pPr>
        <w:spacing w:before="0" w:after="0" w:line="240" w:lineRule="auto"/>
      </w:pPr>
      <w:rPr>
        <w:b/>
        <w:bCs/>
      </w:rPr>
      <w:tblPr/>
      <w:tcPr>
        <w:tcBorders>
          <w:top w:val="double" w:sz="6" w:space="0" w:color="5AE6FF" w:themeColor="accent3"/>
          <w:left w:val="single" w:sz="8" w:space="0" w:color="5AE6FF" w:themeColor="accent3"/>
          <w:bottom w:val="single" w:sz="8" w:space="0" w:color="5AE6FF" w:themeColor="accent3"/>
          <w:right w:val="single" w:sz="8" w:space="0" w:color="5AE6FF" w:themeColor="accent3"/>
        </w:tcBorders>
      </w:tcPr>
    </w:tblStylePr>
    <w:tblStylePr w:type="firstCol">
      <w:rPr>
        <w:b/>
        <w:bCs/>
      </w:rPr>
    </w:tblStylePr>
    <w:tblStylePr w:type="lastCol">
      <w:rPr>
        <w:b/>
        <w:bCs/>
      </w:rPr>
    </w:tblStylePr>
    <w:tblStylePr w:type="band1Vert">
      <w:tblPr/>
      <w:tcPr>
        <w:tcBorders>
          <w:top w:val="single" w:sz="8" w:space="0" w:color="5AE6FF" w:themeColor="accent3"/>
          <w:left w:val="single" w:sz="8" w:space="0" w:color="5AE6FF" w:themeColor="accent3"/>
          <w:bottom w:val="single" w:sz="8" w:space="0" w:color="5AE6FF" w:themeColor="accent3"/>
          <w:right w:val="single" w:sz="8" w:space="0" w:color="5AE6FF" w:themeColor="accent3"/>
        </w:tcBorders>
      </w:tcPr>
    </w:tblStylePr>
    <w:tblStylePr w:type="band1Horz">
      <w:tblPr/>
      <w:tcPr>
        <w:tcBorders>
          <w:top w:val="single" w:sz="8" w:space="0" w:color="5AE6FF" w:themeColor="accent3"/>
          <w:left w:val="single" w:sz="8" w:space="0" w:color="5AE6FF" w:themeColor="accent3"/>
          <w:bottom w:val="single" w:sz="8" w:space="0" w:color="5AE6FF" w:themeColor="accent3"/>
          <w:right w:val="single" w:sz="8" w:space="0" w:color="5AE6FF" w:themeColor="accent3"/>
        </w:tcBorders>
      </w:tcPr>
    </w:tblStylePr>
  </w:style>
  <w:style w:type="table" w:styleId="LightList-Accent4">
    <w:name w:val="Light List Accent 4"/>
    <w:basedOn w:val="TableNormal"/>
    <w:uiPriority w:val="61"/>
    <w:semiHidden/>
    <w:unhideWhenUsed/>
    <w:rsid w:val="00015FE5"/>
    <w:rPr>
      <w:lang w:val="en-US" w:eastAsia="en-US"/>
    </w:rPr>
    <w:tblPr>
      <w:tblStyleRowBandSize w:val="1"/>
      <w:tblStyleColBandSize w:val="1"/>
      <w:tblBorders>
        <w:top w:val="single" w:sz="8" w:space="0" w:color="001E55" w:themeColor="accent4"/>
        <w:left w:val="single" w:sz="8" w:space="0" w:color="001E55" w:themeColor="accent4"/>
        <w:bottom w:val="single" w:sz="8" w:space="0" w:color="001E55" w:themeColor="accent4"/>
        <w:right w:val="single" w:sz="8" w:space="0" w:color="001E55" w:themeColor="accent4"/>
      </w:tblBorders>
    </w:tblPr>
    <w:tblStylePr w:type="firstRow">
      <w:pPr>
        <w:spacing w:before="0" w:after="0" w:line="240" w:lineRule="auto"/>
      </w:pPr>
      <w:rPr>
        <w:b/>
        <w:bCs/>
        <w:color w:val="FFFFFF" w:themeColor="background1"/>
      </w:rPr>
      <w:tblPr/>
      <w:tcPr>
        <w:shd w:val="clear" w:color="auto" w:fill="001E55" w:themeFill="accent4"/>
      </w:tcPr>
    </w:tblStylePr>
    <w:tblStylePr w:type="lastRow">
      <w:pPr>
        <w:spacing w:before="0" w:after="0" w:line="240" w:lineRule="auto"/>
      </w:pPr>
      <w:rPr>
        <w:b/>
        <w:bCs/>
      </w:rPr>
      <w:tblPr/>
      <w:tcPr>
        <w:tcBorders>
          <w:top w:val="double" w:sz="6" w:space="0" w:color="001E55" w:themeColor="accent4"/>
          <w:left w:val="single" w:sz="8" w:space="0" w:color="001E55" w:themeColor="accent4"/>
          <w:bottom w:val="single" w:sz="8" w:space="0" w:color="001E55" w:themeColor="accent4"/>
          <w:right w:val="single" w:sz="8" w:space="0" w:color="001E55" w:themeColor="accent4"/>
        </w:tcBorders>
      </w:tcPr>
    </w:tblStylePr>
    <w:tblStylePr w:type="firstCol">
      <w:rPr>
        <w:b/>
        <w:bCs/>
      </w:rPr>
    </w:tblStylePr>
    <w:tblStylePr w:type="lastCol">
      <w:rPr>
        <w:b/>
        <w:bCs/>
      </w:rPr>
    </w:tblStylePr>
    <w:tblStylePr w:type="band1Vert">
      <w:tblPr/>
      <w:tcPr>
        <w:tcBorders>
          <w:top w:val="single" w:sz="8" w:space="0" w:color="001E55" w:themeColor="accent4"/>
          <w:left w:val="single" w:sz="8" w:space="0" w:color="001E55" w:themeColor="accent4"/>
          <w:bottom w:val="single" w:sz="8" w:space="0" w:color="001E55" w:themeColor="accent4"/>
          <w:right w:val="single" w:sz="8" w:space="0" w:color="001E55" w:themeColor="accent4"/>
        </w:tcBorders>
      </w:tcPr>
    </w:tblStylePr>
    <w:tblStylePr w:type="band1Horz">
      <w:tblPr/>
      <w:tcPr>
        <w:tcBorders>
          <w:top w:val="single" w:sz="8" w:space="0" w:color="001E55" w:themeColor="accent4"/>
          <w:left w:val="single" w:sz="8" w:space="0" w:color="001E55" w:themeColor="accent4"/>
          <w:bottom w:val="single" w:sz="8" w:space="0" w:color="001E55" w:themeColor="accent4"/>
          <w:right w:val="single" w:sz="8" w:space="0" w:color="001E55" w:themeColor="accent4"/>
        </w:tcBorders>
      </w:tcPr>
    </w:tblStylePr>
  </w:style>
  <w:style w:type="table" w:styleId="LightList-Accent5">
    <w:name w:val="Light List Accent 5"/>
    <w:basedOn w:val="TableNormal"/>
    <w:uiPriority w:val="61"/>
    <w:semiHidden/>
    <w:unhideWhenUsed/>
    <w:rsid w:val="00015FE5"/>
    <w:rPr>
      <w:lang w:val="en-US" w:eastAsia="en-US"/>
    </w:rPr>
    <w:tblPr>
      <w:tblStyleRowBandSize w:val="1"/>
      <w:tblStyleColBandSize w:val="1"/>
      <w:tblBorders>
        <w:top w:val="single" w:sz="8" w:space="0" w:color="A5A5A5" w:themeColor="accent5"/>
        <w:left w:val="single" w:sz="8" w:space="0" w:color="A5A5A5" w:themeColor="accent5"/>
        <w:bottom w:val="single" w:sz="8" w:space="0" w:color="A5A5A5" w:themeColor="accent5"/>
        <w:right w:val="single" w:sz="8" w:space="0" w:color="A5A5A5" w:themeColor="accent5"/>
      </w:tblBorders>
    </w:tblPr>
    <w:tblStylePr w:type="firstRow">
      <w:pPr>
        <w:spacing w:before="0" w:after="0" w:line="240" w:lineRule="auto"/>
      </w:pPr>
      <w:rPr>
        <w:b/>
        <w:bCs/>
        <w:color w:val="FFFFFF" w:themeColor="background1"/>
      </w:rPr>
      <w:tblPr/>
      <w:tcPr>
        <w:shd w:val="clear" w:color="auto" w:fill="A5A5A5" w:themeFill="accent5"/>
      </w:tcPr>
    </w:tblStylePr>
    <w:tblStylePr w:type="lastRow">
      <w:pPr>
        <w:spacing w:before="0" w:after="0" w:line="240" w:lineRule="auto"/>
      </w:pPr>
      <w:rPr>
        <w:b/>
        <w:bCs/>
      </w:rPr>
      <w:tblPr/>
      <w:tcPr>
        <w:tcBorders>
          <w:top w:val="double" w:sz="6" w:space="0" w:color="A5A5A5" w:themeColor="accent5"/>
          <w:left w:val="single" w:sz="8" w:space="0" w:color="A5A5A5" w:themeColor="accent5"/>
          <w:bottom w:val="single" w:sz="8" w:space="0" w:color="A5A5A5" w:themeColor="accent5"/>
          <w:right w:val="single" w:sz="8" w:space="0" w:color="A5A5A5" w:themeColor="accent5"/>
        </w:tcBorders>
      </w:tcPr>
    </w:tblStylePr>
    <w:tblStylePr w:type="firstCol">
      <w:rPr>
        <w:b/>
        <w:bCs/>
      </w:rPr>
    </w:tblStylePr>
    <w:tblStylePr w:type="lastCol">
      <w:rPr>
        <w:b/>
        <w:bCs/>
      </w:rPr>
    </w:tblStylePr>
    <w:tblStylePr w:type="band1Vert">
      <w:tblPr/>
      <w:tcPr>
        <w:tcBorders>
          <w:top w:val="single" w:sz="8" w:space="0" w:color="A5A5A5" w:themeColor="accent5"/>
          <w:left w:val="single" w:sz="8" w:space="0" w:color="A5A5A5" w:themeColor="accent5"/>
          <w:bottom w:val="single" w:sz="8" w:space="0" w:color="A5A5A5" w:themeColor="accent5"/>
          <w:right w:val="single" w:sz="8" w:space="0" w:color="A5A5A5" w:themeColor="accent5"/>
        </w:tcBorders>
      </w:tcPr>
    </w:tblStylePr>
    <w:tblStylePr w:type="band1Horz">
      <w:tblPr/>
      <w:tcPr>
        <w:tcBorders>
          <w:top w:val="single" w:sz="8" w:space="0" w:color="A5A5A5" w:themeColor="accent5"/>
          <w:left w:val="single" w:sz="8" w:space="0" w:color="A5A5A5" w:themeColor="accent5"/>
          <w:bottom w:val="single" w:sz="8" w:space="0" w:color="A5A5A5" w:themeColor="accent5"/>
          <w:right w:val="single" w:sz="8" w:space="0" w:color="A5A5A5" w:themeColor="accent5"/>
        </w:tcBorders>
      </w:tcPr>
    </w:tblStylePr>
  </w:style>
  <w:style w:type="table" w:styleId="LightList-Accent6">
    <w:name w:val="Light List Accent 6"/>
    <w:basedOn w:val="TableNormal"/>
    <w:uiPriority w:val="61"/>
    <w:semiHidden/>
    <w:unhideWhenUsed/>
    <w:rsid w:val="00015FE5"/>
    <w:rPr>
      <w:lang w:val="en-US" w:eastAsia="en-US"/>
    </w:rPr>
    <w:tblPr>
      <w:tblStyleRowBandSize w:val="1"/>
      <w:tblStyleColBandSize w:val="1"/>
      <w:tblBorders>
        <w:top w:val="single" w:sz="8" w:space="0" w:color="C8C8C8" w:themeColor="accent6"/>
        <w:left w:val="single" w:sz="8" w:space="0" w:color="C8C8C8" w:themeColor="accent6"/>
        <w:bottom w:val="single" w:sz="8" w:space="0" w:color="C8C8C8" w:themeColor="accent6"/>
        <w:right w:val="single" w:sz="8" w:space="0" w:color="C8C8C8" w:themeColor="accent6"/>
      </w:tblBorders>
    </w:tblPr>
    <w:tblStylePr w:type="firstRow">
      <w:pPr>
        <w:spacing w:before="0" w:after="0" w:line="240" w:lineRule="auto"/>
      </w:pPr>
      <w:rPr>
        <w:b/>
        <w:bCs/>
        <w:color w:val="FFFFFF" w:themeColor="background1"/>
      </w:rPr>
      <w:tblPr/>
      <w:tcPr>
        <w:shd w:val="clear" w:color="auto" w:fill="C8C8C8" w:themeFill="accent6"/>
      </w:tcPr>
    </w:tblStylePr>
    <w:tblStylePr w:type="lastRow">
      <w:pPr>
        <w:spacing w:before="0" w:after="0" w:line="240" w:lineRule="auto"/>
      </w:pPr>
      <w:rPr>
        <w:b/>
        <w:bCs/>
      </w:rPr>
      <w:tblPr/>
      <w:tcPr>
        <w:tcBorders>
          <w:top w:val="double" w:sz="6" w:space="0" w:color="C8C8C8" w:themeColor="accent6"/>
          <w:left w:val="single" w:sz="8" w:space="0" w:color="C8C8C8" w:themeColor="accent6"/>
          <w:bottom w:val="single" w:sz="8" w:space="0" w:color="C8C8C8" w:themeColor="accent6"/>
          <w:right w:val="single" w:sz="8" w:space="0" w:color="C8C8C8" w:themeColor="accent6"/>
        </w:tcBorders>
      </w:tcPr>
    </w:tblStylePr>
    <w:tblStylePr w:type="firstCol">
      <w:rPr>
        <w:b/>
        <w:bCs/>
      </w:rPr>
    </w:tblStylePr>
    <w:tblStylePr w:type="lastCol">
      <w:rPr>
        <w:b/>
        <w:bCs/>
      </w:rPr>
    </w:tblStylePr>
    <w:tblStylePr w:type="band1Vert">
      <w:tblPr/>
      <w:tcPr>
        <w:tcBorders>
          <w:top w:val="single" w:sz="8" w:space="0" w:color="C8C8C8" w:themeColor="accent6"/>
          <w:left w:val="single" w:sz="8" w:space="0" w:color="C8C8C8" w:themeColor="accent6"/>
          <w:bottom w:val="single" w:sz="8" w:space="0" w:color="C8C8C8" w:themeColor="accent6"/>
          <w:right w:val="single" w:sz="8" w:space="0" w:color="C8C8C8" w:themeColor="accent6"/>
        </w:tcBorders>
      </w:tcPr>
    </w:tblStylePr>
    <w:tblStylePr w:type="band1Horz">
      <w:tblPr/>
      <w:tcPr>
        <w:tcBorders>
          <w:top w:val="single" w:sz="8" w:space="0" w:color="C8C8C8" w:themeColor="accent6"/>
          <w:left w:val="single" w:sz="8" w:space="0" w:color="C8C8C8" w:themeColor="accent6"/>
          <w:bottom w:val="single" w:sz="8" w:space="0" w:color="C8C8C8" w:themeColor="accent6"/>
          <w:right w:val="single" w:sz="8" w:space="0" w:color="C8C8C8" w:themeColor="accent6"/>
        </w:tcBorders>
      </w:tcPr>
    </w:tblStylePr>
  </w:style>
  <w:style w:type="table" w:styleId="LightShading">
    <w:name w:val="Light Shading"/>
    <w:basedOn w:val="TableNormal"/>
    <w:uiPriority w:val="60"/>
    <w:semiHidden/>
    <w:unhideWhenUsed/>
    <w:rsid w:val="00015FE5"/>
    <w:rPr>
      <w:color w:val="000000" w:themeColor="text1" w:themeShade="BF"/>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015FE5"/>
    <w:rPr>
      <w:color w:val="1916A4" w:themeColor="accent1" w:themeShade="BF"/>
      <w:lang w:val="en-US" w:eastAsia="en-US"/>
    </w:rPr>
    <w:tblPr>
      <w:tblStyleRowBandSize w:val="1"/>
      <w:tblStyleColBandSize w:val="1"/>
      <w:tblBorders>
        <w:top w:val="single" w:sz="8" w:space="0" w:color="231EDC" w:themeColor="accent1"/>
        <w:bottom w:val="single" w:sz="8" w:space="0" w:color="231EDC" w:themeColor="accent1"/>
      </w:tblBorders>
    </w:tblPr>
    <w:tblStylePr w:type="firstRow">
      <w:pPr>
        <w:spacing w:before="0" w:after="0" w:line="240" w:lineRule="auto"/>
      </w:pPr>
      <w:rPr>
        <w:b/>
        <w:bCs/>
      </w:rPr>
      <w:tblPr/>
      <w:tcPr>
        <w:tcBorders>
          <w:top w:val="single" w:sz="8" w:space="0" w:color="231EDC" w:themeColor="accent1"/>
          <w:left w:val="nil"/>
          <w:bottom w:val="single" w:sz="8" w:space="0" w:color="231EDC" w:themeColor="accent1"/>
          <w:right w:val="nil"/>
          <w:insideH w:val="nil"/>
          <w:insideV w:val="nil"/>
        </w:tcBorders>
      </w:tcPr>
    </w:tblStylePr>
    <w:tblStylePr w:type="lastRow">
      <w:pPr>
        <w:spacing w:before="0" w:after="0" w:line="240" w:lineRule="auto"/>
      </w:pPr>
      <w:rPr>
        <w:b/>
        <w:bCs/>
      </w:rPr>
      <w:tblPr/>
      <w:tcPr>
        <w:tcBorders>
          <w:top w:val="single" w:sz="8" w:space="0" w:color="231EDC" w:themeColor="accent1"/>
          <w:left w:val="nil"/>
          <w:bottom w:val="single" w:sz="8" w:space="0" w:color="231ED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7C6F7" w:themeFill="accent1" w:themeFillTint="3F"/>
      </w:tcPr>
    </w:tblStylePr>
    <w:tblStylePr w:type="band1Horz">
      <w:tblPr/>
      <w:tcPr>
        <w:tcBorders>
          <w:left w:val="nil"/>
          <w:right w:val="nil"/>
          <w:insideH w:val="nil"/>
          <w:insideV w:val="nil"/>
        </w:tcBorders>
        <w:shd w:val="clear" w:color="auto" w:fill="C7C6F7" w:themeFill="accent1" w:themeFillTint="3F"/>
      </w:tcPr>
    </w:tblStylePr>
  </w:style>
  <w:style w:type="table" w:styleId="LightShading-Accent2">
    <w:name w:val="Light Shading Accent 2"/>
    <w:basedOn w:val="TableNormal"/>
    <w:uiPriority w:val="60"/>
    <w:semiHidden/>
    <w:unhideWhenUsed/>
    <w:rsid w:val="00015FE5"/>
    <w:rPr>
      <w:color w:val="005CC6" w:themeColor="accent2" w:themeShade="BF"/>
      <w:lang w:val="en-US" w:eastAsia="en-US"/>
    </w:rPr>
    <w:tblPr>
      <w:tblStyleRowBandSize w:val="1"/>
      <w:tblStyleColBandSize w:val="1"/>
      <w:tblBorders>
        <w:top w:val="single" w:sz="8" w:space="0" w:color="0A7DFF" w:themeColor="accent2"/>
        <w:bottom w:val="single" w:sz="8" w:space="0" w:color="0A7DFF" w:themeColor="accent2"/>
      </w:tblBorders>
    </w:tblPr>
    <w:tblStylePr w:type="firstRow">
      <w:pPr>
        <w:spacing w:before="0" w:after="0" w:line="240" w:lineRule="auto"/>
      </w:pPr>
      <w:rPr>
        <w:b/>
        <w:bCs/>
      </w:rPr>
      <w:tblPr/>
      <w:tcPr>
        <w:tcBorders>
          <w:top w:val="single" w:sz="8" w:space="0" w:color="0A7DFF" w:themeColor="accent2"/>
          <w:left w:val="nil"/>
          <w:bottom w:val="single" w:sz="8" w:space="0" w:color="0A7DFF" w:themeColor="accent2"/>
          <w:right w:val="nil"/>
          <w:insideH w:val="nil"/>
          <w:insideV w:val="nil"/>
        </w:tcBorders>
      </w:tcPr>
    </w:tblStylePr>
    <w:tblStylePr w:type="lastRow">
      <w:pPr>
        <w:spacing w:before="0" w:after="0" w:line="240" w:lineRule="auto"/>
      </w:pPr>
      <w:rPr>
        <w:b/>
        <w:bCs/>
      </w:rPr>
      <w:tblPr/>
      <w:tcPr>
        <w:tcBorders>
          <w:top w:val="single" w:sz="8" w:space="0" w:color="0A7DFF" w:themeColor="accent2"/>
          <w:left w:val="nil"/>
          <w:bottom w:val="single" w:sz="8" w:space="0" w:color="0A7DF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2DEFF" w:themeFill="accent2" w:themeFillTint="3F"/>
      </w:tcPr>
    </w:tblStylePr>
    <w:tblStylePr w:type="band1Horz">
      <w:tblPr/>
      <w:tcPr>
        <w:tcBorders>
          <w:left w:val="nil"/>
          <w:right w:val="nil"/>
          <w:insideH w:val="nil"/>
          <w:insideV w:val="nil"/>
        </w:tcBorders>
        <w:shd w:val="clear" w:color="auto" w:fill="C2DEFF" w:themeFill="accent2" w:themeFillTint="3F"/>
      </w:tcPr>
    </w:tblStylePr>
  </w:style>
  <w:style w:type="table" w:styleId="LightShading-Accent3">
    <w:name w:val="Light Shading Accent 3"/>
    <w:basedOn w:val="TableNormal"/>
    <w:uiPriority w:val="60"/>
    <w:semiHidden/>
    <w:unhideWhenUsed/>
    <w:rsid w:val="00015FE5"/>
    <w:rPr>
      <w:color w:val="03D8FF" w:themeColor="accent3" w:themeShade="BF"/>
      <w:lang w:val="en-US" w:eastAsia="en-US"/>
    </w:rPr>
    <w:tblPr>
      <w:tblStyleRowBandSize w:val="1"/>
      <w:tblStyleColBandSize w:val="1"/>
      <w:tblBorders>
        <w:top w:val="single" w:sz="8" w:space="0" w:color="5AE6FF" w:themeColor="accent3"/>
        <w:bottom w:val="single" w:sz="8" w:space="0" w:color="5AE6FF" w:themeColor="accent3"/>
      </w:tblBorders>
    </w:tblPr>
    <w:tblStylePr w:type="firstRow">
      <w:pPr>
        <w:spacing w:before="0" w:after="0" w:line="240" w:lineRule="auto"/>
      </w:pPr>
      <w:rPr>
        <w:b/>
        <w:bCs/>
      </w:rPr>
      <w:tblPr/>
      <w:tcPr>
        <w:tcBorders>
          <w:top w:val="single" w:sz="8" w:space="0" w:color="5AE6FF" w:themeColor="accent3"/>
          <w:left w:val="nil"/>
          <w:bottom w:val="single" w:sz="8" w:space="0" w:color="5AE6FF" w:themeColor="accent3"/>
          <w:right w:val="nil"/>
          <w:insideH w:val="nil"/>
          <w:insideV w:val="nil"/>
        </w:tcBorders>
      </w:tcPr>
    </w:tblStylePr>
    <w:tblStylePr w:type="lastRow">
      <w:pPr>
        <w:spacing w:before="0" w:after="0" w:line="240" w:lineRule="auto"/>
      </w:pPr>
      <w:rPr>
        <w:b/>
        <w:bCs/>
      </w:rPr>
      <w:tblPr/>
      <w:tcPr>
        <w:tcBorders>
          <w:top w:val="single" w:sz="8" w:space="0" w:color="5AE6FF" w:themeColor="accent3"/>
          <w:left w:val="nil"/>
          <w:bottom w:val="single" w:sz="8" w:space="0" w:color="5AE6F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F8FF" w:themeFill="accent3" w:themeFillTint="3F"/>
      </w:tcPr>
    </w:tblStylePr>
    <w:tblStylePr w:type="band1Horz">
      <w:tblPr/>
      <w:tcPr>
        <w:tcBorders>
          <w:left w:val="nil"/>
          <w:right w:val="nil"/>
          <w:insideH w:val="nil"/>
          <w:insideV w:val="nil"/>
        </w:tcBorders>
        <w:shd w:val="clear" w:color="auto" w:fill="D6F8FF" w:themeFill="accent3" w:themeFillTint="3F"/>
      </w:tcPr>
    </w:tblStylePr>
  </w:style>
  <w:style w:type="table" w:styleId="LightShading-Accent4">
    <w:name w:val="Light Shading Accent 4"/>
    <w:basedOn w:val="TableNormal"/>
    <w:uiPriority w:val="60"/>
    <w:semiHidden/>
    <w:unhideWhenUsed/>
    <w:rsid w:val="00015FE5"/>
    <w:rPr>
      <w:color w:val="00163F" w:themeColor="accent4" w:themeShade="BF"/>
      <w:lang w:val="en-US" w:eastAsia="en-US"/>
    </w:rPr>
    <w:tblPr>
      <w:tblStyleRowBandSize w:val="1"/>
      <w:tblStyleColBandSize w:val="1"/>
      <w:tblBorders>
        <w:top w:val="single" w:sz="8" w:space="0" w:color="001E55" w:themeColor="accent4"/>
        <w:bottom w:val="single" w:sz="8" w:space="0" w:color="001E55" w:themeColor="accent4"/>
      </w:tblBorders>
    </w:tblPr>
    <w:tblStylePr w:type="firstRow">
      <w:pPr>
        <w:spacing w:before="0" w:after="0" w:line="240" w:lineRule="auto"/>
      </w:pPr>
      <w:rPr>
        <w:b/>
        <w:bCs/>
      </w:rPr>
      <w:tblPr/>
      <w:tcPr>
        <w:tcBorders>
          <w:top w:val="single" w:sz="8" w:space="0" w:color="001E55" w:themeColor="accent4"/>
          <w:left w:val="nil"/>
          <w:bottom w:val="single" w:sz="8" w:space="0" w:color="001E55" w:themeColor="accent4"/>
          <w:right w:val="nil"/>
          <w:insideH w:val="nil"/>
          <w:insideV w:val="nil"/>
        </w:tcBorders>
      </w:tcPr>
    </w:tblStylePr>
    <w:tblStylePr w:type="lastRow">
      <w:pPr>
        <w:spacing w:before="0" w:after="0" w:line="240" w:lineRule="auto"/>
      </w:pPr>
      <w:rPr>
        <w:b/>
        <w:bCs/>
      </w:rPr>
      <w:tblPr/>
      <w:tcPr>
        <w:tcBorders>
          <w:top w:val="single" w:sz="8" w:space="0" w:color="001E55" w:themeColor="accent4"/>
          <w:left w:val="nil"/>
          <w:bottom w:val="single" w:sz="8" w:space="0" w:color="001E5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6BBFF" w:themeFill="accent4" w:themeFillTint="3F"/>
      </w:tcPr>
    </w:tblStylePr>
    <w:tblStylePr w:type="band1Horz">
      <w:tblPr/>
      <w:tcPr>
        <w:tcBorders>
          <w:left w:val="nil"/>
          <w:right w:val="nil"/>
          <w:insideH w:val="nil"/>
          <w:insideV w:val="nil"/>
        </w:tcBorders>
        <w:shd w:val="clear" w:color="auto" w:fill="96BBFF" w:themeFill="accent4" w:themeFillTint="3F"/>
      </w:tcPr>
    </w:tblStylePr>
  </w:style>
  <w:style w:type="table" w:styleId="LightShading-Accent5">
    <w:name w:val="Light Shading Accent 5"/>
    <w:basedOn w:val="TableNormal"/>
    <w:uiPriority w:val="60"/>
    <w:semiHidden/>
    <w:unhideWhenUsed/>
    <w:rsid w:val="00015FE5"/>
    <w:rPr>
      <w:color w:val="7B7B7B" w:themeColor="accent5" w:themeShade="BF"/>
      <w:lang w:val="en-US" w:eastAsia="en-US"/>
    </w:rPr>
    <w:tblPr>
      <w:tblStyleRowBandSize w:val="1"/>
      <w:tblStyleColBandSize w:val="1"/>
      <w:tblBorders>
        <w:top w:val="single" w:sz="8" w:space="0" w:color="A5A5A5" w:themeColor="accent5"/>
        <w:bottom w:val="single" w:sz="8" w:space="0" w:color="A5A5A5" w:themeColor="accent5"/>
      </w:tblBorders>
    </w:tblPr>
    <w:tblStylePr w:type="firstRow">
      <w:pPr>
        <w:spacing w:before="0" w:after="0" w:line="240" w:lineRule="auto"/>
      </w:pPr>
      <w:rPr>
        <w:b/>
        <w:bCs/>
      </w:rPr>
      <w:tblPr/>
      <w:tcPr>
        <w:tcBorders>
          <w:top w:val="single" w:sz="8" w:space="0" w:color="A5A5A5" w:themeColor="accent5"/>
          <w:left w:val="nil"/>
          <w:bottom w:val="single" w:sz="8" w:space="0" w:color="A5A5A5" w:themeColor="accent5"/>
          <w:right w:val="nil"/>
          <w:insideH w:val="nil"/>
          <w:insideV w:val="nil"/>
        </w:tcBorders>
      </w:tcPr>
    </w:tblStylePr>
    <w:tblStylePr w:type="lastRow">
      <w:pPr>
        <w:spacing w:before="0" w:after="0" w:line="240" w:lineRule="auto"/>
      </w:pPr>
      <w:rPr>
        <w:b/>
        <w:bCs/>
      </w:rPr>
      <w:tblPr/>
      <w:tcPr>
        <w:tcBorders>
          <w:top w:val="single" w:sz="8" w:space="0" w:color="A5A5A5" w:themeColor="accent5"/>
          <w:left w:val="nil"/>
          <w:bottom w:val="single" w:sz="8" w:space="0" w:color="A5A5A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5" w:themeFillTint="3F"/>
      </w:tcPr>
    </w:tblStylePr>
    <w:tblStylePr w:type="band1Horz">
      <w:tblPr/>
      <w:tcPr>
        <w:tcBorders>
          <w:left w:val="nil"/>
          <w:right w:val="nil"/>
          <w:insideH w:val="nil"/>
          <w:insideV w:val="nil"/>
        </w:tcBorders>
        <w:shd w:val="clear" w:color="auto" w:fill="E8E8E8" w:themeFill="accent5" w:themeFillTint="3F"/>
      </w:tcPr>
    </w:tblStylePr>
  </w:style>
  <w:style w:type="table" w:styleId="LightShading-Accent6">
    <w:name w:val="Light Shading Accent 6"/>
    <w:basedOn w:val="TableNormal"/>
    <w:uiPriority w:val="60"/>
    <w:semiHidden/>
    <w:unhideWhenUsed/>
    <w:rsid w:val="00015FE5"/>
    <w:rPr>
      <w:color w:val="959595" w:themeColor="accent6" w:themeShade="BF"/>
      <w:lang w:val="en-US" w:eastAsia="en-US"/>
    </w:rPr>
    <w:tblPr>
      <w:tblStyleRowBandSize w:val="1"/>
      <w:tblStyleColBandSize w:val="1"/>
      <w:tblBorders>
        <w:top w:val="single" w:sz="8" w:space="0" w:color="C8C8C8" w:themeColor="accent6"/>
        <w:bottom w:val="single" w:sz="8" w:space="0" w:color="C8C8C8" w:themeColor="accent6"/>
      </w:tblBorders>
    </w:tblPr>
    <w:tblStylePr w:type="firstRow">
      <w:pPr>
        <w:spacing w:before="0" w:after="0" w:line="240" w:lineRule="auto"/>
      </w:pPr>
      <w:rPr>
        <w:b/>
        <w:bCs/>
      </w:rPr>
      <w:tblPr/>
      <w:tcPr>
        <w:tcBorders>
          <w:top w:val="single" w:sz="8" w:space="0" w:color="C8C8C8" w:themeColor="accent6"/>
          <w:left w:val="nil"/>
          <w:bottom w:val="single" w:sz="8" w:space="0" w:color="C8C8C8" w:themeColor="accent6"/>
          <w:right w:val="nil"/>
          <w:insideH w:val="nil"/>
          <w:insideV w:val="nil"/>
        </w:tcBorders>
      </w:tcPr>
    </w:tblStylePr>
    <w:tblStylePr w:type="lastRow">
      <w:pPr>
        <w:spacing w:before="0" w:after="0" w:line="240" w:lineRule="auto"/>
      </w:pPr>
      <w:rPr>
        <w:b/>
        <w:bCs/>
      </w:rPr>
      <w:tblPr/>
      <w:tcPr>
        <w:tcBorders>
          <w:top w:val="single" w:sz="8" w:space="0" w:color="C8C8C8" w:themeColor="accent6"/>
          <w:left w:val="nil"/>
          <w:bottom w:val="single" w:sz="8" w:space="0" w:color="C8C8C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F1F1" w:themeFill="accent6" w:themeFillTint="3F"/>
      </w:tcPr>
    </w:tblStylePr>
    <w:tblStylePr w:type="band1Horz">
      <w:tblPr/>
      <w:tcPr>
        <w:tcBorders>
          <w:left w:val="nil"/>
          <w:right w:val="nil"/>
          <w:insideH w:val="nil"/>
          <w:insideV w:val="nil"/>
        </w:tcBorders>
        <w:shd w:val="clear" w:color="auto" w:fill="F1F1F1" w:themeFill="accent6" w:themeFillTint="3F"/>
      </w:tcPr>
    </w:tblStylePr>
  </w:style>
  <w:style w:type="character" w:styleId="LineNumber">
    <w:name w:val="line number"/>
    <w:basedOn w:val="DefaultParagraphFont"/>
    <w:uiPriority w:val="99"/>
    <w:semiHidden/>
    <w:unhideWhenUsed/>
    <w:rsid w:val="00015FE5"/>
  </w:style>
  <w:style w:type="paragraph" w:styleId="List">
    <w:name w:val="List"/>
    <w:basedOn w:val="Normal"/>
    <w:uiPriority w:val="99"/>
    <w:semiHidden/>
    <w:unhideWhenUsed/>
    <w:rsid w:val="00015FE5"/>
    <w:pPr>
      <w:ind w:left="283" w:hanging="283"/>
      <w:contextualSpacing/>
    </w:pPr>
  </w:style>
  <w:style w:type="paragraph" w:styleId="List2">
    <w:name w:val="List 2"/>
    <w:basedOn w:val="Normal"/>
    <w:uiPriority w:val="99"/>
    <w:semiHidden/>
    <w:unhideWhenUsed/>
    <w:rsid w:val="00015FE5"/>
    <w:pPr>
      <w:ind w:left="566" w:hanging="283"/>
      <w:contextualSpacing/>
    </w:pPr>
  </w:style>
  <w:style w:type="paragraph" w:styleId="List3">
    <w:name w:val="List 3"/>
    <w:basedOn w:val="Normal"/>
    <w:uiPriority w:val="99"/>
    <w:semiHidden/>
    <w:unhideWhenUsed/>
    <w:rsid w:val="00015FE5"/>
    <w:pPr>
      <w:ind w:left="849" w:hanging="283"/>
      <w:contextualSpacing/>
    </w:pPr>
  </w:style>
  <w:style w:type="paragraph" w:styleId="List4">
    <w:name w:val="List 4"/>
    <w:basedOn w:val="Normal"/>
    <w:uiPriority w:val="99"/>
    <w:semiHidden/>
    <w:unhideWhenUsed/>
    <w:rsid w:val="00015FE5"/>
    <w:pPr>
      <w:ind w:left="1132" w:hanging="283"/>
      <w:contextualSpacing/>
    </w:pPr>
  </w:style>
  <w:style w:type="paragraph" w:styleId="List5">
    <w:name w:val="List 5"/>
    <w:basedOn w:val="Normal"/>
    <w:uiPriority w:val="99"/>
    <w:semiHidden/>
    <w:unhideWhenUsed/>
    <w:rsid w:val="00015FE5"/>
    <w:pPr>
      <w:ind w:left="1415" w:hanging="283"/>
      <w:contextualSpacing/>
    </w:pPr>
  </w:style>
  <w:style w:type="paragraph" w:styleId="ListBullet4">
    <w:name w:val="List Bullet 4"/>
    <w:basedOn w:val="Normal"/>
    <w:uiPriority w:val="99"/>
    <w:semiHidden/>
    <w:unhideWhenUsed/>
    <w:rsid w:val="00015FE5"/>
    <w:pPr>
      <w:tabs>
        <w:tab w:val="num" w:pos="1209"/>
      </w:tabs>
      <w:ind w:left="1209" w:hanging="360"/>
      <w:contextualSpacing/>
    </w:pPr>
  </w:style>
  <w:style w:type="paragraph" w:styleId="ListBullet5">
    <w:name w:val="List Bullet 5"/>
    <w:basedOn w:val="Normal"/>
    <w:uiPriority w:val="99"/>
    <w:semiHidden/>
    <w:unhideWhenUsed/>
    <w:rsid w:val="00015FE5"/>
    <w:pPr>
      <w:tabs>
        <w:tab w:val="num" w:pos="1492"/>
      </w:tabs>
      <w:ind w:left="1492" w:hanging="360"/>
      <w:contextualSpacing/>
    </w:pPr>
  </w:style>
  <w:style w:type="paragraph" w:styleId="ListContinue">
    <w:name w:val="List Continue"/>
    <w:basedOn w:val="Normal"/>
    <w:uiPriority w:val="99"/>
    <w:semiHidden/>
    <w:unhideWhenUsed/>
    <w:rsid w:val="00015FE5"/>
    <w:pPr>
      <w:spacing w:after="120"/>
      <w:ind w:left="283"/>
      <w:contextualSpacing/>
    </w:pPr>
  </w:style>
  <w:style w:type="paragraph" w:styleId="ListContinue2">
    <w:name w:val="List Continue 2"/>
    <w:basedOn w:val="Normal"/>
    <w:uiPriority w:val="99"/>
    <w:semiHidden/>
    <w:unhideWhenUsed/>
    <w:rsid w:val="00015FE5"/>
    <w:pPr>
      <w:spacing w:after="120"/>
      <w:ind w:left="566"/>
      <w:contextualSpacing/>
    </w:pPr>
  </w:style>
  <w:style w:type="paragraph" w:styleId="ListContinue3">
    <w:name w:val="List Continue 3"/>
    <w:basedOn w:val="Normal"/>
    <w:uiPriority w:val="99"/>
    <w:semiHidden/>
    <w:unhideWhenUsed/>
    <w:rsid w:val="00015FE5"/>
    <w:pPr>
      <w:spacing w:after="120"/>
      <w:ind w:left="849"/>
      <w:contextualSpacing/>
    </w:pPr>
  </w:style>
  <w:style w:type="paragraph" w:styleId="ListContinue4">
    <w:name w:val="List Continue 4"/>
    <w:basedOn w:val="Normal"/>
    <w:uiPriority w:val="99"/>
    <w:semiHidden/>
    <w:unhideWhenUsed/>
    <w:rsid w:val="00015FE5"/>
    <w:pPr>
      <w:spacing w:after="120"/>
      <w:ind w:left="1132"/>
      <w:contextualSpacing/>
    </w:pPr>
  </w:style>
  <w:style w:type="paragraph" w:styleId="ListContinue5">
    <w:name w:val="List Continue 5"/>
    <w:basedOn w:val="Normal"/>
    <w:uiPriority w:val="99"/>
    <w:semiHidden/>
    <w:unhideWhenUsed/>
    <w:rsid w:val="00015FE5"/>
    <w:pPr>
      <w:spacing w:after="120"/>
      <w:ind w:left="1415"/>
      <w:contextualSpacing/>
    </w:pPr>
  </w:style>
  <w:style w:type="paragraph" w:styleId="ListNumber5">
    <w:name w:val="List Number 5"/>
    <w:basedOn w:val="Normal"/>
    <w:uiPriority w:val="99"/>
    <w:semiHidden/>
    <w:unhideWhenUsed/>
    <w:rsid w:val="00015FE5"/>
    <w:pPr>
      <w:tabs>
        <w:tab w:val="num" w:pos="1492"/>
      </w:tabs>
      <w:ind w:left="1492" w:hanging="360"/>
      <w:contextualSpacing/>
    </w:pPr>
  </w:style>
  <w:style w:type="table" w:styleId="ListTable1Light">
    <w:name w:val="List Table 1 Light"/>
    <w:basedOn w:val="TableNormal"/>
    <w:uiPriority w:val="46"/>
    <w:rsid w:val="00015FE5"/>
    <w:rPr>
      <w:lang w:val="en-US"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015FE5"/>
    <w:rPr>
      <w:lang w:val="en-US" w:eastAsia="en-US"/>
    </w:rPr>
    <w:tblPr>
      <w:tblStyleRowBandSize w:val="1"/>
      <w:tblStyleColBandSize w:val="1"/>
    </w:tblPr>
    <w:tblStylePr w:type="firstRow">
      <w:rPr>
        <w:b/>
        <w:bCs/>
      </w:rPr>
      <w:tblPr/>
      <w:tcPr>
        <w:tcBorders>
          <w:bottom w:val="single" w:sz="4" w:space="0" w:color="7875EC" w:themeColor="accent1" w:themeTint="99"/>
        </w:tcBorders>
      </w:tcPr>
    </w:tblStylePr>
    <w:tblStylePr w:type="lastRow">
      <w:rPr>
        <w:b/>
        <w:bCs/>
      </w:rPr>
      <w:tblPr/>
      <w:tcPr>
        <w:tcBorders>
          <w:top w:val="single" w:sz="4" w:space="0" w:color="7875EC" w:themeColor="accent1" w:themeTint="99"/>
        </w:tcBorders>
      </w:tcPr>
    </w:tblStylePr>
    <w:tblStylePr w:type="firstCol">
      <w:rPr>
        <w:b/>
        <w:bCs/>
      </w:rPr>
    </w:tblStylePr>
    <w:tblStylePr w:type="lastCol">
      <w:rPr>
        <w:b/>
        <w:bCs/>
      </w:rPr>
    </w:tblStylePr>
    <w:tblStylePr w:type="band1Vert">
      <w:tblPr/>
      <w:tcPr>
        <w:shd w:val="clear" w:color="auto" w:fill="D2D1F8" w:themeFill="accent1" w:themeFillTint="33"/>
      </w:tcPr>
    </w:tblStylePr>
    <w:tblStylePr w:type="band1Horz">
      <w:tblPr/>
      <w:tcPr>
        <w:shd w:val="clear" w:color="auto" w:fill="D2D1F8" w:themeFill="accent1" w:themeFillTint="33"/>
      </w:tcPr>
    </w:tblStylePr>
  </w:style>
  <w:style w:type="table" w:styleId="ListTable1Light-Accent2">
    <w:name w:val="List Table 1 Light Accent 2"/>
    <w:basedOn w:val="TableNormal"/>
    <w:uiPriority w:val="46"/>
    <w:rsid w:val="00015FE5"/>
    <w:rPr>
      <w:lang w:val="en-US" w:eastAsia="en-US"/>
    </w:rPr>
    <w:tblPr>
      <w:tblStyleRowBandSize w:val="1"/>
      <w:tblStyleColBandSize w:val="1"/>
    </w:tblPr>
    <w:tblStylePr w:type="firstRow">
      <w:rPr>
        <w:b/>
        <w:bCs/>
      </w:rPr>
      <w:tblPr/>
      <w:tcPr>
        <w:tcBorders>
          <w:bottom w:val="single" w:sz="4" w:space="0" w:color="6CB0FF" w:themeColor="accent2" w:themeTint="99"/>
        </w:tcBorders>
      </w:tcPr>
    </w:tblStylePr>
    <w:tblStylePr w:type="lastRow">
      <w:rPr>
        <w:b/>
        <w:bCs/>
      </w:rPr>
      <w:tblPr/>
      <w:tcPr>
        <w:tcBorders>
          <w:top w:val="single" w:sz="4" w:space="0" w:color="6CB0FF" w:themeColor="accent2" w:themeTint="99"/>
        </w:tcBorders>
      </w:tcPr>
    </w:tblStylePr>
    <w:tblStylePr w:type="firstCol">
      <w:rPr>
        <w:b/>
        <w:bCs/>
      </w:rPr>
    </w:tblStylePr>
    <w:tblStylePr w:type="lastCol">
      <w:rPr>
        <w:b/>
        <w:bCs/>
      </w:rPr>
    </w:tblStylePr>
    <w:tblStylePr w:type="band1Vert">
      <w:tblPr/>
      <w:tcPr>
        <w:shd w:val="clear" w:color="auto" w:fill="CEE4FF" w:themeFill="accent2" w:themeFillTint="33"/>
      </w:tcPr>
    </w:tblStylePr>
    <w:tblStylePr w:type="band1Horz">
      <w:tblPr/>
      <w:tcPr>
        <w:shd w:val="clear" w:color="auto" w:fill="CEE4FF" w:themeFill="accent2" w:themeFillTint="33"/>
      </w:tcPr>
    </w:tblStylePr>
  </w:style>
  <w:style w:type="table" w:styleId="ListTable1Light-Accent3">
    <w:name w:val="List Table 1 Light Accent 3"/>
    <w:basedOn w:val="TableNormal"/>
    <w:uiPriority w:val="46"/>
    <w:rsid w:val="00015FE5"/>
    <w:rPr>
      <w:lang w:val="en-US" w:eastAsia="en-US"/>
    </w:rPr>
    <w:tblPr>
      <w:tblStyleRowBandSize w:val="1"/>
      <w:tblStyleColBandSize w:val="1"/>
    </w:tblPr>
    <w:tblStylePr w:type="firstRow">
      <w:rPr>
        <w:b/>
        <w:bCs/>
      </w:rPr>
      <w:tblPr/>
      <w:tcPr>
        <w:tcBorders>
          <w:bottom w:val="single" w:sz="4" w:space="0" w:color="9CEFFF" w:themeColor="accent3" w:themeTint="99"/>
        </w:tcBorders>
      </w:tcPr>
    </w:tblStylePr>
    <w:tblStylePr w:type="lastRow">
      <w:rPr>
        <w:b/>
        <w:bCs/>
      </w:rPr>
      <w:tblPr/>
      <w:tcPr>
        <w:tcBorders>
          <w:top w:val="single" w:sz="4" w:space="0" w:color="9CEFFF" w:themeColor="accent3" w:themeTint="99"/>
        </w:tcBorders>
      </w:tcPr>
    </w:tblStylePr>
    <w:tblStylePr w:type="firstCol">
      <w:rPr>
        <w:b/>
        <w:bCs/>
      </w:rPr>
    </w:tblStylePr>
    <w:tblStylePr w:type="lastCol">
      <w:rPr>
        <w:b/>
        <w:bCs/>
      </w:rPr>
    </w:tblStylePr>
    <w:tblStylePr w:type="band1Vert">
      <w:tblPr/>
      <w:tcPr>
        <w:shd w:val="clear" w:color="auto" w:fill="DEF9FF" w:themeFill="accent3" w:themeFillTint="33"/>
      </w:tcPr>
    </w:tblStylePr>
    <w:tblStylePr w:type="band1Horz">
      <w:tblPr/>
      <w:tcPr>
        <w:shd w:val="clear" w:color="auto" w:fill="DEF9FF" w:themeFill="accent3" w:themeFillTint="33"/>
      </w:tcPr>
    </w:tblStylePr>
  </w:style>
  <w:style w:type="table" w:styleId="ListTable1Light-Accent4">
    <w:name w:val="List Table 1 Light Accent 4"/>
    <w:basedOn w:val="TableNormal"/>
    <w:uiPriority w:val="46"/>
    <w:rsid w:val="00015FE5"/>
    <w:rPr>
      <w:lang w:val="en-US" w:eastAsia="en-US"/>
    </w:rPr>
    <w:tblPr>
      <w:tblStyleRowBandSize w:val="1"/>
      <w:tblStyleColBandSize w:val="1"/>
    </w:tblPr>
    <w:tblStylePr w:type="firstRow">
      <w:rPr>
        <w:b/>
        <w:bCs/>
      </w:rPr>
      <w:tblPr/>
      <w:tcPr>
        <w:tcBorders>
          <w:bottom w:val="single" w:sz="4" w:space="0" w:color="005AFF" w:themeColor="accent4" w:themeTint="99"/>
        </w:tcBorders>
      </w:tcPr>
    </w:tblStylePr>
    <w:tblStylePr w:type="lastRow">
      <w:rPr>
        <w:b/>
        <w:bCs/>
      </w:rPr>
      <w:tblPr/>
      <w:tcPr>
        <w:tcBorders>
          <w:top w:val="single" w:sz="4" w:space="0" w:color="005AFF" w:themeColor="accent4" w:themeTint="99"/>
        </w:tcBorders>
      </w:tcPr>
    </w:tblStylePr>
    <w:tblStylePr w:type="firstCol">
      <w:rPr>
        <w:b/>
        <w:bCs/>
      </w:rPr>
    </w:tblStylePr>
    <w:tblStylePr w:type="lastCol">
      <w:rPr>
        <w:b/>
        <w:bCs/>
      </w:rPr>
    </w:tblStylePr>
    <w:tblStylePr w:type="band1Vert">
      <w:tblPr/>
      <w:tcPr>
        <w:shd w:val="clear" w:color="auto" w:fill="AAC8FF" w:themeFill="accent4" w:themeFillTint="33"/>
      </w:tcPr>
    </w:tblStylePr>
    <w:tblStylePr w:type="band1Horz">
      <w:tblPr/>
      <w:tcPr>
        <w:shd w:val="clear" w:color="auto" w:fill="AAC8FF" w:themeFill="accent4" w:themeFillTint="33"/>
      </w:tcPr>
    </w:tblStylePr>
  </w:style>
  <w:style w:type="table" w:styleId="ListTable1Light-Accent5">
    <w:name w:val="List Table 1 Light Accent 5"/>
    <w:basedOn w:val="TableNormal"/>
    <w:uiPriority w:val="46"/>
    <w:rsid w:val="00015FE5"/>
    <w:rPr>
      <w:lang w:val="en-US" w:eastAsia="en-US"/>
    </w:rPr>
    <w:tblPr>
      <w:tblStyleRowBandSize w:val="1"/>
      <w:tblStyleColBandSize w:val="1"/>
    </w:tblPr>
    <w:tblStylePr w:type="firstRow">
      <w:rPr>
        <w:b/>
        <w:bCs/>
      </w:rPr>
      <w:tblPr/>
      <w:tcPr>
        <w:tcBorders>
          <w:bottom w:val="single" w:sz="4" w:space="0" w:color="C9C9C9" w:themeColor="accent5" w:themeTint="99"/>
        </w:tcBorders>
      </w:tcPr>
    </w:tblStylePr>
    <w:tblStylePr w:type="lastRow">
      <w:rPr>
        <w:b/>
        <w:bCs/>
      </w:rPr>
      <w:tblPr/>
      <w:tcPr>
        <w:tcBorders>
          <w:top w:val="single" w:sz="4" w:space="0" w:color="C9C9C9" w:themeColor="accent5" w:themeTint="99"/>
        </w:tcBorders>
      </w:tcPr>
    </w:tblStylePr>
    <w:tblStylePr w:type="firstCol">
      <w:rPr>
        <w:b/>
        <w:bCs/>
      </w:rPr>
    </w:tblStylePr>
    <w:tblStylePr w:type="lastCol">
      <w:rPr>
        <w:b/>
        <w:bCs/>
      </w:rPr>
    </w:tblStylePr>
    <w:tblStylePr w:type="band1Vert">
      <w:tblPr/>
      <w:tcPr>
        <w:shd w:val="clear" w:color="auto" w:fill="EDEDED" w:themeFill="accent5" w:themeFillTint="33"/>
      </w:tcPr>
    </w:tblStylePr>
    <w:tblStylePr w:type="band1Horz">
      <w:tblPr/>
      <w:tcPr>
        <w:shd w:val="clear" w:color="auto" w:fill="EDEDED" w:themeFill="accent5" w:themeFillTint="33"/>
      </w:tcPr>
    </w:tblStylePr>
  </w:style>
  <w:style w:type="table" w:styleId="ListTable1Light-Accent6">
    <w:name w:val="List Table 1 Light Accent 6"/>
    <w:basedOn w:val="TableNormal"/>
    <w:uiPriority w:val="46"/>
    <w:rsid w:val="00015FE5"/>
    <w:rPr>
      <w:lang w:val="en-US" w:eastAsia="en-US"/>
    </w:rPr>
    <w:tblPr>
      <w:tblStyleRowBandSize w:val="1"/>
      <w:tblStyleColBandSize w:val="1"/>
    </w:tblPr>
    <w:tblStylePr w:type="firstRow">
      <w:rPr>
        <w:b/>
        <w:bCs/>
      </w:rPr>
      <w:tblPr/>
      <w:tcPr>
        <w:tcBorders>
          <w:bottom w:val="single" w:sz="4" w:space="0" w:color="DEDEDE" w:themeColor="accent6" w:themeTint="99"/>
        </w:tcBorders>
      </w:tcPr>
    </w:tblStylePr>
    <w:tblStylePr w:type="lastRow">
      <w:rPr>
        <w:b/>
        <w:bCs/>
      </w:rPr>
      <w:tblPr/>
      <w:tcPr>
        <w:tcBorders>
          <w:top w:val="single" w:sz="4" w:space="0" w:color="DEDEDE" w:themeColor="accent6" w:themeTint="99"/>
        </w:tcBorders>
      </w:tcPr>
    </w:tblStylePr>
    <w:tblStylePr w:type="firstCol">
      <w:rPr>
        <w:b/>
        <w:bCs/>
      </w:rPr>
    </w:tblStylePr>
    <w:tblStylePr w:type="lastCol">
      <w:rPr>
        <w:b/>
        <w:bCs/>
      </w:rPr>
    </w:tblStylePr>
    <w:tblStylePr w:type="band1Vert">
      <w:tblPr/>
      <w:tcPr>
        <w:shd w:val="clear" w:color="auto" w:fill="F4F4F4" w:themeFill="accent6" w:themeFillTint="33"/>
      </w:tcPr>
    </w:tblStylePr>
    <w:tblStylePr w:type="band1Horz">
      <w:tblPr/>
      <w:tcPr>
        <w:shd w:val="clear" w:color="auto" w:fill="F4F4F4" w:themeFill="accent6" w:themeFillTint="33"/>
      </w:tcPr>
    </w:tblStylePr>
  </w:style>
  <w:style w:type="table" w:styleId="ListTable2">
    <w:name w:val="List Table 2"/>
    <w:basedOn w:val="TableNormal"/>
    <w:uiPriority w:val="47"/>
    <w:rsid w:val="00015FE5"/>
    <w:rPr>
      <w:lang w:val="en-US"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015FE5"/>
    <w:rPr>
      <w:lang w:val="en-US" w:eastAsia="en-US"/>
    </w:rPr>
    <w:tblPr>
      <w:tblStyleRowBandSize w:val="1"/>
      <w:tblStyleColBandSize w:val="1"/>
      <w:tblBorders>
        <w:top w:val="single" w:sz="4" w:space="0" w:color="7875EC" w:themeColor="accent1" w:themeTint="99"/>
        <w:bottom w:val="single" w:sz="4" w:space="0" w:color="7875EC" w:themeColor="accent1" w:themeTint="99"/>
        <w:insideH w:val="single" w:sz="4" w:space="0" w:color="7875EC"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2D1F8" w:themeFill="accent1" w:themeFillTint="33"/>
      </w:tcPr>
    </w:tblStylePr>
    <w:tblStylePr w:type="band1Horz">
      <w:tblPr/>
      <w:tcPr>
        <w:shd w:val="clear" w:color="auto" w:fill="D2D1F8" w:themeFill="accent1" w:themeFillTint="33"/>
      </w:tcPr>
    </w:tblStylePr>
  </w:style>
  <w:style w:type="table" w:styleId="ListTable2-Accent2">
    <w:name w:val="List Table 2 Accent 2"/>
    <w:basedOn w:val="TableNormal"/>
    <w:uiPriority w:val="47"/>
    <w:rsid w:val="00015FE5"/>
    <w:rPr>
      <w:lang w:val="en-US" w:eastAsia="en-US"/>
    </w:rPr>
    <w:tblPr>
      <w:tblStyleRowBandSize w:val="1"/>
      <w:tblStyleColBandSize w:val="1"/>
      <w:tblBorders>
        <w:top w:val="single" w:sz="4" w:space="0" w:color="6CB0FF" w:themeColor="accent2" w:themeTint="99"/>
        <w:bottom w:val="single" w:sz="4" w:space="0" w:color="6CB0FF" w:themeColor="accent2" w:themeTint="99"/>
        <w:insideH w:val="single" w:sz="4" w:space="0" w:color="6CB0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EE4FF" w:themeFill="accent2" w:themeFillTint="33"/>
      </w:tcPr>
    </w:tblStylePr>
    <w:tblStylePr w:type="band1Horz">
      <w:tblPr/>
      <w:tcPr>
        <w:shd w:val="clear" w:color="auto" w:fill="CEE4FF" w:themeFill="accent2" w:themeFillTint="33"/>
      </w:tcPr>
    </w:tblStylePr>
  </w:style>
  <w:style w:type="table" w:styleId="ListTable2-Accent3">
    <w:name w:val="List Table 2 Accent 3"/>
    <w:basedOn w:val="TableNormal"/>
    <w:uiPriority w:val="47"/>
    <w:rsid w:val="00015FE5"/>
    <w:rPr>
      <w:lang w:val="en-US" w:eastAsia="en-US"/>
    </w:rPr>
    <w:tblPr>
      <w:tblStyleRowBandSize w:val="1"/>
      <w:tblStyleColBandSize w:val="1"/>
      <w:tblBorders>
        <w:top w:val="single" w:sz="4" w:space="0" w:color="9CEFFF" w:themeColor="accent3" w:themeTint="99"/>
        <w:bottom w:val="single" w:sz="4" w:space="0" w:color="9CEFFF" w:themeColor="accent3" w:themeTint="99"/>
        <w:insideH w:val="single" w:sz="4" w:space="0" w:color="9CEF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F9FF" w:themeFill="accent3" w:themeFillTint="33"/>
      </w:tcPr>
    </w:tblStylePr>
    <w:tblStylePr w:type="band1Horz">
      <w:tblPr/>
      <w:tcPr>
        <w:shd w:val="clear" w:color="auto" w:fill="DEF9FF" w:themeFill="accent3" w:themeFillTint="33"/>
      </w:tcPr>
    </w:tblStylePr>
  </w:style>
  <w:style w:type="table" w:styleId="ListTable2-Accent4">
    <w:name w:val="List Table 2 Accent 4"/>
    <w:basedOn w:val="TableNormal"/>
    <w:uiPriority w:val="47"/>
    <w:rsid w:val="00015FE5"/>
    <w:rPr>
      <w:lang w:val="en-US" w:eastAsia="en-US"/>
    </w:rPr>
    <w:tblPr>
      <w:tblStyleRowBandSize w:val="1"/>
      <w:tblStyleColBandSize w:val="1"/>
      <w:tblBorders>
        <w:top w:val="single" w:sz="4" w:space="0" w:color="005AFF" w:themeColor="accent4" w:themeTint="99"/>
        <w:bottom w:val="single" w:sz="4" w:space="0" w:color="005AFF" w:themeColor="accent4" w:themeTint="99"/>
        <w:insideH w:val="single" w:sz="4" w:space="0" w:color="005A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AC8FF" w:themeFill="accent4" w:themeFillTint="33"/>
      </w:tcPr>
    </w:tblStylePr>
    <w:tblStylePr w:type="band1Horz">
      <w:tblPr/>
      <w:tcPr>
        <w:shd w:val="clear" w:color="auto" w:fill="AAC8FF" w:themeFill="accent4" w:themeFillTint="33"/>
      </w:tcPr>
    </w:tblStylePr>
  </w:style>
  <w:style w:type="table" w:styleId="ListTable2-Accent5">
    <w:name w:val="List Table 2 Accent 5"/>
    <w:basedOn w:val="TableNormal"/>
    <w:uiPriority w:val="47"/>
    <w:rsid w:val="00015FE5"/>
    <w:rPr>
      <w:lang w:val="en-US" w:eastAsia="en-US"/>
    </w:rPr>
    <w:tblPr>
      <w:tblStyleRowBandSize w:val="1"/>
      <w:tblStyleColBandSize w:val="1"/>
      <w:tblBorders>
        <w:top w:val="single" w:sz="4" w:space="0" w:color="C9C9C9" w:themeColor="accent5" w:themeTint="99"/>
        <w:bottom w:val="single" w:sz="4" w:space="0" w:color="C9C9C9" w:themeColor="accent5" w:themeTint="99"/>
        <w:insideH w:val="single" w:sz="4" w:space="0" w:color="C9C9C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5" w:themeFillTint="33"/>
      </w:tcPr>
    </w:tblStylePr>
    <w:tblStylePr w:type="band1Horz">
      <w:tblPr/>
      <w:tcPr>
        <w:shd w:val="clear" w:color="auto" w:fill="EDEDED" w:themeFill="accent5" w:themeFillTint="33"/>
      </w:tcPr>
    </w:tblStylePr>
  </w:style>
  <w:style w:type="table" w:styleId="ListTable2-Accent6">
    <w:name w:val="List Table 2 Accent 6"/>
    <w:basedOn w:val="TableNormal"/>
    <w:uiPriority w:val="47"/>
    <w:rsid w:val="00015FE5"/>
    <w:rPr>
      <w:lang w:val="en-US" w:eastAsia="en-US"/>
    </w:rPr>
    <w:tblPr>
      <w:tblStyleRowBandSize w:val="1"/>
      <w:tblStyleColBandSize w:val="1"/>
      <w:tblBorders>
        <w:top w:val="single" w:sz="4" w:space="0" w:color="DEDEDE" w:themeColor="accent6" w:themeTint="99"/>
        <w:bottom w:val="single" w:sz="4" w:space="0" w:color="DEDEDE" w:themeColor="accent6" w:themeTint="99"/>
        <w:insideH w:val="single" w:sz="4" w:space="0" w:color="DEDEDE"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F4F4" w:themeFill="accent6" w:themeFillTint="33"/>
      </w:tcPr>
    </w:tblStylePr>
    <w:tblStylePr w:type="band1Horz">
      <w:tblPr/>
      <w:tcPr>
        <w:shd w:val="clear" w:color="auto" w:fill="F4F4F4" w:themeFill="accent6" w:themeFillTint="33"/>
      </w:tcPr>
    </w:tblStylePr>
  </w:style>
  <w:style w:type="table" w:styleId="ListTable3">
    <w:name w:val="List Table 3"/>
    <w:basedOn w:val="TableNormal"/>
    <w:uiPriority w:val="48"/>
    <w:rsid w:val="00015FE5"/>
    <w:rPr>
      <w:lang w:val="en-US"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015FE5"/>
    <w:rPr>
      <w:lang w:val="en-US" w:eastAsia="en-US"/>
    </w:rPr>
    <w:tblPr>
      <w:tblStyleRowBandSize w:val="1"/>
      <w:tblStyleColBandSize w:val="1"/>
      <w:tblBorders>
        <w:top w:val="single" w:sz="4" w:space="0" w:color="231EDC" w:themeColor="accent1"/>
        <w:left w:val="single" w:sz="4" w:space="0" w:color="231EDC" w:themeColor="accent1"/>
        <w:bottom w:val="single" w:sz="4" w:space="0" w:color="231EDC" w:themeColor="accent1"/>
        <w:right w:val="single" w:sz="4" w:space="0" w:color="231EDC" w:themeColor="accent1"/>
      </w:tblBorders>
    </w:tblPr>
    <w:tblStylePr w:type="firstRow">
      <w:rPr>
        <w:b/>
        <w:bCs/>
        <w:color w:val="FFFFFF" w:themeColor="background1"/>
      </w:rPr>
      <w:tblPr/>
      <w:tcPr>
        <w:shd w:val="clear" w:color="auto" w:fill="231EDC" w:themeFill="accent1"/>
      </w:tcPr>
    </w:tblStylePr>
    <w:tblStylePr w:type="lastRow">
      <w:rPr>
        <w:b/>
        <w:bCs/>
      </w:rPr>
      <w:tblPr/>
      <w:tcPr>
        <w:tcBorders>
          <w:top w:val="double" w:sz="4" w:space="0" w:color="231ED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1EDC" w:themeColor="accent1"/>
          <w:right w:val="single" w:sz="4" w:space="0" w:color="231EDC" w:themeColor="accent1"/>
        </w:tcBorders>
      </w:tcPr>
    </w:tblStylePr>
    <w:tblStylePr w:type="band1Horz">
      <w:tblPr/>
      <w:tcPr>
        <w:tcBorders>
          <w:top w:val="single" w:sz="4" w:space="0" w:color="231EDC" w:themeColor="accent1"/>
          <w:bottom w:val="single" w:sz="4" w:space="0" w:color="231ED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1EDC" w:themeColor="accent1"/>
          <w:left w:val="nil"/>
        </w:tcBorders>
      </w:tcPr>
    </w:tblStylePr>
    <w:tblStylePr w:type="swCell">
      <w:tblPr/>
      <w:tcPr>
        <w:tcBorders>
          <w:top w:val="double" w:sz="4" w:space="0" w:color="231EDC" w:themeColor="accent1"/>
          <w:right w:val="nil"/>
        </w:tcBorders>
      </w:tcPr>
    </w:tblStylePr>
  </w:style>
  <w:style w:type="table" w:styleId="ListTable3-Accent2">
    <w:name w:val="List Table 3 Accent 2"/>
    <w:basedOn w:val="TableNormal"/>
    <w:uiPriority w:val="48"/>
    <w:rsid w:val="00015FE5"/>
    <w:rPr>
      <w:lang w:val="en-US" w:eastAsia="en-US"/>
    </w:rPr>
    <w:tblPr>
      <w:tblStyleRowBandSize w:val="1"/>
      <w:tblStyleColBandSize w:val="1"/>
      <w:tblBorders>
        <w:top w:val="single" w:sz="4" w:space="0" w:color="0A7DFF" w:themeColor="accent2"/>
        <w:left w:val="single" w:sz="4" w:space="0" w:color="0A7DFF" w:themeColor="accent2"/>
        <w:bottom w:val="single" w:sz="4" w:space="0" w:color="0A7DFF" w:themeColor="accent2"/>
        <w:right w:val="single" w:sz="4" w:space="0" w:color="0A7DFF" w:themeColor="accent2"/>
      </w:tblBorders>
    </w:tblPr>
    <w:tblStylePr w:type="firstRow">
      <w:rPr>
        <w:b/>
        <w:bCs/>
        <w:color w:val="FFFFFF" w:themeColor="background1"/>
      </w:rPr>
      <w:tblPr/>
      <w:tcPr>
        <w:shd w:val="clear" w:color="auto" w:fill="0A7DFF" w:themeFill="accent2"/>
      </w:tcPr>
    </w:tblStylePr>
    <w:tblStylePr w:type="lastRow">
      <w:rPr>
        <w:b/>
        <w:bCs/>
      </w:rPr>
      <w:tblPr/>
      <w:tcPr>
        <w:tcBorders>
          <w:top w:val="double" w:sz="4" w:space="0" w:color="0A7DF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A7DFF" w:themeColor="accent2"/>
          <w:right w:val="single" w:sz="4" w:space="0" w:color="0A7DFF" w:themeColor="accent2"/>
        </w:tcBorders>
      </w:tcPr>
    </w:tblStylePr>
    <w:tblStylePr w:type="band1Horz">
      <w:tblPr/>
      <w:tcPr>
        <w:tcBorders>
          <w:top w:val="single" w:sz="4" w:space="0" w:color="0A7DFF" w:themeColor="accent2"/>
          <w:bottom w:val="single" w:sz="4" w:space="0" w:color="0A7DF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A7DFF" w:themeColor="accent2"/>
          <w:left w:val="nil"/>
        </w:tcBorders>
      </w:tcPr>
    </w:tblStylePr>
    <w:tblStylePr w:type="swCell">
      <w:tblPr/>
      <w:tcPr>
        <w:tcBorders>
          <w:top w:val="double" w:sz="4" w:space="0" w:color="0A7DFF" w:themeColor="accent2"/>
          <w:right w:val="nil"/>
        </w:tcBorders>
      </w:tcPr>
    </w:tblStylePr>
  </w:style>
  <w:style w:type="table" w:styleId="ListTable3-Accent3">
    <w:name w:val="List Table 3 Accent 3"/>
    <w:basedOn w:val="TableNormal"/>
    <w:uiPriority w:val="48"/>
    <w:rsid w:val="00015FE5"/>
    <w:rPr>
      <w:lang w:val="en-US" w:eastAsia="en-US"/>
    </w:rPr>
    <w:tblPr>
      <w:tblStyleRowBandSize w:val="1"/>
      <w:tblStyleColBandSize w:val="1"/>
      <w:tblBorders>
        <w:top w:val="single" w:sz="4" w:space="0" w:color="5AE6FF" w:themeColor="accent3"/>
        <w:left w:val="single" w:sz="4" w:space="0" w:color="5AE6FF" w:themeColor="accent3"/>
        <w:bottom w:val="single" w:sz="4" w:space="0" w:color="5AE6FF" w:themeColor="accent3"/>
        <w:right w:val="single" w:sz="4" w:space="0" w:color="5AE6FF" w:themeColor="accent3"/>
      </w:tblBorders>
    </w:tblPr>
    <w:tblStylePr w:type="firstRow">
      <w:rPr>
        <w:b/>
        <w:bCs/>
        <w:color w:val="FFFFFF" w:themeColor="background1"/>
      </w:rPr>
      <w:tblPr/>
      <w:tcPr>
        <w:shd w:val="clear" w:color="auto" w:fill="5AE6FF" w:themeFill="accent3"/>
      </w:tcPr>
    </w:tblStylePr>
    <w:tblStylePr w:type="lastRow">
      <w:rPr>
        <w:b/>
        <w:bCs/>
      </w:rPr>
      <w:tblPr/>
      <w:tcPr>
        <w:tcBorders>
          <w:top w:val="double" w:sz="4" w:space="0" w:color="5AE6F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AE6FF" w:themeColor="accent3"/>
          <w:right w:val="single" w:sz="4" w:space="0" w:color="5AE6FF" w:themeColor="accent3"/>
        </w:tcBorders>
      </w:tcPr>
    </w:tblStylePr>
    <w:tblStylePr w:type="band1Horz">
      <w:tblPr/>
      <w:tcPr>
        <w:tcBorders>
          <w:top w:val="single" w:sz="4" w:space="0" w:color="5AE6FF" w:themeColor="accent3"/>
          <w:bottom w:val="single" w:sz="4" w:space="0" w:color="5AE6F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AE6FF" w:themeColor="accent3"/>
          <w:left w:val="nil"/>
        </w:tcBorders>
      </w:tcPr>
    </w:tblStylePr>
    <w:tblStylePr w:type="swCell">
      <w:tblPr/>
      <w:tcPr>
        <w:tcBorders>
          <w:top w:val="double" w:sz="4" w:space="0" w:color="5AE6FF" w:themeColor="accent3"/>
          <w:right w:val="nil"/>
        </w:tcBorders>
      </w:tcPr>
    </w:tblStylePr>
  </w:style>
  <w:style w:type="table" w:styleId="ListTable3-Accent4">
    <w:name w:val="List Table 3 Accent 4"/>
    <w:basedOn w:val="TableNormal"/>
    <w:uiPriority w:val="48"/>
    <w:rsid w:val="00015FE5"/>
    <w:rPr>
      <w:lang w:val="en-US" w:eastAsia="en-US"/>
    </w:rPr>
    <w:tblPr>
      <w:tblStyleRowBandSize w:val="1"/>
      <w:tblStyleColBandSize w:val="1"/>
      <w:tblBorders>
        <w:top w:val="single" w:sz="4" w:space="0" w:color="001E55" w:themeColor="accent4"/>
        <w:left w:val="single" w:sz="4" w:space="0" w:color="001E55" w:themeColor="accent4"/>
        <w:bottom w:val="single" w:sz="4" w:space="0" w:color="001E55" w:themeColor="accent4"/>
        <w:right w:val="single" w:sz="4" w:space="0" w:color="001E55" w:themeColor="accent4"/>
      </w:tblBorders>
    </w:tblPr>
    <w:tblStylePr w:type="firstRow">
      <w:rPr>
        <w:b/>
        <w:bCs/>
        <w:color w:val="FFFFFF" w:themeColor="background1"/>
      </w:rPr>
      <w:tblPr/>
      <w:tcPr>
        <w:shd w:val="clear" w:color="auto" w:fill="001E55" w:themeFill="accent4"/>
      </w:tcPr>
    </w:tblStylePr>
    <w:tblStylePr w:type="lastRow">
      <w:rPr>
        <w:b/>
        <w:bCs/>
      </w:rPr>
      <w:tblPr/>
      <w:tcPr>
        <w:tcBorders>
          <w:top w:val="double" w:sz="4" w:space="0" w:color="001E5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1E55" w:themeColor="accent4"/>
          <w:right w:val="single" w:sz="4" w:space="0" w:color="001E55" w:themeColor="accent4"/>
        </w:tcBorders>
      </w:tcPr>
    </w:tblStylePr>
    <w:tblStylePr w:type="band1Horz">
      <w:tblPr/>
      <w:tcPr>
        <w:tcBorders>
          <w:top w:val="single" w:sz="4" w:space="0" w:color="001E55" w:themeColor="accent4"/>
          <w:bottom w:val="single" w:sz="4" w:space="0" w:color="001E5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1E55" w:themeColor="accent4"/>
          <w:left w:val="nil"/>
        </w:tcBorders>
      </w:tcPr>
    </w:tblStylePr>
    <w:tblStylePr w:type="swCell">
      <w:tblPr/>
      <w:tcPr>
        <w:tcBorders>
          <w:top w:val="double" w:sz="4" w:space="0" w:color="001E55" w:themeColor="accent4"/>
          <w:right w:val="nil"/>
        </w:tcBorders>
      </w:tcPr>
    </w:tblStylePr>
  </w:style>
  <w:style w:type="table" w:styleId="ListTable3-Accent5">
    <w:name w:val="List Table 3 Accent 5"/>
    <w:basedOn w:val="TableNormal"/>
    <w:uiPriority w:val="48"/>
    <w:rsid w:val="00015FE5"/>
    <w:rPr>
      <w:lang w:val="en-US" w:eastAsia="en-US"/>
    </w:rPr>
    <w:tblPr>
      <w:tblStyleRowBandSize w:val="1"/>
      <w:tblStyleColBandSize w:val="1"/>
      <w:tblBorders>
        <w:top w:val="single" w:sz="4" w:space="0" w:color="A5A5A5" w:themeColor="accent5"/>
        <w:left w:val="single" w:sz="4" w:space="0" w:color="A5A5A5" w:themeColor="accent5"/>
        <w:bottom w:val="single" w:sz="4" w:space="0" w:color="A5A5A5" w:themeColor="accent5"/>
        <w:right w:val="single" w:sz="4" w:space="0" w:color="A5A5A5" w:themeColor="accent5"/>
      </w:tblBorders>
    </w:tblPr>
    <w:tblStylePr w:type="firstRow">
      <w:rPr>
        <w:b/>
        <w:bCs/>
        <w:color w:val="FFFFFF" w:themeColor="background1"/>
      </w:rPr>
      <w:tblPr/>
      <w:tcPr>
        <w:shd w:val="clear" w:color="auto" w:fill="A5A5A5" w:themeFill="accent5"/>
      </w:tcPr>
    </w:tblStylePr>
    <w:tblStylePr w:type="lastRow">
      <w:rPr>
        <w:b/>
        <w:bCs/>
      </w:rPr>
      <w:tblPr/>
      <w:tcPr>
        <w:tcBorders>
          <w:top w:val="double" w:sz="4" w:space="0" w:color="A5A5A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5"/>
          <w:right w:val="single" w:sz="4" w:space="0" w:color="A5A5A5" w:themeColor="accent5"/>
        </w:tcBorders>
      </w:tcPr>
    </w:tblStylePr>
    <w:tblStylePr w:type="band1Horz">
      <w:tblPr/>
      <w:tcPr>
        <w:tcBorders>
          <w:top w:val="single" w:sz="4" w:space="0" w:color="A5A5A5" w:themeColor="accent5"/>
          <w:bottom w:val="single" w:sz="4" w:space="0" w:color="A5A5A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5"/>
          <w:left w:val="nil"/>
        </w:tcBorders>
      </w:tcPr>
    </w:tblStylePr>
    <w:tblStylePr w:type="swCell">
      <w:tblPr/>
      <w:tcPr>
        <w:tcBorders>
          <w:top w:val="double" w:sz="4" w:space="0" w:color="A5A5A5" w:themeColor="accent5"/>
          <w:right w:val="nil"/>
        </w:tcBorders>
      </w:tcPr>
    </w:tblStylePr>
  </w:style>
  <w:style w:type="table" w:styleId="ListTable3-Accent6">
    <w:name w:val="List Table 3 Accent 6"/>
    <w:basedOn w:val="TableNormal"/>
    <w:uiPriority w:val="48"/>
    <w:rsid w:val="00015FE5"/>
    <w:rPr>
      <w:lang w:val="en-US" w:eastAsia="en-US"/>
    </w:rPr>
    <w:tblPr>
      <w:tblStyleRowBandSize w:val="1"/>
      <w:tblStyleColBandSize w:val="1"/>
      <w:tblBorders>
        <w:top w:val="single" w:sz="4" w:space="0" w:color="C8C8C8" w:themeColor="accent6"/>
        <w:left w:val="single" w:sz="4" w:space="0" w:color="C8C8C8" w:themeColor="accent6"/>
        <w:bottom w:val="single" w:sz="4" w:space="0" w:color="C8C8C8" w:themeColor="accent6"/>
        <w:right w:val="single" w:sz="4" w:space="0" w:color="C8C8C8" w:themeColor="accent6"/>
      </w:tblBorders>
    </w:tblPr>
    <w:tblStylePr w:type="firstRow">
      <w:rPr>
        <w:b/>
        <w:bCs/>
        <w:color w:val="FFFFFF" w:themeColor="background1"/>
      </w:rPr>
      <w:tblPr/>
      <w:tcPr>
        <w:shd w:val="clear" w:color="auto" w:fill="C8C8C8" w:themeFill="accent6"/>
      </w:tcPr>
    </w:tblStylePr>
    <w:tblStylePr w:type="lastRow">
      <w:rPr>
        <w:b/>
        <w:bCs/>
      </w:rPr>
      <w:tblPr/>
      <w:tcPr>
        <w:tcBorders>
          <w:top w:val="double" w:sz="4" w:space="0" w:color="C8C8C8"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8C8C8" w:themeColor="accent6"/>
          <w:right w:val="single" w:sz="4" w:space="0" w:color="C8C8C8" w:themeColor="accent6"/>
        </w:tcBorders>
      </w:tcPr>
    </w:tblStylePr>
    <w:tblStylePr w:type="band1Horz">
      <w:tblPr/>
      <w:tcPr>
        <w:tcBorders>
          <w:top w:val="single" w:sz="4" w:space="0" w:color="C8C8C8" w:themeColor="accent6"/>
          <w:bottom w:val="single" w:sz="4" w:space="0" w:color="C8C8C8"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8C8C8" w:themeColor="accent6"/>
          <w:left w:val="nil"/>
        </w:tcBorders>
      </w:tcPr>
    </w:tblStylePr>
    <w:tblStylePr w:type="swCell">
      <w:tblPr/>
      <w:tcPr>
        <w:tcBorders>
          <w:top w:val="double" w:sz="4" w:space="0" w:color="C8C8C8" w:themeColor="accent6"/>
          <w:right w:val="nil"/>
        </w:tcBorders>
      </w:tcPr>
    </w:tblStylePr>
  </w:style>
  <w:style w:type="table" w:styleId="ListTable4">
    <w:name w:val="List Table 4"/>
    <w:basedOn w:val="TableNormal"/>
    <w:uiPriority w:val="49"/>
    <w:rsid w:val="00015FE5"/>
    <w:rPr>
      <w:lang w:val="en-US"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015FE5"/>
    <w:rPr>
      <w:lang w:val="en-US" w:eastAsia="en-US"/>
    </w:rPr>
    <w:tblPr>
      <w:tblStyleRowBandSize w:val="1"/>
      <w:tblStyleColBandSize w:val="1"/>
      <w:tblBorders>
        <w:top w:val="single" w:sz="4" w:space="0" w:color="7875EC" w:themeColor="accent1" w:themeTint="99"/>
        <w:left w:val="single" w:sz="4" w:space="0" w:color="7875EC" w:themeColor="accent1" w:themeTint="99"/>
        <w:bottom w:val="single" w:sz="4" w:space="0" w:color="7875EC" w:themeColor="accent1" w:themeTint="99"/>
        <w:right w:val="single" w:sz="4" w:space="0" w:color="7875EC" w:themeColor="accent1" w:themeTint="99"/>
        <w:insideH w:val="single" w:sz="4" w:space="0" w:color="7875EC" w:themeColor="accent1" w:themeTint="99"/>
      </w:tblBorders>
    </w:tblPr>
    <w:tblStylePr w:type="firstRow">
      <w:rPr>
        <w:b/>
        <w:bCs/>
        <w:color w:val="FFFFFF" w:themeColor="background1"/>
      </w:rPr>
      <w:tblPr/>
      <w:tcPr>
        <w:tcBorders>
          <w:top w:val="single" w:sz="4" w:space="0" w:color="231EDC" w:themeColor="accent1"/>
          <w:left w:val="single" w:sz="4" w:space="0" w:color="231EDC" w:themeColor="accent1"/>
          <w:bottom w:val="single" w:sz="4" w:space="0" w:color="231EDC" w:themeColor="accent1"/>
          <w:right w:val="single" w:sz="4" w:space="0" w:color="231EDC" w:themeColor="accent1"/>
          <w:insideH w:val="nil"/>
        </w:tcBorders>
        <w:shd w:val="clear" w:color="auto" w:fill="231EDC" w:themeFill="accent1"/>
      </w:tcPr>
    </w:tblStylePr>
    <w:tblStylePr w:type="lastRow">
      <w:rPr>
        <w:b/>
        <w:bCs/>
      </w:rPr>
      <w:tblPr/>
      <w:tcPr>
        <w:tcBorders>
          <w:top w:val="double" w:sz="4" w:space="0" w:color="7875EC" w:themeColor="accent1" w:themeTint="99"/>
        </w:tcBorders>
      </w:tcPr>
    </w:tblStylePr>
    <w:tblStylePr w:type="firstCol">
      <w:rPr>
        <w:b/>
        <w:bCs/>
      </w:rPr>
    </w:tblStylePr>
    <w:tblStylePr w:type="lastCol">
      <w:rPr>
        <w:b/>
        <w:bCs/>
      </w:rPr>
    </w:tblStylePr>
    <w:tblStylePr w:type="band1Vert">
      <w:tblPr/>
      <w:tcPr>
        <w:shd w:val="clear" w:color="auto" w:fill="D2D1F8" w:themeFill="accent1" w:themeFillTint="33"/>
      </w:tcPr>
    </w:tblStylePr>
    <w:tblStylePr w:type="band1Horz">
      <w:tblPr/>
      <w:tcPr>
        <w:shd w:val="clear" w:color="auto" w:fill="D2D1F8" w:themeFill="accent1" w:themeFillTint="33"/>
      </w:tcPr>
    </w:tblStylePr>
  </w:style>
  <w:style w:type="table" w:styleId="ListTable4-Accent2">
    <w:name w:val="List Table 4 Accent 2"/>
    <w:basedOn w:val="TableNormal"/>
    <w:uiPriority w:val="49"/>
    <w:rsid w:val="00015FE5"/>
    <w:rPr>
      <w:lang w:val="en-US" w:eastAsia="en-US"/>
    </w:rPr>
    <w:tblPr>
      <w:tblStyleRowBandSize w:val="1"/>
      <w:tblStyleColBandSize w:val="1"/>
      <w:tblBorders>
        <w:top w:val="single" w:sz="4" w:space="0" w:color="6CB0FF" w:themeColor="accent2" w:themeTint="99"/>
        <w:left w:val="single" w:sz="4" w:space="0" w:color="6CB0FF" w:themeColor="accent2" w:themeTint="99"/>
        <w:bottom w:val="single" w:sz="4" w:space="0" w:color="6CB0FF" w:themeColor="accent2" w:themeTint="99"/>
        <w:right w:val="single" w:sz="4" w:space="0" w:color="6CB0FF" w:themeColor="accent2" w:themeTint="99"/>
        <w:insideH w:val="single" w:sz="4" w:space="0" w:color="6CB0FF" w:themeColor="accent2" w:themeTint="99"/>
      </w:tblBorders>
    </w:tblPr>
    <w:tblStylePr w:type="firstRow">
      <w:rPr>
        <w:b/>
        <w:bCs/>
        <w:color w:val="FFFFFF" w:themeColor="background1"/>
      </w:rPr>
      <w:tblPr/>
      <w:tcPr>
        <w:tcBorders>
          <w:top w:val="single" w:sz="4" w:space="0" w:color="0A7DFF" w:themeColor="accent2"/>
          <w:left w:val="single" w:sz="4" w:space="0" w:color="0A7DFF" w:themeColor="accent2"/>
          <w:bottom w:val="single" w:sz="4" w:space="0" w:color="0A7DFF" w:themeColor="accent2"/>
          <w:right w:val="single" w:sz="4" w:space="0" w:color="0A7DFF" w:themeColor="accent2"/>
          <w:insideH w:val="nil"/>
        </w:tcBorders>
        <w:shd w:val="clear" w:color="auto" w:fill="0A7DFF" w:themeFill="accent2"/>
      </w:tcPr>
    </w:tblStylePr>
    <w:tblStylePr w:type="lastRow">
      <w:rPr>
        <w:b/>
        <w:bCs/>
      </w:rPr>
      <w:tblPr/>
      <w:tcPr>
        <w:tcBorders>
          <w:top w:val="double" w:sz="4" w:space="0" w:color="6CB0FF" w:themeColor="accent2" w:themeTint="99"/>
        </w:tcBorders>
      </w:tcPr>
    </w:tblStylePr>
    <w:tblStylePr w:type="firstCol">
      <w:rPr>
        <w:b/>
        <w:bCs/>
      </w:rPr>
    </w:tblStylePr>
    <w:tblStylePr w:type="lastCol">
      <w:rPr>
        <w:b/>
        <w:bCs/>
      </w:rPr>
    </w:tblStylePr>
    <w:tblStylePr w:type="band1Vert">
      <w:tblPr/>
      <w:tcPr>
        <w:shd w:val="clear" w:color="auto" w:fill="CEE4FF" w:themeFill="accent2" w:themeFillTint="33"/>
      </w:tcPr>
    </w:tblStylePr>
    <w:tblStylePr w:type="band1Horz">
      <w:tblPr/>
      <w:tcPr>
        <w:shd w:val="clear" w:color="auto" w:fill="CEE4FF" w:themeFill="accent2" w:themeFillTint="33"/>
      </w:tcPr>
    </w:tblStylePr>
  </w:style>
  <w:style w:type="table" w:styleId="ListTable4-Accent3">
    <w:name w:val="List Table 4 Accent 3"/>
    <w:basedOn w:val="TableNormal"/>
    <w:uiPriority w:val="49"/>
    <w:rsid w:val="00015FE5"/>
    <w:rPr>
      <w:lang w:val="en-US" w:eastAsia="en-US"/>
    </w:rPr>
    <w:tblPr>
      <w:tblStyleRowBandSize w:val="1"/>
      <w:tblStyleColBandSize w:val="1"/>
      <w:tblBorders>
        <w:top w:val="single" w:sz="4" w:space="0" w:color="9CEFFF" w:themeColor="accent3" w:themeTint="99"/>
        <w:left w:val="single" w:sz="4" w:space="0" w:color="9CEFFF" w:themeColor="accent3" w:themeTint="99"/>
        <w:bottom w:val="single" w:sz="4" w:space="0" w:color="9CEFFF" w:themeColor="accent3" w:themeTint="99"/>
        <w:right w:val="single" w:sz="4" w:space="0" w:color="9CEFFF" w:themeColor="accent3" w:themeTint="99"/>
        <w:insideH w:val="single" w:sz="4" w:space="0" w:color="9CEFFF" w:themeColor="accent3" w:themeTint="99"/>
      </w:tblBorders>
    </w:tblPr>
    <w:tblStylePr w:type="firstRow">
      <w:rPr>
        <w:b/>
        <w:bCs/>
        <w:color w:val="FFFFFF" w:themeColor="background1"/>
      </w:rPr>
      <w:tblPr/>
      <w:tcPr>
        <w:tcBorders>
          <w:top w:val="single" w:sz="4" w:space="0" w:color="5AE6FF" w:themeColor="accent3"/>
          <w:left w:val="single" w:sz="4" w:space="0" w:color="5AE6FF" w:themeColor="accent3"/>
          <w:bottom w:val="single" w:sz="4" w:space="0" w:color="5AE6FF" w:themeColor="accent3"/>
          <w:right w:val="single" w:sz="4" w:space="0" w:color="5AE6FF" w:themeColor="accent3"/>
          <w:insideH w:val="nil"/>
        </w:tcBorders>
        <w:shd w:val="clear" w:color="auto" w:fill="5AE6FF" w:themeFill="accent3"/>
      </w:tcPr>
    </w:tblStylePr>
    <w:tblStylePr w:type="lastRow">
      <w:rPr>
        <w:b/>
        <w:bCs/>
      </w:rPr>
      <w:tblPr/>
      <w:tcPr>
        <w:tcBorders>
          <w:top w:val="double" w:sz="4" w:space="0" w:color="9CEFFF" w:themeColor="accent3" w:themeTint="99"/>
        </w:tcBorders>
      </w:tcPr>
    </w:tblStylePr>
    <w:tblStylePr w:type="firstCol">
      <w:rPr>
        <w:b/>
        <w:bCs/>
      </w:rPr>
    </w:tblStylePr>
    <w:tblStylePr w:type="lastCol">
      <w:rPr>
        <w:b/>
        <w:bCs/>
      </w:rPr>
    </w:tblStylePr>
    <w:tblStylePr w:type="band1Vert">
      <w:tblPr/>
      <w:tcPr>
        <w:shd w:val="clear" w:color="auto" w:fill="DEF9FF" w:themeFill="accent3" w:themeFillTint="33"/>
      </w:tcPr>
    </w:tblStylePr>
    <w:tblStylePr w:type="band1Horz">
      <w:tblPr/>
      <w:tcPr>
        <w:shd w:val="clear" w:color="auto" w:fill="DEF9FF" w:themeFill="accent3" w:themeFillTint="33"/>
      </w:tcPr>
    </w:tblStylePr>
  </w:style>
  <w:style w:type="table" w:styleId="ListTable4-Accent4">
    <w:name w:val="List Table 4 Accent 4"/>
    <w:basedOn w:val="TableNormal"/>
    <w:uiPriority w:val="49"/>
    <w:rsid w:val="00015FE5"/>
    <w:rPr>
      <w:lang w:val="en-US" w:eastAsia="en-US"/>
    </w:rPr>
    <w:tblPr>
      <w:tblStyleRowBandSize w:val="1"/>
      <w:tblStyleColBandSize w:val="1"/>
      <w:tblBorders>
        <w:top w:val="single" w:sz="4" w:space="0" w:color="005AFF" w:themeColor="accent4" w:themeTint="99"/>
        <w:left w:val="single" w:sz="4" w:space="0" w:color="005AFF" w:themeColor="accent4" w:themeTint="99"/>
        <w:bottom w:val="single" w:sz="4" w:space="0" w:color="005AFF" w:themeColor="accent4" w:themeTint="99"/>
        <w:right w:val="single" w:sz="4" w:space="0" w:color="005AFF" w:themeColor="accent4" w:themeTint="99"/>
        <w:insideH w:val="single" w:sz="4" w:space="0" w:color="005AFF" w:themeColor="accent4" w:themeTint="99"/>
      </w:tblBorders>
    </w:tblPr>
    <w:tblStylePr w:type="firstRow">
      <w:rPr>
        <w:b/>
        <w:bCs/>
        <w:color w:val="FFFFFF" w:themeColor="background1"/>
      </w:rPr>
      <w:tblPr/>
      <w:tcPr>
        <w:tcBorders>
          <w:top w:val="single" w:sz="4" w:space="0" w:color="001E55" w:themeColor="accent4"/>
          <w:left w:val="single" w:sz="4" w:space="0" w:color="001E55" w:themeColor="accent4"/>
          <w:bottom w:val="single" w:sz="4" w:space="0" w:color="001E55" w:themeColor="accent4"/>
          <w:right w:val="single" w:sz="4" w:space="0" w:color="001E55" w:themeColor="accent4"/>
          <w:insideH w:val="nil"/>
        </w:tcBorders>
        <w:shd w:val="clear" w:color="auto" w:fill="001E55" w:themeFill="accent4"/>
      </w:tcPr>
    </w:tblStylePr>
    <w:tblStylePr w:type="lastRow">
      <w:rPr>
        <w:b/>
        <w:bCs/>
      </w:rPr>
      <w:tblPr/>
      <w:tcPr>
        <w:tcBorders>
          <w:top w:val="double" w:sz="4" w:space="0" w:color="005AFF" w:themeColor="accent4" w:themeTint="99"/>
        </w:tcBorders>
      </w:tcPr>
    </w:tblStylePr>
    <w:tblStylePr w:type="firstCol">
      <w:rPr>
        <w:b/>
        <w:bCs/>
      </w:rPr>
    </w:tblStylePr>
    <w:tblStylePr w:type="lastCol">
      <w:rPr>
        <w:b/>
        <w:bCs/>
      </w:rPr>
    </w:tblStylePr>
    <w:tblStylePr w:type="band1Vert">
      <w:tblPr/>
      <w:tcPr>
        <w:shd w:val="clear" w:color="auto" w:fill="AAC8FF" w:themeFill="accent4" w:themeFillTint="33"/>
      </w:tcPr>
    </w:tblStylePr>
    <w:tblStylePr w:type="band1Horz">
      <w:tblPr/>
      <w:tcPr>
        <w:shd w:val="clear" w:color="auto" w:fill="AAC8FF" w:themeFill="accent4" w:themeFillTint="33"/>
      </w:tcPr>
    </w:tblStylePr>
  </w:style>
  <w:style w:type="table" w:styleId="ListTable4-Accent5">
    <w:name w:val="List Table 4 Accent 5"/>
    <w:basedOn w:val="TableNormal"/>
    <w:uiPriority w:val="49"/>
    <w:rsid w:val="00015FE5"/>
    <w:rPr>
      <w:lang w:val="en-US" w:eastAsia="en-US"/>
    </w:rPr>
    <w:tblPr>
      <w:tblStyleRowBandSize w:val="1"/>
      <w:tblStyleColBandSize w:val="1"/>
      <w:tblBorders>
        <w:top w:val="single" w:sz="4" w:space="0" w:color="C9C9C9" w:themeColor="accent5" w:themeTint="99"/>
        <w:left w:val="single" w:sz="4" w:space="0" w:color="C9C9C9" w:themeColor="accent5" w:themeTint="99"/>
        <w:bottom w:val="single" w:sz="4" w:space="0" w:color="C9C9C9" w:themeColor="accent5" w:themeTint="99"/>
        <w:right w:val="single" w:sz="4" w:space="0" w:color="C9C9C9" w:themeColor="accent5" w:themeTint="99"/>
        <w:insideH w:val="single" w:sz="4" w:space="0" w:color="C9C9C9" w:themeColor="accent5" w:themeTint="99"/>
      </w:tblBorders>
    </w:tblPr>
    <w:tblStylePr w:type="firstRow">
      <w:rPr>
        <w:b/>
        <w:bCs/>
        <w:color w:val="FFFFFF" w:themeColor="background1"/>
      </w:rPr>
      <w:tblPr/>
      <w:tcPr>
        <w:tcBorders>
          <w:top w:val="single" w:sz="4" w:space="0" w:color="A5A5A5" w:themeColor="accent5"/>
          <w:left w:val="single" w:sz="4" w:space="0" w:color="A5A5A5" w:themeColor="accent5"/>
          <w:bottom w:val="single" w:sz="4" w:space="0" w:color="A5A5A5" w:themeColor="accent5"/>
          <w:right w:val="single" w:sz="4" w:space="0" w:color="A5A5A5" w:themeColor="accent5"/>
          <w:insideH w:val="nil"/>
        </w:tcBorders>
        <w:shd w:val="clear" w:color="auto" w:fill="A5A5A5" w:themeFill="accent5"/>
      </w:tcPr>
    </w:tblStylePr>
    <w:tblStylePr w:type="lastRow">
      <w:rPr>
        <w:b/>
        <w:bCs/>
      </w:rPr>
      <w:tblPr/>
      <w:tcPr>
        <w:tcBorders>
          <w:top w:val="double" w:sz="4" w:space="0" w:color="C9C9C9" w:themeColor="accent5" w:themeTint="99"/>
        </w:tcBorders>
      </w:tcPr>
    </w:tblStylePr>
    <w:tblStylePr w:type="firstCol">
      <w:rPr>
        <w:b/>
        <w:bCs/>
      </w:rPr>
    </w:tblStylePr>
    <w:tblStylePr w:type="lastCol">
      <w:rPr>
        <w:b/>
        <w:bCs/>
      </w:rPr>
    </w:tblStylePr>
    <w:tblStylePr w:type="band1Vert">
      <w:tblPr/>
      <w:tcPr>
        <w:shd w:val="clear" w:color="auto" w:fill="EDEDED" w:themeFill="accent5" w:themeFillTint="33"/>
      </w:tcPr>
    </w:tblStylePr>
    <w:tblStylePr w:type="band1Horz">
      <w:tblPr/>
      <w:tcPr>
        <w:shd w:val="clear" w:color="auto" w:fill="EDEDED" w:themeFill="accent5" w:themeFillTint="33"/>
      </w:tcPr>
    </w:tblStylePr>
  </w:style>
  <w:style w:type="table" w:styleId="ListTable4-Accent6">
    <w:name w:val="List Table 4 Accent 6"/>
    <w:basedOn w:val="TableNormal"/>
    <w:uiPriority w:val="49"/>
    <w:rsid w:val="00015FE5"/>
    <w:rPr>
      <w:lang w:val="en-US" w:eastAsia="en-US"/>
    </w:rPr>
    <w:tblPr>
      <w:tblStyleRowBandSize w:val="1"/>
      <w:tblStyleColBandSize w:val="1"/>
      <w:tblBorders>
        <w:top w:val="single" w:sz="4" w:space="0" w:color="DEDEDE" w:themeColor="accent6" w:themeTint="99"/>
        <w:left w:val="single" w:sz="4" w:space="0" w:color="DEDEDE" w:themeColor="accent6" w:themeTint="99"/>
        <w:bottom w:val="single" w:sz="4" w:space="0" w:color="DEDEDE" w:themeColor="accent6" w:themeTint="99"/>
        <w:right w:val="single" w:sz="4" w:space="0" w:color="DEDEDE" w:themeColor="accent6" w:themeTint="99"/>
        <w:insideH w:val="single" w:sz="4" w:space="0" w:color="DEDEDE" w:themeColor="accent6" w:themeTint="99"/>
      </w:tblBorders>
    </w:tblPr>
    <w:tblStylePr w:type="firstRow">
      <w:rPr>
        <w:b/>
        <w:bCs/>
        <w:color w:val="FFFFFF" w:themeColor="background1"/>
      </w:rPr>
      <w:tblPr/>
      <w:tcPr>
        <w:tcBorders>
          <w:top w:val="single" w:sz="4" w:space="0" w:color="C8C8C8" w:themeColor="accent6"/>
          <w:left w:val="single" w:sz="4" w:space="0" w:color="C8C8C8" w:themeColor="accent6"/>
          <w:bottom w:val="single" w:sz="4" w:space="0" w:color="C8C8C8" w:themeColor="accent6"/>
          <w:right w:val="single" w:sz="4" w:space="0" w:color="C8C8C8" w:themeColor="accent6"/>
          <w:insideH w:val="nil"/>
        </w:tcBorders>
        <w:shd w:val="clear" w:color="auto" w:fill="C8C8C8" w:themeFill="accent6"/>
      </w:tcPr>
    </w:tblStylePr>
    <w:tblStylePr w:type="lastRow">
      <w:rPr>
        <w:b/>
        <w:bCs/>
      </w:rPr>
      <w:tblPr/>
      <w:tcPr>
        <w:tcBorders>
          <w:top w:val="double" w:sz="4" w:space="0" w:color="DEDEDE" w:themeColor="accent6" w:themeTint="99"/>
        </w:tcBorders>
      </w:tcPr>
    </w:tblStylePr>
    <w:tblStylePr w:type="firstCol">
      <w:rPr>
        <w:b/>
        <w:bCs/>
      </w:rPr>
    </w:tblStylePr>
    <w:tblStylePr w:type="lastCol">
      <w:rPr>
        <w:b/>
        <w:bCs/>
      </w:rPr>
    </w:tblStylePr>
    <w:tblStylePr w:type="band1Vert">
      <w:tblPr/>
      <w:tcPr>
        <w:shd w:val="clear" w:color="auto" w:fill="F4F4F4" w:themeFill="accent6" w:themeFillTint="33"/>
      </w:tcPr>
    </w:tblStylePr>
    <w:tblStylePr w:type="band1Horz">
      <w:tblPr/>
      <w:tcPr>
        <w:shd w:val="clear" w:color="auto" w:fill="F4F4F4" w:themeFill="accent6" w:themeFillTint="33"/>
      </w:tcPr>
    </w:tblStylePr>
  </w:style>
  <w:style w:type="table" w:styleId="ListTable5Dark">
    <w:name w:val="List Table 5 Dark"/>
    <w:basedOn w:val="TableNormal"/>
    <w:uiPriority w:val="50"/>
    <w:rsid w:val="00015FE5"/>
    <w:rPr>
      <w:color w:val="FFFFFF" w:themeColor="background1"/>
      <w:lang w:val="en-US"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015FE5"/>
    <w:rPr>
      <w:color w:val="FFFFFF" w:themeColor="background1"/>
      <w:lang w:val="en-US" w:eastAsia="en-US"/>
    </w:rPr>
    <w:tblPr>
      <w:tblStyleRowBandSize w:val="1"/>
      <w:tblStyleColBandSize w:val="1"/>
      <w:tblBorders>
        <w:top w:val="single" w:sz="24" w:space="0" w:color="231EDC" w:themeColor="accent1"/>
        <w:left w:val="single" w:sz="24" w:space="0" w:color="231EDC" w:themeColor="accent1"/>
        <w:bottom w:val="single" w:sz="24" w:space="0" w:color="231EDC" w:themeColor="accent1"/>
        <w:right w:val="single" w:sz="24" w:space="0" w:color="231EDC" w:themeColor="accent1"/>
      </w:tblBorders>
    </w:tblPr>
    <w:tcPr>
      <w:shd w:val="clear" w:color="auto" w:fill="231ED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015FE5"/>
    <w:rPr>
      <w:color w:val="FFFFFF" w:themeColor="background1"/>
      <w:lang w:val="en-US" w:eastAsia="en-US"/>
    </w:rPr>
    <w:tblPr>
      <w:tblStyleRowBandSize w:val="1"/>
      <w:tblStyleColBandSize w:val="1"/>
      <w:tblBorders>
        <w:top w:val="single" w:sz="24" w:space="0" w:color="0A7DFF" w:themeColor="accent2"/>
        <w:left w:val="single" w:sz="24" w:space="0" w:color="0A7DFF" w:themeColor="accent2"/>
        <w:bottom w:val="single" w:sz="24" w:space="0" w:color="0A7DFF" w:themeColor="accent2"/>
        <w:right w:val="single" w:sz="24" w:space="0" w:color="0A7DFF" w:themeColor="accent2"/>
      </w:tblBorders>
    </w:tblPr>
    <w:tcPr>
      <w:shd w:val="clear" w:color="auto" w:fill="0A7DF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015FE5"/>
    <w:rPr>
      <w:color w:val="FFFFFF" w:themeColor="background1"/>
      <w:lang w:val="en-US" w:eastAsia="en-US"/>
    </w:rPr>
    <w:tblPr>
      <w:tblStyleRowBandSize w:val="1"/>
      <w:tblStyleColBandSize w:val="1"/>
      <w:tblBorders>
        <w:top w:val="single" w:sz="24" w:space="0" w:color="5AE6FF" w:themeColor="accent3"/>
        <w:left w:val="single" w:sz="24" w:space="0" w:color="5AE6FF" w:themeColor="accent3"/>
        <w:bottom w:val="single" w:sz="24" w:space="0" w:color="5AE6FF" w:themeColor="accent3"/>
        <w:right w:val="single" w:sz="24" w:space="0" w:color="5AE6FF" w:themeColor="accent3"/>
      </w:tblBorders>
    </w:tblPr>
    <w:tcPr>
      <w:shd w:val="clear" w:color="auto" w:fill="5AE6FF"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015FE5"/>
    <w:rPr>
      <w:color w:val="FFFFFF" w:themeColor="background1"/>
      <w:lang w:val="en-US" w:eastAsia="en-US"/>
    </w:rPr>
    <w:tblPr>
      <w:tblStyleRowBandSize w:val="1"/>
      <w:tblStyleColBandSize w:val="1"/>
      <w:tblBorders>
        <w:top w:val="single" w:sz="24" w:space="0" w:color="001E55" w:themeColor="accent4"/>
        <w:left w:val="single" w:sz="24" w:space="0" w:color="001E55" w:themeColor="accent4"/>
        <w:bottom w:val="single" w:sz="24" w:space="0" w:color="001E55" w:themeColor="accent4"/>
        <w:right w:val="single" w:sz="24" w:space="0" w:color="001E55" w:themeColor="accent4"/>
      </w:tblBorders>
    </w:tblPr>
    <w:tcPr>
      <w:shd w:val="clear" w:color="auto" w:fill="001E5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015FE5"/>
    <w:rPr>
      <w:color w:val="FFFFFF" w:themeColor="background1"/>
      <w:lang w:val="en-US" w:eastAsia="en-US"/>
    </w:rPr>
    <w:tblPr>
      <w:tblStyleRowBandSize w:val="1"/>
      <w:tblStyleColBandSize w:val="1"/>
      <w:tblBorders>
        <w:top w:val="single" w:sz="24" w:space="0" w:color="A5A5A5" w:themeColor="accent5"/>
        <w:left w:val="single" w:sz="24" w:space="0" w:color="A5A5A5" w:themeColor="accent5"/>
        <w:bottom w:val="single" w:sz="24" w:space="0" w:color="A5A5A5" w:themeColor="accent5"/>
        <w:right w:val="single" w:sz="24" w:space="0" w:color="A5A5A5" w:themeColor="accent5"/>
      </w:tblBorders>
    </w:tblPr>
    <w:tcPr>
      <w:shd w:val="clear" w:color="auto" w:fill="A5A5A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015FE5"/>
    <w:rPr>
      <w:color w:val="FFFFFF" w:themeColor="background1"/>
      <w:lang w:val="en-US" w:eastAsia="en-US"/>
    </w:rPr>
    <w:tblPr>
      <w:tblStyleRowBandSize w:val="1"/>
      <w:tblStyleColBandSize w:val="1"/>
      <w:tblBorders>
        <w:top w:val="single" w:sz="24" w:space="0" w:color="C8C8C8" w:themeColor="accent6"/>
        <w:left w:val="single" w:sz="24" w:space="0" w:color="C8C8C8" w:themeColor="accent6"/>
        <w:bottom w:val="single" w:sz="24" w:space="0" w:color="C8C8C8" w:themeColor="accent6"/>
        <w:right w:val="single" w:sz="24" w:space="0" w:color="C8C8C8" w:themeColor="accent6"/>
      </w:tblBorders>
    </w:tblPr>
    <w:tcPr>
      <w:shd w:val="clear" w:color="auto" w:fill="C8C8C8"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015FE5"/>
    <w:rPr>
      <w:color w:val="000000" w:themeColor="text1"/>
      <w:lang w:val="en-US"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015FE5"/>
    <w:rPr>
      <w:color w:val="1916A4" w:themeColor="accent1" w:themeShade="BF"/>
      <w:lang w:val="en-US" w:eastAsia="en-US"/>
    </w:rPr>
    <w:tblPr>
      <w:tblStyleRowBandSize w:val="1"/>
      <w:tblStyleColBandSize w:val="1"/>
      <w:tblBorders>
        <w:top w:val="single" w:sz="4" w:space="0" w:color="231EDC" w:themeColor="accent1"/>
        <w:bottom w:val="single" w:sz="4" w:space="0" w:color="231EDC" w:themeColor="accent1"/>
      </w:tblBorders>
    </w:tblPr>
    <w:tblStylePr w:type="firstRow">
      <w:rPr>
        <w:b/>
        <w:bCs/>
      </w:rPr>
      <w:tblPr/>
      <w:tcPr>
        <w:tcBorders>
          <w:bottom w:val="single" w:sz="4" w:space="0" w:color="231EDC" w:themeColor="accent1"/>
        </w:tcBorders>
      </w:tcPr>
    </w:tblStylePr>
    <w:tblStylePr w:type="lastRow">
      <w:rPr>
        <w:b/>
        <w:bCs/>
      </w:rPr>
      <w:tblPr/>
      <w:tcPr>
        <w:tcBorders>
          <w:top w:val="double" w:sz="4" w:space="0" w:color="231EDC" w:themeColor="accent1"/>
        </w:tcBorders>
      </w:tcPr>
    </w:tblStylePr>
    <w:tblStylePr w:type="firstCol">
      <w:rPr>
        <w:b/>
        <w:bCs/>
      </w:rPr>
    </w:tblStylePr>
    <w:tblStylePr w:type="lastCol">
      <w:rPr>
        <w:b/>
        <w:bCs/>
      </w:rPr>
    </w:tblStylePr>
    <w:tblStylePr w:type="band1Vert">
      <w:tblPr/>
      <w:tcPr>
        <w:shd w:val="clear" w:color="auto" w:fill="D2D1F8" w:themeFill="accent1" w:themeFillTint="33"/>
      </w:tcPr>
    </w:tblStylePr>
    <w:tblStylePr w:type="band1Horz">
      <w:tblPr/>
      <w:tcPr>
        <w:shd w:val="clear" w:color="auto" w:fill="D2D1F8" w:themeFill="accent1" w:themeFillTint="33"/>
      </w:tcPr>
    </w:tblStylePr>
  </w:style>
  <w:style w:type="table" w:styleId="ListTable6Colorful-Accent2">
    <w:name w:val="List Table 6 Colorful Accent 2"/>
    <w:basedOn w:val="TableNormal"/>
    <w:uiPriority w:val="51"/>
    <w:rsid w:val="00015FE5"/>
    <w:rPr>
      <w:color w:val="005CC6" w:themeColor="accent2" w:themeShade="BF"/>
      <w:lang w:val="en-US" w:eastAsia="en-US"/>
    </w:rPr>
    <w:tblPr>
      <w:tblStyleRowBandSize w:val="1"/>
      <w:tblStyleColBandSize w:val="1"/>
      <w:tblBorders>
        <w:top w:val="single" w:sz="4" w:space="0" w:color="0A7DFF" w:themeColor="accent2"/>
        <w:bottom w:val="single" w:sz="4" w:space="0" w:color="0A7DFF" w:themeColor="accent2"/>
      </w:tblBorders>
    </w:tblPr>
    <w:tblStylePr w:type="firstRow">
      <w:rPr>
        <w:b/>
        <w:bCs/>
      </w:rPr>
      <w:tblPr/>
      <w:tcPr>
        <w:tcBorders>
          <w:bottom w:val="single" w:sz="4" w:space="0" w:color="0A7DFF" w:themeColor="accent2"/>
        </w:tcBorders>
      </w:tcPr>
    </w:tblStylePr>
    <w:tblStylePr w:type="lastRow">
      <w:rPr>
        <w:b/>
        <w:bCs/>
      </w:rPr>
      <w:tblPr/>
      <w:tcPr>
        <w:tcBorders>
          <w:top w:val="double" w:sz="4" w:space="0" w:color="0A7DFF" w:themeColor="accent2"/>
        </w:tcBorders>
      </w:tcPr>
    </w:tblStylePr>
    <w:tblStylePr w:type="firstCol">
      <w:rPr>
        <w:b/>
        <w:bCs/>
      </w:rPr>
    </w:tblStylePr>
    <w:tblStylePr w:type="lastCol">
      <w:rPr>
        <w:b/>
        <w:bCs/>
      </w:rPr>
    </w:tblStylePr>
    <w:tblStylePr w:type="band1Vert">
      <w:tblPr/>
      <w:tcPr>
        <w:shd w:val="clear" w:color="auto" w:fill="CEE4FF" w:themeFill="accent2" w:themeFillTint="33"/>
      </w:tcPr>
    </w:tblStylePr>
    <w:tblStylePr w:type="band1Horz">
      <w:tblPr/>
      <w:tcPr>
        <w:shd w:val="clear" w:color="auto" w:fill="CEE4FF" w:themeFill="accent2" w:themeFillTint="33"/>
      </w:tcPr>
    </w:tblStylePr>
  </w:style>
  <w:style w:type="table" w:styleId="ListTable6Colorful-Accent3">
    <w:name w:val="List Table 6 Colorful Accent 3"/>
    <w:basedOn w:val="TableNormal"/>
    <w:uiPriority w:val="51"/>
    <w:rsid w:val="00015FE5"/>
    <w:rPr>
      <w:color w:val="03D8FF" w:themeColor="accent3" w:themeShade="BF"/>
      <w:lang w:val="en-US" w:eastAsia="en-US"/>
    </w:rPr>
    <w:tblPr>
      <w:tblStyleRowBandSize w:val="1"/>
      <w:tblStyleColBandSize w:val="1"/>
      <w:tblBorders>
        <w:top w:val="single" w:sz="4" w:space="0" w:color="5AE6FF" w:themeColor="accent3"/>
        <w:bottom w:val="single" w:sz="4" w:space="0" w:color="5AE6FF" w:themeColor="accent3"/>
      </w:tblBorders>
    </w:tblPr>
    <w:tblStylePr w:type="firstRow">
      <w:rPr>
        <w:b/>
        <w:bCs/>
      </w:rPr>
      <w:tblPr/>
      <w:tcPr>
        <w:tcBorders>
          <w:bottom w:val="single" w:sz="4" w:space="0" w:color="5AE6FF" w:themeColor="accent3"/>
        </w:tcBorders>
      </w:tcPr>
    </w:tblStylePr>
    <w:tblStylePr w:type="lastRow">
      <w:rPr>
        <w:b/>
        <w:bCs/>
      </w:rPr>
      <w:tblPr/>
      <w:tcPr>
        <w:tcBorders>
          <w:top w:val="double" w:sz="4" w:space="0" w:color="5AE6FF" w:themeColor="accent3"/>
        </w:tcBorders>
      </w:tcPr>
    </w:tblStylePr>
    <w:tblStylePr w:type="firstCol">
      <w:rPr>
        <w:b/>
        <w:bCs/>
      </w:rPr>
    </w:tblStylePr>
    <w:tblStylePr w:type="lastCol">
      <w:rPr>
        <w:b/>
        <w:bCs/>
      </w:rPr>
    </w:tblStylePr>
    <w:tblStylePr w:type="band1Vert">
      <w:tblPr/>
      <w:tcPr>
        <w:shd w:val="clear" w:color="auto" w:fill="DEF9FF" w:themeFill="accent3" w:themeFillTint="33"/>
      </w:tcPr>
    </w:tblStylePr>
    <w:tblStylePr w:type="band1Horz">
      <w:tblPr/>
      <w:tcPr>
        <w:shd w:val="clear" w:color="auto" w:fill="DEF9FF" w:themeFill="accent3" w:themeFillTint="33"/>
      </w:tcPr>
    </w:tblStylePr>
  </w:style>
  <w:style w:type="table" w:styleId="ListTable6Colorful-Accent4">
    <w:name w:val="List Table 6 Colorful Accent 4"/>
    <w:basedOn w:val="TableNormal"/>
    <w:uiPriority w:val="51"/>
    <w:rsid w:val="00015FE5"/>
    <w:rPr>
      <w:color w:val="00163F" w:themeColor="accent4" w:themeShade="BF"/>
      <w:lang w:val="en-US" w:eastAsia="en-US"/>
    </w:rPr>
    <w:tblPr>
      <w:tblStyleRowBandSize w:val="1"/>
      <w:tblStyleColBandSize w:val="1"/>
      <w:tblBorders>
        <w:top w:val="single" w:sz="4" w:space="0" w:color="001E55" w:themeColor="accent4"/>
        <w:bottom w:val="single" w:sz="4" w:space="0" w:color="001E55" w:themeColor="accent4"/>
      </w:tblBorders>
    </w:tblPr>
    <w:tblStylePr w:type="firstRow">
      <w:rPr>
        <w:b/>
        <w:bCs/>
      </w:rPr>
      <w:tblPr/>
      <w:tcPr>
        <w:tcBorders>
          <w:bottom w:val="single" w:sz="4" w:space="0" w:color="001E55" w:themeColor="accent4"/>
        </w:tcBorders>
      </w:tcPr>
    </w:tblStylePr>
    <w:tblStylePr w:type="lastRow">
      <w:rPr>
        <w:b/>
        <w:bCs/>
      </w:rPr>
      <w:tblPr/>
      <w:tcPr>
        <w:tcBorders>
          <w:top w:val="double" w:sz="4" w:space="0" w:color="001E55" w:themeColor="accent4"/>
        </w:tcBorders>
      </w:tcPr>
    </w:tblStylePr>
    <w:tblStylePr w:type="firstCol">
      <w:rPr>
        <w:b/>
        <w:bCs/>
      </w:rPr>
    </w:tblStylePr>
    <w:tblStylePr w:type="lastCol">
      <w:rPr>
        <w:b/>
        <w:bCs/>
      </w:rPr>
    </w:tblStylePr>
    <w:tblStylePr w:type="band1Vert">
      <w:tblPr/>
      <w:tcPr>
        <w:shd w:val="clear" w:color="auto" w:fill="AAC8FF" w:themeFill="accent4" w:themeFillTint="33"/>
      </w:tcPr>
    </w:tblStylePr>
    <w:tblStylePr w:type="band1Horz">
      <w:tblPr/>
      <w:tcPr>
        <w:shd w:val="clear" w:color="auto" w:fill="AAC8FF" w:themeFill="accent4" w:themeFillTint="33"/>
      </w:tcPr>
    </w:tblStylePr>
  </w:style>
  <w:style w:type="table" w:styleId="ListTable6Colorful-Accent5">
    <w:name w:val="List Table 6 Colorful Accent 5"/>
    <w:basedOn w:val="TableNormal"/>
    <w:uiPriority w:val="51"/>
    <w:rsid w:val="00015FE5"/>
    <w:rPr>
      <w:color w:val="7B7B7B" w:themeColor="accent5" w:themeShade="BF"/>
      <w:lang w:val="en-US" w:eastAsia="en-US"/>
    </w:rPr>
    <w:tblPr>
      <w:tblStyleRowBandSize w:val="1"/>
      <w:tblStyleColBandSize w:val="1"/>
      <w:tblBorders>
        <w:top w:val="single" w:sz="4" w:space="0" w:color="A5A5A5" w:themeColor="accent5"/>
        <w:bottom w:val="single" w:sz="4" w:space="0" w:color="A5A5A5" w:themeColor="accent5"/>
      </w:tblBorders>
    </w:tblPr>
    <w:tblStylePr w:type="firstRow">
      <w:rPr>
        <w:b/>
        <w:bCs/>
      </w:rPr>
      <w:tblPr/>
      <w:tcPr>
        <w:tcBorders>
          <w:bottom w:val="single" w:sz="4" w:space="0" w:color="A5A5A5" w:themeColor="accent5"/>
        </w:tcBorders>
      </w:tcPr>
    </w:tblStylePr>
    <w:tblStylePr w:type="lastRow">
      <w:rPr>
        <w:b/>
        <w:bCs/>
      </w:rPr>
      <w:tblPr/>
      <w:tcPr>
        <w:tcBorders>
          <w:top w:val="double" w:sz="4" w:space="0" w:color="A5A5A5" w:themeColor="accent5"/>
        </w:tcBorders>
      </w:tcPr>
    </w:tblStylePr>
    <w:tblStylePr w:type="firstCol">
      <w:rPr>
        <w:b/>
        <w:bCs/>
      </w:rPr>
    </w:tblStylePr>
    <w:tblStylePr w:type="lastCol">
      <w:rPr>
        <w:b/>
        <w:bCs/>
      </w:rPr>
    </w:tblStylePr>
    <w:tblStylePr w:type="band1Vert">
      <w:tblPr/>
      <w:tcPr>
        <w:shd w:val="clear" w:color="auto" w:fill="EDEDED" w:themeFill="accent5" w:themeFillTint="33"/>
      </w:tcPr>
    </w:tblStylePr>
    <w:tblStylePr w:type="band1Horz">
      <w:tblPr/>
      <w:tcPr>
        <w:shd w:val="clear" w:color="auto" w:fill="EDEDED" w:themeFill="accent5" w:themeFillTint="33"/>
      </w:tcPr>
    </w:tblStylePr>
  </w:style>
  <w:style w:type="table" w:styleId="ListTable6Colorful-Accent6">
    <w:name w:val="List Table 6 Colorful Accent 6"/>
    <w:basedOn w:val="TableNormal"/>
    <w:uiPriority w:val="51"/>
    <w:rsid w:val="00015FE5"/>
    <w:rPr>
      <w:color w:val="959595" w:themeColor="accent6" w:themeShade="BF"/>
      <w:lang w:val="en-US" w:eastAsia="en-US"/>
    </w:rPr>
    <w:tblPr>
      <w:tblStyleRowBandSize w:val="1"/>
      <w:tblStyleColBandSize w:val="1"/>
      <w:tblBorders>
        <w:top w:val="single" w:sz="4" w:space="0" w:color="C8C8C8" w:themeColor="accent6"/>
        <w:bottom w:val="single" w:sz="4" w:space="0" w:color="C8C8C8" w:themeColor="accent6"/>
      </w:tblBorders>
    </w:tblPr>
    <w:tblStylePr w:type="firstRow">
      <w:rPr>
        <w:b/>
        <w:bCs/>
      </w:rPr>
      <w:tblPr/>
      <w:tcPr>
        <w:tcBorders>
          <w:bottom w:val="single" w:sz="4" w:space="0" w:color="C8C8C8" w:themeColor="accent6"/>
        </w:tcBorders>
      </w:tcPr>
    </w:tblStylePr>
    <w:tblStylePr w:type="lastRow">
      <w:rPr>
        <w:b/>
        <w:bCs/>
      </w:rPr>
      <w:tblPr/>
      <w:tcPr>
        <w:tcBorders>
          <w:top w:val="double" w:sz="4" w:space="0" w:color="C8C8C8" w:themeColor="accent6"/>
        </w:tcBorders>
      </w:tcPr>
    </w:tblStylePr>
    <w:tblStylePr w:type="firstCol">
      <w:rPr>
        <w:b/>
        <w:bCs/>
      </w:rPr>
    </w:tblStylePr>
    <w:tblStylePr w:type="lastCol">
      <w:rPr>
        <w:b/>
        <w:bCs/>
      </w:rPr>
    </w:tblStylePr>
    <w:tblStylePr w:type="band1Vert">
      <w:tblPr/>
      <w:tcPr>
        <w:shd w:val="clear" w:color="auto" w:fill="F4F4F4" w:themeFill="accent6" w:themeFillTint="33"/>
      </w:tcPr>
    </w:tblStylePr>
    <w:tblStylePr w:type="band1Horz">
      <w:tblPr/>
      <w:tcPr>
        <w:shd w:val="clear" w:color="auto" w:fill="F4F4F4" w:themeFill="accent6" w:themeFillTint="33"/>
      </w:tcPr>
    </w:tblStylePr>
  </w:style>
  <w:style w:type="table" w:styleId="ListTable7Colorful">
    <w:name w:val="List Table 7 Colorful"/>
    <w:basedOn w:val="TableNormal"/>
    <w:uiPriority w:val="52"/>
    <w:rsid w:val="00015FE5"/>
    <w:rPr>
      <w:color w:val="000000" w:themeColor="text1"/>
      <w:lang w:val="en-US"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015FE5"/>
    <w:rPr>
      <w:color w:val="1916A4" w:themeColor="accent1" w:themeShade="BF"/>
      <w:lang w:val="en-US"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1ED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1ED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1ED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1EDC" w:themeColor="accent1"/>
        </w:tcBorders>
        <w:shd w:val="clear" w:color="auto" w:fill="FFFFFF" w:themeFill="background1"/>
      </w:tcPr>
    </w:tblStylePr>
    <w:tblStylePr w:type="band1Vert">
      <w:tblPr/>
      <w:tcPr>
        <w:shd w:val="clear" w:color="auto" w:fill="D2D1F8" w:themeFill="accent1" w:themeFillTint="33"/>
      </w:tcPr>
    </w:tblStylePr>
    <w:tblStylePr w:type="band1Horz">
      <w:tblPr/>
      <w:tcPr>
        <w:shd w:val="clear" w:color="auto" w:fill="D2D1F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015FE5"/>
    <w:rPr>
      <w:color w:val="005CC6" w:themeColor="accent2" w:themeShade="BF"/>
      <w:lang w:val="en-US"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A7DF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A7DF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A7DF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A7DFF" w:themeColor="accent2"/>
        </w:tcBorders>
        <w:shd w:val="clear" w:color="auto" w:fill="FFFFFF" w:themeFill="background1"/>
      </w:tcPr>
    </w:tblStylePr>
    <w:tblStylePr w:type="band1Vert">
      <w:tblPr/>
      <w:tcPr>
        <w:shd w:val="clear" w:color="auto" w:fill="CEE4FF" w:themeFill="accent2" w:themeFillTint="33"/>
      </w:tcPr>
    </w:tblStylePr>
    <w:tblStylePr w:type="band1Horz">
      <w:tblPr/>
      <w:tcPr>
        <w:shd w:val="clear" w:color="auto" w:fill="CEE4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015FE5"/>
    <w:rPr>
      <w:color w:val="03D8FF" w:themeColor="accent3" w:themeShade="BF"/>
      <w:lang w:val="en-US"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AE6FF"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AE6FF"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AE6FF"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AE6FF" w:themeColor="accent3"/>
        </w:tcBorders>
        <w:shd w:val="clear" w:color="auto" w:fill="FFFFFF" w:themeFill="background1"/>
      </w:tcPr>
    </w:tblStylePr>
    <w:tblStylePr w:type="band1Vert">
      <w:tblPr/>
      <w:tcPr>
        <w:shd w:val="clear" w:color="auto" w:fill="DEF9FF" w:themeFill="accent3" w:themeFillTint="33"/>
      </w:tcPr>
    </w:tblStylePr>
    <w:tblStylePr w:type="band1Horz">
      <w:tblPr/>
      <w:tcPr>
        <w:shd w:val="clear" w:color="auto" w:fill="DEF9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015FE5"/>
    <w:rPr>
      <w:color w:val="00163F" w:themeColor="accent4" w:themeShade="BF"/>
      <w:lang w:val="en-US"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E5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E5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E5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E55" w:themeColor="accent4"/>
        </w:tcBorders>
        <w:shd w:val="clear" w:color="auto" w:fill="FFFFFF" w:themeFill="background1"/>
      </w:tcPr>
    </w:tblStylePr>
    <w:tblStylePr w:type="band1Vert">
      <w:tblPr/>
      <w:tcPr>
        <w:shd w:val="clear" w:color="auto" w:fill="AAC8FF" w:themeFill="accent4" w:themeFillTint="33"/>
      </w:tcPr>
    </w:tblStylePr>
    <w:tblStylePr w:type="band1Horz">
      <w:tblPr/>
      <w:tcPr>
        <w:shd w:val="clear" w:color="auto" w:fill="AAC8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015FE5"/>
    <w:rPr>
      <w:color w:val="7B7B7B" w:themeColor="accent5" w:themeShade="BF"/>
      <w:lang w:val="en-US"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5"/>
        </w:tcBorders>
        <w:shd w:val="clear" w:color="auto" w:fill="FFFFFF" w:themeFill="background1"/>
      </w:tcPr>
    </w:tblStylePr>
    <w:tblStylePr w:type="band1Vert">
      <w:tblPr/>
      <w:tcPr>
        <w:shd w:val="clear" w:color="auto" w:fill="EDEDED" w:themeFill="accent5" w:themeFillTint="33"/>
      </w:tcPr>
    </w:tblStylePr>
    <w:tblStylePr w:type="band1Horz">
      <w:tblPr/>
      <w:tcPr>
        <w:shd w:val="clear" w:color="auto" w:fill="EDED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015FE5"/>
    <w:rPr>
      <w:color w:val="959595" w:themeColor="accent6" w:themeShade="BF"/>
      <w:lang w:val="en-US"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8C8C8"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8C8C8"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8C8C8"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8C8C8" w:themeColor="accent6"/>
        </w:tcBorders>
        <w:shd w:val="clear" w:color="auto" w:fill="FFFFFF" w:themeFill="background1"/>
      </w:tcPr>
    </w:tblStylePr>
    <w:tblStylePr w:type="band1Vert">
      <w:tblPr/>
      <w:tcPr>
        <w:shd w:val="clear" w:color="auto" w:fill="F4F4F4" w:themeFill="accent6" w:themeFillTint="33"/>
      </w:tcPr>
    </w:tblStylePr>
    <w:tblStylePr w:type="band1Horz">
      <w:tblPr/>
      <w:tcPr>
        <w:shd w:val="clear" w:color="auto" w:fill="F4F4F4"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015FE5"/>
    <w:pPr>
      <w:tabs>
        <w:tab w:val="left" w:pos="480"/>
        <w:tab w:val="left" w:pos="960"/>
        <w:tab w:val="left" w:pos="1440"/>
        <w:tab w:val="left" w:pos="1920"/>
        <w:tab w:val="left" w:pos="2400"/>
        <w:tab w:val="left" w:pos="2880"/>
        <w:tab w:val="left" w:pos="3360"/>
        <w:tab w:val="left" w:pos="3840"/>
        <w:tab w:val="left" w:pos="4320"/>
      </w:tabs>
    </w:pPr>
    <w:rPr>
      <w:rFonts w:ascii="Consolas" w:hAnsi="Consolas"/>
      <w:lang w:val="en-US" w:eastAsia="en-US"/>
    </w:rPr>
  </w:style>
  <w:style w:type="character" w:customStyle="1" w:styleId="MacroTextChar">
    <w:name w:val="Macro Text Char"/>
    <w:basedOn w:val="DefaultParagraphFont"/>
    <w:link w:val="MacroText"/>
    <w:uiPriority w:val="99"/>
    <w:semiHidden/>
    <w:rsid w:val="00015FE5"/>
    <w:rPr>
      <w:rFonts w:ascii="Consolas" w:hAnsi="Consolas"/>
      <w:lang w:val="en-US" w:eastAsia="en-US"/>
    </w:rPr>
  </w:style>
  <w:style w:type="table" w:styleId="MediumGrid1">
    <w:name w:val="Medium Grid 1"/>
    <w:basedOn w:val="TableNormal"/>
    <w:uiPriority w:val="67"/>
    <w:semiHidden/>
    <w:unhideWhenUsed/>
    <w:rsid w:val="00015FE5"/>
    <w:rPr>
      <w:lang w:val="en-US"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015FE5"/>
    <w:rPr>
      <w:lang w:val="en-US" w:eastAsia="en-US"/>
    </w:rPr>
    <w:tblPr>
      <w:tblStyleRowBandSize w:val="1"/>
      <w:tblStyleColBandSize w:val="1"/>
      <w:tblBorders>
        <w:top w:val="single" w:sz="8" w:space="0" w:color="5653E7" w:themeColor="accent1" w:themeTint="BF"/>
        <w:left w:val="single" w:sz="8" w:space="0" w:color="5653E7" w:themeColor="accent1" w:themeTint="BF"/>
        <w:bottom w:val="single" w:sz="8" w:space="0" w:color="5653E7" w:themeColor="accent1" w:themeTint="BF"/>
        <w:right w:val="single" w:sz="8" w:space="0" w:color="5653E7" w:themeColor="accent1" w:themeTint="BF"/>
        <w:insideH w:val="single" w:sz="8" w:space="0" w:color="5653E7" w:themeColor="accent1" w:themeTint="BF"/>
        <w:insideV w:val="single" w:sz="8" w:space="0" w:color="5653E7" w:themeColor="accent1" w:themeTint="BF"/>
      </w:tblBorders>
    </w:tblPr>
    <w:tcPr>
      <w:shd w:val="clear" w:color="auto" w:fill="C7C6F7" w:themeFill="accent1" w:themeFillTint="3F"/>
    </w:tcPr>
    <w:tblStylePr w:type="firstRow">
      <w:rPr>
        <w:b/>
        <w:bCs/>
      </w:rPr>
    </w:tblStylePr>
    <w:tblStylePr w:type="lastRow">
      <w:rPr>
        <w:b/>
        <w:bCs/>
      </w:rPr>
      <w:tblPr/>
      <w:tcPr>
        <w:tcBorders>
          <w:top w:val="single" w:sz="18" w:space="0" w:color="5653E7" w:themeColor="accent1" w:themeTint="BF"/>
        </w:tcBorders>
      </w:tcPr>
    </w:tblStylePr>
    <w:tblStylePr w:type="firstCol">
      <w:rPr>
        <w:b/>
        <w:bCs/>
      </w:rPr>
    </w:tblStylePr>
    <w:tblStylePr w:type="lastCol">
      <w:rPr>
        <w:b/>
        <w:bCs/>
      </w:rPr>
    </w:tblStylePr>
    <w:tblStylePr w:type="band1Vert">
      <w:tblPr/>
      <w:tcPr>
        <w:shd w:val="clear" w:color="auto" w:fill="8F8CEF" w:themeFill="accent1" w:themeFillTint="7F"/>
      </w:tcPr>
    </w:tblStylePr>
    <w:tblStylePr w:type="band1Horz">
      <w:tblPr/>
      <w:tcPr>
        <w:shd w:val="clear" w:color="auto" w:fill="8F8CEF" w:themeFill="accent1" w:themeFillTint="7F"/>
      </w:tcPr>
    </w:tblStylePr>
  </w:style>
  <w:style w:type="table" w:styleId="MediumGrid1-Accent2">
    <w:name w:val="Medium Grid 1 Accent 2"/>
    <w:basedOn w:val="TableNormal"/>
    <w:uiPriority w:val="67"/>
    <w:semiHidden/>
    <w:unhideWhenUsed/>
    <w:rsid w:val="00015FE5"/>
    <w:rPr>
      <w:lang w:val="en-US" w:eastAsia="en-US"/>
    </w:rPr>
    <w:tblPr>
      <w:tblStyleRowBandSize w:val="1"/>
      <w:tblStyleColBandSize w:val="1"/>
      <w:tblBorders>
        <w:top w:val="single" w:sz="8" w:space="0" w:color="479DFF" w:themeColor="accent2" w:themeTint="BF"/>
        <w:left w:val="single" w:sz="8" w:space="0" w:color="479DFF" w:themeColor="accent2" w:themeTint="BF"/>
        <w:bottom w:val="single" w:sz="8" w:space="0" w:color="479DFF" w:themeColor="accent2" w:themeTint="BF"/>
        <w:right w:val="single" w:sz="8" w:space="0" w:color="479DFF" w:themeColor="accent2" w:themeTint="BF"/>
        <w:insideH w:val="single" w:sz="8" w:space="0" w:color="479DFF" w:themeColor="accent2" w:themeTint="BF"/>
        <w:insideV w:val="single" w:sz="8" w:space="0" w:color="479DFF" w:themeColor="accent2" w:themeTint="BF"/>
      </w:tblBorders>
    </w:tblPr>
    <w:tcPr>
      <w:shd w:val="clear" w:color="auto" w:fill="C2DEFF" w:themeFill="accent2" w:themeFillTint="3F"/>
    </w:tcPr>
    <w:tblStylePr w:type="firstRow">
      <w:rPr>
        <w:b/>
        <w:bCs/>
      </w:rPr>
    </w:tblStylePr>
    <w:tblStylePr w:type="lastRow">
      <w:rPr>
        <w:b/>
        <w:bCs/>
      </w:rPr>
      <w:tblPr/>
      <w:tcPr>
        <w:tcBorders>
          <w:top w:val="single" w:sz="18" w:space="0" w:color="479DFF" w:themeColor="accent2" w:themeTint="BF"/>
        </w:tcBorders>
      </w:tcPr>
    </w:tblStylePr>
    <w:tblStylePr w:type="firstCol">
      <w:rPr>
        <w:b/>
        <w:bCs/>
      </w:rPr>
    </w:tblStylePr>
    <w:tblStylePr w:type="lastCol">
      <w:rPr>
        <w:b/>
        <w:bCs/>
      </w:rPr>
    </w:tblStylePr>
    <w:tblStylePr w:type="band1Vert">
      <w:tblPr/>
      <w:tcPr>
        <w:shd w:val="clear" w:color="auto" w:fill="84BDFF" w:themeFill="accent2" w:themeFillTint="7F"/>
      </w:tcPr>
    </w:tblStylePr>
    <w:tblStylePr w:type="band1Horz">
      <w:tblPr/>
      <w:tcPr>
        <w:shd w:val="clear" w:color="auto" w:fill="84BDFF" w:themeFill="accent2" w:themeFillTint="7F"/>
      </w:tcPr>
    </w:tblStylePr>
  </w:style>
  <w:style w:type="table" w:styleId="MediumGrid1-Accent3">
    <w:name w:val="Medium Grid 1 Accent 3"/>
    <w:basedOn w:val="TableNormal"/>
    <w:uiPriority w:val="67"/>
    <w:semiHidden/>
    <w:unhideWhenUsed/>
    <w:rsid w:val="00015FE5"/>
    <w:rPr>
      <w:lang w:val="en-US" w:eastAsia="en-US"/>
    </w:rPr>
    <w:tblPr>
      <w:tblStyleRowBandSize w:val="1"/>
      <w:tblStyleColBandSize w:val="1"/>
      <w:tblBorders>
        <w:top w:val="single" w:sz="8" w:space="0" w:color="83ECFF" w:themeColor="accent3" w:themeTint="BF"/>
        <w:left w:val="single" w:sz="8" w:space="0" w:color="83ECFF" w:themeColor="accent3" w:themeTint="BF"/>
        <w:bottom w:val="single" w:sz="8" w:space="0" w:color="83ECFF" w:themeColor="accent3" w:themeTint="BF"/>
        <w:right w:val="single" w:sz="8" w:space="0" w:color="83ECFF" w:themeColor="accent3" w:themeTint="BF"/>
        <w:insideH w:val="single" w:sz="8" w:space="0" w:color="83ECFF" w:themeColor="accent3" w:themeTint="BF"/>
        <w:insideV w:val="single" w:sz="8" w:space="0" w:color="83ECFF" w:themeColor="accent3" w:themeTint="BF"/>
      </w:tblBorders>
    </w:tblPr>
    <w:tcPr>
      <w:shd w:val="clear" w:color="auto" w:fill="D6F8FF" w:themeFill="accent3" w:themeFillTint="3F"/>
    </w:tcPr>
    <w:tblStylePr w:type="firstRow">
      <w:rPr>
        <w:b/>
        <w:bCs/>
      </w:rPr>
    </w:tblStylePr>
    <w:tblStylePr w:type="lastRow">
      <w:rPr>
        <w:b/>
        <w:bCs/>
      </w:rPr>
      <w:tblPr/>
      <w:tcPr>
        <w:tcBorders>
          <w:top w:val="single" w:sz="18" w:space="0" w:color="83ECFF" w:themeColor="accent3" w:themeTint="BF"/>
        </w:tcBorders>
      </w:tcPr>
    </w:tblStylePr>
    <w:tblStylePr w:type="firstCol">
      <w:rPr>
        <w:b/>
        <w:bCs/>
      </w:rPr>
    </w:tblStylePr>
    <w:tblStylePr w:type="lastCol">
      <w:rPr>
        <w:b/>
        <w:bCs/>
      </w:rPr>
    </w:tblStylePr>
    <w:tblStylePr w:type="band1Vert">
      <w:tblPr/>
      <w:tcPr>
        <w:shd w:val="clear" w:color="auto" w:fill="ACF2FF" w:themeFill="accent3" w:themeFillTint="7F"/>
      </w:tcPr>
    </w:tblStylePr>
    <w:tblStylePr w:type="band1Horz">
      <w:tblPr/>
      <w:tcPr>
        <w:shd w:val="clear" w:color="auto" w:fill="ACF2FF" w:themeFill="accent3" w:themeFillTint="7F"/>
      </w:tcPr>
    </w:tblStylePr>
  </w:style>
  <w:style w:type="table" w:styleId="MediumGrid1-Accent4">
    <w:name w:val="Medium Grid 1 Accent 4"/>
    <w:basedOn w:val="TableNormal"/>
    <w:uiPriority w:val="67"/>
    <w:semiHidden/>
    <w:unhideWhenUsed/>
    <w:rsid w:val="00015FE5"/>
    <w:rPr>
      <w:lang w:val="en-US" w:eastAsia="en-US"/>
    </w:rPr>
    <w:tblPr>
      <w:tblStyleRowBandSize w:val="1"/>
      <w:tblStyleColBandSize w:val="1"/>
      <w:tblBorders>
        <w:top w:val="single" w:sz="8" w:space="0" w:color="0043BF" w:themeColor="accent4" w:themeTint="BF"/>
        <w:left w:val="single" w:sz="8" w:space="0" w:color="0043BF" w:themeColor="accent4" w:themeTint="BF"/>
        <w:bottom w:val="single" w:sz="8" w:space="0" w:color="0043BF" w:themeColor="accent4" w:themeTint="BF"/>
        <w:right w:val="single" w:sz="8" w:space="0" w:color="0043BF" w:themeColor="accent4" w:themeTint="BF"/>
        <w:insideH w:val="single" w:sz="8" w:space="0" w:color="0043BF" w:themeColor="accent4" w:themeTint="BF"/>
        <w:insideV w:val="single" w:sz="8" w:space="0" w:color="0043BF" w:themeColor="accent4" w:themeTint="BF"/>
      </w:tblBorders>
    </w:tblPr>
    <w:tcPr>
      <w:shd w:val="clear" w:color="auto" w:fill="96BBFF" w:themeFill="accent4" w:themeFillTint="3F"/>
    </w:tcPr>
    <w:tblStylePr w:type="firstRow">
      <w:rPr>
        <w:b/>
        <w:bCs/>
      </w:rPr>
    </w:tblStylePr>
    <w:tblStylePr w:type="lastRow">
      <w:rPr>
        <w:b/>
        <w:bCs/>
      </w:rPr>
      <w:tblPr/>
      <w:tcPr>
        <w:tcBorders>
          <w:top w:val="single" w:sz="18" w:space="0" w:color="0043BF" w:themeColor="accent4" w:themeTint="BF"/>
        </w:tcBorders>
      </w:tcPr>
    </w:tblStylePr>
    <w:tblStylePr w:type="firstCol">
      <w:rPr>
        <w:b/>
        <w:bCs/>
      </w:rPr>
    </w:tblStylePr>
    <w:tblStylePr w:type="lastCol">
      <w:rPr>
        <w:b/>
        <w:bCs/>
      </w:rPr>
    </w:tblStylePr>
    <w:tblStylePr w:type="band1Vert">
      <w:tblPr/>
      <w:tcPr>
        <w:shd w:val="clear" w:color="auto" w:fill="2B76FF" w:themeFill="accent4" w:themeFillTint="7F"/>
      </w:tcPr>
    </w:tblStylePr>
    <w:tblStylePr w:type="band1Horz">
      <w:tblPr/>
      <w:tcPr>
        <w:shd w:val="clear" w:color="auto" w:fill="2B76FF" w:themeFill="accent4" w:themeFillTint="7F"/>
      </w:tcPr>
    </w:tblStylePr>
  </w:style>
  <w:style w:type="table" w:styleId="MediumGrid1-Accent5">
    <w:name w:val="Medium Grid 1 Accent 5"/>
    <w:basedOn w:val="TableNormal"/>
    <w:uiPriority w:val="67"/>
    <w:semiHidden/>
    <w:unhideWhenUsed/>
    <w:rsid w:val="00015FE5"/>
    <w:rPr>
      <w:lang w:val="en-US" w:eastAsia="en-US"/>
    </w:rPr>
    <w:tblPr>
      <w:tblStyleRowBandSize w:val="1"/>
      <w:tblStyleColBandSize w:val="1"/>
      <w:tblBorders>
        <w:top w:val="single" w:sz="8" w:space="0" w:color="BBBBBB" w:themeColor="accent5" w:themeTint="BF"/>
        <w:left w:val="single" w:sz="8" w:space="0" w:color="BBBBBB" w:themeColor="accent5" w:themeTint="BF"/>
        <w:bottom w:val="single" w:sz="8" w:space="0" w:color="BBBBBB" w:themeColor="accent5" w:themeTint="BF"/>
        <w:right w:val="single" w:sz="8" w:space="0" w:color="BBBBBB" w:themeColor="accent5" w:themeTint="BF"/>
        <w:insideH w:val="single" w:sz="8" w:space="0" w:color="BBBBBB" w:themeColor="accent5" w:themeTint="BF"/>
        <w:insideV w:val="single" w:sz="8" w:space="0" w:color="BBBBBB" w:themeColor="accent5" w:themeTint="BF"/>
      </w:tblBorders>
    </w:tblPr>
    <w:tcPr>
      <w:shd w:val="clear" w:color="auto" w:fill="E8E8E8" w:themeFill="accent5" w:themeFillTint="3F"/>
    </w:tcPr>
    <w:tblStylePr w:type="firstRow">
      <w:rPr>
        <w:b/>
        <w:bCs/>
      </w:rPr>
    </w:tblStylePr>
    <w:tblStylePr w:type="lastRow">
      <w:rPr>
        <w:b/>
        <w:bCs/>
      </w:rPr>
      <w:tblPr/>
      <w:tcPr>
        <w:tcBorders>
          <w:top w:val="single" w:sz="18" w:space="0" w:color="BBBBBB" w:themeColor="accent5" w:themeTint="BF"/>
        </w:tcBorders>
      </w:tcPr>
    </w:tblStylePr>
    <w:tblStylePr w:type="firstCol">
      <w:rPr>
        <w:b/>
        <w:bCs/>
      </w:rPr>
    </w:tblStylePr>
    <w:tblStylePr w:type="lastCol">
      <w:rPr>
        <w:b/>
        <w:bCs/>
      </w:rPr>
    </w:tblStylePr>
    <w:tblStylePr w:type="band1Vert">
      <w:tblPr/>
      <w:tcPr>
        <w:shd w:val="clear" w:color="auto" w:fill="D2D2D2" w:themeFill="accent5" w:themeFillTint="7F"/>
      </w:tcPr>
    </w:tblStylePr>
    <w:tblStylePr w:type="band1Horz">
      <w:tblPr/>
      <w:tcPr>
        <w:shd w:val="clear" w:color="auto" w:fill="D2D2D2" w:themeFill="accent5" w:themeFillTint="7F"/>
      </w:tcPr>
    </w:tblStylePr>
  </w:style>
  <w:style w:type="table" w:styleId="MediumGrid1-Accent6">
    <w:name w:val="Medium Grid 1 Accent 6"/>
    <w:basedOn w:val="TableNormal"/>
    <w:uiPriority w:val="67"/>
    <w:semiHidden/>
    <w:unhideWhenUsed/>
    <w:rsid w:val="00015FE5"/>
    <w:rPr>
      <w:lang w:val="en-US" w:eastAsia="en-US"/>
    </w:rPr>
    <w:tblPr>
      <w:tblStyleRowBandSize w:val="1"/>
      <w:tblStyleColBandSize w:val="1"/>
      <w:tblBorders>
        <w:top w:val="single" w:sz="8" w:space="0" w:color="D5D5D5" w:themeColor="accent6" w:themeTint="BF"/>
        <w:left w:val="single" w:sz="8" w:space="0" w:color="D5D5D5" w:themeColor="accent6" w:themeTint="BF"/>
        <w:bottom w:val="single" w:sz="8" w:space="0" w:color="D5D5D5" w:themeColor="accent6" w:themeTint="BF"/>
        <w:right w:val="single" w:sz="8" w:space="0" w:color="D5D5D5" w:themeColor="accent6" w:themeTint="BF"/>
        <w:insideH w:val="single" w:sz="8" w:space="0" w:color="D5D5D5" w:themeColor="accent6" w:themeTint="BF"/>
        <w:insideV w:val="single" w:sz="8" w:space="0" w:color="D5D5D5" w:themeColor="accent6" w:themeTint="BF"/>
      </w:tblBorders>
    </w:tblPr>
    <w:tcPr>
      <w:shd w:val="clear" w:color="auto" w:fill="F1F1F1" w:themeFill="accent6" w:themeFillTint="3F"/>
    </w:tcPr>
    <w:tblStylePr w:type="firstRow">
      <w:rPr>
        <w:b/>
        <w:bCs/>
      </w:rPr>
    </w:tblStylePr>
    <w:tblStylePr w:type="lastRow">
      <w:rPr>
        <w:b/>
        <w:bCs/>
      </w:rPr>
      <w:tblPr/>
      <w:tcPr>
        <w:tcBorders>
          <w:top w:val="single" w:sz="18" w:space="0" w:color="D5D5D5" w:themeColor="accent6" w:themeTint="BF"/>
        </w:tcBorders>
      </w:tcPr>
    </w:tblStylePr>
    <w:tblStylePr w:type="firstCol">
      <w:rPr>
        <w:b/>
        <w:bCs/>
      </w:rPr>
    </w:tblStylePr>
    <w:tblStylePr w:type="lastCol">
      <w:rPr>
        <w:b/>
        <w:bCs/>
      </w:rPr>
    </w:tblStylePr>
    <w:tblStylePr w:type="band1Vert">
      <w:tblPr/>
      <w:tcPr>
        <w:shd w:val="clear" w:color="auto" w:fill="E3E3E3" w:themeFill="accent6" w:themeFillTint="7F"/>
      </w:tcPr>
    </w:tblStylePr>
    <w:tblStylePr w:type="band1Horz">
      <w:tblPr/>
      <w:tcPr>
        <w:shd w:val="clear" w:color="auto" w:fill="E3E3E3" w:themeFill="accent6" w:themeFillTint="7F"/>
      </w:tcPr>
    </w:tblStylePr>
  </w:style>
  <w:style w:type="table" w:styleId="MediumGrid2">
    <w:name w:val="Medium Grid 2"/>
    <w:basedOn w:val="TableNormal"/>
    <w:uiPriority w:val="68"/>
    <w:semiHidden/>
    <w:unhideWhenUsed/>
    <w:rsid w:val="00015FE5"/>
    <w:rPr>
      <w:rFonts w:eastAsiaTheme="majorEastAsia" w:cstheme="majorBidi"/>
      <w:color w:val="000000" w:themeColor="text1"/>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015FE5"/>
    <w:rPr>
      <w:rFonts w:eastAsiaTheme="majorEastAsia" w:cstheme="majorBidi"/>
      <w:color w:val="000000" w:themeColor="text1"/>
      <w:lang w:val="en-US" w:eastAsia="en-US"/>
    </w:rPr>
    <w:tblPr>
      <w:tblStyleRowBandSize w:val="1"/>
      <w:tblStyleColBandSize w:val="1"/>
      <w:tblBorders>
        <w:top w:val="single" w:sz="8" w:space="0" w:color="231EDC" w:themeColor="accent1"/>
        <w:left w:val="single" w:sz="8" w:space="0" w:color="231EDC" w:themeColor="accent1"/>
        <w:bottom w:val="single" w:sz="8" w:space="0" w:color="231EDC" w:themeColor="accent1"/>
        <w:right w:val="single" w:sz="8" w:space="0" w:color="231EDC" w:themeColor="accent1"/>
        <w:insideH w:val="single" w:sz="8" w:space="0" w:color="231EDC" w:themeColor="accent1"/>
        <w:insideV w:val="single" w:sz="8" w:space="0" w:color="231EDC" w:themeColor="accent1"/>
      </w:tblBorders>
    </w:tblPr>
    <w:tcPr>
      <w:shd w:val="clear" w:color="auto" w:fill="C7C6F7" w:themeFill="accent1" w:themeFillTint="3F"/>
    </w:tcPr>
    <w:tblStylePr w:type="firstRow">
      <w:rPr>
        <w:b/>
        <w:bCs/>
        <w:color w:val="000000" w:themeColor="text1"/>
      </w:rPr>
      <w:tblPr/>
      <w:tcPr>
        <w:shd w:val="clear" w:color="auto" w:fill="E8E8F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2D1F8" w:themeFill="accent1" w:themeFillTint="33"/>
      </w:tcPr>
    </w:tblStylePr>
    <w:tblStylePr w:type="band1Vert">
      <w:tblPr/>
      <w:tcPr>
        <w:shd w:val="clear" w:color="auto" w:fill="8F8CEF" w:themeFill="accent1" w:themeFillTint="7F"/>
      </w:tcPr>
    </w:tblStylePr>
    <w:tblStylePr w:type="band1Horz">
      <w:tblPr/>
      <w:tcPr>
        <w:tcBorders>
          <w:insideH w:val="single" w:sz="6" w:space="0" w:color="231EDC" w:themeColor="accent1"/>
          <w:insideV w:val="single" w:sz="6" w:space="0" w:color="231EDC" w:themeColor="accent1"/>
        </w:tcBorders>
        <w:shd w:val="clear" w:color="auto" w:fill="8F8CE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015FE5"/>
    <w:rPr>
      <w:rFonts w:eastAsiaTheme="majorEastAsia" w:cstheme="majorBidi"/>
      <w:color w:val="000000" w:themeColor="text1"/>
      <w:lang w:val="en-US" w:eastAsia="en-US"/>
    </w:rPr>
    <w:tblPr>
      <w:tblStyleRowBandSize w:val="1"/>
      <w:tblStyleColBandSize w:val="1"/>
      <w:tblBorders>
        <w:top w:val="single" w:sz="8" w:space="0" w:color="0A7DFF" w:themeColor="accent2"/>
        <w:left w:val="single" w:sz="8" w:space="0" w:color="0A7DFF" w:themeColor="accent2"/>
        <w:bottom w:val="single" w:sz="8" w:space="0" w:color="0A7DFF" w:themeColor="accent2"/>
        <w:right w:val="single" w:sz="8" w:space="0" w:color="0A7DFF" w:themeColor="accent2"/>
        <w:insideH w:val="single" w:sz="8" w:space="0" w:color="0A7DFF" w:themeColor="accent2"/>
        <w:insideV w:val="single" w:sz="8" w:space="0" w:color="0A7DFF" w:themeColor="accent2"/>
      </w:tblBorders>
    </w:tblPr>
    <w:tcPr>
      <w:shd w:val="clear" w:color="auto" w:fill="C2DEFF" w:themeFill="accent2" w:themeFillTint="3F"/>
    </w:tcPr>
    <w:tblStylePr w:type="firstRow">
      <w:rPr>
        <w:b/>
        <w:bCs/>
        <w:color w:val="000000" w:themeColor="text1"/>
      </w:rPr>
      <w:tblPr/>
      <w:tcPr>
        <w:shd w:val="clear" w:color="auto" w:fill="E6F2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EE4FF" w:themeFill="accent2" w:themeFillTint="33"/>
      </w:tcPr>
    </w:tblStylePr>
    <w:tblStylePr w:type="band1Vert">
      <w:tblPr/>
      <w:tcPr>
        <w:shd w:val="clear" w:color="auto" w:fill="84BDFF" w:themeFill="accent2" w:themeFillTint="7F"/>
      </w:tcPr>
    </w:tblStylePr>
    <w:tblStylePr w:type="band1Horz">
      <w:tblPr/>
      <w:tcPr>
        <w:tcBorders>
          <w:insideH w:val="single" w:sz="6" w:space="0" w:color="0A7DFF" w:themeColor="accent2"/>
          <w:insideV w:val="single" w:sz="6" w:space="0" w:color="0A7DFF" w:themeColor="accent2"/>
        </w:tcBorders>
        <w:shd w:val="clear" w:color="auto" w:fill="84BD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015FE5"/>
    <w:rPr>
      <w:rFonts w:eastAsiaTheme="majorEastAsia" w:cstheme="majorBidi"/>
      <w:color w:val="000000" w:themeColor="text1"/>
      <w:lang w:val="en-US" w:eastAsia="en-US"/>
    </w:rPr>
    <w:tblPr>
      <w:tblStyleRowBandSize w:val="1"/>
      <w:tblStyleColBandSize w:val="1"/>
      <w:tblBorders>
        <w:top w:val="single" w:sz="8" w:space="0" w:color="5AE6FF" w:themeColor="accent3"/>
        <w:left w:val="single" w:sz="8" w:space="0" w:color="5AE6FF" w:themeColor="accent3"/>
        <w:bottom w:val="single" w:sz="8" w:space="0" w:color="5AE6FF" w:themeColor="accent3"/>
        <w:right w:val="single" w:sz="8" w:space="0" w:color="5AE6FF" w:themeColor="accent3"/>
        <w:insideH w:val="single" w:sz="8" w:space="0" w:color="5AE6FF" w:themeColor="accent3"/>
        <w:insideV w:val="single" w:sz="8" w:space="0" w:color="5AE6FF" w:themeColor="accent3"/>
      </w:tblBorders>
    </w:tblPr>
    <w:tcPr>
      <w:shd w:val="clear" w:color="auto" w:fill="D6F8FF" w:themeFill="accent3" w:themeFillTint="3F"/>
    </w:tcPr>
    <w:tblStylePr w:type="firstRow">
      <w:rPr>
        <w:b/>
        <w:bCs/>
        <w:color w:val="000000" w:themeColor="text1"/>
      </w:rPr>
      <w:tblPr/>
      <w:tcPr>
        <w:shd w:val="clear" w:color="auto" w:fill="EEFC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F9FF" w:themeFill="accent3" w:themeFillTint="33"/>
      </w:tcPr>
    </w:tblStylePr>
    <w:tblStylePr w:type="band1Vert">
      <w:tblPr/>
      <w:tcPr>
        <w:shd w:val="clear" w:color="auto" w:fill="ACF2FF" w:themeFill="accent3" w:themeFillTint="7F"/>
      </w:tcPr>
    </w:tblStylePr>
    <w:tblStylePr w:type="band1Horz">
      <w:tblPr/>
      <w:tcPr>
        <w:tcBorders>
          <w:insideH w:val="single" w:sz="6" w:space="0" w:color="5AE6FF" w:themeColor="accent3"/>
          <w:insideV w:val="single" w:sz="6" w:space="0" w:color="5AE6FF" w:themeColor="accent3"/>
        </w:tcBorders>
        <w:shd w:val="clear" w:color="auto" w:fill="ACF2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015FE5"/>
    <w:rPr>
      <w:rFonts w:eastAsiaTheme="majorEastAsia" w:cstheme="majorBidi"/>
      <w:color w:val="000000" w:themeColor="text1"/>
      <w:lang w:val="en-US" w:eastAsia="en-US"/>
    </w:rPr>
    <w:tblPr>
      <w:tblStyleRowBandSize w:val="1"/>
      <w:tblStyleColBandSize w:val="1"/>
      <w:tblBorders>
        <w:top w:val="single" w:sz="8" w:space="0" w:color="001E55" w:themeColor="accent4"/>
        <w:left w:val="single" w:sz="8" w:space="0" w:color="001E55" w:themeColor="accent4"/>
        <w:bottom w:val="single" w:sz="8" w:space="0" w:color="001E55" w:themeColor="accent4"/>
        <w:right w:val="single" w:sz="8" w:space="0" w:color="001E55" w:themeColor="accent4"/>
        <w:insideH w:val="single" w:sz="8" w:space="0" w:color="001E55" w:themeColor="accent4"/>
        <w:insideV w:val="single" w:sz="8" w:space="0" w:color="001E55" w:themeColor="accent4"/>
      </w:tblBorders>
    </w:tblPr>
    <w:tcPr>
      <w:shd w:val="clear" w:color="auto" w:fill="96BBFF" w:themeFill="accent4" w:themeFillTint="3F"/>
    </w:tcPr>
    <w:tblStylePr w:type="firstRow">
      <w:rPr>
        <w:b/>
        <w:bCs/>
        <w:color w:val="000000" w:themeColor="text1"/>
      </w:rPr>
      <w:tblPr/>
      <w:tcPr>
        <w:shd w:val="clear" w:color="auto" w:fill="D5E4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AC8FF" w:themeFill="accent4" w:themeFillTint="33"/>
      </w:tcPr>
    </w:tblStylePr>
    <w:tblStylePr w:type="band1Vert">
      <w:tblPr/>
      <w:tcPr>
        <w:shd w:val="clear" w:color="auto" w:fill="2B76FF" w:themeFill="accent4" w:themeFillTint="7F"/>
      </w:tcPr>
    </w:tblStylePr>
    <w:tblStylePr w:type="band1Horz">
      <w:tblPr/>
      <w:tcPr>
        <w:tcBorders>
          <w:insideH w:val="single" w:sz="6" w:space="0" w:color="001E55" w:themeColor="accent4"/>
          <w:insideV w:val="single" w:sz="6" w:space="0" w:color="001E55" w:themeColor="accent4"/>
        </w:tcBorders>
        <w:shd w:val="clear" w:color="auto" w:fill="2B76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015FE5"/>
    <w:rPr>
      <w:rFonts w:eastAsiaTheme="majorEastAsia" w:cstheme="majorBidi"/>
      <w:color w:val="000000" w:themeColor="text1"/>
      <w:lang w:val="en-US" w:eastAsia="en-US"/>
    </w:rPr>
    <w:tblPr>
      <w:tblStyleRowBandSize w:val="1"/>
      <w:tblStyleColBandSize w:val="1"/>
      <w:tblBorders>
        <w:top w:val="single" w:sz="8" w:space="0" w:color="A5A5A5" w:themeColor="accent5"/>
        <w:left w:val="single" w:sz="8" w:space="0" w:color="A5A5A5" w:themeColor="accent5"/>
        <w:bottom w:val="single" w:sz="8" w:space="0" w:color="A5A5A5" w:themeColor="accent5"/>
        <w:right w:val="single" w:sz="8" w:space="0" w:color="A5A5A5" w:themeColor="accent5"/>
        <w:insideH w:val="single" w:sz="8" w:space="0" w:color="A5A5A5" w:themeColor="accent5"/>
        <w:insideV w:val="single" w:sz="8" w:space="0" w:color="A5A5A5" w:themeColor="accent5"/>
      </w:tblBorders>
    </w:tblPr>
    <w:tcPr>
      <w:shd w:val="clear" w:color="auto" w:fill="E8E8E8" w:themeFill="accent5" w:themeFillTint="3F"/>
    </w:tcPr>
    <w:tblStylePr w:type="firstRow">
      <w:rPr>
        <w:b/>
        <w:bCs/>
        <w:color w:val="000000" w:themeColor="text1"/>
      </w:rPr>
      <w:tblPr/>
      <w:tcPr>
        <w:shd w:val="clear" w:color="auto" w:fill="F6F6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5" w:themeFillTint="33"/>
      </w:tcPr>
    </w:tblStylePr>
    <w:tblStylePr w:type="band1Vert">
      <w:tblPr/>
      <w:tcPr>
        <w:shd w:val="clear" w:color="auto" w:fill="D2D2D2" w:themeFill="accent5" w:themeFillTint="7F"/>
      </w:tcPr>
    </w:tblStylePr>
    <w:tblStylePr w:type="band1Horz">
      <w:tblPr/>
      <w:tcPr>
        <w:tcBorders>
          <w:insideH w:val="single" w:sz="6" w:space="0" w:color="A5A5A5" w:themeColor="accent5"/>
          <w:insideV w:val="single" w:sz="6" w:space="0" w:color="A5A5A5" w:themeColor="accent5"/>
        </w:tcBorders>
        <w:shd w:val="clear" w:color="auto" w:fill="D2D2D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015FE5"/>
    <w:rPr>
      <w:rFonts w:eastAsiaTheme="majorEastAsia" w:cstheme="majorBidi"/>
      <w:color w:val="000000" w:themeColor="text1"/>
      <w:lang w:val="en-US" w:eastAsia="en-US"/>
    </w:rPr>
    <w:tblPr>
      <w:tblStyleRowBandSize w:val="1"/>
      <w:tblStyleColBandSize w:val="1"/>
      <w:tblBorders>
        <w:top w:val="single" w:sz="8" w:space="0" w:color="C8C8C8" w:themeColor="accent6"/>
        <w:left w:val="single" w:sz="8" w:space="0" w:color="C8C8C8" w:themeColor="accent6"/>
        <w:bottom w:val="single" w:sz="8" w:space="0" w:color="C8C8C8" w:themeColor="accent6"/>
        <w:right w:val="single" w:sz="8" w:space="0" w:color="C8C8C8" w:themeColor="accent6"/>
        <w:insideH w:val="single" w:sz="8" w:space="0" w:color="C8C8C8" w:themeColor="accent6"/>
        <w:insideV w:val="single" w:sz="8" w:space="0" w:color="C8C8C8" w:themeColor="accent6"/>
      </w:tblBorders>
    </w:tblPr>
    <w:tcPr>
      <w:shd w:val="clear" w:color="auto" w:fill="F1F1F1" w:themeFill="accent6" w:themeFillTint="3F"/>
    </w:tcPr>
    <w:tblStylePr w:type="firstRow">
      <w:rPr>
        <w:b/>
        <w:bCs/>
        <w:color w:val="000000" w:themeColor="text1"/>
      </w:rPr>
      <w:tblPr/>
      <w:tcPr>
        <w:shd w:val="clear" w:color="auto" w:fill="F9F9F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F4F4" w:themeFill="accent6" w:themeFillTint="33"/>
      </w:tcPr>
    </w:tblStylePr>
    <w:tblStylePr w:type="band1Vert">
      <w:tblPr/>
      <w:tcPr>
        <w:shd w:val="clear" w:color="auto" w:fill="E3E3E3" w:themeFill="accent6" w:themeFillTint="7F"/>
      </w:tcPr>
    </w:tblStylePr>
    <w:tblStylePr w:type="band1Horz">
      <w:tblPr/>
      <w:tcPr>
        <w:tcBorders>
          <w:insideH w:val="single" w:sz="6" w:space="0" w:color="C8C8C8" w:themeColor="accent6"/>
          <w:insideV w:val="single" w:sz="6" w:space="0" w:color="C8C8C8" w:themeColor="accent6"/>
        </w:tcBorders>
        <w:shd w:val="clear" w:color="auto" w:fill="E3E3E3"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015FE5"/>
    <w:rPr>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015FE5"/>
    <w:rPr>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7C6F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1ED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1ED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1ED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1ED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F8CE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F8CEF" w:themeFill="accent1" w:themeFillTint="7F"/>
      </w:tcPr>
    </w:tblStylePr>
  </w:style>
  <w:style w:type="table" w:styleId="MediumGrid3-Accent2">
    <w:name w:val="Medium Grid 3 Accent 2"/>
    <w:basedOn w:val="TableNormal"/>
    <w:uiPriority w:val="69"/>
    <w:semiHidden/>
    <w:unhideWhenUsed/>
    <w:rsid w:val="00015FE5"/>
    <w:rPr>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2DE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A7DF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A7DF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A7DF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A7DF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4BD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4BDFF" w:themeFill="accent2" w:themeFillTint="7F"/>
      </w:tcPr>
    </w:tblStylePr>
  </w:style>
  <w:style w:type="table" w:styleId="MediumGrid3-Accent3">
    <w:name w:val="Medium Grid 3 Accent 3"/>
    <w:basedOn w:val="TableNormal"/>
    <w:uiPriority w:val="69"/>
    <w:semiHidden/>
    <w:unhideWhenUsed/>
    <w:rsid w:val="00015FE5"/>
    <w:rPr>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F8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AE6F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AE6F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AE6F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AE6F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CF2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CF2FF" w:themeFill="accent3" w:themeFillTint="7F"/>
      </w:tcPr>
    </w:tblStylePr>
  </w:style>
  <w:style w:type="table" w:styleId="MediumGrid3-Accent4">
    <w:name w:val="Medium Grid 3 Accent 4"/>
    <w:basedOn w:val="TableNormal"/>
    <w:uiPriority w:val="69"/>
    <w:semiHidden/>
    <w:unhideWhenUsed/>
    <w:rsid w:val="00015FE5"/>
    <w:rPr>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6BB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1E5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1E5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1E5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1E5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B76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B76FF" w:themeFill="accent4" w:themeFillTint="7F"/>
      </w:tcPr>
    </w:tblStylePr>
  </w:style>
  <w:style w:type="table" w:styleId="MediumGrid3-Accent5">
    <w:name w:val="Medium Grid 3 Accent 5"/>
    <w:basedOn w:val="TableNormal"/>
    <w:uiPriority w:val="69"/>
    <w:semiHidden/>
    <w:unhideWhenUsed/>
    <w:rsid w:val="00015FE5"/>
    <w:rPr>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5" w:themeFillTint="7F"/>
      </w:tcPr>
    </w:tblStylePr>
  </w:style>
  <w:style w:type="table" w:styleId="MediumGrid3-Accent6">
    <w:name w:val="Medium Grid 3 Accent 6"/>
    <w:basedOn w:val="TableNormal"/>
    <w:uiPriority w:val="69"/>
    <w:semiHidden/>
    <w:unhideWhenUsed/>
    <w:rsid w:val="00015FE5"/>
    <w:rPr>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1F1F1"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8C8C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8C8C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8C8C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8C8C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3E3E3"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3E3E3" w:themeFill="accent6" w:themeFillTint="7F"/>
      </w:tcPr>
    </w:tblStylePr>
  </w:style>
  <w:style w:type="table" w:styleId="MediumList1">
    <w:name w:val="Medium List 1"/>
    <w:basedOn w:val="TableNormal"/>
    <w:uiPriority w:val="65"/>
    <w:semiHidden/>
    <w:unhideWhenUsed/>
    <w:rsid w:val="00015FE5"/>
    <w:rPr>
      <w:color w:val="000000" w:themeColor="text1"/>
      <w:lang w:val="en-US"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3333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015FE5"/>
    <w:rPr>
      <w:color w:val="000000" w:themeColor="text1"/>
      <w:lang w:val="en-US" w:eastAsia="en-US"/>
    </w:rPr>
    <w:tblPr>
      <w:tblStyleRowBandSize w:val="1"/>
      <w:tblStyleColBandSize w:val="1"/>
      <w:tblBorders>
        <w:top w:val="single" w:sz="8" w:space="0" w:color="231EDC" w:themeColor="accent1"/>
        <w:bottom w:val="single" w:sz="8" w:space="0" w:color="231EDC" w:themeColor="accent1"/>
      </w:tblBorders>
    </w:tblPr>
    <w:tblStylePr w:type="firstRow">
      <w:rPr>
        <w:rFonts w:asciiTheme="majorHAnsi" w:eastAsiaTheme="majorEastAsia" w:hAnsiTheme="majorHAnsi" w:cstheme="majorBidi"/>
      </w:rPr>
      <w:tblPr/>
      <w:tcPr>
        <w:tcBorders>
          <w:top w:val="nil"/>
          <w:bottom w:val="single" w:sz="8" w:space="0" w:color="231EDC" w:themeColor="accent1"/>
        </w:tcBorders>
      </w:tcPr>
    </w:tblStylePr>
    <w:tblStylePr w:type="lastRow">
      <w:rPr>
        <w:b/>
        <w:bCs/>
        <w:color w:val="333333" w:themeColor="text2"/>
      </w:rPr>
      <w:tblPr/>
      <w:tcPr>
        <w:tcBorders>
          <w:top w:val="single" w:sz="8" w:space="0" w:color="231EDC" w:themeColor="accent1"/>
          <w:bottom w:val="single" w:sz="8" w:space="0" w:color="231EDC" w:themeColor="accent1"/>
        </w:tcBorders>
      </w:tcPr>
    </w:tblStylePr>
    <w:tblStylePr w:type="firstCol">
      <w:rPr>
        <w:b/>
        <w:bCs/>
      </w:rPr>
    </w:tblStylePr>
    <w:tblStylePr w:type="lastCol">
      <w:rPr>
        <w:b/>
        <w:bCs/>
      </w:rPr>
      <w:tblPr/>
      <w:tcPr>
        <w:tcBorders>
          <w:top w:val="single" w:sz="8" w:space="0" w:color="231EDC" w:themeColor="accent1"/>
          <w:bottom w:val="single" w:sz="8" w:space="0" w:color="231EDC" w:themeColor="accent1"/>
        </w:tcBorders>
      </w:tcPr>
    </w:tblStylePr>
    <w:tblStylePr w:type="band1Vert">
      <w:tblPr/>
      <w:tcPr>
        <w:shd w:val="clear" w:color="auto" w:fill="C7C6F7" w:themeFill="accent1" w:themeFillTint="3F"/>
      </w:tcPr>
    </w:tblStylePr>
    <w:tblStylePr w:type="band1Horz">
      <w:tblPr/>
      <w:tcPr>
        <w:shd w:val="clear" w:color="auto" w:fill="C7C6F7" w:themeFill="accent1" w:themeFillTint="3F"/>
      </w:tcPr>
    </w:tblStylePr>
  </w:style>
  <w:style w:type="table" w:styleId="MediumList1-Accent2">
    <w:name w:val="Medium List 1 Accent 2"/>
    <w:basedOn w:val="TableNormal"/>
    <w:uiPriority w:val="65"/>
    <w:semiHidden/>
    <w:unhideWhenUsed/>
    <w:rsid w:val="00015FE5"/>
    <w:rPr>
      <w:color w:val="000000" w:themeColor="text1"/>
      <w:lang w:val="en-US" w:eastAsia="en-US"/>
    </w:rPr>
    <w:tblPr>
      <w:tblStyleRowBandSize w:val="1"/>
      <w:tblStyleColBandSize w:val="1"/>
      <w:tblBorders>
        <w:top w:val="single" w:sz="8" w:space="0" w:color="0A7DFF" w:themeColor="accent2"/>
        <w:bottom w:val="single" w:sz="8" w:space="0" w:color="0A7DFF" w:themeColor="accent2"/>
      </w:tblBorders>
    </w:tblPr>
    <w:tblStylePr w:type="firstRow">
      <w:rPr>
        <w:rFonts w:asciiTheme="majorHAnsi" w:eastAsiaTheme="majorEastAsia" w:hAnsiTheme="majorHAnsi" w:cstheme="majorBidi"/>
      </w:rPr>
      <w:tblPr/>
      <w:tcPr>
        <w:tcBorders>
          <w:top w:val="nil"/>
          <w:bottom w:val="single" w:sz="8" w:space="0" w:color="0A7DFF" w:themeColor="accent2"/>
        </w:tcBorders>
      </w:tcPr>
    </w:tblStylePr>
    <w:tblStylePr w:type="lastRow">
      <w:rPr>
        <w:b/>
        <w:bCs/>
        <w:color w:val="333333" w:themeColor="text2"/>
      </w:rPr>
      <w:tblPr/>
      <w:tcPr>
        <w:tcBorders>
          <w:top w:val="single" w:sz="8" w:space="0" w:color="0A7DFF" w:themeColor="accent2"/>
          <w:bottom w:val="single" w:sz="8" w:space="0" w:color="0A7DFF" w:themeColor="accent2"/>
        </w:tcBorders>
      </w:tcPr>
    </w:tblStylePr>
    <w:tblStylePr w:type="firstCol">
      <w:rPr>
        <w:b/>
        <w:bCs/>
      </w:rPr>
    </w:tblStylePr>
    <w:tblStylePr w:type="lastCol">
      <w:rPr>
        <w:b/>
        <w:bCs/>
      </w:rPr>
      <w:tblPr/>
      <w:tcPr>
        <w:tcBorders>
          <w:top w:val="single" w:sz="8" w:space="0" w:color="0A7DFF" w:themeColor="accent2"/>
          <w:bottom w:val="single" w:sz="8" w:space="0" w:color="0A7DFF" w:themeColor="accent2"/>
        </w:tcBorders>
      </w:tcPr>
    </w:tblStylePr>
    <w:tblStylePr w:type="band1Vert">
      <w:tblPr/>
      <w:tcPr>
        <w:shd w:val="clear" w:color="auto" w:fill="C2DEFF" w:themeFill="accent2" w:themeFillTint="3F"/>
      </w:tcPr>
    </w:tblStylePr>
    <w:tblStylePr w:type="band1Horz">
      <w:tblPr/>
      <w:tcPr>
        <w:shd w:val="clear" w:color="auto" w:fill="C2DEFF" w:themeFill="accent2" w:themeFillTint="3F"/>
      </w:tcPr>
    </w:tblStylePr>
  </w:style>
  <w:style w:type="table" w:styleId="MediumList1-Accent3">
    <w:name w:val="Medium List 1 Accent 3"/>
    <w:basedOn w:val="TableNormal"/>
    <w:uiPriority w:val="65"/>
    <w:semiHidden/>
    <w:unhideWhenUsed/>
    <w:rsid w:val="00015FE5"/>
    <w:rPr>
      <w:color w:val="000000" w:themeColor="text1"/>
      <w:lang w:val="en-US" w:eastAsia="en-US"/>
    </w:rPr>
    <w:tblPr>
      <w:tblStyleRowBandSize w:val="1"/>
      <w:tblStyleColBandSize w:val="1"/>
      <w:tblBorders>
        <w:top w:val="single" w:sz="8" w:space="0" w:color="5AE6FF" w:themeColor="accent3"/>
        <w:bottom w:val="single" w:sz="8" w:space="0" w:color="5AE6FF" w:themeColor="accent3"/>
      </w:tblBorders>
    </w:tblPr>
    <w:tblStylePr w:type="firstRow">
      <w:rPr>
        <w:rFonts w:asciiTheme="majorHAnsi" w:eastAsiaTheme="majorEastAsia" w:hAnsiTheme="majorHAnsi" w:cstheme="majorBidi"/>
      </w:rPr>
      <w:tblPr/>
      <w:tcPr>
        <w:tcBorders>
          <w:top w:val="nil"/>
          <w:bottom w:val="single" w:sz="8" w:space="0" w:color="5AE6FF" w:themeColor="accent3"/>
        </w:tcBorders>
      </w:tcPr>
    </w:tblStylePr>
    <w:tblStylePr w:type="lastRow">
      <w:rPr>
        <w:b/>
        <w:bCs/>
        <w:color w:val="333333" w:themeColor="text2"/>
      </w:rPr>
      <w:tblPr/>
      <w:tcPr>
        <w:tcBorders>
          <w:top w:val="single" w:sz="8" w:space="0" w:color="5AE6FF" w:themeColor="accent3"/>
          <w:bottom w:val="single" w:sz="8" w:space="0" w:color="5AE6FF" w:themeColor="accent3"/>
        </w:tcBorders>
      </w:tcPr>
    </w:tblStylePr>
    <w:tblStylePr w:type="firstCol">
      <w:rPr>
        <w:b/>
        <w:bCs/>
      </w:rPr>
    </w:tblStylePr>
    <w:tblStylePr w:type="lastCol">
      <w:rPr>
        <w:b/>
        <w:bCs/>
      </w:rPr>
      <w:tblPr/>
      <w:tcPr>
        <w:tcBorders>
          <w:top w:val="single" w:sz="8" w:space="0" w:color="5AE6FF" w:themeColor="accent3"/>
          <w:bottom w:val="single" w:sz="8" w:space="0" w:color="5AE6FF" w:themeColor="accent3"/>
        </w:tcBorders>
      </w:tcPr>
    </w:tblStylePr>
    <w:tblStylePr w:type="band1Vert">
      <w:tblPr/>
      <w:tcPr>
        <w:shd w:val="clear" w:color="auto" w:fill="D6F8FF" w:themeFill="accent3" w:themeFillTint="3F"/>
      </w:tcPr>
    </w:tblStylePr>
    <w:tblStylePr w:type="band1Horz">
      <w:tblPr/>
      <w:tcPr>
        <w:shd w:val="clear" w:color="auto" w:fill="D6F8FF" w:themeFill="accent3" w:themeFillTint="3F"/>
      </w:tcPr>
    </w:tblStylePr>
  </w:style>
  <w:style w:type="table" w:styleId="MediumList1-Accent4">
    <w:name w:val="Medium List 1 Accent 4"/>
    <w:basedOn w:val="TableNormal"/>
    <w:uiPriority w:val="65"/>
    <w:semiHidden/>
    <w:unhideWhenUsed/>
    <w:rsid w:val="00015FE5"/>
    <w:rPr>
      <w:color w:val="000000" w:themeColor="text1"/>
      <w:lang w:val="en-US" w:eastAsia="en-US"/>
    </w:rPr>
    <w:tblPr>
      <w:tblStyleRowBandSize w:val="1"/>
      <w:tblStyleColBandSize w:val="1"/>
      <w:tblBorders>
        <w:top w:val="single" w:sz="8" w:space="0" w:color="001E55" w:themeColor="accent4"/>
        <w:bottom w:val="single" w:sz="8" w:space="0" w:color="001E55" w:themeColor="accent4"/>
      </w:tblBorders>
    </w:tblPr>
    <w:tblStylePr w:type="firstRow">
      <w:rPr>
        <w:rFonts w:asciiTheme="majorHAnsi" w:eastAsiaTheme="majorEastAsia" w:hAnsiTheme="majorHAnsi" w:cstheme="majorBidi"/>
      </w:rPr>
      <w:tblPr/>
      <w:tcPr>
        <w:tcBorders>
          <w:top w:val="nil"/>
          <w:bottom w:val="single" w:sz="8" w:space="0" w:color="001E55" w:themeColor="accent4"/>
        </w:tcBorders>
      </w:tcPr>
    </w:tblStylePr>
    <w:tblStylePr w:type="lastRow">
      <w:rPr>
        <w:b/>
        <w:bCs/>
        <w:color w:val="333333" w:themeColor="text2"/>
      </w:rPr>
      <w:tblPr/>
      <w:tcPr>
        <w:tcBorders>
          <w:top w:val="single" w:sz="8" w:space="0" w:color="001E55" w:themeColor="accent4"/>
          <w:bottom w:val="single" w:sz="8" w:space="0" w:color="001E55" w:themeColor="accent4"/>
        </w:tcBorders>
      </w:tcPr>
    </w:tblStylePr>
    <w:tblStylePr w:type="firstCol">
      <w:rPr>
        <w:b/>
        <w:bCs/>
      </w:rPr>
    </w:tblStylePr>
    <w:tblStylePr w:type="lastCol">
      <w:rPr>
        <w:b/>
        <w:bCs/>
      </w:rPr>
      <w:tblPr/>
      <w:tcPr>
        <w:tcBorders>
          <w:top w:val="single" w:sz="8" w:space="0" w:color="001E55" w:themeColor="accent4"/>
          <w:bottom w:val="single" w:sz="8" w:space="0" w:color="001E55" w:themeColor="accent4"/>
        </w:tcBorders>
      </w:tcPr>
    </w:tblStylePr>
    <w:tblStylePr w:type="band1Vert">
      <w:tblPr/>
      <w:tcPr>
        <w:shd w:val="clear" w:color="auto" w:fill="96BBFF" w:themeFill="accent4" w:themeFillTint="3F"/>
      </w:tcPr>
    </w:tblStylePr>
    <w:tblStylePr w:type="band1Horz">
      <w:tblPr/>
      <w:tcPr>
        <w:shd w:val="clear" w:color="auto" w:fill="96BBFF" w:themeFill="accent4" w:themeFillTint="3F"/>
      </w:tcPr>
    </w:tblStylePr>
  </w:style>
  <w:style w:type="table" w:styleId="MediumList1-Accent5">
    <w:name w:val="Medium List 1 Accent 5"/>
    <w:basedOn w:val="TableNormal"/>
    <w:uiPriority w:val="65"/>
    <w:semiHidden/>
    <w:unhideWhenUsed/>
    <w:rsid w:val="00015FE5"/>
    <w:rPr>
      <w:color w:val="000000" w:themeColor="text1"/>
      <w:lang w:val="en-US" w:eastAsia="en-US"/>
    </w:rPr>
    <w:tblPr>
      <w:tblStyleRowBandSize w:val="1"/>
      <w:tblStyleColBandSize w:val="1"/>
      <w:tblBorders>
        <w:top w:val="single" w:sz="8" w:space="0" w:color="A5A5A5" w:themeColor="accent5"/>
        <w:bottom w:val="single" w:sz="8" w:space="0" w:color="A5A5A5" w:themeColor="accent5"/>
      </w:tblBorders>
    </w:tblPr>
    <w:tblStylePr w:type="firstRow">
      <w:rPr>
        <w:rFonts w:asciiTheme="majorHAnsi" w:eastAsiaTheme="majorEastAsia" w:hAnsiTheme="majorHAnsi" w:cstheme="majorBidi"/>
      </w:rPr>
      <w:tblPr/>
      <w:tcPr>
        <w:tcBorders>
          <w:top w:val="nil"/>
          <w:bottom w:val="single" w:sz="8" w:space="0" w:color="A5A5A5" w:themeColor="accent5"/>
        </w:tcBorders>
      </w:tcPr>
    </w:tblStylePr>
    <w:tblStylePr w:type="lastRow">
      <w:rPr>
        <w:b/>
        <w:bCs/>
        <w:color w:val="333333" w:themeColor="text2"/>
      </w:rPr>
      <w:tblPr/>
      <w:tcPr>
        <w:tcBorders>
          <w:top w:val="single" w:sz="8" w:space="0" w:color="A5A5A5" w:themeColor="accent5"/>
          <w:bottom w:val="single" w:sz="8" w:space="0" w:color="A5A5A5" w:themeColor="accent5"/>
        </w:tcBorders>
      </w:tcPr>
    </w:tblStylePr>
    <w:tblStylePr w:type="firstCol">
      <w:rPr>
        <w:b/>
        <w:bCs/>
      </w:rPr>
    </w:tblStylePr>
    <w:tblStylePr w:type="lastCol">
      <w:rPr>
        <w:b/>
        <w:bCs/>
      </w:rPr>
      <w:tblPr/>
      <w:tcPr>
        <w:tcBorders>
          <w:top w:val="single" w:sz="8" w:space="0" w:color="A5A5A5" w:themeColor="accent5"/>
          <w:bottom w:val="single" w:sz="8" w:space="0" w:color="A5A5A5" w:themeColor="accent5"/>
        </w:tcBorders>
      </w:tcPr>
    </w:tblStylePr>
    <w:tblStylePr w:type="band1Vert">
      <w:tblPr/>
      <w:tcPr>
        <w:shd w:val="clear" w:color="auto" w:fill="E8E8E8" w:themeFill="accent5" w:themeFillTint="3F"/>
      </w:tcPr>
    </w:tblStylePr>
    <w:tblStylePr w:type="band1Horz">
      <w:tblPr/>
      <w:tcPr>
        <w:shd w:val="clear" w:color="auto" w:fill="E8E8E8" w:themeFill="accent5" w:themeFillTint="3F"/>
      </w:tcPr>
    </w:tblStylePr>
  </w:style>
  <w:style w:type="table" w:styleId="MediumList1-Accent6">
    <w:name w:val="Medium List 1 Accent 6"/>
    <w:basedOn w:val="TableNormal"/>
    <w:uiPriority w:val="65"/>
    <w:semiHidden/>
    <w:unhideWhenUsed/>
    <w:rsid w:val="00015FE5"/>
    <w:rPr>
      <w:color w:val="000000" w:themeColor="text1"/>
      <w:lang w:val="en-US" w:eastAsia="en-US"/>
    </w:rPr>
    <w:tblPr>
      <w:tblStyleRowBandSize w:val="1"/>
      <w:tblStyleColBandSize w:val="1"/>
      <w:tblBorders>
        <w:top w:val="single" w:sz="8" w:space="0" w:color="C8C8C8" w:themeColor="accent6"/>
        <w:bottom w:val="single" w:sz="8" w:space="0" w:color="C8C8C8" w:themeColor="accent6"/>
      </w:tblBorders>
    </w:tblPr>
    <w:tblStylePr w:type="firstRow">
      <w:rPr>
        <w:rFonts w:asciiTheme="majorHAnsi" w:eastAsiaTheme="majorEastAsia" w:hAnsiTheme="majorHAnsi" w:cstheme="majorBidi"/>
      </w:rPr>
      <w:tblPr/>
      <w:tcPr>
        <w:tcBorders>
          <w:top w:val="nil"/>
          <w:bottom w:val="single" w:sz="8" w:space="0" w:color="C8C8C8" w:themeColor="accent6"/>
        </w:tcBorders>
      </w:tcPr>
    </w:tblStylePr>
    <w:tblStylePr w:type="lastRow">
      <w:rPr>
        <w:b/>
        <w:bCs/>
        <w:color w:val="333333" w:themeColor="text2"/>
      </w:rPr>
      <w:tblPr/>
      <w:tcPr>
        <w:tcBorders>
          <w:top w:val="single" w:sz="8" w:space="0" w:color="C8C8C8" w:themeColor="accent6"/>
          <w:bottom w:val="single" w:sz="8" w:space="0" w:color="C8C8C8" w:themeColor="accent6"/>
        </w:tcBorders>
      </w:tcPr>
    </w:tblStylePr>
    <w:tblStylePr w:type="firstCol">
      <w:rPr>
        <w:b/>
        <w:bCs/>
      </w:rPr>
    </w:tblStylePr>
    <w:tblStylePr w:type="lastCol">
      <w:rPr>
        <w:b/>
        <w:bCs/>
      </w:rPr>
      <w:tblPr/>
      <w:tcPr>
        <w:tcBorders>
          <w:top w:val="single" w:sz="8" w:space="0" w:color="C8C8C8" w:themeColor="accent6"/>
          <w:bottom w:val="single" w:sz="8" w:space="0" w:color="C8C8C8" w:themeColor="accent6"/>
        </w:tcBorders>
      </w:tcPr>
    </w:tblStylePr>
    <w:tblStylePr w:type="band1Vert">
      <w:tblPr/>
      <w:tcPr>
        <w:shd w:val="clear" w:color="auto" w:fill="F1F1F1" w:themeFill="accent6" w:themeFillTint="3F"/>
      </w:tcPr>
    </w:tblStylePr>
    <w:tblStylePr w:type="band1Horz">
      <w:tblPr/>
      <w:tcPr>
        <w:shd w:val="clear" w:color="auto" w:fill="F1F1F1" w:themeFill="accent6" w:themeFillTint="3F"/>
      </w:tcPr>
    </w:tblStylePr>
  </w:style>
  <w:style w:type="table" w:styleId="MediumList2">
    <w:name w:val="Medium List 2"/>
    <w:basedOn w:val="TableNormal"/>
    <w:uiPriority w:val="66"/>
    <w:semiHidden/>
    <w:unhideWhenUsed/>
    <w:rsid w:val="00015FE5"/>
    <w:rPr>
      <w:rFonts w:eastAsiaTheme="majorEastAsia" w:cstheme="majorBidi"/>
      <w:color w:val="000000" w:themeColor="text1"/>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015FE5"/>
    <w:rPr>
      <w:rFonts w:eastAsiaTheme="majorEastAsia" w:cstheme="majorBidi"/>
      <w:color w:val="000000" w:themeColor="text1"/>
      <w:lang w:val="en-US" w:eastAsia="en-US"/>
    </w:rPr>
    <w:tblPr>
      <w:tblStyleRowBandSize w:val="1"/>
      <w:tblStyleColBandSize w:val="1"/>
      <w:tblBorders>
        <w:top w:val="single" w:sz="8" w:space="0" w:color="231EDC" w:themeColor="accent1"/>
        <w:left w:val="single" w:sz="8" w:space="0" w:color="231EDC" w:themeColor="accent1"/>
        <w:bottom w:val="single" w:sz="8" w:space="0" w:color="231EDC" w:themeColor="accent1"/>
        <w:right w:val="single" w:sz="8" w:space="0" w:color="231EDC" w:themeColor="accent1"/>
      </w:tblBorders>
    </w:tblPr>
    <w:tblStylePr w:type="firstRow">
      <w:rPr>
        <w:sz w:val="24"/>
        <w:szCs w:val="24"/>
      </w:rPr>
      <w:tblPr/>
      <w:tcPr>
        <w:tcBorders>
          <w:top w:val="nil"/>
          <w:left w:val="nil"/>
          <w:bottom w:val="single" w:sz="24" w:space="0" w:color="231EDC"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1EDC" w:themeColor="accent1"/>
          <w:insideH w:val="nil"/>
          <w:insideV w:val="nil"/>
        </w:tcBorders>
        <w:shd w:val="clear" w:color="auto" w:fill="FFFFFF" w:themeFill="background1"/>
      </w:tcPr>
    </w:tblStylePr>
    <w:tblStylePr w:type="lastCol">
      <w:tblPr/>
      <w:tcPr>
        <w:tcBorders>
          <w:top w:val="nil"/>
          <w:left w:val="single" w:sz="8" w:space="0" w:color="231ED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7C6F7" w:themeFill="accent1" w:themeFillTint="3F"/>
      </w:tcPr>
    </w:tblStylePr>
    <w:tblStylePr w:type="band1Horz">
      <w:tblPr/>
      <w:tcPr>
        <w:tcBorders>
          <w:top w:val="nil"/>
          <w:bottom w:val="nil"/>
          <w:insideH w:val="nil"/>
          <w:insideV w:val="nil"/>
        </w:tcBorders>
        <w:shd w:val="clear" w:color="auto" w:fill="C7C6F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015FE5"/>
    <w:rPr>
      <w:rFonts w:eastAsiaTheme="majorEastAsia" w:cstheme="majorBidi"/>
      <w:color w:val="000000" w:themeColor="text1"/>
      <w:lang w:val="en-US" w:eastAsia="en-US"/>
    </w:rPr>
    <w:tblPr>
      <w:tblStyleRowBandSize w:val="1"/>
      <w:tblStyleColBandSize w:val="1"/>
      <w:tblBorders>
        <w:top w:val="single" w:sz="8" w:space="0" w:color="0A7DFF" w:themeColor="accent2"/>
        <w:left w:val="single" w:sz="8" w:space="0" w:color="0A7DFF" w:themeColor="accent2"/>
        <w:bottom w:val="single" w:sz="8" w:space="0" w:color="0A7DFF" w:themeColor="accent2"/>
        <w:right w:val="single" w:sz="8" w:space="0" w:color="0A7DFF" w:themeColor="accent2"/>
      </w:tblBorders>
    </w:tblPr>
    <w:tblStylePr w:type="firstRow">
      <w:rPr>
        <w:sz w:val="24"/>
        <w:szCs w:val="24"/>
      </w:rPr>
      <w:tblPr/>
      <w:tcPr>
        <w:tcBorders>
          <w:top w:val="nil"/>
          <w:left w:val="nil"/>
          <w:bottom w:val="single" w:sz="24" w:space="0" w:color="0A7DFF"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A7DFF" w:themeColor="accent2"/>
          <w:insideH w:val="nil"/>
          <w:insideV w:val="nil"/>
        </w:tcBorders>
        <w:shd w:val="clear" w:color="auto" w:fill="FFFFFF" w:themeFill="background1"/>
      </w:tcPr>
    </w:tblStylePr>
    <w:tblStylePr w:type="lastCol">
      <w:tblPr/>
      <w:tcPr>
        <w:tcBorders>
          <w:top w:val="nil"/>
          <w:left w:val="single" w:sz="8" w:space="0" w:color="0A7DF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2DEFF" w:themeFill="accent2" w:themeFillTint="3F"/>
      </w:tcPr>
    </w:tblStylePr>
    <w:tblStylePr w:type="band1Horz">
      <w:tblPr/>
      <w:tcPr>
        <w:tcBorders>
          <w:top w:val="nil"/>
          <w:bottom w:val="nil"/>
          <w:insideH w:val="nil"/>
          <w:insideV w:val="nil"/>
        </w:tcBorders>
        <w:shd w:val="clear" w:color="auto" w:fill="C2DE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015FE5"/>
    <w:rPr>
      <w:rFonts w:eastAsiaTheme="majorEastAsia" w:cstheme="majorBidi"/>
      <w:color w:val="000000" w:themeColor="text1"/>
      <w:lang w:val="en-US" w:eastAsia="en-US"/>
    </w:rPr>
    <w:tblPr>
      <w:tblStyleRowBandSize w:val="1"/>
      <w:tblStyleColBandSize w:val="1"/>
      <w:tblBorders>
        <w:top w:val="single" w:sz="8" w:space="0" w:color="5AE6FF" w:themeColor="accent3"/>
        <w:left w:val="single" w:sz="8" w:space="0" w:color="5AE6FF" w:themeColor="accent3"/>
        <w:bottom w:val="single" w:sz="8" w:space="0" w:color="5AE6FF" w:themeColor="accent3"/>
        <w:right w:val="single" w:sz="8" w:space="0" w:color="5AE6FF" w:themeColor="accent3"/>
      </w:tblBorders>
    </w:tblPr>
    <w:tblStylePr w:type="firstRow">
      <w:rPr>
        <w:sz w:val="24"/>
        <w:szCs w:val="24"/>
      </w:rPr>
      <w:tblPr/>
      <w:tcPr>
        <w:tcBorders>
          <w:top w:val="nil"/>
          <w:left w:val="nil"/>
          <w:bottom w:val="single" w:sz="24" w:space="0" w:color="5AE6FF"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AE6FF" w:themeColor="accent3"/>
          <w:insideH w:val="nil"/>
          <w:insideV w:val="nil"/>
        </w:tcBorders>
        <w:shd w:val="clear" w:color="auto" w:fill="FFFFFF" w:themeFill="background1"/>
      </w:tcPr>
    </w:tblStylePr>
    <w:tblStylePr w:type="lastCol">
      <w:tblPr/>
      <w:tcPr>
        <w:tcBorders>
          <w:top w:val="nil"/>
          <w:left w:val="single" w:sz="8" w:space="0" w:color="5AE6F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F8FF" w:themeFill="accent3" w:themeFillTint="3F"/>
      </w:tcPr>
    </w:tblStylePr>
    <w:tblStylePr w:type="band1Horz">
      <w:tblPr/>
      <w:tcPr>
        <w:tcBorders>
          <w:top w:val="nil"/>
          <w:bottom w:val="nil"/>
          <w:insideH w:val="nil"/>
          <w:insideV w:val="nil"/>
        </w:tcBorders>
        <w:shd w:val="clear" w:color="auto" w:fill="D6F8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015FE5"/>
    <w:rPr>
      <w:rFonts w:eastAsiaTheme="majorEastAsia" w:cstheme="majorBidi"/>
      <w:color w:val="000000" w:themeColor="text1"/>
      <w:lang w:val="en-US" w:eastAsia="en-US"/>
    </w:rPr>
    <w:tblPr>
      <w:tblStyleRowBandSize w:val="1"/>
      <w:tblStyleColBandSize w:val="1"/>
      <w:tblBorders>
        <w:top w:val="single" w:sz="8" w:space="0" w:color="001E55" w:themeColor="accent4"/>
        <w:left w:val="single" w:sz="8" w:space="0" w:color="001E55" w:themeColor="accent4"/>
        <w:bottom w:val="single" w:sz="8" w:space="0" w:color="001E55" w:themeColor="accent4"/>
        <w:right w:val="single" w:sz="8" w:space="0" w:color="001E55" w:themeColor="accent4"/>
      </w:tblBorders>
    </w:tblPr>
    <w:tblStylePr w:type="firstRow">
      <w:rPr>
        <w:sz w:val="24"/>
        <w:szCs w:val="24"/>
      </w:rPr>
      <w:tblPr/>
      <w:tcPr>
        <w:tcBorders>
          <w:top w:val="nil"/>
          <w:left w:val="nil"/>
          <w:bottom w:val="single" w:sz="24" w:space="0" w:color="001E55"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1E55" w:themeColor="accent4"/>
          <w:insideH w:val="nil"/>
          <w:insideV w:val="nil"/>
        </w:tcBorders>
        <w:shd w:val="clear" w:color="auto" w:fill="FFFFFF" w:themeFill="background1"/>
      </w:tcPr>
    </w:tblStylePr>
    <w:tblStylePr w:type="lastCol">
      <w:tblPr/>
      <w:tcPr>
        <w:tcBorders>
          <w:top w:val="nil"/>
          <w:left w:val="single" w:sz="8" w:space="0" w:color="001E5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6BBFF" w:themeFill="accent4" w:themeFillTint="3F"/>
      </w:tcPr>
    </w:tblStylePr>
    <w:tblStylePr w:type="band1Horz">
      <w:tblPr/>
      <w:tcPr>
        <w:tcBorders>
          <w:top w:val="nil"/>
          <w:bottom w:val="nil"/>
          <w:insideH w:val="nil"/>
          <w:insideV w:val="nil"/>
        </w:tcBorders>
        <w:shd w:val="clear" w:color="auto" w:fill="96BB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015FE5"/>
    <w:rPr>
      <w:rFonts w:eastAsiaTheme="majorEastAsia" w:cstheme="majorBidi"/>
      <w:color w:val="000000" w:themeColor="text1"/>
      <w:lang w:val="en-US" w:eastAsia="en-US"/>
    </w:rPr>
    <w:tblPr>
      <w:tblStyleRowBandSize w:val="1"/>
      <w:tblStyleColBandSize w:val="1"/>
      <w:tblBorders>
        <w:top w:val="single" w:sz="8" w:space="0" w:color="A5A5A5" w:themeColor="accent5"/>
        <w:left w:val="single" w:sz="8" w:space="0" w:color="A5A5A5" w:themeColor="accent5"/>
        <w:bottom w:val="single" w:sz="8" w:space="0" w:color="A5A5A5" w:themeColor="accent5"/>
        <w:right w:val="single" w:sz="8" w:space="0" w:color="A5A5A5" w:themeColor="accent5"/>
      </w:tblBorders>
    </w:tblPr>
    <w:tblStylePr w:type="firstRow">
      <w:rPr>
        <w:sz w:val="24"/>
        <w:szCs w:val="24"/>
      </w:rPr>
      <w:tblPr/>
      <w:tcPr>
        <w:tcBorders>
          <w:top w:val="nil"/>
          <w:left w:val="nil"/>
          <w:bottom w:val="single" w:sz="24" w:space="0" w:color="A5A5A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5"/>
          <w:insideH w:val="nil"/>
          <w:insideV w:val="nil"/>
        </w:tcBorders>
        <w:shd w:val="clear" w:color="auto" w:fill="FFFFFF" w:themeFill="background1"/>
      </w:tcPr>
    </w:tblStylePr>
    <w:tblStylePr w:type="lastCol">
      <w:tblPr/>
      <w:tcPr>
        <w:tcBorders>
          <w:top w:val="nil"/>
          <w:left w:val="single" w:sz="8" w:space="0" w:color="A5A5A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5" w:themeFillTint="3F"/>
      </w:tcPr>
    </w:tblStylePr>
    <w:tblStylePr w:type="band1Horz">
      <w:tblPr/>
      <w:tcPr>
        <w:tcBorders>
          <w:top w:val="nil"/>
          <w:bottom w:val="nil"/>
          <w:insideH w:val="nil"/>
          <w:insideV w:val="nil"/>
        </w:tcBorders>
        <w:shd w:val="clear" w:color="auto" w:fill="E8E8E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015FE5"/>
    <w:rPr>
      <w:rFonts w:eastAsiaTheme="majorEastAsia" w:cstheme="majorBidi"/>
      <w:color w:val="000000" w:themeColor="text1"/>
      <w:lang w:val="en-US" w:eastAsia="en-US"/>
    </w:rPr>
    <w:tblPr>
      <w:tblStyleRowBandSize w:val="1"/>
      <w:tblStyleColBandSize w:val="1"/>
      <w:tblBorders>
        <w:top w:val="single" w:sz="8" w:space="0" w:color="C8C8C8" w:themeColor="accent6"/>
        <w:left w:val="single" w:sz="8" w:space="0" w:color="C8C8C8" w:themeColor="accent6"/>
        <w:bottom w:val="single" w:sz="8" w:space="0" w:color="C8C8C8" w:themeColor="accent6"/>
        <w:right w:val="single" w:sz="8" w:space="0" w:color="C8C8C8" w:themeColor="accent6"/>
      </w:tblBorders>
    </w:tblPr>
    <w:tblStylePr w:type="firstRow">
      <w:rPr>
        <w:sz w:val="24"/>
        <w:szCs w:val="24"/>
      </w:rPr>
      <w:tblPr/>
      <w:tcPr>
        <w:tcBorders>
          <w:top w:val="nil"/>
          <w:left w:val="nil"/>
          <w:bottom w:val="single" w:sz="24" w:space="0" w:color="C8C8C8"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8C8C8" w:themeColor="accent6"/>
          <w:insideH w:val="nil"/>
          <w:insideV w:val="nil"/>
        </w:tcBorders>
        <w:shd w:val="clear" w:color="auto" w:fill="FFFFFF" w:themeFill="background1"/>
      </w:tcPr>
    </w:tblStylePr>
    <w:tblStylePr w:type="lastCol">
      <w:tblPr/>
      <w:tcPr>
        <w:tcBorders>
          <w:top w:val="nil"/>
          <w:left w:val="single" w:sz="8" w:space="0" w:color="C8C8C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1F1F1" w:themeFill="accent6" w:themeFillTint="3F"/>
      </w:tcPr>
    </w:tblStylePr>
    <w:tblStylePr w:type="band1Horz">
      <w:tblPr/>
      <w:tcPr>
        <w:tcBorders>
          <w:top w:val="nil"/>
          <w:bottom w:val="nil"/>
          <w:insideH w:val="nil"/>
          <w:insideV w:val="nil"/>
        </w:tcBorders>
        <w:shd w:val="clear" w:color="auto" w:fill="F1F1F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015FE5"/>
    <w:rPr>
      <w:lang w:val="en-US"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015FE5"/>
    <w:rPr>
      <w:lang w:val="en-US" w:eastAsia="en-US"/>
    </w:rPr>
    <w:tblPr>
      <w:tblStyleRowBandSize w:val="1"/>
      <w:tblStyleColBandSize w:val="1"/>
      <w:tblBorders>
        <w:top w:val="single" w:sz="8" w:space="0" w:color="5653E7" w:themeColor="accent1" w:themeTint="BF"/>
        <w:left w:val="single" w:sz="8" w:space="0" w:color="5653E7" w:themeColor="accent1" w:themeTint="BF"/>
        <w:bottom w:val="single" w:sz="8" w:space="0" w:color="5653E7" w:themeColor="accent1" w:themeTint="BF"/>
        <w:right w:val="single" w:sz="8" w:space="0" w:color="5653E7" w:themeColor="accent1" w:themeTint="BF"/>
        <w:insideH w:val="single" w:sz="8" w:space="0" w:color="5653E7" w:themeColor="accent1" w:themeTint="BF"/>
      </w:tblBorders>
    </w:tblPr>
    <w:tblStylePr w:type="firstRow">
      <w:pPr>
        <w:spacing w:before="0" w:after="0" w:line="240" w:lineRule="auto"/>
      </w:pPr>
      <w:rPr>
        <w:b/>
        <w:bCs/>
        <w:color w:val="FFFFFF" w:themeColor="background1"/>
      </w:rPr>
      <w:tblPr/>
      <w:tcPr>
        <w:tcBorders>
          <w:top w:val="single" w:sz="8" w:space="0" w:color="5653E7" w:themeColor="accent1" w:themeTint="BF"/>
          <w:left w:val="single" w:sz="8" w:space="0" w:color="5653E7" w:themeColor="accent1" w:themeTint="BF"/>
          <w:bottom w:val="single" w:sz="8" w:space="0" w:color="5653E7" w:themeColor="accent1" w:themeTint="BF"/>
          <w:right w:val="single" w:sz="8" w:space="0" w:color="5653E7" w:themeColor="accent1" w:themeTint="BF"/>
          <w:insideH w:val="nil"/>
          <w:insideV w:val="nil"/>
        </w:tcBorders>
        <w:shd w:val="clear" w:color="auto" w:fill="231EDC" w:themeFill="accent1"/>
      </w:tcPr>
    </w:tblStylePr>
    <w:tblStylePr w:type="lastRow">
      <w:pPr>
        <w:spacing w:before="0" w:after="0" w:line="240" w:lineRule="auto"/>
      </w:pPr>
      <w:rPr>
        <w:b/>
        <w:bCs/>
      </w:rPr>
      <w:tblPr/>
      <w:tcPr>
        <w:tcBorders>
          <w:top w:val="double" w:sz="6" w:space="0" w:color="5653E7" w:themeColor="accent1" w:themeTint="BF"/>
          <w:left w:val="single" w:sz="8" w:space="0" w:color="5653E7" w:themeColor="accent1" w:themeTint="BF"/>
          <w:bottom w:val="single" w:sz="8" w:space="0" w:color="5653E7" w:themeColor="accent1" w:themeTint="BF"/>
          <w:right w:val="single" w:sz="8" w:space="0" w:color="5653E7" w:themeColor="accent1" w:themeTint="BF"/>
          <w:insideH w:val="nil"/>
          <w:insideV w:val="nil"/>
        </w:tcBorders>
      </w:tcPr>
    </w:tblStylePr>
    <w:tblStylePr w:type="firstCol">
      <w:rPr>
        <w:b/>
        <w:bCs/>
      </w:rPr>
    </w:tblStylePr>
    <w:tblStylePr w:type="lastCol">
      <w:rPr>
        <w:b/>
        <w:bCs/>
      </w:rPr>
    </w:tblStylePr>
    <w:tblStylePr w:type="band1Vert">
      <w:tblPr/>
      <w:tcPr>
        <w:shd w:val="clear" w:color="auto" w:fill="C7C6F7" w:themeFill="accent1" w:themeFillTint="3F"/>
      </w:tcPr>
    </w:tblStylePr>
    <w:tblStylePr w:type="band1Horz">
      <w:tblPr/>
      <w:tcPr>
        <w:tcBorders>
          <w:insideH w:val="nil"/>
          <w:insideV w:val="nil"/>
        </w:tcBorders>
        <w:shd w:val="clear" w:color="auto" w:fill="C7C6F7"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015FE5"/>
    <w:rPr>
      <w:lang w:val="en-US" w:eastAsia="en-US"/>
    </w:rPr>
    <w:tblPr>
      <w:tblStyleRowBandSize w:val="1"/>
      <w:tblStyleColBandSize w:val="1"/>
      <w:tblBorders>
        <w:top w:val="single" w:sz="8" w:space="0" w:color="479DFF" w:themeColor="accent2" w:themeTint="BF"/>
        <w:left w:val="single" w:sz="8" w:space="0" w:color="479DFF" w:themeColor="accent2" w:themeTint="BF"/>
        <w:bottom w:val="single" w:sz="8" w:space="0" w:color="479DFF" w:themeColor="accent2" w:themeTint="BF"/>
        <w:right w:val="single" w:sz="8" w:space="0" w:color="479DFF" w:themeColor="accent2" w:themeTint="BF"/>
        <w:insideH w:val="single" w:sz="8" w:space="0" w:color="479DFF" w:themeColor="accent2" w:themeTint="BF"/>
      </w:tblBorders>
    </w:tblPr>
    <w:tblStylePr w:type="firstRow">
      <w:pPr>
        <w:spacing w:before="0" w:after="0" w:line="240" w:lineRule="auto"/>
      </w:pPr>
      <w:rPr>
        <w:b/>
        <w:bCs/>
        <w:color w:val="FFFFFF" w:themeColor="background1"/>
      </w:rPr>
      <w:tblPr/>
      <w:tcPr>
        <w:tcBorders>
          <w:top w:val="single" w:sz="8" w:space="0" w:color="479DFF" w:themeColor="accent2" w:themeTint="BF"/>
          <w:left w:val="single" w:sz="8" w:space="0" w:color="479DFF" w:themeColor="accent2" w:themeTint="BF"/>
          <w:bottom w:val="single" w:sz="8" w:space="0" w:color="479DFF" w:themeColor="accent2" w:themeTint="BF"/>
          <w:right w:val="single" w:sz="8" w:space="0" w:color="479DFF" w:themeColor="accent2" w:themeTint="BF"/>
          <w:insideH w:val="nil"/>
          <w:insideV w:val="nil"/>
        </w:tcBorders>
        <w:shd w:val="clear" w:color="auto" w:fill="0A7DFF" w:themeFill="accent2"/>
      </w:tcPr>
    </w:tblStylePr>
    <w:tblStylePr w:type="lastRow">
      <w:pPr>
        <w:spacing w:before="0" w:after="0" w:line="240" w:lineRule="auto"/>
      </w:pPr>
      <w:rPr>
        <w:b/>
        <w:bCs/>
      </w:rPr>
      <w:tblPr/>
      <w:tcPr>
        <w:tcBorders>
          <w:top w:val="double" w:sz="6" w:space="0" w:color="479DFF" w:themeColor="accent2" w:themeTint="BF"/>
          <w:left w:val="single" w:sz="8" w:space="0" w:color="479DFF" w:themeColor="accent2" w:themeTint="BF"/>
          <w:bottom w:val="single" w:sz="8" w:space="0" w:color="479DFF" w:themeColor="accent2" w:themeTint="BF"/>
          <w:right w:val="single" w:sz="8" w:space="0" w:color="479D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C2DEFF" w:themeFill="accent2" w:themeFillTint="3F"/>
      </w:tcPr>
    </w:tblStylePr>
    <w:tblStylePr w:type="band1Horz">
      <w:tblPr/>
      <w:tcPr>
        <w:tcBorders>
          <w:insideH w:val="nil"/>
          <w:insideV w:val="nil"/>
        </w:tcBorders>
        <w:shd w:val="clear" w:color="auto" w:fill="C2DE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015FE5"/>
    <w:rPr>
      <w:lang w:val="en-US" w:eastAsia="en-US"/>
    </w:rPr>
    <w:tblPr>
      <w:tblStyleRowBandSize w:val="1"/>
      <w:tblStyleColBandSize w:val="1"/>
      <w:tblBorders>
        <w:top w:val="single" w:sz="8" w:space="0" w:color="83ECFF" w:themeColor="accent3" w:themeTint="BF"/>
        <w:left w:val="single" w:sz="8" w:space="0" w:color="83ECFF" w:themeColor="accent3" w:themeTint="BF"/>
        <w:bottom w:val="single" w:sz="8" w:space="0" w:color="83ECFF" w:themeColor="accent3" w:themeTint="BF"/>
        <w:right w:val="single" w:sz="8" w:space="0" w:color="83ECFF" w:themeColor="accent3" w:themeTint="BF"/>
        <w:insideH w:val="single" w:sz="8" w:space="0" w:color="83ECFF" w:themeColor="accent3" w:themeTint="BF"/>
      </w:tblBorders>
    </w:tblPr>
    <w:tblStylePr w:type="firstRow">
      <w:pPr>
        <w:spacing w:before="0" w:after="0" w:line="240" w:lineRule="auto"/>
      </w:pPr>
      <w:rPr>
        <w:b/>
        <w:bCs/>
        <w:color w:val="FFFFFF" w:themeColor="background1"/>
      </w:rPr>
      <w:tblPr/>
      <w:tcPr>
        <w:tcBorders>
          <w:top w:val="single" w:sz="8" w:space="0" w:color="83ECFF" w:themeColor="accent3" w:themeTint="BF"/>
          <w:left w:val="single" w:sz="8" w:space="0" w:color="83ECFF" w:themeColor="accent3" w:themeTint="BF"/>
          <w:bottom w:val="single" w:sz="8" w:space="0" w:color="83ECFF" w:themeColor="accent3" w:themeTint="BF"/>
          <w:right w:val="single" w:sz="8" w:space="0" w:color="83ECFF" w:themeColor="accent3" w:themeTint="BF"/>
          <w:insideH w:val="nil"/>
          <w:insideV w:val="nil"/>
        </w:tcBorders>
        <w:shd w:val="clear" w:color="auto" w:fill="5AE6FF" w:themeFill="accent3"/>
      </w:tcPr>
    </w:tblStylePr>
    <w:tblStylePr w:type="lastRow">
      <w:pPr>
        <w:spacing w:before="0" w:after="0" w:line="240" w:lineRule="auto"/>
      </w:pPr>
      <w:rPr>
        <w:b/>
        <w:bCs/>
      </w:rPr>
      <w:tblPr/>
      <w:tcPr>
        <w:tcBorders>
          <w:top w:val="double" w:sz="6" w:space="0" w:color="83ECFF" w:themeColor="accent3" w:themeTint="BF"/>
          <w:left w:val="single" w:sz="8" w:space="0" w:color="83ECFF" w:themeColor="accent3" w:themeTint="BF"/>
          <w:bottom w:val="single" w:sz="8" w:space="0" w:color="83ECFF" w:themeColor="accent3" w:themeTint="BF"/>
          <w:right w:val="single" w:sz="8" w:space="0" w:color="83EC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D6F8FF" w:themeFill="accent3" w:themeFillTint="3F"/>
      </w:tcPr>
    </w:tblStylePr>
    <w:tblStylePr w:type="band1Horz">
      <w:tblPr/>
      <w:tcPr>
        <w:tcBorders>
          <w:insideH w:val="nil"/>
          <w:insideV w:val="nil"/>
        </w:tcBorders>
        <w:shd w:val="clear" w:color="auto" w:fill="D6F8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015FE5"/>
    <w:rPr>
      <w:lang w:val="en-US" w:eastAsia="en-US"/>
    </w:rPr>
    <w:tblPr>
      <w:tblStyleRowBandSize w:val="1"/>
      <w:tblStyleColBandSize w:val="1"/>
      <w:tblBorders>
        <w:top w:val="single" w:sz="8" w:space="0" w:color="0043BF" w:themeColor="accent4" w:themeTint="BF"/>
        <w:left w:val="single" w:sz="8" w:space="0" w:color="0043BF" w:themeColor="accent4" w:themeTint="BF"/>
        <w:bottom w:val="single" w:sz="8" w:space="0" w:color="0043BF" w:themeColor="accent4" w:themeTint="BF"/>
        <w:right w:val="single" w:sz="8" w:space="0" w:color="0043BF" w:themeColor="accent4" w:themeTint="BF"/>
        <w:insideH w:val="single" w:sz="8" w:space="0" w:color="0043BF" w:themeColor="accent4" w:themeTint="BF"/>
      </w:tblBorders>
    </w:tblPr>
    <w:tblStylePr w:type="firstRow">
      <w:pPr>
        <w:spacing w:before="0" w:after="0" w:line="240" w:lineRule="auto"/>
      </w:pPr>
      <w:rPr>
        <w:b/>
        <w:bCs/>
        <w:color w:val="FFFFFF" w:themeColor="background1"/>
      </w:rPr>
      <w:tblPr/>
      <w:tcPr>
        <w:tcBorders>
          <w:top w:val="single" w:sz="8" w:space="0" w:color="0043BF" w:themeColor="accent4" w:themeTint="BF"/>
          <w:left w:val="single" w:sz="8" w:space="0" w:color="0043BF" w:themeColor="accent4" w:themeTint="BF"/>
          <w:bottom w:val="single" w:sz="8" w:space="0" w:color="0043BF" w:themeColor="accent4" w:themeTint="BF"/>
          <w:right w:val="single" w:sz="8" w:space="0" w:color="0043BF" w:themeColor="accent4" w:themeTint="BF"/>
          <w:insideH w:val="nil"/>
          <w:insideV w:val="nil"/>
        </w:tcBorders>
        <w:shd w:val="clear" w:color="auto" w:fill="001E55" w:themeFill="accent4"/>
      </w:tcPr>
    </w:tblStylePr>
    <w:tblStylePr w:type="lastRow">
      <w:pPr>
        <w:spacing w:before="0" w:after="0" w:line="240" w:lineRule="auto"/>
      </w:pPr>
      <w:rPr>
        <w:b/>
        <w:bCs/>
      </w:rPr>
      <w:tblPr/>
      <w:tcPr>
        <w:tcBorders>
          <w:top w:val="double" w:sz="6" w:space="0" w:color="0043BF" w:themeColor="accent4" w:themeTint="BF"/>
          <w:left w:val="single" w:sz="8" w:space="0" w:color="0043BF" w:themeColor="accent4" w:themeTint="BF"/>
          <w:bottom w:val="single" w:sz="8" w:space="0" w:color="0043BF" w:themeColor="accent4" w:themeTint="BF"/>
          <w:right w:val="single" w:sz="8" w:space="0" w:color="0043BF" w:themeColor="accent4" w:themeTint="BF"/>
          <w:insideH w:val="nil"/>
          <w:insideV w:val="nil"/>
        </w:tcBorders>
      </w:tcPr>
    </w:tblStylePr>
    <w:tblStylePr w:type="firstCol">
      <w:rPr>
        <w:b/>
        <w:bCs/>
      </w:rPr>
    </w:tblStylePr>
    <w:tblStylePr w:type="lastCol">
      <w:rPr>
        <w:b/>
        <w:bCs/>
      </w:rPr>
    </w:tblStylePr>
    <w:tblStylePr w:type="band1Vert">
      <w:tblPr/>
      <w:tcPr>
        <w:shd w:val="clear" w:color="auto" w:fill="96BBFF" w:themeFill="accent4" w:themeFillTint="3F"/>
      </w:tcPr>
    </w:tblStylePr>
    <w:tblStylePr w:type="band1Horz">
      <w:tblPr/>
      <w:tcPr>
        <w:tcBorders>
          <w:insideH w:val="nil"/>
          <w:insideV w:val="nil"/>
        </w:tcBorders>
        <w:shd w:val="clear" w:color="auto" w:fill="96BB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015FE5"/>
    <w:rPr>
      <w:lang w:val="en-US" w:eastAsia="en-US"/>
    </w:rPr>
    <w:tblPr>
      <w:tblStyleRowBandSize w:val="1"/>
      <w:tblStyleColBandSize w:val="1"/>
      <w:tblBorders>
        <w:top w:val="single" w:sz="8" w:space="0" w:color="BBBBBB" w:themeColor="accent5" w:themeTint="BF"/>
        <w:left w:val="single" w:sz="8" w:space="0" w:color="BBBBBB" w:themeColor="accent5" w:themeTint="BF"/>
        <w:bottom w:val="single" w:sz="8" w:space="0" w:color="BBBBBB" w:themeColor="accent5" w:themeTint="BF"/>
        <w:right w:val="single" w:sz="8" w:space="0" w:color="BBBBBB" w:themeColor="accent5" w:themeTint="BF"/>
        <w:insideH w:val="single" w:sz="8" w:space="0" w:color="BBBBBB" w:themeColor="accent5" w:themeTint="BF"/>
      </w:tblBorders>
    </w:tblPr>
    <w:tblStylePr w:type="firstRow">
      <w:pPr>
        <w:spacing w:before="0" w:after="0" w:line="240" w:lineRule="auto"/>
      </w:pPr>
      <w:rPr>
        <w:b/>
        <w:bCs/>
        <w:color w:val="FFFFFF" w:themeColor="background1"/>
      </w:rPr>
      <w:tblPr/>
      <w:tcPr>
        <w:tcBorders>
          <w:top w:val="single" w:sz="8" w:space="0" w:color="BBBBBB" w:themeColor="accent5" w:themeTint="BF"/>
          <w:left w:val="single" w:sz="8" w:space="0" w:color="BBBBBB" w:themeColor="accent5" w:themeTint="BF"/>
          <w:bottom w:val="single" w:sz="8" w:space="0" w:color="BBBBBB" w:themeColor="accent5" w:themeTint="BF"/>
          <w:right w:val="single" w:sz="8" w:space="0" w:color="BBBBBB" w:themeColor="accent5" w:themeTint="BF"/>
          <w:insideH w:val="nil"/>
          <w:insideV w:val="nil"/>
        </w:tcBorders>
        <w:shd w:val="clear" w:color="auto" w:fill="A5A5A5" w:themeFill="accent5"/>
      </w:tcPr>
    </w:tblStylePr>
    <w:tblStylePr w:type="lastRow">
      <w:pPr>
        <w:spacing w:before="0" w:after="0" w:line="240" w:lineRule="auto"/>
      </w:pPr>
      <w:rPr>
        <w:b/>
        <w:bCs/>
      </w:rPr>
      <w:tblPr/>
      <w:tcPr>
        <w:tcBorders>
          <w:top w:val="double" w:sz="6" w:space="0" w:color="BBBBBB" w:themeColor="accent5" w:themeTint="BF"/>
          <w:left w:val="single" w:sz="8" w:space="0" w:color="BBBBBB" w:themeColor="accent5" w:themeTint="BF"/>
          <w:bottom w:val="single" w:sz="8" w:space="0" w:color="BBBBBB" w:themeColor="accent5" w:themeTint="BF"/>
          <w:right w:val="single" w:sz="8" w:space="0" w:color="BBBBBB" w:themeColor="accent5"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5" w:themeFillTint="3F"/>
      </w:tcPr>
    </w:tblStylePr>
    <w:tblStylePr w:type="band1Horz">
      <w:tblPr/>
      <w:tcPr>
        <w:tcBorders>
          <w:insideH w:val="nil"/>
          <w:insideV w:val="nil"/>
        </w:tcBorders>
        <w:shd w:val="clear" w:color="auto" w:fill="E8E8E8"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015FE5"/>
    <w:rPr>
      <w:lang w:val="en-US" w:eastAsia="en-US"/>
    </w:rPr>
    <w:tblPr>
      <w:tblStyleRowBandSize w:val="1"/>
      <w:tblStyleColBandSize w:val="1"/>
      <w:tblBorders>
        <w:top w:val="single" w:sz="8" w:space="0" w:color="D5D5D5" w:themeColor="accent6" w:themeTint="BF"/>
        <w:left w:val="single" w:sz="8" w:space="0" w:color="D5D5D5" w:themeColor="accent6" w:themeTint="BF"/>
        <w:bottom w:val="single" w:sz="8" w:space="0" w:color="D5D5D5" w:themeColor="accent6" w:themeTint="BF"/>
        <w:right w:val="single" w:sz="8" w:space="0" w:color="D5D5D5" w:themeColor="accent6" w:themeTint="BF"/>
        <w:insideH w:val="single" w:sz="8" w:space="0" w:color="D5D5D5" w:themeColor="accent6" w:themeTint="BF"/>
      </w:tblBorders>
    </w:tblPr>
    <w:tblStylePr w:type="firstRow">
      <w:pPr>
        <w:spacing w:before="0" w:after="0" w:line="240" w:lineRule="auto"/>
      </w:pPr>
      <w:rPr>
        <w:b/>
        <w:bCs/>
        <w:color w:val="FFFFFF" w:themeColor="background1"/>
      </w:rPr>
      <w:tblPr/>
      <w:tcPr>
        <w:tcBorders>
          <w:top w:val="single" w:sz="8" w:space="0" w:color="D5D5D5" w:themeColor="accent6" w:themeTint="BF"/>
          <w:left w:val="single" w:sz="8" w:space="0" w:color="D5D5D5" w:themeColor="accent6" w:themeTint="BF"/>
          <w:bottom w:val="single" w:sz="8" w:space="0" w:color="D5D5D5" w:themeColor="accent6" w:themeTint="BF"/>
          <w:right w:val="single" w:sz="8" w:space="0" w:color="D5D5D5" w:themeColor="accent6" w:themeTint="BF"/>
          <w:insideH w:val="nil"/>
          <w:insideV w:val="nil"/>
        </w:tcBorders>
        <w:shd w:val="clear" w:color="auto" w:fill="C8C8C8" w:themeFill="accent6"/>
      </w:tcPr>
    </w:tblStylePr>
    <w:tblStylePr w:type="lastRow">
      <w:pPr>
        <w:spacing w:before="0" w:after="0" w:line="240" w:lineRule="auto"/>
      </w:pPr>
      <w:rPr>
        <w:b/>
        <w:bCs/>
      </w:rPr>
      <w:tblPr/>
      <w:tcPr>
        <w:tcBorders>
          <w:top w:val="double" w:sz="6" w:space="0" w:color="D5D5D5" w:themeColor="accent6" w:themeTint="BF"/>
          <w:left w:val="single" w:sz="8" w:space="0" w:color="D5D5D5" w:themeColor="accent6" w:themeTint="BF"/>
          <w:bottom w:val="single" w:sz="8" w:space="0" w:color="D5D5D5" w:themeColor="accent6" w:themeTint="BF"/>
          <w:right w:val="single" w:sz="8" w:space="0" w:color="D5D5D5" w:themeColor="accent6" w:themeTint="BF"/>
          <w:insideH w:val="nil"/>
          <w:insideV w:val="nil"/>
        </w:tcBorders>
      </w:tcPr>
    </w:tblStylePr>
    <w:tblStylePr w:type="firstCol">
      <w:rPr>
        <w:b/>
        <w:bCs/>
      </w:rPr>
    </w:tblStylePr>
    <w:tblStylePr w:type="lastCol">
      <w:rPr>
        <w:b/>
        <w:bCs/>
      </w:rPr>
    </w:tblStylePr>
    <w:tblStylePr w:type="band1Vert">
      <w:tblPr/>
      <w:tcPr>
        <w:shd w:val="clear" w:color="auto" w:fill="F1F1F1" w:themeFill="accent6" w:themeFillTint="3F"/>
      </w:tcPr>
    </w:tblStylePr>
    <w:tblStylePr w:type="band1Horz">
      <w:tblPr/>
      <w:tcPr>
        <w:tcBorders>
          <w:insideH w:val="nil"/>
          <w:insideV w:val="nil"/>
        </w:tcBorders>
        <w:shd w:val="clear" w:color="auto" w:fill="F1F1F1"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015FE5"/>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015FE5"/>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ED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31EDC" w:themeFill="accent1"/>
      </w:tcPr>
    </w:tblStylePr>
    <w:tblStylePr w:type="lastCol">
      <w:rPr>
        <w:b/>
        <w:bCs/>
        <w:color w:val="FFFFFF" w:themeColor="background1"/>
      </w:rPr>
      <w:tblPr/>
      <w:tcPr>
        <w:tcBorders>
          <w:left w:val="nil"/>
          <w:right w:val="nil"/>
          <w:insideH w:val="nil"/>
          <w:insideV w:val="nil"/>
        </w:tcBorders>
        <w:shd w:val="clear" w:color="auto" w:fill="231ED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015FE5"/>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A7DF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A7DFF" w:themeFill="accent2"/>
      </w:tcPr>
    </w:tblStylePr>
    <w:tblStylePr w:type="lastCol">
      <w:rPr>
        <w:b/>
        <w:bCs/>
        <w:color w:val="FFFFFF" w:themeColor="background1"/>
      </w:rPr>
      <w:tblPr/>
      <w:tcPr>
        <w:tcBorders>
          <w:left w:val="nil"/>
          <w:right w:val="nil"/>
          <w:insideH w:val="nil"/>
          <w:insideV w:val="nil"/>
        </w:tcBorders>
        <w:shd w:val="clear" w:color="auto" w:fill="0A7DF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015FE5"/>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AE6F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AE6FF" w:themeFill="accent3"/>
      </w:tcPr>
    </w:tblStylePr>
    <w:tblStylePr w:type="lastCol">
      <w:rPr>
        <w:b/>
        <w:bCs/>
        <w:color w:val="FFFFFF" w:themeColor="background1"/>
      </w:rPr>
      <w:tblPr/>
      <w:tcPr>
        <w:tcBorders>
          <w:left w:val="nil"/>
          <w:right w:val="nil"/>
          <w:insideH w:val="nil"/>
          <w:insideV w:val="nil"/>
        </w:tcBorders>
        <w:shd w:val="clear" w:color="auto" w:fill="5AE6F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015FE5"/>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1E5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1E55" w:themeFill="accent4"/>
      </w:tcPr>
    </w:tblStylePr>
    <w:tblStylePr w:type="lastCol">
      <w:rPr>
        <w:b/>
        <w:bCs/>
        <w:color w:val="FFFFFF" w:themeColor="background1"/>
      </w:rPr>
      <w:tblPr/>
      <w:tcPr>
        <w:tcBorders>
          <w:left w:val="nil"/>
          <w:right w:val="nil"/>
          <w:insideH w:val="nil"/>
          <w:insideV w:val="nil"/>
        </w:tcBorders>
        <w:shd w:val="clear" w:color="auto" w:fill="001E5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015FE5"/>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5"/>
      </w:tcPr>
    </w:tblStylePr>
    <w:tblStylePr w:type="lastCol">
      <w:rPr>
        <w:b/>
        <w:bCs/>
        <w:color w:val="FFFFFF" w:themeColor="background1"/>
      </w:rPr>
      <w:tblPr/>
      <w:tcPr>
        <w:tcBorders>
          <w:left w:val="nil"/>
          <w:right w:val="nil"/>
          <w:insideH w:val="nil"/>
          <w:insideV w:val="nil"/>
        </w:tcBorders>
        <w:shd w:val="clear" w:color="auto" w:fill="A5A5A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015FE5"/>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8C8C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8C8C8" w:themeFill="accent6"/>
      </w:tcPr>
    </w:tblStylePr>
    <w:tblStylePr w:type="lastCol">
      <w:rPr>
        <w:b/>
        <w:bCs/>
        <w:color w:val="FFFFFF" w:themeColor="background1"/>
      </w:rPr>
      <w:tblPr/>
      <w:tcPr>
        <w:tcBorders>
          <w:left w:val="nil"/>
          <w:right w:val="nil"/>
          <w:insideH w:val="nil"/>
          <w:insideV w:val="nil"/>
        </w:tcBorders>
        <w:shd w:val="clear" w:color="auto" w:fill="C8C8C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unhideWhenUsed/>
    <w:rsid w:val="00015FE5"/>
    <w:rPr>
      <w:color w:val="2B579A"/>
      <w:shd w:val="clear" w:color="auto" w:fill="E6E6E6"/>
    </w:rPr>
  </w:style>
  <w:style w:type="paragraph" w:styleId="MessageHeader">
    <w:name w:val="Message Header"/>
    <w:basedOn w:val="Normal"/>
    <w:link w:val="MessageHeaderChar"/>
    <w:uiPriority w:val="99"/>
    <w:semiHidden/>
    <w:unhideWhenUsed/>
    <w:rsid w:val="00015FE5"/>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015FE5"/>
    <w:rPr>
      <w:rFonts w:asciiTheme="minorHAnsi" w:eastAsiaTheme="majorEastAsia" w:hAnsiTheme="minorHAnsi" w:cstheme="majorBidi"/>
      <w:sz w:val="24"/>
      <w:szCs w:val="24"/>
      <w:shd w:val="pct20" w:color="auto" w:fill="auto"/>
      <w:lang w:val="en-US" w:eastAsia="en-US"/>
    </w:rPr>
  </w:style>
  <w:style w:type="paragraph" w:styleId="NormalWeb">
    <w:name w:val="Normal (Web)"/>
    <w:basedOn w:val="Normal"/>
    <w:uiPriority w:val="99"/>
    <w:unhideWhenUsed/>
    <w:rsid w:val="00015FE5"/>
    <w:rPr>
      <w:rFonts w:ascii="Times New Roman" w:hAnsi="Times New Roman" w:cs="Times New Roman"/>
      <w:sz w:val="24"/>
      <w:szCs w:val="24"/>
    </w:rPr>
  </w:style>
  <w:style w:type="paragraph" w:styleId="NormalIndent">
    <w:name w:val="Normal Indent"/>
    <w:basedOn w:val="Normal"/>
    <w:uiPriority w:val="99"/>
    <w:semiHidden/>
    <w:unhideWhenUsed/>
    <w:rsid w:val="00015FE5"/>
    <w:pPr>
      <w:ind w:left="720"/>
    </w:pPr>
  </w:style>
  <w:style w:type="paragraph" w:styleId="NoteHeading">
    <w:name w:val="Note Heading"/>
    <w:basedOn w:val="Normal"/>
    <w:next w:val="Normal"/>
    <w:link w:val="NoteHeadingChar"/>
    <w:uiPriority w:val="99"/>
    <w:semiHidden/>
    <w:unhideWhenUsed/>
    <w:rsid w:val="00015FE5"/>
  </w:style>
  <w:style w:type="character" w:customStyle="1" w:styleId="NoteHeadingChar">
    <w:name w:val="Note Heading Char"/>
    <w:basedOn w:val="DefaultParagraphFont"/>
    <w:link w:val="NoteHeading"/>
    <w:uiPriority w:val="99"/>
    <w:semiHidden/>
    <w:rsid w:val="00015FE5"/>
    <w:rPr>
      <w:rFonts w:asciiTheme="minorHAnsi" w:hAnsiTheme="minorHAnsi"/>
      <w:lang w:val="en-US" w:eastAsia="en-US"/>
    </w:rPr>
  </w:style>
  <w:style w:type="character" w:styleId="PageNumber">
    <w:name w:val="page number"/>
    <w:basedOn w:val="DefaultParagraphFont"/>
    <w:uiPriority w:val="99"/>
    <w:semiHidden/>
    <w:unhideWhenUsed/>
    <w:rsid w:val="00015FE5"/>
  </w:style>
  <w:style w:type="table" w:styleId="PlainTable2">
    <w:name w:val="Plain Table 2"/>
    <w:basedOn w:val="TableNormal"/>
    <w:uiPriority w:val="42"/>
    <w:rsid w:val="00015FE5"/>
    <w:rPr>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015FE5"/>
    <w:rPr>
      <w:lang w:val="en-US"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15FE5"/>
    <w:rPr>
      <w:lang w:val="en-US"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015FE5"/>
    <w:rPr>
      <w:rFonts w:ascii="Consolas" w:hAnsi="Consolas"/>
      <w:sz w:val="21"/>
      <w:szCs w:val="21"/>
    </w:rPr>
  </w:style>
  <w:style w:type="character" w:customStyle="1" w:styleId="PlainTextChar">
    <w:name w:val="Plain Text Char"/>
    <w:basedOn w:val="DefaultParagraphFont"/>
    <w:link w:val="PlainText"/>
    <w:uiPriority w:val="99"/>
    <w:semiHidden/>
    <w:rsid w:val="00015FE5"/>
    <w:rPr>
      <w:rFonts w:ascii="Consolas" w:hAnsi="Consolas"/>
      <w:sz w:val="21"/>
      <w:szCs w:val="21"/>
      <w:lang w:val="en-US" w:eastAsia="en-US"/>
    </w:rPr>
  </w:style>
  <w:style w:type="paragraph" w:styleId="Quote">
    <w:name w:val="Quote"/>
    <w:basedOn w:val="Normal"/>
    <w:next w:val="Normal"/>
    <w:link w:val="QuoteChar"/>
    <w:uiPriority w:val="99"/>
    <w:semiHidden/>
    <w:rsid w:val="00015FE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99"/>
    <w:semiHidden/>
    <w:rsid w:val="00015FE5"/>
    <w:rPr>
      <w:rFonts w:asciiTheme="minorHAnsi" w:hAnsiTheme="minorHAnsi"/>
      <w:i/>
      <w:iCs/>
      <w:color w:val="404040" w:themeColor="text1" w:themeTint="BF"/>
      <w:lang w:val="en-US" w:eastAsia="en-US"/>
    </w:rPr>
  </w:style>
  <w:style w:type="paragraph" w:styleId="Salutation">
    <w:name w:val="Salutation"/>
    <w:basedOn w:val="Normal"/>
    <w:next w:val="Normal"/>
    <w:link w:val="SalutationChar"/>
    <w:uiPriority w:val="99"/>
    <w:semiHidden/>
    <w:unhideWhenUsed/>
    <w:rsid w:val="00015FE5"/>
  </w:style>
  <w:style w:type="character" w:customStyle="1" w:styleId="SalutationChar">
    <w:name w:val="Salutation Char"/>
    <w:basedOn w:val="DefaultParagraphFont"/>
    <w:link w:val="Salutation"/>
    <w:uiPriority w:val="99"/>
    <w:semiHidden/>
    <w:rsid w:val="00015FE5"/>
    <w:rPr>
      <w:rFonts w:asciiTheme="minorHAnsi" w:hAnsiTheme="minorHAnsi"/>
      <w:lang w:val="en-US" w:eastAsia="en-US"/>
    </w:rPr>
  </w:style>
  <w:style w:type="paragraph" w:styleId="Signature">
    <w:name w:val="Signature"/>
    <w:basedOn w:val="Normal"/>
    <w:link w:val="SignatureChar"/>
    <w:uiPriority w:val="99"/>
    <w:semiHidden/>
    <w:unhideWhenUsed/>
    <w:rsid w:val="00015FE5"/>
    <w:pPr>
      <w:ind w:left="4252"/>
    </w:pPr>
  </w:style>
  <w:style w:type="character" w:customStyle="1" w:styleId="SignatureChar">
    <w:name w:val="Signature Char"/>
    <w:basedOn w:val="DefaultParagraphFont"/>
    <w:link w:val="Signature"/>
    <w:uiPriority w:val="99"/>
    <w:semiHidden/>
    <w:rsid w:val="00015FE5"/>
    <w:rPr>
      <w:rFonts w:asciiTheme="minorHAnsi" w:hAnsiTheme="minorHAnsi"/>
      <w:lang w:val="en-US" w:eastAsia="en-US"/>
    </w:rPr>
  </w:style>
  <w:style w:type="character" w:styleId="SmartHyperlink">
    <w:name w:val="Smart Hyperlink"/>
    <w:basedOn w:val="DefaultParagraphFont"/>
    <w:uiPriority w:val="99"/>
    <w:semiHidden/>
    <w:unhideWhenUsed/>
    <w:rsid w:val="00015FE5"/>
    <w:rPr>
      <w:u w:val="dotted"/>
    </w:rPr>
  </w:style>
  <w:style w:type="character" w:styleId="Strong">
    <w:name w:val="Strong"/>
    <w:basedOn w:val="DefaultParagraphFont"/>
    <w:uiPriority w:val="99"/>
    <w:semiHidden/>
    <w:rsid w:val="00015FE5"/>
    <w:rPr>
      <w:b/>
      <w:bCs/>
    </w:rPr>
  </w:style>
  <w:style w:type="paragraph" w:styleId="Subtitle">
    <w:name w:val="Subtitle"/>
    <w:basedOn w:val="Normal"/>
    <w:next w:val="Normal"/>
    <w:link w:val="SubtitleChar"/>
    <w:uiPriority w:val="99"/>
    <w:semiHidden/>
    <w:rsid w:val="00015FE5"/>
    <w:pPr>
      <w:numPr>
        <w:ilvl w:val="1"/>
      </w:numPr>
      <w:spacing w:after="160"/>
    </w:pPr>
    <w:rPr>
      <w:rFonts w:asciiTheme="majorHAnsi" w:hAnsiTheme="majorHAnsi"/>
      <w:color w:val="5A5A5A" w:themeColor="text1" w:themeTint="A5"/>
      <w:spacing w:val="15"/>
    </w:rPr>
  </w:style>
  <w:style w:type="character" w:customStyle="1" w:styleId="SubtitleChar">
    <w:name w:val="Subtitle Char"/>
    <w:basedOn w:val="DefaultParagraphFont"/>
    <w:link w:val="Subtitle"/>
    <w:uiPriority w:val="99"/>
    <w:semiHidden/>
    <w:rsid w:val="00015FE5"/>
    <w:rPr>
      <w:color w:val="5A5A5A" w:themeColor="text1" w:themeTint="A5"/>
      <w:spacing w:val="15"/>
      <w:lang w:val="en-US" w:eastAsia="en-US"/>
    </w:rPr>
  </w:style>
  <w:style w:type="character" w:styleId="SubtleEmphasis">
    <w:name w:val="Subtle Emphasis"/>
    <w:basedOn w:val="DefaultParagraphFont"/>
    <w:uiPriority w:val="99"/>
    <w:semiHidden/>
    <w:rsid w:val="00015FE5"/>
    <w:rPr>
      <w:i/>
      <w:iCs/>
      <w:color w:val="404040" w:themeColor="text1" w:themeTint="BF"/>
    </w:rPr>
  </w:style>
  <w:style w:type="character" w:styleId="SubtleReference">
    <w:name w:val="Subtle Reference"/>
    <w:basedOn w:val="DefaultParagraphFont"/>
    <w:uiPriority w:val="99"/>
    <w:semiHidden/>
    <w:rsid w:val="00015FE5"/>
    <w:rPr>
      <w:smallCaps/>
      <w:color w:val="5A5A5A" w:themeColor="text1" w:themeTint="A5"/>
    </w:rPr>
  </w:style>
  <w:style w:type="table" w:styleId="Table3Deffects1">
    <w:name w:val="Table 3D effects 1"/>
    <w:basedOn w:val="TableNormal"/>
    <w:uiPriority w:val="99"/>
    <w:semiHidden/>
    <w:unhideWhenUsed/>
    <w:rsid w:val="00015FE5"/>
    <w:rPr>
      <w:lang w:val="en-US"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015FE5"/>
    <w:rPr>
      <w:lang w:val="en-US"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015FE5"/>
    <w:rPr>
      <w:lang w:val="en-US"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015FE5"/>
    <w:rPr>
      <w:lang w:val="en-US"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015FE5"/>
    <w:rPr>
      <w:lang w:val="en-US"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015FE5"/>
    <w:rPr>
      <w:color w:val="000080"/>
      <w:lang w:val="en-US"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015FE5"/>
    <w:rPr>
      <w:lang w:val="en-US"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015FE5"/>
    <w:rPr>
      <w:color w:val="FFFFFF"/>
      <w:lang w:val="en-US"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015FE5"/>
    <w:rPr>
      <w:lang w:val="en-US"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015FE5"/>
    <w:rPr>
      <w:lang w:val="en-US"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015FE5"/>
    <w:rPr>
      <w:b/>
      <w:bCs/>
      <w:lang w:val="en-US"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015FE5"/>
    <w:rPr>
      <w:b/>
      <w:bCs/>
      <w:lang w:val="en-US"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015FE5"/>
    <w:rPr>
      <w:b/>
      <w:bCs/>
      <w:lang w:val="en-US"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015FE5"/>
    <w:rPr>
      <w:lang w:val="en-US"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15FE5"/>
    <w:rPr>
      <w:lang w:val="en-US"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015FE5"/>
    <w:rPr>
      <w:lang w:val="en-US"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015FE5"/>
    <w:rPr>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uiPriority w:val="99"/>
    <w:semiHidden/>
    <w:unhideWhenUsed/>
    <w:rsid w:val="00015FE5"/>
    <w:rPr>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015FE5"/>
    <w:rPr>
      <w:lang w:val="en-US" w:eastAsia="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015FE5"/>
    <w:rPr>
      <w:lang w:val="en-US"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015FE5"/>
    <w:rPr>
      <w:lang w:val="en-US"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015FE5"/>
    <w:rPr>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015FE5"/>
    <w:rPr>
      <w:lang w:val="en-US"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015FE5"/>
    <w:rPr>
      <w:b/>
      <w:bCs/>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015FE5"/>
    <w:rPr>
      <w:lang w:val="en-US"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015FE5"/>
    <w:rPr>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015FE5"/>
    <w:rPr>
      <w:lang w:val="en-US"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015FE5"/>
    <w:rPr>
      <w:lang w:val="en-US"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015FE5"/>
    <w:rPr>
      <w:lang w:val="en-US"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015FE5"/>
    <w:rPr>
      <w:lang w:val="en-US"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015FE5"/>
    <w:rPr>
      <w:lang w:val="en-US"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015FE5"/>
    <w:rPr>
      <w:lang w:val="en-US"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015FE5"/>
    <w:rPr>
      <w:lang w:val="en-US"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015FE5"/>
    <w:rPr>
      <w:lang w:val="en-US"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015FE5"/>
    <w:pPr>
      <w:ind w:left="220" w:hanging="220"/>
    </w:pPr>
  </w:style>
  <w:style w:type="paragraph" w:styleId="TableofFigures">
    <w:name w:val="table of figures"/>
    <w:basedOn w:val="Normal"/>
    <w:next w:val="Normal"/>
    <w:uiPriority w:val="99"/>
    <w:semiHidden/>
    <w:unhideWhenUsed/>
    <w:rsid w:val="00015FE5"/>
  </w:style>
  <w:style w:type="table" w:styleId="TableProfessional">
    <w:name w:val="Table Professional"/>
    <w:basedOn w:val="TableNormal"/>
    <w:uiPriority w:val="99"/>
    <w:semiHidden/>
    <w:unhideWhenUsed/>
    <w:rsid w:val="00015FE5"/>
    <w:rPr>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015FE5"/>
    <w:rPr>
      <w:lang w:val="en-US"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015FE5"/>
    <w:rPr>
      <w:lang w:val="en-US"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015FE5"/>
    <w:rPr>
      <w:lang w:val="en-US"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015FE5"/>
    <w:rPr>
      <w:lang w:val="en-US"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015FE5"/>
    <w:rPr>
      <w:lang w:val="en-US"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015FE5"/>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015FE5"/>
    <w:rPr>
      <w:lang w:val="en-US"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015FE5"/>
    <w:rPr>
      <w:lang w:val="en-US"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015FE5"/>
    <w:rPr>
      <w:lang w:val="en-US"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015FE5"/>
    <w:pPr>
      <w:spacing w:before="120"/>
    </w:pPr>
    <w:rPr>
      <w:rFonts w:eastAsiaTheme="majorEastAsia" w:cstheme="majorBidi"/>
      <w:b/>
      <w:bCs/>
      <w:sz w:val="24"/>
      <w:szCs w:val="24"/>
    </w:rPr>
  </w:style>
  <w:style w:type="paragraph" w:styleId="TOC4">
    <w:name w:val="toc 4"/>
    <w:basedOn w:val="Normal"/>
    <w:next w:val="Normal"/>
    <w:autoRedefine/>
    <w:uiPriority w:val="39"/>
    <w:rsid w:val="001519FB"/>
    <w:pPr>
      <w:tabs>
        <w:tab w:val="right" w:leader="dot" w:pos="9628"/>
      </w:tabs>
      <w:spacing w:after="100"/>
    </w:pPr>
    <w:rPr>
      <w:lang w:val="en-US"/>
    </w:rPr>
  </w:style>
  <w:style w:type="paragraph" w:styleId="TOC5">
    <w:name w:val="toc 5"/>
    <w:basedOn w:val="Normal"/>
    <w:next w:val="Normal"/>
    <w:autoRedefine/>
    <w:uiPriority w:val="99"/>
    <w:semiHidden/>
    <w:rsid w:val="00015FE5"/>
    <w:pPr>
      <w:spacing w:after="100"/>
      <w:ind w:left="880"/>
    </w:pPr>
  </w:style>
  <w:style w:type="paragraph" w:styleId="TOC6">
    <w:name w:val="toc 6"/>
    <w:basedOn w:val="Normal"/>
    <w:next w:val="Normal"/>
    <w:autoRedefine/>
    <w:uiPriority w:val="99"/>
    <w:semiHidden/>
    <w:rsid w:val="00015FE5"/>
    <w:pPr>
      <w:spacing w:after="100"/>
      <w:ind w:left="1100"/>
    </w:pPr>
  </w:style>
  <w:style w:type="paragraph" w:styleId="TOC7">
    <w:name w:val="toc 7"/>
    <w:basedOn w:val="Normal"/>
    <w:next w:val="Normal"/>
    <w:autoRedefine/>
    <w:uiPriority w:val="99"/>
    <w:semiHidden/>
    <w:rsid w:val="00015FE5"/>
    <w:pPr>
      <w:spacing w:after="100"/>
      <w:ind w:left="1320"/>
    </w:pPr>
  </w:style>
  <w:style w:type="paragraph" w:styleId="TOC8">
    <w:name w:val="toc 8"/>
    <w:basedOn w:val="Normal"/>
    <w:next w:val="Normal"/>
    <w:autoRedefine/>
    <w:uiPriority w:val="99"/>
    <w:semiHidden/>
    <w:rsid w:val="00015FE5"/>
    <w:pPr>
      <w:spacing w:after="100"/>
      <w:ind w:left="1540"/>
    </w:pPr>
  </w:style>
  <w:style w:type="paragraph" w:styleId="TOC9">
    <w:name w:val="toc 9"/>
    <w:basedOn w:val="Normal"/>
    <w:next w:val="Normal"/>
    <w:autoRedefine/>
    <w:uiPriority w:val="99"/>
    <w:semiHidden/>
    <w:rsid w:val="00015FE5"/>
    <w:pPr>
      <w:spacing w:after="100"/>
      <w:ind w:left="1760"/>
    </w:pPr>
  </w:style>
  <w:style w:type="character" w:styleId="UnresolvedMention">
    <w:name w:val="Unresolved Mention"/>
    <w:basedOn w:val="DefaultParagraphFont"/>
    <w:uiPriority w:val="99"/>
    <w:unhideWhenUsed/>
    <w:rsid w:val="00015FE5"/>
    <w:rPr>
      <w:color w:val="808080"/>
      <w:shd w:val="clear" w:color="auto" w:fill="E6E6E6"/>
    </w:rPr>
  </w:style>
  <w:style w:type="paragraph" w:customStyle="1" w:styleId="TableNumber2">
    <w:name w:val="Table Number 2"/>
    <w:basedOn w:val="Normal"/>
    <w:uiPriority w:val="5"/>
    <w:qFormat/>
    <w:rsid w:val="00015FE5"/>
    <w:pPr>
      <w:spacing w:before="40" w:after="40"/>
      <w:ind w:left="567" w:hanging="283"/>
    </w:pPr>
    <w:rPr>
      <w:rFonts w:ascii="Jacobs Chronos Cd" w:hAnsi="Jacobs Chronos Cd"/>
      <w:sz w:val="22"/>
    </w:rPr>
  </w:style>
  <w:style w:type="paragraph" w:customStyle="1" w:styleId="InstructionText">
    <w:name w:val="Instruction Text"/>
    <w:basedOn w:val="Normal"/>
    <w:link w:val="InstructionTextChar"/>
    <w:uiPriority w:val="99"/>
    <w:semiHidden/>
    <w:rsid w:val="00015FE5"/>
    <w:pPr>
      <w:spacing w:before="120" w:after="120"/>
    </w:pPr>
    <w:rPr>
      <w:i/>
      <w:color w:val="231EDC" w:themeColor="accent1"/>
      <w:sz w:val="18"/>
    </w:rPr>
  </w:style>
  <w:style w:type="character" w:customStyle="1" w:styleId="InstructionTextChar">
    <w:name w:val="Instruction Text Char"/>
    <w:link w:val="InstructionText"/>
    <w:uiPriority w:val="99"/>
    <w:semiHidden/>
    <w:rsid w:val="00015FE5"/>
    <w:rPr>
      <w:rFonts w:ascii="Arial" w:hAnsi="Arial"/>
      <w:i/>
      <w:color w:val="231EDC" w:themeColor="accent1"/>
      <w:sz w:val="18"/>
      <w:lang w:val="en-US" w:eastAsia="en-US"/>
    </w:rPr>
  </w:style>
  <w:style w:type="character" w:customStyle="1" w:styleId="AdaButton">
    <w:name w:val="AdaButton"/>
    <w:basedOn w:val="DefaultParagraphFont"/>
    <w:uiPriority w:val="99"/>
    <w:semiHidden/>
    <w:rsid w:val="00015FE5"/>
    <w:rPr>
      <w:b w:val="0"/>
      <w:color w:val="CCFFCC"/>
      <w:sz w:val="40"/>
      <w:bdr w:val="single" w:sz="4" w:space="0" w:color="44546A"/>
      <w:shd w:val="clear" w:color="auto" w:fill="999999"/>
    </w:rPr>
  </w:style>
  <w:style w:type="paragraph" w:customStyle="1" w:styleId="FooterHeading">
    <w:name w:val="Footer Heading"/>
    <w:basedOn w:val="Footer"/>
    <w:next w:val="Footer"/>
    <w:uiPriority w:val="99"/>
    <w:semiHidden/>
    <w:rsid w:val="00015FE5"/>
    <w:rPr>
      <w:rFonts w:ascii="Jacobs Chronos Light" w:hAnsi="Jacobs Chronos Light"/>
      <w:b/>
      <w:sz w:val="21"/>
    </w:rPr>
  </w:style>
  <w:style w:type="paragraph" w:customStyle="1" w:styleId="Reference">
    <w:name w:val="Reference"/>
    <w:basedOn w:val="Footer"/>
    <w:uiPriority w:val="99"/>
    <w:semiHidden/>
    <w:rsid w:val="00015FE5"/>
    <w:rPr>
      <w:rFonts w:ascii="Jacobs Chronos Light" w:hAnsi="Jacobs Chronos Light"/>
      <w:sz w:val="13"/>
    </w:rPr>
  </w:style>
  <w:style w:type="paragraph" w:customStyle="1" w:styleId="TableNumber3">
    <w:name w:val="Table Number 3"/>
    <w:basedOn w:val="Normal"/>
    <w:uiPriority w:val="5"/>
    <w:qFormat/>
    <w:rsid w:val="00015FE5"/>
    <w:pPr>
      <w:tabs>
        <w:tab w:val="num" w:pos="567"/>
      </w:tabs>
      <w:spacing w:before="40" w:after="40"/>
      <w:ind w:left="851" w:hanging="284"/>
    </w:pPr>
    <w:rPr>
      <w:rFonts w:ascii="Jacobs Chronos Cd" w:hAnsi="Jacobs Chronos Cd"/>
      <w:sz w:val="22"/>
    </w:rPr>
  </w:style>
  <w:style w:type="paragraph" w:customStyle="1" w:styleId="TableBullet2">
    <w:name w:val="Table Bullet 2"/>
    <w:basedOn w:val="Normal"/>
    <w:uiPriority w:val="6"/>
    <w:qFormat/>
    <w:rsid w:val="00015FE5"/>
    <w:pPr>
      <w:numPr>
        <w:ilvl w:val="1"/>
        <w:numId w:val="17"/>
      </w:numPr>
      <w:spacing w:before="40" w:after="40"/>
    </w:pPr>
    <w:rPr>
      <w:rFonts w:ascii="Jacobs Chronos Cd" w:hAnsi="Jacobs Chronos Cd"/>
      <w:sz w:val="22"/>
    </w:rPr>
  </w:style>
  <w:style w:type="paragraph" w:customStyle="1" w:styleId="TableBullet3">
    <w:name w:val="Table Bullet 3"/>
    <w:basedOn w:val="Normal"/>
    <w:uiPriority w:val="6"/>
    <w:qFormat/>
    <w:rsid w:val="00015FE5"/>
    <w:pPr>
      <w:numPr>
        <w:ilvl w:val="2"/>
        <w:numId w:val="17"/>
      </w:numPr>
      <w:spacing w:before="40" w:after="40"/>
    </w:pPr>
    <w:rPr>
      <w:rFonts w:ascii="Jacobs Chronos Cd" w:hAnsi="Jacobs Chronos Cd"/>
      <w:sz w:val="22"/>
    </w:rPr>
  </w:style>
  <w:style w:type="numbering" w:customStyle="1" w:styleId="TableNumbers">
    <w:name w:val="Table Numbers"/>
    <w:uiPriority w:val="99"/>
    <w:semiHidden/>
    <w:rsid w:val="00015FE5"/>
    <w:pPr>
      <w:numPr>
        <w:numId w:val="16"/>
      </w:numPr>
    </w:pPr>
  </w:style>
  <w:style w:type="numbering" w:customStyle="1" w:styleId="TableBullets">
    <w:name w:val="Table Bullets"/>
    <w:uiPriority w:val="99"/>
    <w:semiHidden/>
    <w:rsid w:val="00015FE5"/>
    <w:pPr>
      <w:numPr>
        <w:numId w:val="9"/>
      </w:numPr>
    </w:pPr>
  </w:style>
  <w:style w:type="numbering" w:customStyle="1" w:styleId="AppendixHeadings">
    <w:name w:val="Appendix Headings"/>
    <w:uiPriority w:val="99"/>
    <w:semiHidden/>
    <w:rsid w:val="00015FE5"/>
    <w:pPr>
      <w:numPr>
        <w:numId w:val="23"/>
      </w:numPr>
    </w:pPr>
  </w:style>
  <w:style w:type="numbering" w:styleId="111111">
    <w:name w:val="Outline List 2"/>
    <w:basedOn w:val="NoList"/>
    <w:uiPriority w:val="99"/>
    <w:semiHidden/>
    <w:unhideWhenUsed/>
    <w:rsid w:val="00015FE5"/>
    <w:pPr>
      <w:numPr>
        <w:numId w:val="6"/>
      </w:numPr>
    </w:pPr>
  </w:style>
  <w:style w:type="numbering" w:styleId="1ai">
    <w:name w:val="Outline List 1"/>
    <w:basedOn w:val="NoList"/>
    <w:uiPriority w:val="99"/>
    <w:semiHidden/>
    <w:unhideWhenUsed/>
    <w:rsid w:val="00015FE5"/>
    <w:pPr>
      <w:numPr>
        <w:numId w:val="7"/>
      </w:numPr>
    </w:pPr>
  </w:style>
  <w:style w:type="character" w:styleId="SmartLink">
    <w:name w:val="Smart Link"/>
    <w:basedOn w:val="DefaultParagraphFont"/>
    <w:uiPriority w:val="99"/>
    <w:semiHidden/>
    <w:unhideWhenUsed/>
    <w:rsid w:val="00015FE5"/>
    <w:rPr>
      <w:color w:val="0000FF"/>
      <w:u w:val="single"/>
      <w:shd w:val="clear" w:color="auto" w:fill="F3F2F1"/>
    </w:rPr>
  </w:style>
  <w:style w:type="numbering" w:customStyle="1" w:styleId="BodyTextNumbering">
    <w:name w:val="Body Text Numbering"/>
    <w:uiPriority w:val="99"/>
    <w:semiHidden/>
    <w:rsid w:val="00015FE5"/>
    <w:pPr>
      <w:numPr>
        <w:numId w:val="19"/>
      </w:numPr>
    </w:pPr>
  </w:style>
  <w:style w:type="numbering" w:customStyle="1" w:styleId="Bullets">
    <w:name w:val="Bullets"/>
    <w:uiPriority w:val="99"/>
    <w:rsid w:val="00015FE5"/>
    <w:pPr>
      <w:numPr>
        <w:numId w:val="12"/>
      </w:numPr>
    </w:pPr>
  </w:style>
  <w:style w:type="paragraph" w:styleId="ListBullet">
    <w:name w:val="List Bullet"/>
    <w:basedOn w:val="Normal"/>
    <w:uiPriority w:val="99"/>
    <w:semiHidden/>
    <w:unhideWhenUsed/>
    <w:rsid w:val="00015FE5"/>
    <w:pPr>
      <w:tabs>
        <w:tab w:val="num" w:pos="360"/>
      </w:tabs>
      <w:ind w:left="360" w:hanging="360"/>
      <w:contextualSpacing/>
    </w:pPr>
  </w:style>
  <w:style w:type="paragraph" w:styleId="ListBullet2">
    <w:name w:val="List Bullet 2"/>
    <w:basedOn w:val="Normal"/>
    <w:uiPriority w:val="99"/>
    <w:semiHidden/>
    <w:unhideWhenUsed/>
    <w:rsid w:val="00015FE5"/>
    <w:pPr>
      <w:tabs>
        <w:tab w:val="num" w:pos="643"/>
      </w:tabs>
      <w:ind w:left="643" w:hanging="360"/>
      <w:contextualSpacing/>
    </w:pPr>
  </w:style>
  <w:style w:type="paragraph" w:styleId="ListBullet3">
    <w:name w:val="List Bullet 3"/>
    <w:basedOn w:val="Normal"/>
    <w:uiPriority w:val="99"/>
    <w:semiHidden/>
    <w:unhideWhenUsed/>
    <w:rsid w:val="00015FE5"/>
    <w:pPr>
      <w:tabs>
        <w:tab w:val="num" w:pos="926"/>
      </w:tabs>
      <w:ind w:left="926" w:hanging="360"/>
      <w:contextualSpacing/>
    </w:pPr>
  </w:style>
  <w:style w:type="paragraph" w:styleId="ListNumber">
    <w:name w:val="List Number"/>
    <w:basedOn w:val="Normal"/>
    <w:uiPriority w:val="99"/>
    <w:semiHidden/>
    <w:unhideWhenUsed/>
    <w:rsid w:val="00015FE5"/>
    <w:pPr>
      <w:tabs>
        <w:tab w:val="num" w:pos="360"/>
      </w:tabs>
      <w:ind w:left="360" w:hanging="360"/>
      <w:contextualSpacing/>
    </w:pPr>
  </w:style>
  <w:style w:type="paragraph" w:styleId="ListNumber2">
    <w:name w:val="List Number 2"/>
    <w:basedOn w:val="Normal"/>
    <w:uiPriority w:val="99"/>
    <w:semiHidden/>
    <w:unhideWhenUsed/>
    <w:rsid w:val="00015FE5"/>
    <w:pPr>
      <w:tabs>
        <w:tab w:val="num" w:pos="643"/>
      </w:tabs>
      <w:ind w:left="643" w:hanging="360"/>
      <w:contextualSpacing/>
    </w:pPr>
  </w:style>
  <w:style w:type="paragraph" w:styleId="ListNumber3">
    <w:name w:val="List Number 3"/>
    <w:basedOn w:val="Normal"/>
    <w:uiPriority w:val="99"/>
    <w:semiHidden/>
    <w:unhideWhenUsed/>
    <w:rsid w:val="00015FE5"/>
    <w:pPr>
      <w:tabs>
        <w:tab w:val="num" w:pos="926"/>
      </w:tabs>
      <w:ind w:left="926" w:hanging="360"/>
      <w:contextualSpacing/>
    </w:pPr>
  </w:style>
  <w:style w:type="paragraph" w:styleId="ListNumber4">
    <w:name w:val="List Number 4"/>
    <w:basedOn w:val="Normal"/>
    <w:uiPriority w:val="99"/>
    <w:semiHidden/>
    <w:unhideWhenUsed/>
    <w:rsid w:val="00015FE5"/>
    <w:pPr>
      <w:tabs>
        <w:tab w:val="num" w:pos="1209"/>
      </w:tabs>
      <w:ind w:left="1209" w:hanging="360"/>
      <w:contextualSpacing/>
    </w:pPr>
  </w:style>
  <w:style w:type="paragraph" w:customStyle="1" w:styleId="LetterSubject">
    <w:name w:val="Letter Subject"/>
    <w:next w:val="Normal"/>
    <w:uiPriority w:val="99"/>
    <w:semiHidden/>
    <w:rsid w:val="00015FE5"/>
    <w:pPr>
      <w:spacing w:after="480"/>
    </w:pPr>
    <w:rPr>
      <w:rFonts w:eastAsiaTheme="majorEastAsia" w:cstheme="majorBidi"/>
      <w:b/>
      <w:szCs w:val="32"/>
      <w:lang w:val="en-US" w:eastAsia="en-US"/>
    </w:rPr>
  </w:style>
  <w:style w:type="paragraph" w:customStyle="1" w:styleId="ProjectDetails">
    <w:name w:val="Project Details"/>
    <w:basedOn w:val="Normal"/>
    <w:next w:val="Normal"/>
    <w:uiPriority w:val="99"/>
    <w:semiHidden/>
    <w:rsid w:val="00015FE5"/>
    <w:pPr>
      <w:spacing w:after="480"/>
      <w:contextualSpacing/>
    </w:pPr>
    <w:rPr>
      <w:rFonts w:eastAsiaTheme="majorEastAsia" w:cstheme="majorBidi"/>
      <w:szCs w:val="32"/>
    </w:rPr>
  </w:style>
  <w:style w:type="paragraph" w:customStyle="1" w:styleId="RecipientDetails">
    <w:name w:val="Recipient Details"/>
    <w:basedOn w:val="Normal"/>
    <w:uiPriority w:val="99"/>
    <w:semiHidden/>
    <w:rsid w:val="00015FE5"/>
    <w:pPr>
      <w:spacing w:before="240" w:after="240"/>
      <w:contextualSpacing/>
    </w:pPr>
  </w:style>
  <w:style w:type="paragraph" w:customStyle="1" w:styleId="LetterDate">
    <w:name w:val="Letter Date"/>
    <w:basedOn w:val="Normal"/>
    <w:uiPriority w:val="99"/>
    <w:semiHidden/>
    <w:rsid w:val="00015FE5"/>
    <w:pPr>
      <w:spacing w:after="240"/>
    </w:pPr>
  </w:style>
  <w:style w:type="paragraph" w:customStyle="1" w:styleId="Copies">
    <w:name w:val="Copies"/>
    <w:basedOn w:val="BodyText"/>
    <w:uiPriority w:val="99"/>
    <w:semiHidden/>
    <w:rsid w:val="00015FE5"/>
    <w:pPr>
      <w:ind w:left="1134" w:hanging="1134"/>
    </w:pPr>
  </w:style>
  <w:style w:type="paragraph" w:customStyle="1" w:styleId="SenderDetails">
    <w:name w:val="Sender Details"/>
    <w:basedOn w:val="Normal"/>
    <w:next w:val="BodyText"/>
    <w:uiPriority w:val="99"/>
    <w:semiHidden/>
    <w:rsid w:val="00015FE5"/>
    <w:pPr>
      <w:spacing w:before="180" w:after="60"/>
      <w:contextualSpacing/>
    </w:pPr>
  </w:style>
  <w:style w:type="paragraph" w:customStyle="1" w:styleId="SenderContactDetails">
    <w:name w:val="Sender Contact Details"/>
    <w:basedOn w:val="Normal"/>
    <w:next w:val="BodyText"/>
    <w:uiPriority w:val="99"/>
    <w:semiHidden/>
    <w:rsid w:val="00015FE5"/>
    <w:pPr>
      <w:spacing w:before="180" w:after="60"/>
      <w:contextualSpacing/>
    </w:pPr>
    <w:rPr>
      <w:sz w:val="16"/>
    </w:rPr>
  </w:style>
  <w:style w:type="paragraph" w:customStyle="1" w:styleId="CVResumeBullet2ndLevel">
    <w:name w:val="CV Resume Bullet 2nd Level"/>
    <w:basedOn w:val="CVResumeBullet"/>
    <w:uiPriority w:val="99"/>
    <w:semiHidden/>
    <w:rsid w:val="00015FE5"/>
    <w:pPr>
      <w:ind w:left="340"/>
    </w:pPr>
  </w:style>
  <w:style w:type="paragraph" w:customStyle="1" w:styleId="CVResumeSubcategoryHeading">
    <w:name w:val="CV Resume Subcategory Heading"/>
    <w:basedOn w:val="Normal"/>
    <w:next w:val="Normal"/>
    <w:uiPriority w:val="99"/>
    <w:semiHidden/>
    <w:rsid w:val="00015FE5"/>
    <w:pPr>
      <w:spacing w:before="120" w:after="120"/>
    </w:pPr>
    <w:rPr>
      <w:rFonts w:asciiTheme="majorHAnsi" w:hAnsiTheme="majorHAnsi"/>
      <w:color w:val="333333"/>
      <w:sz w:val="22"/>
    </w:rPr>
  </w:style>
  <w:style w:type="paragraph" w:customStyle="1" w:styleId="CVResumeTableText">
    <w:name w:val="CV Resume Table Text"/>
    <w:basedOn w:val="Normal"/>
    <w:uiPriority w:val="99"/>
    <w:semiHidden/>
    <w:rsid w:val="00015FE5"/>
    <w:pPr>
      <w:spacing w:after="60"/>
    </w:pPr>
    <w:rPr>
      <w:rFonts w:ascii="Jacobs Chronos Light" w:hAnsi="Jacobs Chronos Light"/>
    </w:rPr>
  </w:style>
  <w:style w:type="paragraph" w:customStyle="1" w:styleId="CVResumeName">
    <w:name w:val="CV Resume Name"/>
    <w:uiPriority w:val="99"/>
    <w:semiHidden/>
    <w:rsid w:val="00015FE5"/>
    <w:pPr>
      <w:spacing w:after="120"/>
      <w:outlineLvl w:val="0"/>
    </w:pPr>
    <w:rPr>
      <w:rFonts w:cs="Jacobs Chronos"/>
      <w:b/>
      <w:color w:val="231EDC" w:themeColor="accent1"/>
      <w:sz w:val="32"/>
      <w:szCs w:val="24"/>
      <w:lang w:val="en-US" w:eastAsia="en-US"/>
    </w:rPr>
  </w:style>
  <w:style w:type="paragraph" w:customStyle="1" w:styleId="CVResumeTitleRole">
    <w:name w:val="CV Resume Title Role"/>
    <w:next w:val="CVResumeHeading"/>
    <w:uiPriority w:val="99"/>
    <w:semiHidden/>
    <w:rsid w:val="00015FE5"/>
    <w:rPr>
      <w:rFonts w:cs="Jacobs Chronos"/>
      <w:sz w:val="28"/>
      <w:szCs w:val="24"/>
      <w:lang w:val="en-US" w:eastAsia="en-US"/>
    </w:rPr>
  </w:style>
  <w:style w:type="paragraph" w:customStyle="1" w:styleId="CVResumeBullet">
    <w:name w:val="CV Resume Bullet"/>
    <w:basedOn w:val="CVResumeTableText"/>
    <w:uiPriority w:val="99"/>
    <w:semiHidden/>
    <w:rsid w:val="00015FE5"/>
    <w:pPr>
      <w:ind w:left="170" w:hanging="170"/>
    </w:pPr>
  </w:style>
  <w:style w:type="paragraph" w:customStyle="1" w:styleId="CVResumeTableHeading">
    <w:name w:val="CV Resume Table Heading"/>
    <w:basedOn w:val="CVResumeTableText"/>
    <w:next w:val="CVResumeTableText"/>
    <w:uiPriority w:val="99"/>
    <w:semiHidden/>
    <w:rsid w:val="00015FE5"/>
    <w:rPr>
      <w:rFonts w:cs="Jacobs Chronos Light"/>
      <w:b/>
      <w:color w:val="333333" w:themeColor="text2"/>
    </w:rPr>
  </w:style>
  <w:style w:type="paragraph" w:customStyle="1" w:styleId="CVResumeHeading">
    <w:name w:val="CV Resume Heading"/>
    <w:next w:val="BodyText"/>
    <w:uiPriority w:val="99"/>
    <w:semiHidden/>
    <w:rsid w:val="00015FE5"/>
    <w:pPr>
      <w:spacing w:before="120" w:after="120"/>
    </w:pPr>
    <w:rPr>
      <w:rFonts w:ascii="Jacobs Chronos Light" w:hAnsi="Jacobs Chronos Light" w:cs="Jacobs Chronos Light"/>
      <w:color w:val="231EDC" w:themeColor="accent1"/>
      <w:sz w:val="24"/>
      <w:szCs w:val="24"/>
      <w:lang w:val="en-US" w:eastAsia="en-US"/>
    </w:rPr>
  </w:style>
  <w:style w:type="paragraph" w:customStyle="1" w:styleId="CVResumeProjectHeading">
    <w:name w:val="CV Resume Project Heading"/>
    <w:next w:val="BodyText"/>
    <w:uiPriority w:val="99"/>
    <w:semiHidden/>
    <w:rsid w:val="00015FE5"/>
    <w:pPr>
      <w:spacing w:before="180" w:after="120"/>
    </w:pPr>
    <w:rPr>
      <w:rFonts w:ascii="Jacobs Chronos Light" w:hAnsi="Jacobs Chronos Light" w:cs="Jacobs Chronos"/>
      <w:b/>
      <w:color w:val="231EDC" w:themeColor="accent1"/>
      <w:sz w:val="22"/>
      <w:szCs w:val="24"/>
      <w:lang w:val="en-US" w:eastAsia="en-US"/>
    </w:rPr>
  </w:style>
  <w:style w:type="paragraph" w:customStyle="1" w:styleId="AddressText">
    <w:name w:val="Address Text"/>
    <w:basedOn w:val="TableText"/>
    <w:uiPriority w:val="99"/>
    <w:semiHidden/>
    <w:rsid w:val="00015FE5"/>
    <w:pPr>
      <w:spacing w:before="60" w:after="60"/>
    </w:pPr>
    <w:rPr>
      <w:rFonts w:asciiTheme="minorHAnsi" w:hAnsiTheme="minorHAnsi"/>
      <w:sz w:val="18"/>
    </w:rPr>
  </w:style>
  <w:style w:type="paragraph" w:customStyle="1" w:styleId="PhotologNumber">
    <w:name w:val="Photolog Number"/>
    <w:basedOn w:val="BodyText"/>
    <w:uiPriority w:val="7"/>
    <w:qFormat/>
    <w:rsid w:val="003A706E"/>
    <w:pPr>
      <w:numPr>
        <w:numId w:val="14"/>
      </w:numPr>
    </w:pPr>
    <w:rPr>
      <w:rFonts w:eastAsiaTheme="minorHAnsi"/>
      <w:b/>
    </w:rPr>
  </w:style>
  <w:style w:type="numbering" w:customStyle="1" w:styleId="PhotologNumberList">
    <w:name w:val="Photolog Number List"/>
    <w:uiPriority w:val="99"/>
    <w:semiHidden/>
    <w:rsid w:val="00015FE5"/>
    <w:pPr>
      <w:numPr>
        <w:numId w:val="10"/>
      </w:numPr>
    </w:pPr>
  </w:style>
  <w:style w:type="paragraph" w:customStyle="1" w:styleId="CapabilityBullet">
    <w:name w:val="Capability Bullet"/>
    <w:uiPriority w:val="99"/>
    <w:semiHidden/>
    <w:rsid w:val="00015FE5"/>
    <w:pPr>
      <w:spacing w:before="40" w:after="40"/>
      <w:ind w:left="170" w:hanging="170"/>
    </w:pPr>
    <w:rPr>
      <w:rFonts w:asciiTheme="minorHAnsi" w:hAnsiTheme="minorHAnsi" w:cs="Jacobs Chronos"/>
      <w:szCs w:val="24"/>
      <w:lang w:val="en-US" w:eastAsia="en-US"/>
    </w:rPr>
  </w:style>
  <w:style w:type="paragraph" w:customStyle="1" w:styleId="CapabilityBullet2ndLevel">
    <w:name w:val="Capability Bullet 2nd Level"/>
    <w:basedOn w:val="CapabilityBullet"/>
    <w:uiPriority w:val="99"/>
    <w:semiHidden/>
    <w:rsid w:val="00015FE5"/>
    <w:pPr>
      <w:ind w:left="340"/>
    </w:pPr>
  </w:style>
  <w:style w:type="numbering" w:customStyle="1" w:styleId="CapabilityBullets">
    <w:name w:val="Capability Bullets"/>
    <w:uiPriority w:val="99"/>
    <w:semiHidden/>
    <w:rsid w:val="00015FE5"/>
    <w:pPr>
      <w:numPr>
        <w:numId w:val="13"/>
      </w:numPr>
    </w:pPr>
  </w:style>
  <w:style w:type="paragraph" w:customStyle="1" w:styleId="ProjectBullet">
    <w:name w:val="Project Bullet"/>
    <w:uiPriority w:val="99"/>
    <w:semiHidden/>
    <w:rsid w:val="00015FE5"/>
    <w:pPr>
      <w:numPr>
        <w:numId w:val="15"/>
      </w:numPr>
      <w:spacing w:after="60"/>
    </w:pPr>
    <w:rPr>
      <w:rFonts w:asciiTheme="minorHAnsi" w:hAnsiTheme="minorHAnsi" w:cs="Jacobs Chronos"/>
      <w:szCs w:val="24"/>
      <w:lang w:val="en-US" w:eastAsia="en-US"/>
    </w:rPr>
  </w:style>
  <w:style w:type="paragraph" w:customStyle="1" w:styleId="ProjectBullet2ndLevel">
    <w:name w:val="Project Bullet 2nd Level"/>
    <w:basedOn w:val="ProjectBullet"/>
    <w:uiPriority w:val="99"/>
    <w:semiHidden/>
    <w:rsid w:val="00015FE5"/>
    <w:pPr>
      <w:numPr>
        <w:ilvl w:val="1"/>
      </w:numPr>
    </w:pPr>
  </w:style>
  <w:style w:type="numbering" w:customStyle="1" w:styleId="ProjectBullets">
    <w:name w:val="Project Bullets"/>
    <w:uiPriority w:val="99"/>
    <w:semiHidden/>
    <w:rsid w:val="00015FE5"/>
    <w:pPr>
      <w:numPr>
        <w:numId w:val="11"/>
      </w:numPr>
    </w:pPr>
  </w:style>
  <w:style w:type="paragraph" w:customStyle="1" w:styleId="SourceCitation0">
    <w:name w:val="Source/Citation"/>
    <w:basedOn w:val="Normal"/>
    <w:next w:val="BodyText"/>
    <w:uiPriority w:val="8"/>
    <w:qFormat/>
    <w:rsid w:val="003D28D9"/>
    <w:pPr>
      <w:spacing w:before="40" w:after="40"/>
    </w:pPr>
    <w:rPr>
      <w:i/>
      <w:sz w:val="18"/>
    </w:rPr>
  </w:style>
  <w:style w:type="paragraph" w:customStyle="1" w:styleId="CoverDate">
    <w:name w:val="Cover Date"/>
    <w:basedOn w:val="CoverInformation"/>
    <w:uiPriority w:val="99"/>
    <w:semiHidden/>
    <w:rsid w:val="00015FE5"/>
    <w:pPr>
      <w:spacing w:before="1080"/>
      <w:contextualSpacing w:val="0"/>
      <w:jc w:val="right"/>
    </w:pPr>
  </w:style>
  <w:style w:type="paragraph" w:customStyle="1" w:styleId="CaptionNote">
    <w:name w:val="Caption Note"/>
    <w:basedOn w:val="Normal"/>
    <w:next w:val="BodyText"/>
    <w:uiPriority w:val="99"/>
    <w:semiHidden/>
    <w:rsid w:val="00015FE5"/>
    <w:pPr>
      <w:spacing w:before="40" w:after="40"/>
    </w:pPr>
    <w:rPr>
      <w:rFonts w:ascii="Jacobs Chronos Light" w:hAnsi="Jacobs Chronos Light"/>
      <w:i/>
    </w:rPr>
  </w:style>
  <w:style w:type="paragraph" w:customStyle="1" w:styleId="PictureCaption">
    <w:name w:val="Picture Caption"/>
    <w:basedOn w:val="FigureCaption"/>
    <w:next w:val="BodyText"/>
    <w:uiPriority w:val="99"/>
    <w:semiHidden/>
    <w:rsid w:val="00015FE5"/>
    <w:pPr>
      <w:keepNext/>
    </w:pPr>
  </w:style>
  <w:style w:type="paragraph" w:customStyle="1" w:styleId="Classification">
    <w:name w:val="Classification"/>
    <w:basedOn w:val="HeaderSpacer"/>
    <w:uiPriority w:val="99"/>
    <w:semiHidden/>
    <w:rsid w:val="00015FE5"/>
    <w:pPr>
      <w:jc w:val="center"/>
    </w:pPr>
    <w:rPr>
      <w:rFonts w:ascii="Calibri" w:hAnsi="Calibri"/>
      <w:sz w:val="20"/>
    </w:rPr>
  </w:style>
  <w:style w:type="paragraph" w:customStyle="1" w:styleId="ProjectHeading">
    <w:name w:val="Project Heading"/>
    <w:next w:val="Normal"/>
    <w:uiPriority w:val="99"/>
    <w:semiHidden/>
    <w:rsid w:val="00015FE5"/>
    <w:pPr>
      <w:spacing w:before="120" w:after="120"/>
      <w:outlineLvl w:val="1"/>
    </w:pPr>
    <w:rPr>
      <w:rFonts w:ascii="Jacobs Chronos Light" w:hAnsi="Jacobs Chronos Light" w:cs="Jacobs Chronos Light"/>
      <w:color w:val="231EDC" w:themeColor="accent1"/>
      <w:sz w:val="24"/>
      <w:lang w:val="en-US" w:eastAsia="en-US"/>
    </w:rPr>
  </w:style>
  <w:style w:type="paragraph" w:customStyle="1" w:styleId="EgressHeaderStyleInternalOnlyIdOffice">
    <w:name w:val="EgressHeaderStyleInternalOnlyIdOffice"/>
    <w:basedOn w:val="Normal"/>
    <w:uiPriority w:val="99"/>
    <w:semiHidden/>
    <w:rsid w:val="00015FE5"/>
    <w:pPr>
      <w:jc w:val="center"/>
    </w:pPr>
    <w:rPr>
      <w:rFonts w:cs="Arial"/>
      <w:b/>
      <w:color w:val="000000"/>
      <w:sz w:val="24"/>
    </w:rPr>
  </w:style>
  <w:style w:type="paragraph" w:customStyle="1" w:styleId="EgressFooterStyleInternalOnlyIdOffice">
    <w:name w:val="EgressFooterStyleInternalOnlyIdOffice"/>
    <w:basedOn w:val="Normal"/>
    <w:uiPriority w:val="99"/>
    <w:semiHidden/>
    <w:rsid w:val="00015FE5"/>
    <w:pPr>
      <w:jc w:val="center"/>
    </w:pPr>
    <w:rPr>
      <w:rFonts w:cs="Arial"/>
      <w:b/>
      <w:color w:val="000000"/>
      <w:sz w:val="24"/>
    </w:rPr>
  </w:style>
  <w:style w:type="table" w:customStyle="1" w:styleId="JacobsTable1accentprimarythemes">
    <w:name w:val="Jacobs Table 1 (accent &amp; primary themes)"/>
    <w:basedOn w:val="TableNormal"/>
    <w:uiPriority w:val="99"/>
    <w:rsid w:val="00015FE5"/>
    <w:pPr>
      <w:spacing w:before="40" w:after="40"/>
    </w:pPr>
    <w:rPr>
      <w:rFonts w:ascii="Jacobs Chronos Cd" w:hAnsi="Jacobs Chronos Cd"/>
      <w:lang w:val="en-US" w:eastAsia="en-US"/>
    </w:rPr>
    <w:tblPr>
      <w:tblStyleRowBandSize w:val="1"/>
      <w:tblStyleColBandSize w:val="1"/>
      <w:tblBorders>
        <w:top w:val="single" w:sz="4" w:space="0" w:color="E6E6E6" w:themeColor="background2"/>
        <w:bottom w:val="single" w:sz="4" w:space="0" w:color="E6E6E6" w:themeColor="background2"/>
        <w:insideH w:val="single" w:sz="4" w:space="0" w:color="E6E6E6" w:themeColor="background2"/>
        <w:insideV w:val="single" w:sz="4" w:space="0" w:color="E6E6E6" w:themeColor="background2"/>
      </w:tblBorders>
    </w:tblPr>
    <w:tcPr>
      <w:shd w:val="clear" w:color="auto" w:fill="FFFFFF" w:themeFill="background1"/>
    </w:tcPr>
    <w:tblStylePr w:type="firstRow">
      <w:pPr>
        <w:wordWrap/>
        <w:spacing w:beforeLines="0" w:before="60" w:beforeAutospacing="0" w:afterLines="0" w:after="60" w:afterAutospacing="0"/>
      </w:pPr>
      <w:rPr>
        <w:rFonts w:asciiTheme="minorHAnsi" w:hAnsiTheme="minorHAnsi"/>
        <w:b w:val="0"/>
        <w:color w:val="FFFFFF" w:themeColor="background1"/>
        <w:sz w:val="22"/>
      </w:rPr>
      <w:tblPr/>
      <w:tcPr>
        <w:tcBorders>
          <w:top w:val="single" w:sz="4" w:space="0" w:color="FFFFFF" w:themeColor="background1"/>
          <w:left w:val="nil"/>
          <w:bottom w:val="single" w:sz="4" w:space="0" w:color="FFFFFF" w:themeColor="background1"/>
          <w:right w:val="nil"/>
          <w:insideH w:val="single" w:sz="4" w:space="0" w:color="FFFFFF" w:themeColor="background1"/>
          <w:insideV w:val="single" w:sz="4" w:space="0" w:color="FFFFFF" w:themeColor="background1"/>
          <w:tl2br w:val="nil"/>
          <w:tr2bl w:val="nil"/>
        </w:tcBorders>
        <w:shd w:val="clear" w:color="auto" w:fill="231EDC" w:themeFill="accent1"/>
      </w:tcPr>
    </w:tblStylePr>
    <w:tblStylePr w:type="lastRow">
      <w:tblPr/>
      <w:tcPr>
        <w:tcBorders>
          <w:top w:val="single" w:sz="4" w:space="0" w:color="FFFFFF" w:themeColor="background1"/>
          <w:left w:val="nil"/>
          <w:bottom w:val="single" w:sz="4" w:space="0" w:color="FFFFFF" w:themeColor="background1"/>
          <w:right w:val="nil"/>
          <w:insideH w:val="single" w:sz="4" w:space="0" w:color="FFFFFF" w:themeColor="background1"/>
          <w:insideV w:val="single" w:sz="4" w:space="0" w:color="FFFFFF" w:themeColor="background1"/>
          <w:tl2br w:val="nil"/>
          <w:tr2bl w:val="nil"/>
        </w:tcBorders>
        <w:shd w:val="clear" w:color="auto" w:fill="000000" w:themeFill="text1"/>
      </w:tcPr>
    </w:tblStylePr>
    <w:tblStylePr w:type="firstCol">
      <w:tblPr/>
      <w:tcPr>
        <w:tcBorders>
          <w:top w:val="single" w:sz="4" w:space="0" w:color="FFFFFF" w:themeColor="background1"/>
          <w:left w:val="nil"/>
          <w:bottom w:val="single" w:sz="4" w:space="0" w:color="E6E6E6" w:themeColor="background2"/>
          <w:right w:val="single" w:sz="4" w:space="0" w:color="FFFFFF" w:themeColor="background1"/>
          <w:insideH w:val="single" w:sz="4" w:space="0" w:color="FFFFFF" w:themeColor="background1"/>
          <w:insideV w:val="single" w:sz="4" w:space="0" w:color="FFFFFF" w:themeColor="background1"/>
        </w:tcBorders>
        <w:shd w:val="clear" w:color="auto" w:fill="231EDC" w:themeFill="accent1"/>
      </w:tcPr>
    </w:tblStylePr>
    <w:tblStylePr w:type="lastCol">
      <w:tblPr/>
      <w:tcPr>
        <w:tcBorders>
          <w:top w:val="single" w:sz="4" w:space="0" w:color="FFFFFF" w:themeColor="background1"/>
          <w:left w:val="single" w:sz="4" w:space="0" w:color="FFFFFF" w:themeColor="background1"/>
          <w:bottom w:val="single" w:sz="4" w:space="0" w:color="E6E6E6" w:themeColor="background2"/>
          <w:right w:val="nil"/>
          <w:insideH w:val="single" w:sz="4" w:space="0" w:color="FFFFFF" w:themeColor="background1"/>
          <w:insideV w:val="single" w:sz="4" w:space="0" w:color="FFFFFF" w:themeColor="background1"/>
        </w:tcBorders>
        <w:shd w:val="clear" w:color="auto" w:fill="000000" w:themeFill="text1"/>
      </w:tcPr>
    </w:tblStylePr>
    <w:tblStylePr w:type="band1Vert">
      <w:tblPr/>
      <w:tcPr>
        <w:tcBorders>
          <w:top w:val="single" w:sz="4" w:space="0" w:color="E6E6E6" w:themeColor="background2"/>
          <w:left w:val="nil"/>
          <w:bottom w:val="single" w:sz="4" w:space="0" w:color="E6E6E6" w:themeColor="background2"/>
          <w:right w:val="nil"/>
          <w:insideH w:val="single" w:sz="4" w:space="0" w:color="FFFFFF" w:themeColor="background1"/>
          <w:insideV w:val="single" w:sz="4" w:space="0" w:color="FFFFFF" w:themeColor="background1"/>
        </w:tcBorders>
        <w:shd w:val="clear" w:color="auto" w:fill="E6E6E6" w:themeFill="background2"/>
      </w:tcPr>
    </w:tblStylePr>
    <w:tblStylePr w:type="band2Horz">
      <w:tblPr/>
      <w:tcPr>
        <w:tcBorders>
          <w:top w:val="single" w:sz="4" w:space="0" w:color="FFFFFF" w:themeColor="background1"/>
          <w:left w:val="nil"/>
          <w:bottom w:val="single" w:sz="4" w:space="0" w:color="E6E6E6" w:themeColor="background2"/>
          <w:right w:val="nil"/>
          <w:insideH w:val="single" w:sz="4" w:space="0" w:color="FFFFFF" w:themeColor="background1"/>
          <w:insideV w:val="single" w:sz="4" w:space="0" w:color="FFFFFF" w:themeColor="background1"/>
          <w:tl2br w:val="nil"/>
          <w:tr2bl w:val="nil"/>
        </w:tcBorders>
        <w:shd w:val="clear" w:color="auto" w:fill="E6E6E6" w:themeFill="background2"/>
      </w:tcPr>
    </w:tblStylePr>
  </w:style>
  <w:style w:type="table" w:customStyle="1" w:styleId="JacobsTable2accentthemes">
    <w:name w:val="Jacobs Table 2 (accent themes)"/>
    <w:basedOn w:val="TableNormal"/>
    <w:uiPriority w:val="99"/>
    <w:rsid w:val="00015FE5"/>
    <w:pPr>
      <w:spacing w:before="40" w:after="40"/>
    </w:pPr>
    <w:rPr>
      <w:rFonts w:ascii="Jacobs Chronos Cd" w:hAnsi="Jacobs Chronos Cd"/>
      <w:lang w:val="en-US" w:eastAsia="en-US"/>
    </w:rPr>
    <w:tblPr>
      <w:tblStyleRowBandSize w:val="1"/>
      <w:tblStyleColBandSize w:val="1"/>
      <w:tblBorders>
        <w:top w:val="single" w:sz="4" w:space="0" w:color="E6E6E6" w:themeColor="background2"/>
        <w:bottom w:val="single" w:sz="4" w:space="0" w:color="E6E6E6" w:themeColor="background2"/>
        <w:insideH w:val="single" w:sz="4" w:space="0" w:color="E6E6E6" w:themeColor="background2"/>
        <w:insideV w:val="single" w:sz="4" w:space="0" w:color="E6E6E6" w:themeColor="background2"/>
      </w:tblBorders>
    </w:tblPr>
    <w:tcPr>
      <w:shd w:val="clear" w:color="auto" w:fill="FFFFFF" w:themeFill="background1"/>
    </w:tcPr>
    <w:tblStylePr w:type="firstRow">
      <w:pPr>
        <w:wordWrap/>
        <w:spacing w:beforeLines="0" w:before="60" w:beforeAutospacing="0" w:afterLines="0" w:after="60" w:afterAutospacing="0"/>
      </w:pPr>
      <w:rPr>
        <w:rFonts w:asciiTheme="minorHAnsi" w:hAnsiTheme="minorHAnsi"/>
        <w:b w:val="0"/>
        <w:color w:val="FFFFFF" w:themeColor="background1"/>
        <w:sz w:val="22"/>
      </w:rPr>
      <w:tblPr/>
      <w:tcPr>
        <w:tcBorders>
          <w:top w:val="single" w:sz="4" w:space="0" w:color="FFFFFF" w:themeColor="background1"/>
          <w:left w:val="nil"/>
          <w:bottom w:val="single" w:sz="4" w:space="0" w:color="FFFFFF" w:themeColor="background1"/>
          <w:right w:val="nil"/>
          <w:insideH w:val="single" w:sz="4" w:space="0" w:color="FFFFFF" w:themeColor="background1"/>
          <w:insideV w:val="single" w:sz="4" w:space="0" w:color="FFFFFF" w:themeColor="background1"/>
          <w:tl2br w:val="nil"/>
          <w:tr2bl w:val="nil"/>
        </w:tcBorders>
        <w:shd w:val="clear" w:color="auto" w:fill="001E55" w:themeFill="accent4"/>
      </w:tcPr>
    </w:tblStylePr>
    <w:tblStylePr w:type="lastRow">
      <w:tblPr/>
      <w:tcPr>
        <w:tcBorders>
          <w:top w:val="single" w:sz="4" w:space="0" w:color="FFFFFF" w:themeColor="background1"/>
          <w:left w:val="nil"/>
          <w:bottom w:val="single" w:sz="4" w:space="0" w:color="FFFFFF" w:themeColor="background1"/>
          <w:right w:val="nil"/>
          <w:insideH w:val="single" w:sz="4" w:space="0" w:color="FFFFFF" w:themeColor="background1"/>
          <w:insideV w:val="single" w:sz="4" w:space="0" w:color="FFFFFF" w:themeColor="background1"/>
          <w:tl2br w:val="nil"/>
          <w:tr2bl w:val="nil"/>
        </w:tcBorders>
        <w:shd w:val="clear" w:color="auto" w:fill="000000" w:themeFill="text1"/>
      </w:tcPr>
    </w:tblStylePr>
    <w:tblStylePr w:type="firstCol">
      <w:rPr>
        <w:b/>
        <w:color w:val="FFFFFF" w:themeColor="background1"/>
      </w:rPr>
      <w:tblPr/>
      <w:tcPr>
        <w:tcBorders>
          <w:top w:val="single" w:sz="4" w:space="0" w:color="FFFFFF" w:themeColor="background1"/>
          <w:left w:val="nil"/>
          <w:bottom w:val="single" w:sz="4" w:space="0" w:color="E6E6E6" w:themeColor="background2"/>
          <w:right w:val="single" w:sz="4" w:space="0" w:color="FFFFFF" w:themeColor="background1"/>
          <w:insideH w:val="single" w:sz="4" w:space="0" w:color="FFFFFF" w:themeColor="background1"/>
          <w:insideV w:val="single" w:sz="4" w:space="0" w:color="FFFFFF" w:themeColor="background1"/>
          <w:tl2br w:val="nil"/>
          <w:tr2bl w:val="nil"/>
        </w:tcBorders>
        <w:shd w:val="clear" w:color="auto" w:fill="231EDC" w:themeFill="accent1"/>
      </w:tcPr>
    </w:tblStylePr>
    <w:tblStylePr w:type="lastCol">
      <w:tblPr/>
      <w:tcPr>
        <w:tcBorders>
          <w:top w:val="single" w:sz="4" w:space="0" w:color="FFFFFF" w:themeColor="background1"/>
          <w:left w:val="single" w:sz="4" w:space="0" w:color="FFFFFF" w:themeColor="background1"/>
          <w:bottom w:val="single" w:sz="4" w:space="0" w:color="E6E6E6" w:themeColor="background2"/>
          <w:right w:val="nil"/>
          <w:insideH w:val="single" w:sz="4" w:space="0" w:color="FFFFFF" w:themeColor="background1"/>
          <w:insideV w:val="single" w:sz="4" w:space="0" w:color="FFFFFF" w:themeColor="background1"/>
          <w:tl2br w:val="nil"/>
          <w:tr2bl w:val="nil"/>
        </w:tcBorders>
        <w:shd w:val="clear" w:color="auto" w:fill="001E55" w:themeFill="accent4"/>
      </w:tcPr>
    </w:tblStylePr>
    <w:tblStylePr w:type="band1Vert">
      <w:tblPr/>
      <w:tcPr>
        <w:tcBorders>
          <w:top w:val="single" w:sz="4" w:space="0" w:color="E6E6E6" w:themeColor="background2"/>
          <w:left w:val="nil"/>
          <w:bottom w:val="single" w:sz="4" w:space="0" w:color="E6E6E6" w:themeColor="background2"/>
          <w:right w:val="nil"/>
          <w:insideH w:val="single" w:sz="4" w:space="0" w:color="FFFFFF" w:themeColor="background1"/>
          <w:insideV w:val="single" w:sz="4" w:space="0" w:color="FFFFFF" w:themeColor="background1"/>
        </w:tcBorders>
        <w:shd w:val="clear" w:color="auto" w:fill="E6E6E6" w:themeFill="background2"/>
      </w:tcPr>
    </w:tblStylePr>
    <w:tblStylePr w:type="band2Horz">
      <w:tblPr/>
      <w:tcPr>
        <w:tcBorders>
          <w:top w:val="single" w:sz="4" w:space="0" w:color="FFFFFF" w:themeColor="background1"/>
          <w:left w:val="nil"/>
          <w:bottom w:val="single" w:sz="4" w:space="0" w:color="E6E6E6" w:themeColor="background2"/>
          <w:right w:val="nil"/>
          <w:insideH w:val="single" w:sz="4" w:space="0" w:color="FFFFFF" w:themeColor="background1"/>
          <w:insideV w:val="single" w:sz="4" w:space="0" w:color="FFFFFF" w:themeColor="background1"/>
          <w:tl2br w:val="nil"/>
          <w:tr2bl w:val="nil"/>
        </w:tcBorders>
        <w:shd w:val="clear" w:color="auto" w:fill="E6E6E6" w:themeFill="background2"/>
      </w:tcPr>
    </w:tblStylePr>
  </w:style>
  <w:style w:type="table" w:customStyle="1" w:styleId="JacobsTable3accentthemes">
    <w:name w:val="Jacobs Table 3 (accent themes)"/>
    <w:basedOn w:val="TableNormal"/>
    <w:uiPriority w:val="99"/>
    <w:rsid w:val="00015FE5"/>
    <w:pPr>
      <w:spacing w:before="40" w:after="40"/>
    </w:pPr>
    <w:rPr>
      <w:rFonts w:ascii="Jacobs Chronos Cd" w:hAnsi="Jacobs Chronos Cd"/>
      <w:lang w:val="en-US" w:eastAsia="en-US"/>
    </w:rPr>
    <w:tblPr>
      <w:tblStyleRowBandSize w:val="1"/>
      <w:tblStyleColBandSize w:val="1"/>
      <w:tblBorders>
        <w:top w:val="single" w:sz="4" w:space="0" w:color="E6E6E6" w:themeColor="background2"/>
        <w:bottom w:val="single" w:sz="4" w:space="0" w:color="E6E6E6" w:themeColor="background2"/>
        <w:insideH w:val="single" w:sz="4" w:space="0" w:color="E6E6E6" w:themeColor="background2"/>
        <w:insideV w:val="single" w:sz="4" w:space="0" w:color="E6E6E6" w:themeColor="background2"/>
      </w:tblBorders>
    </w:tblPr>
    <w:tcPr>
      <w:shd w:val="clear" w:color="auto" w:fill="FFFFFF" w:themeFill="background1"/>
    </w:tcPr>
    <w:tblStylePr w:type="firstRow">
      <w:pPr>
        <w:wordWrap/>
        <w:spacing w:beforeLines="0" w:before="60" w:beforeAutospacing="0" w:afterLines="0" w:after="60" w:afterAutospacing="0"/>
      </w:pPr>
      <w:rPr>
        <w:rFonts w:asciiTheme="minorHAnsi" w:hAnsiTheme="minorHAnsi"/>
        <w:b w:val="0"/>
        <w:color w:val="FFFFFF" w:themeColor="background1"/>
        <w:sz w:val="22"/>
      </w:rPr>
      <w:tblPr/>
      <w:tcPr>
        <w:tcBorders>
          <w:top w:val="single" w:sz="4" w:space="0" w:color="FFFFFF" w:themeColor="background1"/>
          <w:left w:val="nil"/>
          <w:bottom w:val="single" w:sz="4" w:space="0" w:color="FFFFFF" w:themeColor="background1"/>
          <w:right w:val="nil"/>
          <w:insideH w:val="single" w:sz="4" w:space="0" w:color="FFFFFF" w:themeColor="background1"/>
          <w:insideV w:val="single" w:sz="4" w:space="0" w:color="FFFFFF" w:themeColor="background1"/>
          <w:tl2br w:val="nil"/>
          <w:tr2bl w:val="nil"/>
        </w:tcBorders>
        <w:shd w:val="clear" w:color="auto" w:fill="0A7DFF" w:themeFill="accent2"/>
      </w:tcPr>
    </w:tblStylePr>
    <w:tblStylePr w:type="lastRow">
      <w:tblPr/>
      <w:tcPr>
        <w:tcBorders>
          <w:top w:val="single" w:sz="4" w:space="0" w:color="FFFFFF" w:themeColor="background1"/>
          <w:left w:val="nil"/>
          <w:bottom w:val="single" w:sz="4" w:space="0" w:color="E6E6E6" w:themeColor="background2"/>
          <w:right w:val="nil"/>
          <w:insideH w:val="single" w:sz="4" w:space="0" w:color="FFFFFF" w:themeColor="background1"/>
          <w:insideV w:val="single" w:sz="4" w:space="0" w:color="FFFFFF" w:themeColor="background1"/>
          <w:tl2br w:val="nil"/>
          <w:tr2bl w:val="nil"/>
        </w:tcBorders>
        <w:shd w:val="clear" w:color="auto" w:fill="001E55" w:themeFill="accent4"/>
      </w:tcPr>
    </w:tblStylePr>
    <w:tblStylePr w:type="firstCol">
      <w:tblPr/>
      <w:tcPr>
        <w:tcBorders>
          <w:top w:val="single" w:sz="4" w:space="0" w:color="FFFFFF" w:themeColor="background1"/>
          <w:left w:val="nil"/>
          <w:bottom w:val="single" w:sz="4" w:space="0" w:color="E6E6E6" w:themeColor="background2"/>
          <w:right w:val="single" w:sz="4" w:space="0" w:color="FFFFFF" w:themeColor="background1"/>
          <w:insideH w:val="single" w:sz="4" w:space="0" w:color="FFFFFF" w:themeColor="background1"/>
          <w:insideV w:val="nil"/>
          <w:tl2br w:val="nil"/>
          <w:tr2bl w:val="nil"/>
        </w:tcBorders>
        <w:shd w:val="clear" w:color="auto" w:fill="001E55" w:themeFill="accent4"/>
      </w:tcPr>
    </w:tblStylePr>
    <w:tblStylePr w:type="lastCol">
      <w:tblPr/>
      <w:tcPr>
        <w:tcBorders>
          <w:top w:val="single" w:sz="4" w:space="0" w:color="FFFFFF" w:themeColor="background1"/>
          <w:left w:val="single" w:sz="4" w:space="0" w:color="FFFFFF" w:themeColor="background1"/>
          <w:bottom w:val="single" w:sz="4" w:space="0" w:color="E6E6E6" w:themeColor="background2"/>
          <w:right w:val="nil"/>
          <w:insideH w:val="single" w:sz="4" w:space="0" w:color="FFFFFF" w:themeColor="background1"/>
          <w:insideV w:val="single" w:sz="4" w:space="0" w:color="FFFFFF" w:themeColor="background1"/>
          <w:tl2br w:val="nil"/>
          <w:tr2bl w:val="nil"/>
        </w:tcBorders>
        <w:shd w:val="clear" w:color="auto" w:fill="001E55" w:themeFill="accent4"/>
      </w:tcPr>
    </w:tblStylePr>
    <w:tblStylePr w:type="band1Vert">
      <w:tblPr/>
      <w:tcPr>
        <w:tcBorders>
          <w:top w:val="single" w:sz="4" w:space="0" w:color="E6E6E6" w:themeColor="background2"/>
          <w:left w:val="nil"/>
          <w:bottom w:val="single" w:sz="4" w:space="0" w:color="E6E6E6" w:themeColor="background2"/>
          <w:right w:val="nil"/>
          <w:insideH w:val="single" w:sz="4" w:space="0" w:color="FFFFFF" w:themeColor="background1"/>
          <w:insideV w:val="single" w:sz="4" w:space="0" w:color="FFFFFF" w:themeColor="background1"/>
        </w:tcBorders>
        <w:shd w:val="clear" w:color="auto" w:fill="E6E6E6" w:themeFill="background2"/>
      </w:tcPr>
    </w:tblStylePr>
    <w:tblStylePr w:type="band1Horz">
      <w:tblPr/>
      <w:tcPr>
        <w:tcBorders>
          <w:top w:val="single" w:sz="4" w:space="0" w:color="FFFFFF" w:themeColor="background1"/>
          <w:left w:val="nil"/>
          <w:bottom w:val="single" w:sz="4" w:space="0" w:color="E6E6E6" w:themeColor="background2"/>
          <w:right w:val="nil"/>
          <w:insideH w:val="single" w:sz="4" w:space="0" w:color="FFFFFF" w:themeColor="background1"/>
          <w:insideV w:val="single" w:sz="4" w:space="0" w:color="FFFFFF" w:themeColor="background1"/>
          <w:tl2br w:val="nil"/>
          <w:tr2bl w:val="nil"/>
        </w:tcBorders>
        <w:shd w:val="clear" w:color="auto" w:fill="E6E6E6" w:themeFill="background2"/>
      </w:tcPr>
    </w:tblStylePr>
  </w:style>
  <w:style w:type="table" w:customStyle="1" w:styleId="JacobsTable2primarythemes">
    <w:name w:val="Jacobs Table 2 (primary themes)"/>
    <w:basedOn w:val="TableNormal"/>
    <w:uiPriority w:val="99"/>
    <w:rsid w:val="00015FE5"/>
    <w:pPr>
      <w:spacing w:before="40" w:after="40"/>
    </w:pPr>
    <w:rPr>
      <w:rFonts w:ascii="Jacobs Chronos Cd" w:hAnsi="Jacobs Chronos Cd"/>
      <w:lang w:val="en-US" w:eastAsia="en-US"/>
    </w:rPr>
    <w:tblPr>
      <w:tblStyleRowBandSize w:val="1"/>
      <w:tblStyleColBandSize w:val="1"/>
      <w:tblBorders>
        <w:top w:val="single" w:sz="4" w:space="0" w:color="E6E6E6" w:themeColor="background2"/>
        <w:bottom w:val="single" w:sz="4" w:space="0" w:color="E6E6E6" w:themeColor="background2"/>
        <w:insideH w:val="single" w:sz="4" w:space="0" w:color="E6E6E6" w:themeColor="background2"/>
        <w:insideV w:val="single" w:sz="4" w:space="0" w:color="E6E6E6" w:themeColor="background2"/>
      </w:tblBorders>
    </w:tblPr>
    <w:tcPr>
      <w:shd w:val="clear" w:color="auto" w:fill="FFFFFF" w:themeFill="background1"/>
    </w:tcPr>
    <w:tblStylePr w:type="firstRow">
      <w:pPr>
        <w:wordWrap/>
        <w:spacing w:beforeLines="0" w:before="60" w:beforeAutospacing="0" w:afterLines="0" w:after="60" w:afterAutospacing="0"/>
      </w:pPr>
      <w:rPr>
        <w:rFonts w:asciiTheme="minorHAnsi" w:hAnsiTheme="minorHAnsi"/>
        <w:b w:val="0"/>
        <w:color w:val="FFFFFF" w:themeColor="background1"/>
        <w:sz w:val="22"/>
      </w:rPr>
      <w:tblPr/>
      <w:tcPr>
        <w:tcBorders>
          <w:top w:val="single" w:sz="4" w:space="0" w:color="FFFFFF" w:themeColor="background1"/>
          <w:left w:val="nil"/>
          <w:bottom w:val="single" w:sz="4" w:space="0" w:color="FFFFFF" w:themeColor="background1"/>
          <w:right w:val="nil"/>
          <w:insideH w:val="single" w:sz="4" w:space="0" w:color="FFFFFF" w:themeColor="background1"/>
          <w:insideV w:val="single" w:sz="4" w:space="0" w:color="FFFFFF" w:themeColor="background1"/>
          <w:tl2br w:val="nil"/>
          <w:tr2bl w:val="nil"/>
        </w:tcBorders>
        <w:shd w:val="clear" w:color="auto" w:fill="000000" w:themeFill="text1"/>
      </w:tcPr>
    </w:tblStylePr>
    <w:tblStylePr w:type="lastRow">
      <w:tblPr/>
      <w:tcPr>
        <w:tcBorders>
          <w:top w:val="single" w:sz="4" w:space="0" w:color="FFFFFF" w:themeColor="background1"/>
          <w:left w:val="nil"/>
          <w:bottom w:val="single" w:sz="4" w:space="0" w:color="E6E6E6" w:themeColor="background2"/>
          <w:right w:val="nil"/>
          <w:insideH w:val="single" w:sz="4" w:space="0" w:color="FFFFFF" w:themeColor="background1"/>
          <w:insideV w:val="single" w:sz="4" w:space="0" w:color="FFFFFF" w:themeColor="background1"/>
          <w:tl2br w:val="nil"/>
          <w:tr2bl w:val="nil"/>
        </w:tcBorders>
        <w:shd w:val="clear" w:color="auto" w:fill="000000" w:themeFill="text1"/>
      </w:tcPr>
    </w:tblStylePr>
    <w:tblStylePr w:type="firstCol">
      <w:rPr>
        <w:b/>
        <w:color w:val="FFFFFF" w:themeColor="background1"/>
      </w:rPr>
      <w:tblPr/>
      <w:tcPr>
        <w:tcBorders>
          <w:top w:val="single" w:sz="4" w:space="0" w:color="FFFFFF" w:themeColor="background1"/>
          <w:left w:val="nil"/>
          <w:bottom w:val="single" w:sz="4" w:space="0" w:color="E6E6E6" w:themeColor="background2"/>
          <w:right w:val="single" w:sz="4" w:space="0" w:color="FFFFFF" w:themeColor="background1"/>
          <w:insideH w:val="single" w:sz="4" w:space="0" w:color="FFFFFF" w:themeColor="background1"/>
          <w:insideV w:val="single" w:sz="4" w:space="0" w:color="FFFFFF" w:themeColor="background1"/>
          <w:tl2br w:val="nil"/>
          <w:tr2bl w:val="nil"/>
        </w:tcBorders>
        <w:shd w:val="clear" w:color="auto" w:fill="231EDC" w:themeFill="accent1"/>
      </w:tcPr>
    </w:tblStylePr>
    <w:tblStylePr w:type="lastCol">
      <w:tblPr/>
      <w:tcPr>
        <w:tcBorders>
          <w:top w:val="single" w:sz="4" w:space="0" w:color="FFFFFF" w:themeColor="background1"/>
          <w:left w:val="single" w:sz="4" w:space="0" w:color="FFFFFF" w:themeColor="background1"/>
          <w:bottom w:val="single" w:sz="4" w:space="0" w:color="E6E6E6" w:themeColor="background2"/>
          <w:right w:val="nil"/>
          <w:insideH w:val="single" w:sz="4" w:space="0" w:color="FFFFFF" w:themeColor="background1"/>
          <w:insideV w:val="single" w:sz="4" w:space="0" w:color="FFFFFF" w:themeColor="background1"/>
          <w:tl2br w:val="nil"/>
          <w:tr2bl w:val="nil"/>
        </w:tcBorders>
        <w:shd w:val="clear" w:color="auto" w:fill="231EDC" w:themeFill="accent1"/>
      </w:tcPr>
    </w:tblStylePr>
    <w:tblStylePr w:type="band1Vert">
      <w:tblPr/>
      <w:tcPr>
        <w:tcBorders>
          <w:top w:val="single" w:sz="4" w:space="0" w:color="E6E6E6" w:themeColor="background2"/>
          <w:left w:val="nil"/>
          <w:bottom w:val="single" w:sz="4" w:space="0" w:color="E6E6E6" w:themeColor="background2"/>
          <w:right w:val="nil"/>
          <w:insideH w:val="single" w:sz="4" w:space="0" w:color="FFFFFF" w:themeColor="background1"/>
          <w:insideV w:val="single" w:sz="4" w:space="0" w:color="FFFFFF" w:themeColor="background1"/>
        </w:tcBorders>
        <w:shd w:val="clear" w:color="auto" w:fill="E6E6E6" w:themeFill="background2"/>
      </w:tcPr>
    </w:tblStylePr>
    <w:tblStylePr w:type="band2Horz">
      <w:tblPr/>
      <w:tcPr>
        <w:tcBorders>
          <w:top w:val="single" w:sz="4" w:space="0" w:color="FFFFFF" w:themeColor="background1"/>
          <w:left w:val="nil"/>
          <w:bottom w:val="single" w:sz="4" w:space="0" w:color="E6E6E6" w:themeColor="background2"/>
          <w:right w:val="nil"/>
          <w:insideH w:val="single" w:sz="4" w:space="0" w:color="FFFFFF" w:themeColor="background1"/>
          <w:insideV w:val="single" w:sz="4" w:space="0" w:color="FFFFFF" w:themeColor="background1"/>
          <w:tl2br w:val="nil"/>
          <w:tr2bl w:val="nil"/>
        </w:tcBorders>
        <w:shd w:val="clear" w:color="auto" w:fill="E6E6E6" w:themeFill="background2"/>
      </w:tcPr>
    </w:tblStylePr>
  </w:style>
  <w:style w:type="table" w:customStyle="1" w:styleId="JacobsTable3primarythemes">
    <w:name w:val="Jacobs Table 3 (primary themes)"/>
    <w:basedOn w:val="TableNormal"/>
    <w:uiPriority w:val="99"/>
    <w:rsid w:val="00015FE5"/>
    <w:pPr>
      <w:spacing w:before="40" w:after="40"/>
    </w:pPr>
    <w:rPr>
      <w:rFonts w:ascii="Jacobs Chronos Cd" w:hAnsi="Jacobs Chronos Cd"/>
      <w:lang w:val="en-US" w:eastAsia="en-US"/>
    </w:rPr>
    <w:tblPr>
      <w:tblStyleRowBandSize w:val="1"/>
      <w:tblStyleColBandSize w:val="1"/>
      <w:tblBorders>
        <w:top w:val="single" w:sz="4" w:space="0" w:color="E6E6E6" w:themeColor="background2"/>
        <w:bottom w:val="single" w:sz="4" w:space="0" w:color="E6E6E6" w:themeColor="background2"/>
        <w:insideH w:val="single" w:sz="4" w:space="0" w:color="E6E6E6" w:themeColor="background2"/>
        <w:insideV w:val="single" w:sz="4" w:space="0" w:color="E6E6E6" w:themeColor="background2"/>
      </w:tblBorders>
    </w:tblPr>
    <w:tcPr>
      <w:shd w:val="clear" w:color="auto" w:fill="FFFFFF" w:themeFill="background1"/>
    </w:tcPr>
    <w:tblStylePr w:type="firstRow">
      <w:pPr>
        <w:wordWrap/>
        <w:spacing w:beforeLines="0" w:before="60" w:beforeAutospacing="0" w:afterLines="0" w:after="60" w:afterAutospacing="0"/>
      </w:pPr>
      <w:rPr>
        <w:rFonts w:asciiTheme="minorHAnsi" w:hAnsiTheme="minorHAnsi"/>
        <w:b w:val="0"/>
        <w:color w:val="FFFFFF" w:themeColor="background1"/>
        <w:sz w:val="22"/>
      </w:rPr>
      <w:tblPr/>
      <w:tcPr>
        <w:tcBorders>
          <w:top w:val="single" w:sz="4" w:space="0" w:color="FFFFFF" w:themeColor="background1"/>
          <w:left w:val="nil"/>
          <w:bottom w:val="single" w:sz="4" w:space="0" w:color="FFFFFF" w:themeColor="background1"/>
          <w:right w:val="nil"/>
          <w:insideH w:val="single" w:sz="4" w:space="0" w:color="FFFFFF" w:themeColor="background1"/>
          <w:insideV w:val="single" w:sz="4" w:space="0" w:color="FFFFFF" w:themeColor="background1"/>
          <w:tl2br w:val="nil"/>
          <w:tr2bl w:val="nil"/>
        </w:tcBorders>
        <w:shd w:val="clear" w:color="auto" w:fill="333333" w:themeFill="text2"/>
      </w:tcPr>
    </w:tblStylePr>
    <w:tblStylePr w:type="lastRow">
      <w:tblPr/>
      <w:tcPr>
        <w:tcBorders>
          <w:top w:val="single" w:sz="4" w:space="0" w:color="FFFFFF" w:themeColor="background1"/>
          <w:left w:val="nil"/>
          <w:bottom w:val="single" w:sz="4" w:space="0" w:color="E6E6E6" w:themeColor="background2"/>
          <w:right w:val="nil"/>
          <w:insideH w:val="single" w:sz="4" w:space="0" w:color="FFFFFF" w:themeColor="background1"/>
          <w:insideV w:val="single" w:sz="4" w:space="0" w:color="FFFFFF" w:themeColor="background1"/>
          <w:tl2br w:val="nil"/>
          <w:tr2bl w:val="nil"/>
        </w:tcBorders>
        <w:shd w:val="clear" w:color="auto" w:fill="000000" w:themeFill="text1"/>
      </w:tcPr>
    </w:tblStylePr>
    <w:tblStylePr w:type="firstCol">
      <w:rPr>
        <w:color w:val="auto"/>
      </w:rPr>
      <w:tblPr/>
      <w:tcPr>
        <w:tcBorders>
          <w:top w:val="single" w:sz="4" w:space="0" w:color="FFFFFF" w:themeColor="background1"/>
          <w:left w:val="nil"/>
          <w:bottom w:val="single" w:sz="4" w:space="0" w:color="E6E6E6" w:themeColor="background2"/>
          <w:right w:val="single" w:sz="4" w:space="0" w:color="FFFFFF" w:themeColor="background1"/>
          <w:insideH w:val="single" w:sz="4" w:space="0" w:color="FFFFFF" w:themeColor="background1"/>
          <w:insideV w:val="single" w:sz="4" w:space="0" w:color="FFFFFF" w:themeColor="background1"/>
          <w:tl2br w:val="nil"/>
          <w:tr2bl w:val="nil"/>
        </w:tcBorders>
        <w:shd w:val="clear" w:color="auto" w:fill="A5A5A5" w:themeFill="accent5"/>
      </w:tcPr>
    </w:tblStylePr>
    <w:tblStylePr w:type="lastCol">
      <w:tblPr/>
      <w:tcPr>
        <w:tcBorders>
          <w:top w:val="single" w:sz="4" w:space="0" w:color="FFFFFF" w:themeColor="background1"/>
          <w:left w:val="single" w:sz="4" w:space="0" w:color="FFFFFF" w:themeColor="background1"/>
          <w:bottom w:val="single" w:sz="4" w:space="0" w:color="E6E6E6" w:themeColor="background2"/>
          <w:right w:val="nil"/>
          <w:insideH w:val="single" w:sz="4" w:space="0" w:color="FFFFFF" w:themeColor="background1"/>
          <w:insideV w:val="single" w:sz="4" w:space="0" w:color="FFFFFF" w:themeColor="background1"/>
          <w:tl2br w:val="nil"/>
          <w:tr2bl w:val="nil"/>
        </w:tcBorders>
        <w:shd w:val="clear" w:color="auto" w:fill="231EDC" w:themeFill="accent1"/>
      </w:tcPr>
    </w:tblStylePr>
    <w:tblStylePr w:type="band1Vert">
      <w:tblPr/>
      <w:tcPr>
        <w:tcBorders>
          <w:top w:val="single" w:sz="4" w:space="0" w:color="E6E6E6" w:themeColor="background2"/>
          <w:left w:val="nil"/>
          <w:bottom w:val="single" w:sz="4" w:space="0" w:color="E6E6E6" w:themeColor="background2"/>
          <w:right w:val="nil"/>
          <w:insideH w:val="single" w:sz="4" w:space="0" w:color="FFFFFF" w:themeColor="background1"/>
          <w:insideV w:val="single" w:sz="4" w:space="0" w:color="FFFFFF" w:themeColor="background1"/>
        </w:tcBorders>
        <w:shd w:val="clear" w:color="auto" w:fill="E6E6E6" w:themeFill="background2"/>
      </w:tcPr>
    </w:tblStylePr>
    <w:tblStylePr w:type="band1Horz">
      <w:tblPr/>
      <w:tcPr>
        <w:tcBorders>
          <w:top w:val="single" w:sz="4" w:space="0" w:color="FFFFFF" w:themeColor="background1"/>
          <w:left w:val="nil"/>
          <w:bottom w:val="single" w:sz="4" w:space="0" w:color="E6E6E6" w:themeColor="background2"/>
          <w:right w:val="nil"/>
          <w:insideH w:val="single" w:sz="4" w:space="0" w:color="FFFFFF" w:themeColor="background1"/>
          <w:insideV w:val="single" w:sz="4" w:space="0" w:color="FFFFFF" w:themeColor="background1"/>
          <w:tl2br w:val="nil"/>
          <w:tr2bl w:val="nil"/>
        </w:tcBorders>
        <w:shd w:val="clear" w:color="auto" w:fill="E6E6E6" w:themeFill="background2"/>
      </w:tcPr>
    </w:tblStylePr>
  </w:style>
  <w:style w:type="paragraph" w:customStyle="1" w:styleId="InstructionNumber">
    <w:name w:val="Instruction Number"/>
    <w:basedOn w:val="InstructionText"/>
    <w:uiPriority w:val="99"/>
    <w:semiHidden/>
    <w:rsid w:val="00015FE5"/>
    <w:pPr>
      <w:ind w:left="720" w:hanging="720"/>
    </w:pPr>
  </w:style>
  <w:style w:type="paragraph" w:customStyle="1" w:styleId="InstructionBullet">
    <w:name w:val="Instruction Bullet"/>
    <w:basedOn w:val="InstructionText"/>
    <w:uiPriority w:val="99"/>
    <w:semiHidden/>
    <w:rsid w:val="00015FE5"/>
    <w:pPr>
      <w:ind w:left="1077" w:hanging="357"/>
    </w:pPr>
  </w:style>
  <w:style w:type="numbering" w:customStyle="1" w:styleId="InstructionNumbering">
    <w:name w:val="Instruction Numbering"/>
    <w:uiPriority w:val="99"/>
    <w:semiHidden/>
    <w:rsid w:val="00015FE5"/>
    <w:pPr>
      <w:numPr>
        <w:numId w:val="21"/>
      </w:numPr>
    </w:pPr>
  </w:style>
  <w:style w:type="paragraph" w:customStyle="1" w:styleId="ProjectTableText">
    <w:name w:val="Project Table Text"/>
    <w:uiPriority w:val="99"/>
    <w:semiHidden/>
    <w:rsid w:val="00015FE5"/>
    <w:rPr>
      <w:rFonts w:ascii="Jacobs Chronos Light" w:hAnsi="Jacobs Chronos Light"/>
      <w:lang w:val="en-US" w:eastAsia="en-US"/>
    </w:rPr>
  </w:style>
  <w:style w:type="paragraph" w:customStyle="1" w:styleId="ProjectName">
    <w:name w:val="Project Name"/>
    <w:uiPriority w:val="99"/>
    <w:semiHidden/>
    <w:rsid w:val="00015FE5"/>
    <w:pPr>
      <w:spacing w:after="120"/>
      <w:outlineLvl w:val="0"/>
    </w:pPr>
    <w:rPr>
      <w:rFonts w:cs="Jacobs Chronos"/>
      <w:b/>
      <w:color w:val="231EDC" w:themeColor="accent1"/>
      <w:sz w:val="32"/>
      <w:lang w:val="en-US" w:eastAsia="en-US"/>
    </w:rPr>
  </w:style>
  <w:style w:type="paragraph" w:customStyle="1" w:styleId="ProjectLocation">
    <w:name w:val="Project Location"/>
    <w:next w:val="BodyText"/>
    <w:uiPriority w:val="99"/>
    <w:semiHidden/>
    <w:rsid w:val="00015FE5"/>
    <w:rPr>
      <w:rFonts w:cs="Jacobs Chronos"/>
      <w:sz w:val="28"/>
      <w:lang w:val="en-US" w:eastAsia="en-US"/>
    </w:rPr>
  </w:style>
  <w:style w:type="paragraph" w:customStyle="1" w:styleId="ProjectSubcategoryHeading">
    <w:name w:val="Project Subcategory Heading"/>
    <w:next w:val="BodyText"/>
    <w:uiPriority w:val="99"/>
    <w:semiHidden/>
    <w:rsid w:val="00015FE5"/>
    <w:pPr>
      <w:spacing w:before="120" w:after="120"/>
    </w:pPr>
    <w:rPr>
      <w:rFonts w:cs="Jacobs Chronos"/>
      <w:b/>
      <w:color w:val="333333"/>
      <w:sz w:val="22"/>
      <w:lang w:val="en-US" w:eastAsia="en-US"/>
    </w:rPr>
  </w:style>
  <w:style w:type="paragraph" w:customStyle="1" w:styleId="ProjectTableHeading">
    <w:name w:val="Project Table Heading"/>
    <w:basedOn w:val="Normal"/>
    <w:next w:val="Normal"/>
    <w:uiPriority w:val="99"/>
    <w:semiHidden/>
    <w:rsid w:val="00015FE5"/>
    <w:pPr>
      <w:spacing w:after="60"/>
    </w:pPr>
    <w:rPr>
      <w:rFonts w:ascii="Jacobs Chronos Light" w:hAnsi="Jacobs Chronos Light" w:cs="Jacobs Chronos Light"/>
      <w:b/>
      <w:color w:val="333333" w:themeColor="text2"/>
    </w:rPr>
  </w:style>
  <w:style w:type="paragraph" w:customStyle="1" w:styleId="CapabilityWhitePaperTitle">
    <w:name w:val="Capability White Paper Title"/>
    <w:uiPriority w:val="99"/>
    <w:semiHidden/>
    <w:rsid w:val="00015FE5"/>
    <w:pPr>
      <w:spacing w:after="120"/>
      <w:outlineLvl w:val="0"/>
    </w:pPr>
    <w:rPr>
      <w:rFonts w:cs="Jacobs Chronos"/>
      <w:b/>
      <w:color w:val="231EDC" w:themeColor="accent1"/>
      <w:sz w:val="32"/>
      <w:szCs w:val="22"/>
      <w:lang w:val="en-US" w:eastAsia="en-US"/>
    </w:rPr>
  </w:style>
  <w:style w:type="paragraph" w:customStyle="1" w:styleId="MarketSectorHeading">
    <w:name w:val="Market Sector Heading"/>
    <w:basedOn w:val="Normal"/>
    <w:next w:val="BodyText"/>
    <w:uiPriority w:val="99"/>
    <w:semiHidden/>
    <w:rsid w:val="00015FE5"/>
    <w:pPr>
      <w:spacing w:before="120" w:after="240"/>
    </w:pPr>
    <w:rPr>
      <w:rFonts w:asciiTheme="majorHAnsi" w:hAnsiTheme="majorHAnsi"/>
      <w:sz w:val="28"/>
      <w:szCs w:val="22"/>
    </w:rPr>
  </w:style>
  <w:style w:type="paragraph" w:customStyle="1" w:styleId="SubHeading2">
    <w:name w:val="Sub Heading 2"/>
    <w:next w:val="BodyText"/>
    <w:uiPriority w:val="99"/>
    <w:semiHidden/>
    <w:rsid w:val="00015FE5"/>
    <w:pPr>
      <w:spacing w:before="240" w:after="120"/>
      <w:outlineLvl w:val="1"/>
    </w:pPr>
    <w:rPr>
      <w:rFonts w:cs="Jacobs Chronos Light"/>
      <w:color w:val="333333"/>
      <w:sz w:val="22"/>
      <w:szCs w:val="22"/>
      <w:lang w:val="en-US" w:eastAsia="en-US"/>
    </w:rPr>
  </w:style>
  <w:style w:type="paragraph" w:customStyle="1" w:styleId="SubHeading">
    <w:name w:val="Sub Heading"/>
    <w:next w:val="Normal"/>
    <w:uiPriority w:val="99"/>
    <w:semiHidden/>
    <w:rsid w:val="00015FE5"/>
    <w:pPr>
      <w:spacing w:before="120" w:after="120"/>
      <w:outlineLvl w:val="0"/>
    </w:pPr>
    <w:rPr>
      <w:rFonts w:ascii="Jacobs Chronos Light" w:hAnsi="Jacobs Chronos Light" w:cs="Jacobs Chronos Light"/>
      <w:color w:val="231EDC" w:themeColor="accent1"/>
      <w:sz w:val="24"/>
      <w:szCs w:val="22"/>
      <w:lang w:val="en-US" w:eastAsia="en-US"/>
    </w:rPr>
  </w:style>
  <w:style w:type="paragraph" w:customStyle="1" w:styleId="CapabilityTableHeading">
    <w:name w:val="Capability Table Heading"/>
    <w:basedOn w:val="Normal"/>
    <w:uiPriority w:val="99"/>
    <w:semiHidden/>
    <w:rsid w:val="00015FE5"/>
    <w:pPr>
      <w:framePr w:hSpace="180" w:wrap="around" w:vAnchor="text" w:hAnchor="text" w:y="-49"/>
      <w:spacing w:before="60" w:after="60"/>
    </w:pPr>
    <w:rPr>
      <w:rFonts w:ascii="Jacobs Chronos Light" w:hAnsi="Jacobs Chronos Light"/>
      <w:b/>
      <w:szCs w:val="22"/>
    </w:rPr>
  </w:style>
  <w:style w:type="paragraph" w:customStyle="1" w:styleId="CapabilityTableText">
    <w:name w:val="Capability Table Text"/>
    <w:basedOn w:val="BodyText"/>
    <w:uiPriority w:val="99"/>
    <w:semiHidden/>
    <w:rsid w:val="00015FE5"/>
    <w:pPr>
      <w:spacing w:before="60"/>
    </w:pPr>
    <w:rPr>
      <w:rFonts w:ascii="Jacobs Chronos Light" w:hAnsi="Jacobs Chronos Light"/>
      <w:szCs w:val="22"/>
    </w:rPr>
  </w:style>
  <w:style w:type="paragraph" w:customStyle="1" w:styleId="AppendixHeading5">
    <w:name w:val="Appendix Heading 5"/>
    <w:basedOn w:val="BodyText"/>
    <w:next w:val="BodyText"/>
    <w:uiPriority w:val="19"/>
    <w:qFormat/>
    <w:rsid w:val="00015FE5"/>
    <w:pPr>
      <w:keepNext/>
      <w:spacing w:before="240" w:after="120"/>
      <w:ind w:left="1134" w:hanging="1134"/>
      <w:outlineLvl w:val="4"/>
    </w:pPr>
    <w:rPr>
      <w:rFonts w:asciiTheme="majorHAnsi" w:hAnsiTheme="majorHAnsi"/>
      <w:b/>
    </w:rPr>
  </w:style>
  <w:style w:type="paragraph" w:customStyle="1" w:styleId="AppendixHeading6">
    <w:name w:val="Appendix Heading 6"/>
    <w:basedOn w:val="BodyText"/>
    <w:next w:val="BodyText"/>
    <w:uiPriority w:val="19"/>
    <w:qFormat/>
    <w:rsid w:val="00015FE5"/>
    <w:pPr>
      <w:keepNext/>
      <w:spacing w:before="240" w:after="120"/>
      <w:ind w:left="1134" w:hanging="1134"/>
      <w:outlineLvl w:val="5"/>
    </w:pPr>
    <w:rPr>
      <w:rFonts w:asciiTheme="majorHAnsi" w:hAnsiTheme="majorHAnsi"/>
      <w:b/>
    </w:rPr>
  </w:style>
  <w:style w:type="paragraph" w:customStyle="1" w:styleId="BodyText5Number">
    <w:name w:val="Body Text 5 Number"/>
    <w:basedOn w:val="Normal"/>
    <w:uiPriority w:val="99"/>
    <w:semiHidden/>
    <w:rsid w:val="00015FE5"/>
    <w:pPr>
      <w:spacing w:before="180" w:after="120"/>
      <w:ind w:left="1800" w:hanging="360"/>
    </w:pPr>
  </w:style>
  <w:style w:type="paragraph" w:customStyle="1" w:styleId="BodyText6Number">
    <w:name w:val="Body Text 6 Number"/>
    <w:basedOn w:val="Normal"/>
    <w:uiPriority w:val="99"/>
    <w:semiHidden/>
    <w:rsid w:val="00015FE5"/>
    <w:pPr>
      <w:spacing w:before="180" w:after="120"/>
      <w:ind w:left="2160" w:hanging="360"/>
    </w:pPr>
  </w:style>
  <w:style w:type="paragraph" w:customStyle="1" w:styleId="BodyText7Number">
    <w:name w:val="Body Text 7 Number"/>
    <w:basedOn w:val="Normal"/>
    <w:uiPriority w:val="99"/>
    <w:semiHidden/>
    <w:rsid w:val="00015FE5"/>
    <w:pPr>
      <w:spacing w:before="180" w:after="120"/>
      <w:ind w:left="2520" w:hanging="360"/>
    </w:pPr>
  </w:style>
  <w:style w:type="paragraph" w:customStyle="1" w:styleId="BodyText8Number">
    <w:name w:val="Body Text 8 Number"/>
    <w:basedOn w:val="Normal"/>
    <w:uiPriority w:val="99"/>
    <w:semiHidden/>
    <w:rsid w:val="00015FE5"/>
    <w:pPr>
      <w:spacing w:before="180" w:after="120"/>
      <w:ind w:left="2880" w:hanging="360"/>
    </w:pPr>
  </w:style>
  <w:style w:type="paragraph" w:customStyle="1" w:styleId="BodyText9Number">
    <w:name w:val="Body Text 9 Number"/>
    <w:basedOn w:val="Normal"/>
    <w:uiPriority w:val="99"/>
    <w:semiHidden/>
    <w:rsid w:val="00015FE5"/>
    <w:pPr>
      <w:spacing w:before="180" w:after="120"/>
      <w:ind w:left="3240" w:hanging="360"/>
    </w:pPr>
  </w:style>
  <w:style w:type="paragraph" w:customStyle="1" w:styleId="11SingleSequential">
    <w:name w:val="1.1 Single Sequential"/>
    <w:basedOn w:val="Normal"/>
    <w:uiPriority w:val="99"/>
    <w:semiHidden/>
    <w:rsid w:val="00015FE5"/>
    <w:pPr>
      <w:spacing w:before="180" w:after="60"/>
    </w:pPr>
    <w:rPr>
      <w:rFonts w:cstheme="minorHAnsi"/>
    </w:rPr>
  </w:style>
  <w:style w:type="paragraph" w:customStyle="1" w:styleId="111SingleSequential">
    <w:name w:val="1.1.1 Single Sequential"/>
    <w:basedOn w:val="Normal"/>
    <w:uiPriority w:val="99"/>
    <w:semiHidden/>
    <w:rsid w:val="00015FE5"/>
    <w:pPr>
      <w:spacing w:before="180" w:after="60"/>
    </w:pPr>
    <w:rPr>
      <w:rFonts w:cstheme="minorHAnsi"/>
    </w:rPr>
  </w:style>
  <w:style w:type="paragraph" w:customStyle="1" w:styleId="1111SingleSequential">
    <w:name w:val="1.1.1.1 Single Sequential"/>
    <w:basedOn w:val="Normal"/>
    <w:uiPriority w:val="99"/>
    <w:semiHidden/>
    <w:rsid w:val="00015FE5"/>
    <w:pPr>
      <w:spacing w:before="180" w:after="60"/>
    </w:pPr>
    <w:rPr>
      <w:rFonts w:cstheme="minorHAnsi"/>
    </w:rPr>
  </w:style>
  <w:style w:type="paragraph" w:customStyle="1" w:styleId="11111SingleSequential">
    <w:name w:val="1.1.1.1.1 Single Sequential"/>
    <w:basedOn w:val="Normal"/>
    <w:uiPriority w:val="99"/>
    <w:semiHidden/>
    <w:rsid w:val="00015FE5"/>
    <w:pPr>
      <w:spacing w:before="180" w:after="60"/>
    </w:pPr>
    <w:rPr>
      <w:rFonts w:cstheme="minorHAnsi"/>
    </w:rPr>
  </w:style>
  <w:style w:type="paragraph" w:customStyle="1" w:styleId="111111SingleSequential">
    <w:name w:val="1.1.1.1.1.1 Single Sequential"/>
    <w:basedOn w:val="Normal"/>
    <w:uiPriority w:val="99"/>
    <w:semiHidden/>
    <w:rsid w:val="00015FE5"/>
    <w:pPr>
      <w:spacing w:before="180" w:after="60"/>
    </w:pPr>
    <w:rPr>
      <w:rFonts w:cstheme="minorHAnsi"/>
    </w:rPr>
  </w:style>
  <w:style w:type="paragraph" w:customStyle="1" w:styleId="1111111SingleSequential">
    <w:name w:val="1.1.1.1.1.1.1 Single Sequential"/>
    <w:basedOn w:val="Normal"/>
    <w:uiPriority w:val="99"/>
    <w:semiHidden/>
    <w:rsid w:val="00015FE5"/>
    <w:pPr>
      <w:spacing w:before="180" w:after="60"/>
    </w:pPr>
    <w:rPr>
      <w:rFonts w:cstheme="minorHAnsi"/>
    </w:rPr>
  </w:style>
  <w:style w:type="paragraph" w:customStyle="1" w:styleId="11111111SingleSequential">
    <w:name w:val="1.1.1.1.1.1.1.1 Single Sequential"/>
    <w:basedOn w:val="Normal"/>
    <w:uiPriority w:val="99"/>
    <w:semiHidden/>
    <w:rsid w:val="00015FE5"/>
    <w:pPr>
      <w:spacing w:before="180" w:after="60"/>
    </w:pPr>
    <w:rPr>
      <w:rFonts w:cstheme="minorHAnsi"/>
    </w:rPr>
  </w:style>
  <w:style w:type="paragraph" w:customStyle="1" w:styleId="111111111SingleSequential">
    <w:name w:val="1.1.1.1.1.1.1.1.1 Single Sequential"/>
    <w:basedOn w:val="Normal"/>
    <w:uiPriority w:val="99"/>
    <w:semiHidden/>
    <w:rsid w:val="00015FE5"/>
    <w:pPr>
      <w:spacing w:before="180" w:after="60"/>
    </w:pPr>
    <w:rPr>
      <w:rFonts w:cstheme="minorHAnsi"/>
    </w:rPr>
  </w:style>
  <w:style w:type="paragraph" w:customStyle="1" w:styleId="BulletLevel4">
    <w:name w:val="Bullet Level 4"/>
    <w:basedOn w:val="Normal"/>
    <w:uiPriority w:val="99"/>
    <w:qFormat/>
    <w:rsid w:val="00015FE5"/>
    <w:pPr>
      <w:numPr>
        <w:ilvl w:val="3"/>
        <w:numId w:val="18"/>
      </w:numPr>
      <w:spacing w:before="120" w:after="60"/>
    </w:pPr>
  </w:style>
  <w:style w:type="paragraph" w:customStyle="1" w:styleId="BulletLevel5">
    <w:name w:val="Bullet Level 5"/>
    <w:basedOn w:val="Normal"/>
    <w:uiPriority w:val="99"/>
    <w:qFormat/>
    <w:rsid w:val="00015FE5"/>
    <w:pPr>
      <w:numPr>
        <w:ilvl w:val="4"/>
        <w:numId w:val="18"/>
      </w:numPr>
      <w:spacing w:before="120" w:after="60"/>
    </w:pPr>
  </w:style>
  <w:style w:type="paragraph" w:customStyle="1" w:styleId="BulletLevel6">
    <w:name w:val="Bullet Level 6"/>
    <w:basedOn w:val="Normal"/>
    <w:uiPriority w:val="99"/>
    <w:qFormat/>
    <w:rsid w:val="00015FE5"/>
    <w:pPr>
      <w:numPr>
        <w:ilvl w:val="5"/>
        <w:numId w:val="18"/>
      </w:numPr>
      <w:spacing w:before="120" w:after="60"/>
    </w:pPr>
  </w:style>
  <w:style w:type="paragraph" w:customStyle="1" w:styleId="BulletLevel7">
    <w:name w:val="Bullet Level 7"/>
    <w:basedOn w:val="Normal"/>
    <w:uiPriority w:val="99"/>
    <w:semiHidden/>
    <w:rsid w:val="00015FE5"/>
    <w:pPr>
      <w:numPr>
        <w:ilvl w:val="6"/>
        <w:numId w:val="18"/>
      </w:numPr>
      <w:spacing w:before="120" w:after="60"/>
    </w:pPr>
  </w:style>
  <w:style w:type="paragraph" w:customStyle="1" w:styleId="BulletLevel8">
    <w:name w:val="Bullet Level 8"/>
    <w:basedOn w:val="Normal"/>
    <w:uiPriority w:val="99"/>
    <w:semiHidden/>
    <w:rsid w:val="00015FE5"/>
    <w:pPr>
      <w:numPr>
        <w:ilvl w:val="7"/>
        <w:numId w:val="18"/>
      </w:numPr>
      <w:spacing w:before="120" w:after="60"/>
    </w:pPr>
  </w:style>
  <w:style w:type="paragraph" w:customStyle="1" w:styleId="BulletLevel9">
    <w:name w:val="Bullet Level 9"/>
    <w:basedOn w:val="Normal"/>
    <w:uiPriority w:val="99"/>
    <w:semiHidden/>
    <w:rsid w:val="00015FE5"/>
    <w:pPr>
      <w:numPr>
        <w:ilvl w:val="8"/>
        <w:numId w:val="18"/>
      </w:numPr>
      <w:spacing w:before="120" w:after="60"/>
    </w:pPr>
  </w:style>
  <w:style w:type="paragraph" w:customStyle="1" w:styleId="Heading9Fill-In">
    <w:name w:val="Heading 9 Fill-In"/>
    <w:basedOn w:val="Normal"/>
    <w:uiPriority w:val="99"/>
    <w:semiHidden/>
    <w:rsid w:val="00015FE5"/>
    <w:pPr>
      <w:keepNext/>
      <w:numPr>
        <w:ilvl w:val="8"/>
        <w:numId w:val="21"/>
      </w:numPr>
      <w:spacing w:before="240" w:after="120"/>
    </w:pPr>
    <w:rPr>
      <w:rFonts w:asciiTheme="majorHAnsi" w:hAnsiTheme="majorHAnsi"/>
      <w:b/>
    </w:rPr>
  </w:style>
  <w:style w:type="paragraph" w:customStyle="1" w:styleId="TableNumber4">
    <w:name w:val="Table Number 4"/>
    <w:basedOn w:val="Normal"/>
    <w:uiPriority w:val="99"/>
    <w:semiHidden/>
    <w:rsid w:val="00015FE5"/>
    <w:pPr>
      <w:spacing w:before="40" w:after="40"/>
      <w:ind w:left="1440" w:hanging="360"/>
    </w:pPr>
    <w:rPr>
      <w:rFonts w:ascii="Jacobs Chronos Cd" w:hAnsi="Jacobs Chronos Cd" w:cstheme="minorHAnsi"/>
      <w:sz w:val="22"/>
      <w:szCs w:val="18"/>
    </w:rPr>
  </w:style>
  <w:style w:type="paragraph" w:customStyle="1" w:styleId="TableNumber5">
    <w:name w:val="Table Number 5"/>
    <w:basedOn w:val="Normal"/>
    <w:uiPriority w:val="99"/>
    <w:semiHidden/>
    <w:rsid w:val="00015FE5"/>
    <w:pPr>
      <w:spacing w:before="40" w:after="40"/>
      <w:ind w:left="3600" w:hanging="360"/>
    </w:pPr>
    <w:rPr>
      <w:rFonts w:ascii="Jacobs Chronos Cd" w:hAnsi="Jacobs Chronos Cd" w:cstheme="minorHAnsi"/>
      <w:sz w:val="22"/>
      <w:szCs w:val="18"/>
    </w:rPr>
  </w:style>
  <w:style w:type="paragraph" w:customStyle="1" w:styleId="TableNumber6">
    <w:name w:val="Table Number 6"/>
    <w:basedOn w:val="Normal"/>
    <w:uiPriority w:val="99"/>
    <w:semiHidden/>
    <w:rsid w:val="00015FE5"/>
    <w:pPr>
      <w:spacing w:before="40" w:after="40"/>
      <w:ind w:left="4320" w:hanging="360"/>
    </w:pPr>
    <w:rPr>
      <w:rFonts w:ascii="Jacobs Chronos Cd" w:hAnsi="Jacobs Chronos Cd" w:cstheme="minorHAnsi"/>
      <w:sz w:val="22"/>
      <w:szCs w:val="18"/>
    </w:rPr>
  </w:style>
  <w:style w:type="paragraph" w:customStyle="1" w:styleId="TableNumber7">
    <w:name w:val="Table Number 7"/>
    <w:basedOn w:val="Normal"/>
    <w:uiPriority w:val="99"/>
    <w:semiHidden/>
    <w:rsid w:val="00015FE5"/>
    <w:pPr>
      <w:spacing w:before="40" w:after="40"/>
      <w:ind w:left="5040" w:hanging="360"/>
    </w:pPr>
    <w:rPr>
      <w:rFonts w:ascii="Jacobs Chronos Cd" w:hAnsi="Jacobs Chronos Cd" w:cstheme="minorHAnsi"/>
      <w:sz w:val="22"/>
      <w:szCs w:val="18"/>
    </w:rPr>
  </w:style>
  <w:style w:type="paragraph" w:customStyle="1" w:styleId="TableNumber8">
    <w:name w:val="Table Number 8"/>
    <w:basedOn w:val="Normal"/>
    <w:uiPriority w:val="99"/>
    <w:semiHidden/>
    <w:rsid w:val="00015FE5"/>
    <w:pPr>
      <w:spacing w:before="40" w:after="40"/>
      <w:ind w:left="5760" w:hanging="360"/>
    </w:pPr>
    <w:rPr>
      <w:rFonts w:ascii="Jacobs Chronos Cd" w:hAnsi="Jacobs Chronos Cd" w:cstheme="minorHAnsi"/>
      <w:sz w:val="22"/>
      <w:szCs w:val="18"/>
    </w:rPr>
  </w:style>
  <w:style w:type="paragraph" w:customStyle="1" w:styleId="TableNumber9">
    <w:name w:val="Table Number 9"/>
    <w:basedOn w:val="Normal"/>
    <w:uiPriority w:val="99"/>
    <w:semiHidden/>
    <w:rsid w:val="00015FE5"/>
    <w:pPr>
      <w:spacing w:before="40" w:after="40"/>
      <w:ind w:left="6480" w:hanging="360"/>
    </w:pPr>
    <w:rPr>
      <w:rFonts w:ascii="Jacobs Chronos Cd" w:hAnsi="Jacobs Chronos Cd" w:cstheme="minorHAnsi"/>
      <w:sz w:val="22"/>
      <w:szCs w:val="18"/>
    </w:rPr>
  </w:style>
  <w:style w:type="paragraph" w:customStyle="1" w:styleId="TableBullet4">
    <w:name w:val="Table Bullet 4"/>
    <w:basedOn w:val="Normal"/>
    <w:uiPriority w:val="99"/>
    <w:semiHidden/>
    <w:rsid w:val="00015FE5"/>
    <w:pPr>
      <w:numPr>
        <w:ilvl w:val="3"/>
        <w:numId w:val="17"/>
      </w:numPr>
      <w:spacing w:before="40" w:after="40"/>
      <w:ind w:left="2880"/>
    </w:pPr>
    <w:rPr>
      <w:rFonts w:ascii="Jacobs Chronos Cd" w:hAnsi="Jacobs Chronos Cd" w:cstheme="minorHAnsi"/>
      <w:sz w:val="22"/>
      <w:szCs w:val="18"/>
    </w:rPr>
  </w:style>
  <w:style w:type="paragraph" w:customStyle="1" w:styleId="TableBullet5">
    <w:name w:val="Table Bullet 5"/>
    <w:basedOn w:val="Normal"/>
    <w:uiPriority w:val="99"/>
    <w:semiHidden/>
    <w:rsid w:val="00015FE5"/>
    <w:pPr>
      <w:numPr>
        <w:ilvl w:val="4"/>
        <w:numId w:val="17"/>
      </w:numPr>
      <w:spacing w:before="40" w:after="40"/>
      <w:ind w:left="3600"/>
    </w:pPr>
    <w:rPr>
      <w:rFonts w:ascii="Jacobs Chronos Cd" w:hAnsi="Jacobs Chronos Cd" w:cstheme="minorHAnsi"/>
      <w:sz w:val="22"/>
      <w:szCs w:val="18"/>
    </w:rPr>
  </w:style>
  <w:style w:type="paragraph" w:customStyle="1" w:styleId="TableBullet6">
    <w:name w:val="Table Bullet 6"/>
    <w:basedOn w:val="Normal"/>
    <w:uiPriority w:val="99"/>
    <w:semiHidden/>
    <w:rsid w:val="00015FE5"/>
    <w:pPr>
      <w:numPr>
        <w:ilvl w:val="5"/>
        <w:numId w:val="17"/>
      </w:numPr>
      <w:spacing w:before="40" w:after="40"/>
      <w:ind w:left="4320"/>
    </w:pPr>
    <w:rPr>
      <w:rFonts w:ascii="Jacobs Chronos Cd" w:hAnsi="Jacobs Chronos Cd" w:cstheme="minorHAnsi"/>
      <w:sz w:val="22"/>
      <w:szCs w:val="18"/>
    </w:rPr>
  </w:style>
  <w:style w:type="paragraph" w:customStyle="1" w:styleId="TableBullet7">
    <w:name w:val="Table Bullet 7"/>
    <w:basedOn w:val="Normal"/>
    <w:uiPriority w:val="99"/>
    <w:semiHidden/>
    <w:rsid w:val="00015FE5"/>
    <w:pPr>
      <w:numPr>
        <w:ilvl w:val="6"/>
        <w:numId w:val="17"/>
      </w:numPr>
      <w:spacing w:before="40" w:after="40"/>
      <w:ind w:left="5040"/>
    </w:pPr>
    <w:rPr>
      <w:rFonts w:ascii="Jacobs Chronos Cd" w:hAnsi="Jacobs Chronos Cd" w:cstheme="minorHAnsi"/>
      <w:sz w:val="22"/>
      <w:szCs w:val="18"/>
    </w:rPr>
  </w:style>
  <w:style w:type="paragraph" w:customStyle="1" w:styleId="TableBullet8">
    <w:name w:val="Table Bullet 8"/>
    <w:basedOn w:val="Normal"/>
    <w:uiPriority w:val="99"/>
    <w:semiHidden/>
    <w:rsid w:val="00015FE5"/>
    <w:pPr>
      <w:numPr>
        <w:ilvl w:val="7"/>
        <w:numId w:val="17"/>
      </w:numPr>
      <w:spacing w:before="40" w:after="40"/>
      <w:ind w:left="5760"/>
    </w:pPr>
    <w:rPr>
      <w:rFonts w:ascii="Jacobs Chronos Cd" w:hAnsi="Jacobs Chronos Cd" w:cstheme="minorHAnsi"/>
      <w:sz w:val="22"/>
      <w:szCs w:val="18"/>
    </w:rPr>
  </w:style>
  <w:style w:type="paragraph" w:customStyle="1" w:styleId="TableBullet9">
    <w:name w:val="Table Bullet 9"/>
    <w:basedOn w:val="Normal"/>
    <w:uiPriority w:val="99"/>
    <w:semiHidden/>
    <w:rsid w:val="00015FE5"/>
    <w:pPr>
      <w:numPr>
        <w:ilvl w:val="8"/>
        <w:numId w:val="17"/>
      </w:numPr>
      <w:spacing w:before="40" w:after="40"/>
      <w:ind w:left="6480"/>
    </w:pPr>
    <w:rPr>
      <w:rFonts w:ascii="Jacobs Chronos Cd" w:hAnsi="Jacobs Chronos Cd" w:cstheme="minorHAnsi"/>
      <w:sz w:val="22"/>
      <w:szCs w:val="18"/>
    </w:rPr>
  </w:style>
  <w:style w:type="paragraph" w:customStyle="1" w:styleId="PhotologNumber2">
    <w:name w:val="Photolog Number 2"/>
    <w:basedOn w:val="Normal"/>
    <w:uiPriority w:val="99"/>
    <w:semiHidden/>
    <w:rsid w:val="00015FE5"/>
    <w:pPr>
      <w:numPr>
        <w:ilvl w:val="1"/>
        <w:numId w:val="14"/>
      </w:numPr>
      <w:spacing w:before="180" w:after="60"/>
    </w:pPr>
    <w:rPr>
      <w:b/>
      <w:bCs/>
    </w:rPr>
  </w:style>
  <w:style w:type="paragraph" w:customStyle="1" w:styleId="AppendixHeading7">
    <w:name w:val="Appendix Heading 7"/>
    <w:basedOn w:val="Normal"/>
    <w:next w:val="BodyText"/>
    <w:uiPriority w:val="99"/>
    <w:semiHidden/>
    <w:rsid w:val="00015FE5"/>
    <w:pPr>
      <w:spacing w:before="240" w:after="120"/>
      <w:ind w:left="1134" w:hanging="1134"/>
    </w:pPr>
    <w:rPr>
      <w:rFonts w:asciiTheme="majorHAnsi" w:hAnsiTheme="majorHAnsi"/>
      <w:b/>
    </w:rPr>
  </w:style>
  <w:style w:type="paragraph" w:customStyle="1" w:styleId="AppendixHeading8">
    <w:name w:val="Appendix Heading 8"/>
    <w:basedOn w:val="Normal"/>
    <w:next w:val="BodyText"/>
    <w:uiPriority w:val="99"/>
    <w:semiHidden/>
    <w:rsid w:val="00015FE5"/>
    <w:pPr>
      <w:spacing w:before="240" w:after="120"/>
      <w:ind w:left="1134" w:hanging="1134"/>
    </w:pPr>
    <w:rPr>
      <w:rFonts w:asciiTheme="majorHAnsi" w:hAnsiTheme="majorHAnsi"/>
      <w:b/>
      <w:bCs/>
    </w:rPr>
  </w:style>
  <w:style w:type="paragraph" w:customStyle="1" w:styleId="AppendixHeading9">
    <w:name w:val="Appendix Heading 9"/>
    <w:basedOn w:val="Normal"/>
    <w:next w:val="BodyText"/>
    <w:uiPriority w:val="99"/>
    <w:semiHidden/>
    <w:rsid w:val="00015FE5"/>
    <w:pPr>
      <w:spacing w:before="240" w:after="120"/>
      <w:ind w:left="1134" w:hanging="1134"/>
    </w:pPr>
    <w:rPr>
      <w:rFonts w:asciiTheme="majorHAnsi" w:hAnsiTheme="majorHAnsi"/>
      <w:b/>
      <w:bCs/>
    </w:rPr>
  </w:style>
  <w:style w:type="paragraph" w:customStyle="1" w:styleId="PhotologNumber3">
    <w:name w:val="Photolog Number 3"/>
    <w:basedOn w:val="Normal"/>
    <w:uiPriority w:val="99"/>
    <w:semiHidden/>
    <w:rsid w:val="00015FE5"/>
    <w:pPr>
      <w:numPr>
        <w:ilvl w:val="2"/>
        <w:numId w:val="14"/>
      </w:numPr>
      <w:spacing w:before="180" w:after="60"/>
    </w:pPr>
    <w:rPr>
      <w:b/>
      <w:bCs/>
    </w:rPr>
  </w:style>
  <w:style w:type="paragraph" w:customStyle="1" w:styleId="PhotologNumber4">
    <w:name w:val="Photolog Number 4"/>
    <w:basedOn w:val="Normal"/>
    <w:uiPriority w:val="99"/>
    <w:semiHidden/>
    <w:rsid w:val="00015FE5"/>
    <w:pPr>
      <w:numPr>
        <w:ilvl w:val="3"/>
        <w:numId w:val="14"/>
      </w:numPr>
      <w:spacing w:before="180" w:after="60"/>
    </w:pPr>
    <w:rPr>
      <w:b/>
      <w:bCs/>
    </w:rPr>
  </w:style>
  <w:style w:type="paragraph" w:customStyle="1" w:styleId="PhotologNumber5">
    <w:name w:val="Photolog Number 5"/>
    <w:basedOn w:val="Normal"/>
    <w:uiPriority w:val="99"/>
    <w:semiHidden/>
    <w:rsid w:val="00015FE5"/>
    <w:pPr>
      <w:numPr>
        <w:ilvl w:val="4"/>
        <w:numId w:val="14"/>
      </w:numPr>
      <w:spacing w:before="180" w:after="60"/>
    </w:pPr>
    <w:rPr>
      <w:b/>
      <w:bCs/>
    </w:rPr>
  </w:style>
  <w:style w:type="paragraph" w:customStyle="1" w:styleId="PhotologNumber6">
    <w:name w:val="Photolog Number 6"/>
    <w:basedOn w:val="Normal"/>
    <w:uiPriority w:val="99"/>
    <w:semiHidden/>
    <w:rsid w:val="00015FE5"/>
    <w:pPr>
      <w:numPr>
        <w:ilvl w:val="5"/>
        <w:numId w:val="14"/>
      </w:numPr>
      <w:spacing w:before="180" w:after="60"/>
    </w:pPr>
    <w:rPr>
      <w:b/>
      <w:bCs/>
    </w:rPr>
  </w:style>
  <w:style w:type="paragraph" w:customStyle="1" w:styleId="PhotologNumber7">
    <w:name w:val="Photolog Number 7"/>
    <w:basedOn w:val="Normal"/>
    <w:uiPriority w:val="99"/>
    <w:semiHidden/>
    <w:rsid w:val="00015FE5"/>
    <w:pPr>
      <w:numPr>
        <w:ilvl w:val="6"/>
        <w:numId w:val="14"/>
      </w:numPr>
      <w:spacing w:before="180" w:after="60"/>
    </w:pPr>
    <w:rPr>
      <w:b/>
      <w:bCs/>
    </w:rPr>
  </w:style>
  <w:style w:type="paragraph" w:customStyle="1" w:styleId="PhotologNumber8">
    <w:name w:val="Photolog Number 8"/>
    <w:basedOn w:val="Normal"/>
    <w:uiPriority w:val="99"/>
    <w:semiHidden/>
    <w:rsid w:val="00015FE5"/>
    <w:pPr>
      <w:numPr>
        <w:ilvl w:val="7"/>
        <w:numId w:val="14"/>
      </w:numPr>
      <w:spacing w:before="180" w:after="60"/>
    </w:pPr>
    <w:rPr>
      <w:b/>
      <w:bCs/>
    </w:rPr>
  </w:style>
  <w:style w:type="paragraph" w:customStyle="1" w:styleId="PhotologNumber9">
    <w:name w:val="Photolog Number 9"/>
    <w:basedOn w:val="Normal"/>
    <w:uiPriority w:val="99"/>
    <w:semiHidden/>
    <w:rsid w:val="00015FE5"/>
    <w:pPr>
      <w:numPr>
        <w:ilvl w:val="8"/>
        <w:numId w:val="14"/>
      </w:numPr>
      <w:spacing w:before="180" w:after="60"/>
    </w:pPr>
    <w:rPr>
      <w:b/>
      <w:bCs/>
    </w:rPr>
  </w:style>
  <w:style w:type="paragraph" w:customStyle="1" w:styleId="InstructionBullet2">
    <w:name w:val="Instruction Bullet 2"/>
    <w:basedOn w:val="Normal"/>
    <w:uiPriority w:val="99"/>
    <w:semiHidden/>
    <w:rsid w:val="00015FE5"/>
    <w:pPr>
      <w:spacing w:before="120" w:after="120"/>
    </w:pPr>
    <w:rPr>
      <w:rFonts w:cs="Arial"/>
      <w:color w:val="231EDC" w:themeColor="accent1"/>
      <w:sz w:val="18"/>
      <w:szCs w:val="18"/>
    </w:rPr>
  </w:style>
  <w:style w:type="paragraph" w:customStyle="1" w:styleId="InstructionBullet3">
    <w:name w:val="Instruction Bullet 3"/>
    <w:basedOn w:val="Normal"/>
    <w:uiPriority w:val="99"/>
    <w:semiHidden/>
    <w:rsid w:val="00015FE5"/>
    <w:pPr>
      <w:spacing w:before="120" w:after="120"/>
    </w:pPr>
    <w:rPr>
      <w:rFonts w:cs="Arial"/>
      <w:color w:val="231EDC" w:themeColor="accent1"/>
      <w:sz w:val="18"/>
      <w:szCs w:val="18"/>
    </w:rPr>
  </w:style>
  <w:style w:type="paragraph" w:customStyle="1" w:styleId="InstructionBullet4">
    <w:name w:val="Instruction Bullet 4"/>
    <w:basedOn w:val="Normal"/>
    <w:uiPriority w:val="99"/>
    <w:semiHidden/>
    <w:rsid w:val="00015FE5"/>
    <w:pPr>
      <w:spacing w:before="120" w:after="120"/>
    </w:pPr>
    <w:rPr>
      <w:rFonts w:cs="Arial"/>
      <w:color w:val="231EDC" w:themeColor="accent1"/>
      <w:sz w:val="18"/>
      <w:szCs w:val="18"/>
    </w:rPr>
  </w:style>
  <w:style w:type="paragraph" w:customStyle="1" w:styleId="InstructionBullet5">
    <w:name w:val="Instruction Bullet 5"/>
    <w:basedOn w:val="Normal"/>
    <w:uiPriority w:val="99"/>
    <w:semiHidden/>
    <w:rsid w:val="00015FE5"/>
    <w:pPr>
      <w:spacing w:before="120" w:after="120"/>
    </w:pPr>
    <w:rPr>
      <w:rFonts w:cs="Arial"/>
      <w:color w:val="231EDC" w:themeColor="accent1"/>
      <w:sz w:val="18"/>
      <w:szCs w:val="18"/>
    </w:rPr>
  </w:style>
  <w:style w:type="paragraph" w:customStyle="1" w:styleId="InstructionBullet6">
    <w:name w:val="Instruction Bullet 6"/>
    <w:basedOn w:val="Normal"/>
    <w:uiPriority w:val="99"/>
    <w:semiHidden/>
    <w:rsid w:val="00015FE5"/>
    <w:pPr>
      <w:spacing w:before="120" w:after="120"/>
    </w:pPr>
    <w:rPr>
      <w:rFonts w:cs="Arial"/>
      <w:color w:val="231EDC" w:themeColor="accent1"/>
      <w:sz w:val="18"/>
      <w:szCs w:val="18"/>
    </w:rPr>
  </w:style>
  <w:style w:type="paragraph" w:customStyle="1" w:styleId="InstructionBullet7">
    <w:name w:val="Instruction Bullet 7"/>
    <w:basedOn w:val="Normal"/>
    <w:uiPriority w:val="99"/>
    <w:semiHidden/>
    <w:rsid w:val="00015FE5"/>
    <w:pPr>
      <w:spacing w:before="120" w:after="120"/>
    </w:pPr>
    <w:rPr>
      <w:rFonts w:cs="Arial"/>
      <w:color w:val="231EDC" w:themeColor="accent1"/>
      <w:sz w:val="18"/>
      <w:szCs w:val="18"/>
    </w:rPr>
  </w:style>
  <w:style w:type="paragraph" w:customStyle="1" w:styleId="InstructionBullet8">
    <w:name w:val="Instruction Bullet 8"/>
    <w:basedOn w:val="Normal"/>
    <w:uiPriority w:val="99"/>
    <w:semiHidden/>
    <w:rsid w:val="00015FE5"/>
    <w:pPr>
      <w:spacing w:before="120" w:after="120"/>
    </w:pPr>
    <w:rPr>
      <w:rFonts w:cs="Arial"/>
      <w:color w:val="231EDC" w:themeColor="accent1"/>
      <w:sz w:val="18"/>
      <w:szCs w:val="18"/>
    </w:rPr>
  </w:style>
  <w:style w:type="paragraph" w:customStyle="1" w:styleId="CVResumeBullet3">
    <w:name w:val="CV Resume Bullet 3"/>
    <w:basedOn w:val="Normal"/>
    <w:uiPriority w:val="99"/>
    <w:semiHidden/>
    <w:rsid w:val="00015FE5"/>
    <w:pPr>
      <w:tabs>
        <w:tab w:val="num" w:pos="567"/>
      </w:tabs>
      <w:spacing w:after="60"/>
      <w:ind w:left="510" w:hanging="170"/>
    </w:pPr>
    <w:rPr>
      <w:rFonts w:ascii="Jacobs Chronos Light" w:hAnsi="Jacobs Chronos Light" w:cstheme="minorHAnsi"/>
    </w:rPr>
  </w:style>
  <w:style w:type="paragraph" w:customStyle="1" w:styleId="CVResumeBullet4">
    <w:name w:val="CV Resume Bullet 4"/>
    <w:basedOn w:val="Normal"/>
    <w:uiPriority w:val="99"/>
    <w:semiHidden/>
    <w:rsid w:val="00015FE5"/>
    <w:pPr>
      <w:spacing w:after="60"/>
      <w:ind w:left="680" w:hanging="170"/>
    </w:pPr>
    <w:rPr>
      <w:rFonts w:ascii="Jacobs Chronos Light" w:hAnsi="Jacobs Chronos Light" w:cstheme="minorHAnsi"/>
    </w:rPr>
  </w:style>
  <w:style w:type="paragraph" w:customStyle="1" w:styleId="CVResumeBullet5">
    <w:name w:val="CV Resume Bullet 5"/>
    <w:basedOn w:val="Normal"/>
    <w:uiPriority w:val="99"/>
    <w:semiHidden/>
    <w:rsid w:val="00015FE5"/>
    <w:pPr>
      <w:spacing w:after="60"/>
      <w:ind w:left="851" w:hanging="171"/>
    </w:pPr>
    <w:rPr>
      <w:rFonts w:ascii="Jacobs Chronos Light" w:hAnsi="Jacobs Chronos Light" w:cstheme="minorHAnsi"/>
    </w:rPr>
  </w:style>
  <w:style w:type="paragraph" w:customStyle="1" w:styleId="CVResumeBullet6">
    <w:name w:val="CV Resume Bullet 6"/>
    <w:basedOn w:val="Normal"/>
    <w:uiPriority w:val="99"/>
    <w:semiHidden/>
    <w:rsid w:val="00015FE5"/>
    <w:pPr>
      <w:spacing w:after="60"/>
      <w:ind w:left="1021" w:hanging="170"/>
    </w:pPr>
    <w:rPr>
      <w:rFonts w:ascii="Jacobs Chronos Light" w:hAnsi="Jacobs Chronos Light" w:cstheme="minorHAnsi"/>
    </w:rPr>
  </w:style>
  <w:style w:type="paragraph" w:customStyle="1" w:styleId="CVResumeBullet7">
    <w:name w:val="CV Resume Bullet 7"/>
    <w:basedOn w:val="Normal"/>
    <w:uiPriority w:val="99"/>
    <w:semiHidden/>
    <w:rsid w:val="00015FE5"/>
    <w:pPr>
      <w:spacing w:after="60"/>
      <w:ind w:left="1191" w:hanging="170"/>
    </w:pPr>
    <w:rPr>
      <w:rFonts w:ascii="Jacobs Chronos Light" w:hAnsi="Jacobs Chronos Light" w:cstheme="minorHAnsi"/>
    </w:rPr>
  </w:style>
  <w:style w:type="paragraph" w:customStyle="1" w:styleId="CVResumeBullet8">
    <w:name w:val="CV Resume Bullet 8"/>
    <w:basedOn w:val="Normal"/>
    <w:uiPriority w:val="99"/>
    <w:semiHidden/>
    <w:rsid w:val="00015FE5"/>
    <w:pPr>
      <w:spacing w:after="60"/>
      <w:ind w:left="1361" w:hanging="170"/>
    </w:pPr>
    <w:rPr>
      <w:rFonts w:ascii="Jacobs Chronos Light" w:hAnsi="Jacobs Chronos Light" w:cstheme="minorHAnsi"/>
    </w:rPr>
  </w:style>
  <w:style w:type="paragraph" w:customStyle="1" w:styleId="CVResumeBullet9">
    <w:name w:val="CV Resume Bullet 9"/>
    <w:basedOn w:val="Normal"/>
    <w:uiPriority w:val="99"/>
    <w:semiHidden/>
    <w:rsid w:val="00015FE5"/>
    <w:pPr>
      <w:spacing w:after="60"/>
      <w:ind w:left="1531" w:hanging="170"/>
    </w:pPr>
    <w:rPr>
      <w:rFonts w:ascii="Jacobs Chronos Light" w:hAnsi="Jacobs Chronos Light" w:cstheme="minorHAnsi"/>
    </w:rPr>
  </w:style>
  <w:style w:type="paragraph" w:customStyle="1" w:styleId="CapabilityBullet3">
    <w:name w:val="Capability Bullet 3"/>
    <w:basedOn w:val="Normal"/>
    <w:uiPriority w:val="99"/>
    <w:semiHidden/>
    <w:rsid w:val="00015FE5"/>
    <w:pPr>
      <w:spacing w:before="60" w:after="60"/>
      <w:ind w:left="1080" w:hanging="360"/>
    </w:pPr>
  </w:style>
  <w:style w:type="paragraph" w:customStyle="1" w:styleId="CapabilityBullet4">
    <w:name w:val="Capability Bullet 4"/>
    <w:basedOn w:val="Normal"/>
    <w:uiPriority w:val="99"/>
    <w:semiHidden/>
    <w:rsid w:val="00015FE5"/>
    <w:pPr>
      <w:spacing w:before="60" w:after="60"/>
      <w:ind w:left="1440" w:hanging="360"/>
    </w:pPr>
  </w:style>
  <w:style w:type="paragraph" w:customStyle="1" w:styleId="CapabilityBullet5">
    <w:name w:val="Capability Bullet 5"/>
    <w:basedOn w:val="Normal"/>
    <w:uiPriority w:val="99"/>
    <w:semiHidden/>
    <w:rsid w:val="00015FE5"/>
    <w:pPr>
      <w:spacing w:before="60" w:after="60"/>
      <w:ind w:left="1800" w:hanging="360"/>
    </w:pPr>
  </w:style>
  <w:style w:type="paragraph" w:customStyle="1" w:styleId="CapabilityBullet6">
    <w:name w:val="Capability Bullet 6"/>
    <w:basedOn w:val="Normal"/>
    <w:uiPriority w:val="99"/>
    <w:semiHidden/>
    <w:rsid w:val="00015FE5"/>
    <w:pPr>
      <w:spacing w:before="60" w:after="60"/>
      <w:ind w:left="2160" w:hanging="360"/>
    </w:pPr>
  </w:style>
  <w:style w:type="paragraph" w:customStyle="1" w:styleId="CapabilityBullet7">
    <w:name w:val="Capability Bullet 7"/>
    <w:basedOn w:val="Normal"/>
    <w:uiPriority w:val="99"/>
    <w:semiHidden/>
    <w:rsid w:val="00015FE5"/>
    <w:pPr>
      <w:spacing w:before="60" w:after="60"/>
      <w:ind w:left="2520" w:hanging="360"/>
    </w:pPr>
  </w:style>
  <w:style w:type="paragraph" w:customStyle="1" w:styleId="CapabilityBullet8">
    <w:name w:val="Capability Bullet 8"/>
    <w:basedOn w:val="Normal"/>
    <w:uiPriority w:val="99"/>
    <w:semiHidden/>
    <w:rsid w:val="00015FE5"/>
    <w:pPr>
      <w:spacing w:before="60" w:after="60"/>
      <w:ind w:left="2880" w:hanging="360"/>
    </w:pPr>
  </w:style>
  <w:style w:type="paragraph" w:customStyle="1" w:styleId="CapabilityBullet9">
    <w:name w:val="Capability Bullet 9"/>
    <w:basedOn w:val="Normal"/>
    <w:uiPriority w:val="99"/>
    <w:semiHidden/>
    <w:rsid w:val="00015FE5"/>
    <w:pPr>
      <w:spacing w:before="60" w:after="60"/>
      <w:ind w:left="3240" w:hanging="360"/>
    </w:pPr>
  </w:style>
  <w:style w:type="paragraph" w:customStyle="1" w:styleId="ProjectBullet3">
    <w:name w:val="Project Bullet 3"/>
    <w:basedOn w:val="Normal"/>
    <w:uiPriority w:val="99"/>
    <w:semiHidden/>
    <w:rsid w:val="00015FE5"/>
    <w:pPr>
      <w:numPr>
        <w:ilvl w:val="2"/>
        <w:numId w:val="15"/>
      </w:numPr>
      <w:spacing w:after="60"/>
    </w:pPr>
  </w:style>
  <w:style w:type="paragraph" w:customStyle="1" w:styleId="ProjectBullet4">
    <w:name w:val="Project Bullet 4"/>
    <w:basedOn w:val="Normal"/>
    <w:uiPriority w:val="99"/>
    <w:semiHidden/>
    <w:rsid w:val="00015FE5"/>
    <w:pPr>
      <w:numPr>
        <w:ilvl w:val="3"/>
        <w:numId w:val="15"/>
      </w:numPr>
      <w:spacing w:after="60"/>
    </w:pPr>
  </w:style>
  <w:style w:type="paragraph" w:customStyle="1" w:styleId="ProjectBullet5">
    <w:name w:val="Project Bullet 5"/>
    <w:basedOn w:val="Normal"/>
    <w:uiPriority w:val="99"/>
    <w:semiHidden/>
    <w:rsid w:val="00015FE5"/>
    <w:pPr>
      <w:numPr>
        <w:ilvl w:val="4"/>
        <w:numId w:val="15"/>
      </w:numPr>
      <w:spacing w:after="60"/>
    </w:pPr>
  </w:style>
  <w:style w:type="paragraph" w:customStyle="1" w:styleId="ProjectBullet6">
    <w:name w:val="Project Bullet 6"/>
    <w:basedOn w:val="Normal"/>
    <w:uiPriority w:val="99"/>
    <w:semiHidden/>
    <w:rsid w:val="00015FE5"/>
    <w:pPr>
      <w:numPr>
        <w:ilvl w:val="5"/>
        <w:numId w:val="15"/>
      </w:numPr>
      <w:spacing w:after="60"/>
    </w:pPr>
  </w:style>
  <w:style w:type="paragraph" w:customStyle="1" w:styleId="ProjectBullet7">
    <w:name w:val="Project Bullet 7"/>
    <w:basedOn w:val="Normal"/>
    <w:uiPriority w:val="99"/>
    <w:semiHidden/>
    <w:rsid w:val="00015FE5"/>
    <w:pPr>
      <w:numPr>
        <w:ilvl w:val="6"/>
        <w:numId w:val="15"/>
      </w:numPr>
      <w:spacing w:after="60"/>
    </w:pPr>
  </w:style>
  <w:style w:type="paragraph" w:customStyle="1" w:styleId="ProjectBullet8">
    <w:name w:val="Project Bullet 8"/>
    <w:basedOn w:val="Normal"/>
    <w:uiPriority w:val="99"/>
    <w:semiHidden/>
    <w:rsid w:val="00015FE5"/>
    <w:pPr>
      <w:numPr>
        <w:ilvl w:val="7"/>
        <w:numId w:val="15"/>
      </w:numPr>
      <w:spacing w:after="60"/>
    </w:pPr>
  </w:style>
  <w:style w:type="paragraph" w:customStyle="1" w:styleId="ProjectBullet9">
    <w:name w:val="Project Bullet 9"/>
    <w:basedOn w:val="Normal"/>
    <w:uiPriority w:val="99"/>
    <w:semiHidden/>
    <w:rsid w:val="00015FE5"/>
    <w:pPr>
      <w:numPr>
        <w:ilvl w:val="8"/>
        <w:numId w:val="15"/>
      </w:numPr>
      <w:spacing w:after="60"/>
    </w:pPr>
  </w:style>
  <w:style w:type="numbering" w:customStyle="1" w:styleId="CVResumeBullets">
    <w:name w:val="CV Resume Bullets"/>
    <w:uiPriority w:val="99"/>
    <w:semiHidden/>
    <w:rsid w:val="00015FE5"/>
    <w:pPr>
      <w:numPr>
        <w:numId w:val="20"/>
      </w:numPr>
    </w:pPr>
  </w:style>
  <w:style w:type="paragraph" w:customStyle="1" w:styleId="PlateCaption">
    <w:name w:val="Plate Caption"/>
    <w:basedOn w:val="Caption"/>
    <w:next w:val="BodyText"/>
    <w:uiPriority w:val="99"/>
    <w:semiHidden/>
    <w:rsid w:val="00015FE5"/>
  </w:style>
  <w:style w:type="paragraph" w:customStyle="1" w:styleId="Details">
    <w:name w:val="Details"/>
    <w:basedOn w:val="TableText"/>
    <w:uiPriority w:val="99"/>
    <w:semiHidden/>
    <w:rsid w:val="00015FE5"/>
    <w:rPr>
      <w:rFonts w:asciiTheme="majorHAnsi" w:hAnsiTheme="majorHAnsi"/>
      <w:sz w:val="18"/>
    </w:rPr>
  </w:style>
  <w:style w:type="paragraph" w:customStyle="1" w:styleId="TOCHeading2">
    <w:name w:val="TOC Heading 2"/>
    <w:basedOn w:val="TOCHeading"/>
    <w:uiPriority w:val="99"/>
    <w:semiHidden/>
    <w:rsid w:val="00015FE5"/>
    <w:rPr>
      <w:sz w:val="20"/>
    </w:rPr>
  </w:style>
  <w:style w:type="paragraph" w:customStyle="1" w:styleId="Sequential">
    <w:name w:val="Sequential"/>
    <w:basedOn w:val="Normal"/>
    <w:uiPriority w:val="2"/>
    <w:qFormat/>
    <w:rsid w:val="00015FE5"/>
    <w:pPr>
      <w:spacing w:before="180" w:after="60"/>
      <w:ind w:left="1134" w:hanging="1134"/>
    </w:pPr>
  </w:style>
  <w:style w:type="numbering" w:customStyle="1" w:styleId="SequentialNumbering">
    <w:name w:val="Sequential Numbering"/>
    <w:uiPriority w:val="99"/>
    <w:semiHidden/>
    <w:rsid w:val="00015FE5"/>
    <w:pPr>
      <w:numPr>
        <w:numId w:val="22"/>
      </w:numPr>
    </w:pPr>
  </w:style>
  <w:style w:type="paragraph" w:customStyle="1" w:styleId="Sequential2">
    <w:name w:val="Sequential 2"/>
    <w:basedOn w:val="Normal"/>
    <w:uiPriority w:val="3"/>
    <w:qFormat/>
    <w:rsid w:val="00015FE5"/>
    <w:pPr>
      <w:spacing w:before="180" w:after="60"/>
      <w:ind w:left="720" w:hanging="360"/>
    </w:pPr>
    <w:rPr>
      <w:rFonts w:cstheme="minorHAnsi"/>
    </w:rPr>
  </w:style>
  <w:style w:type="paragraph" w:customStyle="1" w:styleId="Sequential3">
    <w:name w:val="Sequential 3"/>
    <w:basedOn w:val="Normal"/>
    <w:uiPriority w:val="3"/>
    <w:qFormat/>
    <w:rsid w:val="00015FE5"/>
    <w:pPr>
      <w:spacing w:before="180" w:after="60"/>
      <w:ind w:left="1072" w:hanging="358"/>
    </w:pPr>
    <w:rPr>
      <w:rFonts w:cstheme="minorHAnsi"/>
    </w:rPr>
  </w:style>
  <w:style w:type="paragraph" w:customStyle="1" w:styleId="Sequential4">
    <w:name w:val="Sequential 4"/>
    <w:basedOn w:val="Normal"/>
    <w:uiPriority w:val="99"/>
    <w:semiHidden/>
    <w:rsid w:val="00015FE5"/>
    <w:pPr>
      <w:spacing w:before="180" w:after="60"/>
      <w:ind w:left="1429" w:hanging="357"/>
    </w:pPr>
    <w:rPr>
      <w:rFonts w:cstheme="minorHAnsi"/>
    </w:rPr>
  </w:style>
  <w:style w:type="paragraph" w:customStyle="1" w:styleId="Sequential5">
    <w:name w:val="Sequential 5"/>
    <w:basedOn w:val="Normal"/>
    <w:uiPriority w:val="99"/>
    <w:semiHidden/>
    <w:rsid w:val="00015FE5"/>
    <w:pPr>
      <w:spacing w:before="180" w:after="60"/>
      <w:ind w:left="1800" w:hanging="360"/>
    </w:pPr>
    <w:rPr>
      <w:rFonts w:cstheme="minorHAnsi"/>
    </w:rPr>
  </w:style>
  <w:style w:type="paragraph" w:customStyle="1" w:styleId="Sequential6">
    <w:name w:val="Sequential 6"/>
    <w:basedOn w:val="Normal"/>
    <w:uiPriority w:val="99"/>
    <w:semiHidden/>
    <w:rsid w:val="00015FE5"/>
    <w:pPr>
      <w:spacing w:before="180" w:after="60"/>
      <w:ind w:left="2160" w:hanging="360"/>
    </w:pPr>
    <w:rPr>
      <w:rFonts w:cstheme="minorHAnsi"/>
    </w:rPr>
  </w:style>
  <w:style w:type="paragraph" w:customStyle="1" w:styleId="Sequential7">
    <w:name w:val="Sequential 7"/>
    <w:basedOn w:val="Normal"/>
    <w:uiPriority w:val="99"/>
    <w:semiHidden/>
    <w:rsid w:val="00015FE5"/>
    <w:pPr>
      <w:spacing w:before="180" w:after="60"/>
      <w:ind w:left="2520" w:hanging="360"/>
    </w:pPr>
    <w:rPr>
      <w:rFonts w:cstheme="minorHAnsi"/>
    </w:rPr>
  </w:style>
  <w:style w:type="paragraph" w:customStyle="1" w:styleId="Sequential8">
    <w:name w:val="Sequential 8"/>
    <w:basedOn w:val="Normal"/>
    <w:uiPriority w:val="99"/>
    <w:semiHidden/>
    <w:rsid w:val="00015FE5"/>
    <w:pPr>
      <w:spacing w:before="180" w:after="60"/>
      <w:ind w:left="2880" w:hanging="360"/>
    </w:pPr>
    <w:rPr>
      <w:rFonts w:cstheme="minorHAnsi"/>
    </w:rPr>
  </w:style>
  <w:style w:type="paragraph" w:customStyle="1" w:styleId="Sequential9">
    <w:name w:val="Sequential 9"/>
    <w:basedOn w:val="Normal"/>
    <w:uiPriority w:val="99"/>
    <w:semiHidden/>
    <w:rsid w:val="00015FE5"/>
    <w:pPr>
      <w:spacing w:before="180" w:after="60"/>
      <w:ind w:left="3240" w:hanging="360"/>
    </w:pPr>
    <w:rPr>
      <w:rFonts w:cstheme="minorHAnsi"/>
    </w:rPr>
  </w:style>
  <w:style w:type="paragraph" w:customStyle="1" w:styleId="paragraph">
    <w:name w:val="paragraph"/>
    <w:basedOn w:val="Normal"/>
    <w:uiPriority w:val="99"/>
    <w:semiHidden/>
    <w:rsid w:val="001807F8"/>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1807F8"/>
  </w:style>
  <w:style w:type="character" w:customStyle="1" w:styleId="eop">
    <w:name w:val="eop"/>
    <w:basedOn w:val="DefaultParagraphFont"/>
    <w:uiPriority w:val="99"/>
    <w:rsid w:val="001807F8"/>
  </w:style>
  <w:style w:type="character" w:customStyle="1" w:styleId="ListParagraphChar">
    <w:name w:val="List Paragraph Char"/>
    <w:aliases w:val="Bullet List Char,NFP GP Bulleted List Char,Recommendation Char,List Paragraph1 Char,L Char,List Paragraph11 Char,List Paragraph Number Char,Bullet point Char,Content descriptions Char,Bullet Point Char,bullet point list Char"/>
    <w:link w:val="ListParagraph"/>
    <w:uiPriority w:val="99"/>
    <w:locked/>
    <w:rsid w:val="00D92D50"/>
    <w:rPr>
      <w:rFonts w:asciiTheme="minorHAnsi" w:hAnsiTheme="minorHAnsi"/>
      <w:lang w:val="en-US" w:eastAsia="en-US"/>
    </w:rPr>
  </w:style>
  <w:style w:type="paragraph" w:customStyle="1" w:styleId="AppendixDivider">
    <w:name w:val="Appendix Divider"/>
    <w:basedOn w:val="Normal"/>
    <w:uiPriority w:val="99"/>
    <w:semiHidden/>
    <w:rsid w:val="00015FE5"/>
    <w:pPr>
      <w:outlineLvl w:val="0"/>
    </w:pPr>
    <w:rPr>
      <w:rFonts w:asciiTheme="majorHAnsi" w:eastAsia="MS Gothic" w:hAnsiTheme="majorHAnsi" w:cs="Jacobs Chronos Light"/>
      <w:b/>
      <w:color w:val="231EDC"/>
      <w:sz w:val="52"/>
      <w:szCs w:val="56"/>
    </w:rPr>
  </w:style>
  <w:style w:type="paragraph" w:styleId="Revision">
    <w:name w:val="Revision"/>
    <w:hidden/>
    <w:uiPriority w:val="99"/>
    <w:semiHidden/>
    <w:rsid w:val="00220272"/>
    <w:rPr>
      <w:rFonts w:asciiTheme="minorHAnsi" w:hAnsiTheme="minorHAnsi"/>
      <w:lang w:val="en-US" w:eastAsia="en-US"/>
    </w:rPr>
  </w:style>
  <w:style w:type="character" w:customStyle="1" w:styleId="cf01">
    <w:name w:val="cf01"/>
    <w:basedOn w:val="DefaultParagraphFont"/>
    <w:rsid w:val="00E12648"/>
    <w:rPr>
      <w:rFonts w:ascii="Segoe UI" w:hAnsi="Segoe UI" w:cs="Segoe UI" w:hint="default"/>
      <w:sz w:val="18"/>
      <w:szCs w:val="18"/>
    </w:rPr>
  </w:style>
  <w:style w:type="paragraph" w:customStyle="1" w:styleId="BodyNormal">
    <w:name w:val="Body Normal"/>
    <w:basedOn w:val="Normal"/>
    <w:qFormat/>
    <w:rsid w:val="006B28CE"/>
    <w:pPr>
      <w:spacing w:before="240" w:after="120" w:line="288" w:lineRule="auto"/>
      <w:jc w:val="both"/>
    </w:pPr>
    <w:rPr>
      <w:rFonts w:eastAsiaTheme="minorHAnsi"/>
      <w:szCs w:val="16"/>
    </w:rPr>
  </w:style>
  <w:style w:type="character" w:customStyle="1" w:styleId="ui-provider">
    <w:name w:val="ui-provider"/>
    <w:basedOn w:val="DefaultParagraphFont"/>
    <w:rsid w:val="009E7A85"/>
  </w:style>
  <w:style w:type="numbering" w:customStyle="1" w:styleId="Bullets1">
    <w:name w:val="Bullets1"/>
    <w:uiPriority w:val="99"/>
    <w:rsid w:val="00B0709C"/>
  </w:style>
  <w:style w:type="numbering" w:customStyle="1" w:styleId="Bullets2">
    <w:name w:val="Bullets2"/>
    <w:uiPriority w:val="99"/>
    <w:rsid w:val="008F5073"/>
  </w:style>
  <w:style w:type="paragraph" w:customStyle="1" w:styleId="Figure">
    <w:name w:val="Figure"/>
    <w:basedOn w:val="FigureCaption"/>
    <w:uiPriority w:val="99"/>
    <w:qFormat/>
    <w:rsid w:val="00755C8B"/>
  </w:style>
  <w:style w:type="paragraph" w:customStyle="1" w:styleId="Table">
    <w:name w:val="Table"/>
    <w:basedOn w:val="TableCaption"/>
    <w:uiPriority w:val="99"/>
    <w:qFormat/>
    <w:rsid w:val="00755C8B"/>
  </w:style>
  <w:style w:type="paragraph" w:customStyle="1" w:styleId="BodyTexItalic">
    <w:name w:val="Body Tex Italic"/>
    <w:basedOn w:val="BodyText"/>
    <w:uiPriority w:val="99"/>
    <w:qFormat/>
    <w:rsid w:val="00DF3D5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586">
      <w:bodyDiv w:val="1"/>
      <w:marLeft w:val="0"/>
      <w:marRight w:val="0"/>
      <w:marTop w:val="0"/>
      <w:marBottom w:val="0"/>
      <w:divBdr>
        <w:top w:val="none" w:sz="0" w:space="0" w:color="auto"/>
        <w:left w:val="none" w:sz="0" w:space="0" w:color="auto"/>
        <w:bottom w:val="none" w:sz="0" w:space="0" w:color="auto"/>
        <w:right w:val="none" w:sz="0" w:space="0" w:color="auto"/>
      </w:divBdr>
    </w:div>
    <w:div w:id="25259273">
      <w:bodyDiv w:val="1"/>
      <w:marLeft w:val="0"/>
      <w:marRight w:val="0"/>
      <w:marTop w:val="0"/>
      <w:marBottom w:val="0"/>
      <w:divBdr>
        <w:top w:val="none" w:sz="0" w:space="0" w:color="auto"/>
        <w:left w:val="none" w:sz="0" w:space="0" w:color="auto"/>
        <w:bottom w:val="none" w:sz="0" w:space="0" w:color="auto"/>
        <w:right w:val="none" w:sz="0" w:space="0" w:color="auto"/>
      </w:divBdr>
    </w:div>
    <w:div w:id="111871105">
      <w:bodyDiv w:val="1"/>
      <w:marLeft w:val="0"/>
      <w:marRight w:val="0"/>
      <w:marTop w:val="0"/>
      <w:marBottom w:val="0"/>
      <w:divBdr>
        <w:top w:val="none" w:sz="0" w:space="0" w:color="auto"/>
        <w:left w:val="none" w:sz="0" w:space="0" w:color="auto"/>
        <w:bottom w:val="none" w:sz="0" w:space="0" w:color="auto"/>
        <w:right w:val="none" w:sz="0" w:space="0" w:color="auto"/>
      </w:divBdr>
    </w:div>
    <w:div w:id="145511752">
      <w:bodyDiv w:val="1"/>
      <w:marLeft w:val="0"/>
      <w:marRight w:val="0"/>
      <w:marTop w:val="0"/>
      <w:marBottom w:val="0"/>
      <w:divBdr>
        <w:top w:val="none" w:sz="0" w:space="0" w:color="auto"/>
        <w:left w:val="none" w:sz="0" w:space="0" w:color="auto"/>
        <w:bottom w:val="none" w:sz="0" w:space="0" w:color="auto"/>
        <w:right w:val="none" w:sz="0" w:space="0" w:color="auto"/>
      </w:divBdr>
    </w:div>
    <w:div w:id="194857308">
      <w:bodyDiv w:val="1"/>
      <w:marLeft w:val="0"/>
      <w:marRight w:val="0"/>
      <w:marTop w:val="0"/>
      <w:marBottom w:val="0"/>
      <w:divBdr>
        <w:top w:val="none" w:sz="0" w:space="0" w:color="auto"/>
        <w:left w:val="none" w:sz="0" w:space="0" w:color="auto"/>
        <w:bottom w:val="none" w:sz="0" w:space="0" w:color="auto"/>
        <w:right w:val="none" w:sz="0" w:space="0" w:color="auto"/>
      </w:divBdr>
    </w:div>
    <w:div w:id="257253776">
      <w:bodyDiv w:val="1"/>
      <w:marLeft w:val="0"/>
      <w:marRight w:val="0"/>
      <w:marTop w:val="0"/>
      <w:marBottom w:val="0"/>
      <w:divBdr>
        <w:top w:val="none" w:sz="0" w:space="0" w:color="auto"/>
        <w:left w:val="none" w:sz="0" w:space="0" w:color="auto"/>
        <w:bottom w:val="none" w:sz="0" w:space="0" w:color="auto"/>
        <w:right w:val="none" w:sz="0" w:space="0" w:color="auto"/>
      </w:divBdr>
    </w:div>
    <w:div w:id="279145070">
      <w:bodyDiv w:val="1"/>
      <w:marLeft w:val="0"/>
      <w:marRight w:val="0"/>
      <w:marTop w:val="0"/>
      <w:marBottom w:val="0"/>
      <w:divBdr>
        <w:top w:val="none" w:sz="0" w:space="0" w:color="auto"/>
        <w:left w:val="none" w:sz="0" w:space="0" w:color="auto"/>
        <w:bottom w:val="none" w:sz="0" w:space="0" w:color="auto"/>
        <w:right w:val="none" w:sz="0" w:space="0" w:color="auto"/>
      </w:divBdr>
    </w:div>
    <w:div w:id="285699972">
      <w:bodyDiv w:val="1"/>
      <w:marLeft w:val="0"/>
      <w:marRight w:val="0"/>
      <w:marTop w:val="0"/>
      <w:marBottom w:val="0"/>
      <w:divBdr>
        <w:top w:val="none" w:sz="0" w:space="0" w:color="auto"/>
        <w:left w:val="none" w:sz="0" w:space="0" w:color="auto"/>
        <w:bottom w:val="none" w:sz="0" w:space="0" w:color="auto"/>
        <w:right w:val="none" w:sz="0" w:space="0" w:color="auto"/>
      </w:divBdr>
    </w:div>
    <w:div w:id="348413675">
      <w:bodyDiv w:val="1"/>
      <w:marLeft w:val="0"/>
      <w:marRight w:val="0"/>
      <w:marTop w:val="0"/>
      <w:marBottom w:val="0"/>
      <w:divBdr>
        <w:top w:val="none" w:sz="0" w:space="0" w:color="auto"/>
        <w:left w:val="none" w:sz="0" w:space="0" w:color="auto"/>
        <w:bottom w:val="none" w:sz="0" w:space="0" w:color="auto"/>
        <w:right w:val="none" w:sz="0" w:space="0" w:color="auto"/>
      </w:divBdr>
    </w:div>
    <w:div w:id="360134536">
      <w:bodyDiv w:val="1"/>
      <w:marLeft w:val="0"/>
      <w:marRight w:val="0"/>
      <w:marTop w:val="0"/>
      <w:marBottom w:val="0"/>
      <w:divBdr>
        <w:top w:val="none" w:sz="0" w:space="0" w:color="auto"/>
        <w:left w:val="none" w:sz="0" w:space="0" w:color="auto"/>
        <w:bottom w:val="none" w:sz="0" w:space="0" w:color="auto"/>
        <w:right w:val="none" w:sz="0" w:space="0" w:color="auto"/>
      </w:divBdr>
    </w:div>
    <w:div w:id="394545690">
      <w:bodyDiv w:val="1"/>
      <w:marLeft w:val="0"/>
      <w:marRight w:val="0"/>
      <w:marTop w:val="0"/>
      <w:marBottom w:val="0"/>
      <w:divBdr>
        <w:top w:val="none" w:sz="0" w:space="0" w:color="auto"/>
        <w:left w:val="none" w:sz="0" w:space="0" w:color="auto"/>
        <w:bottom w:val="none" w:sz="0" w:space="0" w:color="auto"/>
        <w:right w:val="none" w:sz="0" w:space="0" w:color="auto"/>
      </w:divBdr>
    </w:div>
    <w:div w:id="410156047">
      <w:bodyDiv w:val="1"/>
      <w:marLeft w:val="0"/>
      <w:marRight w:val="0"/>
      <w:marTop w:val="0"/>
      <w:marBottom w:val="0"/>
      <w:divBdr>
        <w:top w:val="none" w:sz="0" w:space="0" w:color="auto"/>
        <w:left w:val="none" w:sz="0" w:space="0" w:color="auto"/>
        <w:bottom w:val="none" w:sz="0" w:space="0" w:color="auto"/>
        <w:right w:val="none" w:sz="0" w:space="0" w:color="auto"/>
      </w:divBdr>
    </w:div>
    <w:div w:id="439690012">
      <w:bodyDiv w:val="1"/>
      <w:marLeft w:val="0"/>
      <w:marRight w:val="0"/>
      <w:marTop w:val="0"/>
      <w:marBottom w:val="0"/>
      <w:divBdr>
        <w:top w:val="none" w:sz="0" w:space="0" w:color="auto"/>
        <w:left w:val="none" w:sz="0" w:space="0" w:color="auto"/>
        <w:bottom w:val="none" w:sz="0" w:space="0" w:color="auto"/>
        <w:right w:val="none" w:sz="0" w:space="0" w:color="auto"/>
      </w:divBdr>
    </w:div>
    <w:div w:id="467943681">
      <w:bodyDiv w:val="1"/>
      <w:marLeft w:val="0"/>
      <w:marRight w:val="0"/>
      <w:marTop w:val="0"/>
      <w:marBottom w:val="0"/>
      <w:divBdr>
        <w:top w:val="none" w:sz="0" w:space="0" w:color="auto"/>
        <w:left w:val="none" w:sz="0" w:space="0" w:color="auto"/>
        <w:bottom w:val="none" w:sz="0" w:space="0" w:color="auto"/>
        <w:right w:val="none" w:sz="0" w:space="0" w:color="auto"/>
      </w:divBdr>
    </w:div>
    <w:div w:id="489446278">
      <w:bodyDiv w:val="1"/>
      <w:marLeft w:val="0"/>
      <w:marRight w:val="0"/>
      <w:marTop w:val="0"/>
      <w:marBottom w:val="0"/>
      <w:divBdr>
        <w:top w:val="none" w:sz="0" w:space="0" w:color="auto"/>
        <w:left w:val="none" w:sz="0" w:space="0" w:color="auto"/>
        <w:bottom w:val="none" w:sz="0" w:space="0" w:color="auto"/>
        <w:right w:val="none" w:sz="0" w:space="0" w:color="auto"/>
      </w:divBdr>
    </w:div>
    <w:div w:id="515121249">
      <w:bodyDiv w:val="1"/>
      <w:marLeft w:val="0"/>
      <w:marRight w:val="0"/>
      <w:marTop w:val="0"/>
      <w:marBottom w:val="0"/>
      <w:divBdr>
        <w:top w:val="none" w:sz="0" w:space="0" w:color="auto"/>
        <w:left w:val="none" w:sz="0" w:space="0" w:color="auto"/>
        <w:bottom w:val="none" w:sz="0" w:space="0" w:color="auto"/>
        <w:right w:val="none" w:sz="0" w:space="0" w:color="auto"/>
      </w:divBdr>
    </w:div>
    <w:div w:id="526408644">
      <w:bodyDiv w:val="1"/>
      <w:marLeft w:val="0"/>
      <w:marRight w:val="0"/>
      <w:marTop w:val="0"/>
      <w:marBottom w:val="0"/>
      <w:divBdr>
        <w:top w:val="none" w:sz="0" w:space="0" w:color="auto"/>
        <w:left w:val="none" w:sz="0" w:space="0" w:color="auto"/>
        <w:bottom w:val="none" w:sz="0" w:space="0" w:color="auto"/>
        <w:right w:val="none" w:sz="0" w:space="0" w:color="auto"/>
      </w:divBdr>
    </w:div>
    <w:div w:id="564294406">
      <w:bodyDiv w:val="1"/>
      <w:marLeft w:val="0"/>
      <w:marRight w:val="0"/>
      <w:marTop w:val="0"/>
      <w:marBottom w:val="0"/>
      <w:divBdr>
        <w:top w:val="none" w:sz="0" w:space="0" w:color="auto"/>
        <w:left w:val="none" w:sz="0" w:space="0" w:color="auto"/>
        <w:bottom w:val="none" w:sz="0" w:space="0" w:color="auto"/>
        <w:right w:val="none" w:sz="0" w:space="0" w:color="auto"/>
      </w:divBdr>
    </w:div>
    <w:div w:id="615017951">
      <w:bodyDiv w:val="1"/>
      <w:marLeft w:val="0"/>
      <w:marRight w:val="0"/>
      <w:marTop w:val="0"/>
      <w:marBottom w:val="0"/>
      <w:divBdr>
        <w:top w:val="none" w:sz="0" w:space="0" w:color="auto"/>
        <w:left w:val="none" w:sz="0" w:space="0" w:color="auto"/>
        <w:bottom w:val="none" w:sz="0" w:space="0" w:color="auto"/>
        <w:right w:val="none" w:sz="0" w:space="0" w:color="auto"/>
      </w:divBdr>
    </w:div>
    <w:div w:id="758721895">
      <w:bodyDiv w:val="1"/>
      <w:marLeft w:val="0"/>
      <w:marRight w:val="0"/>
      <w:marTop w:val="0"/>
      <w:marBottom w:val="0"/>
      <w:divBdr>
        <w:top w:val="none" w:sz="0" w:space="0" w:color="auto"/>
        <w:left w:val="none" w:sz="0" w:space="0" w:color="auto"/>
        <w:bottom w:val="none" w:sz="0" w:space="0" w:color="auto"/>
        <w:right w:val="none" w:sz="0" w:space="0" w:color="auto"/>
      </w:divBdr>
    </w:div>
    <w:div w:id="759061672">
      <w:bodyDiv w:val="1"/>
      <w:marLeft w:val="0"/>
      <w:marRight w:val="0"/>
      <w:marTop w:val="0"/>
      <w:marBottom w:val="0"/>
      <w:divBdr>
        <w:top w:val="none" w:sz="0" w:space="0" w:color="auto"/>
        <w:left w:val="none" w:sz="0" w:space="0" w:color="auto"/>
        <w:bottom w:val="none" w:sz="0" w:space="0" w:color="auto"/>
        <w:right w:val="none" w:sz="0" w:space="0" w:color="auto"/>
      </w:divBdr>
    </w:div>
    <w:div w:id="765150883">
      <w:bodyDiv w:val="1"/>
      <w:marLeft w:val="0"/>
      <w:marRight w:val="0"/>
      <w:marTop w:val="0"/>
      <w:marBottom w:val="0"/>
      <w:divBdr>
        <w:top w:val="none" w:sz="0" w:space="0" w:color="auto"/>
        <w:left w:val="none" w:sz="0" w:space="0" w:color="auto"/>
        <w:bottom w:val="none" w:sz="0" w:space="0" w:color="auto"/>
        <w:right w:val="none" w:sz="0" w:space="0" w:color="auto"/>
      </w:divBdr>
    </w:div>
    <w:div w:id="816998599">
      <w:bodyDiv w:val="1"/>
      <w:marLeft w:val="0"/>
      <w:marRight w:val="0"/>
      <w:marTop w:val="0"/>
      <w:marBottom w:val="0"/>
      <w:divBdr>
        <w:top w:val="none" w:sz="0" w:space="0" w:color="auto"/>
        <w:left w:val="none" w:sz="0" w:space="0" w:color="auto"/>
        <w:bottom w:val="none" w:sz="0" w:space="0" w:color="auto"/>
        <w:right w:val="none" w:sz="0" w:space="0" w:color="auto"/>
      </w:divBdr>
    </w:div>
    <w:div w:id="903873664">
      <w:bodyDiv w:val="1"/>
      <w:marLeft w:val="0"/>
      <w:marRight w:val="0"/>
      <w:marTop w:val="0"/>
      <w:marBottom w:val="0"/>
      <w:divBdr>
        <w:top w:val="none" w:sz="0" w:space="0" w:color="auto"/>
        <w:left w:val="none" w:sz="0" w:space="0" w:color="auto"/>
        <w:bottom w:val="none" w:sz="0" w:space="0" w:color="auto"/>
        <w:right w:val="none" w:sz="0" w:space="0" w:color="auto"/>
      </w:divBdr>
    </w:div>
    <w:div w:id="996111029">
      <w:bodyDiv w:val="1"/>
      <w:marLeft w:val="0"/>
      <w:marRight w:val="0"/>
      <w:marTop w:val="0"/>
      <w:marBottom w:val="0"/>
      <w:divBdr>
        <w:top w:val="none" w:sz="0" w:space="0" w:color="auto"/>
        <w:left w:val="none" w:sz="0" w:space="0" w:color="auto"/>
        <w:bottom w:val="none" w:sz="0" w:space="0" w:color="auto"/>
        <w:right w:val="none" w:sz="0" w:space="0" w:color="auto"/>
      </w:divBdr>
    </w:div>
    <w:div w:id="1009991183">
      <w:bodyDiv w:val="1"/>
      <w:marLeft w:val="0"/>
      <w:marRight w:val="0"/>
      <w:marTop w:val="0"/>
      <w:marBottom w:val="0"/>
      <w:divBdr>
        <w:top w:val="none" w:sz="0" w:space="0" w:color="auto"/>
        <w:left w:val="none" w:sz="0" w:space="0" w:color="auto"/>
        <w:bottom w:val="none" w:sz="0" w:space="0" w:color="auto"/>
        <w:right w:val="none" w:sz="0" w:space="0" w:color="auto"/>
      </w:divBdr>
    </w:div>
    <w:div w:id="1089616047">
      <w:bodyDiv w:val="1"/>
      <w:marLeft w:val="0"/>
      <w:marRight w:val="0"/>
      <w:marTop w:val="0"/>
      <w:marBottom w:val="0"/>
      <w:divBdr>
        <w:top w:val="none" w:sz="0" w:space="0" w:color="auto"/>
        <w:left w:val="none" w:sz="0" w:space="0" w:color="auto"/>
        <w:bottom w:val="none" w:sz="0" w:space="0" w:color="auto"/>
        <w:right w:val="none" w:sz="0" w:space="0" w:color="auto"/>
      </w:divBdr>
    </w:div>
    <w:div w:id="1129277822">
      <w:bodyDiv w:val="1"/>
      <w:marLeft w:val="0"/>
      <w:marRight w:val="0"/>
      <w:marTop w:val="0"/>
      <w:marBottom w:val="0"/>
      <w:divBdr>
        <w:top w:val="none" w:sz="0" w:space="0" w:color="auto"/>
        <w:left w:val="none" w:sz="0" w:space="0" w:color="auto"/>
        <w:bottom w:val="none" w:sz="0" w:space="0" w:color="auto"/>
        <w:right w:val="none" w:sz="0" w:space="0" w:color="auto"/>
      </w:divBdr>
    </w:div>
    <w:div w:id="1154637302">
      <w:bodyDiv w:val="1"/>
      <w:marLeft w:val="0"/>
      <w:marRight w:val="0"/>
      <w:marTop w:val="0"/>
      <w:marBottom w:val="0"/>
      <w:divBdr>
        <w:top w:val="none" w:sz="0" w:space="0" w:color="auto"/>
        <w:left w:val="none" w:sz="0" w:space="0" w:color="auto"/>
        <w:bottom w:val="none" w:sz="0" w:space="0" w:color="auto"/>
        <w:right w:val="none" w:sz="0" w:space="0" w:color="auto"/>
      </w:divBdr>
    </w:div>
    <w:div w:id="1161240535">
      <w:bodyDiv w:val="1"/>
      <w:marLeft w:val="0"/>
      <w:marRight w:val="0"/>
      <w:marTop w:val="0"/>
      <w:marBottom w:val="0"/>
      <w:divBdr>
        <w:top w:val="none" w:sz="0" w:space="0" w:color="auto"/>
        <w:left w:val="none" w:sz="0" w:space="0" w:color="auto"/>
        <w:bottom w:val="none" w:sz="0" w:space="0" w:color="auto"/>
        <w:right w:val="none" w:sz="0" w:space="0" w:color="auto"/>
      </w:divBdr>
    </w:div>
    <w:div w:id="1181508875">
      <w:bodyDiv w:val="1"/>
      <w:marLeft w:val="0"/>
      <w:marRight w:val="0"/>
      <w:marTop w:val="0"/>
      <w:marBottom w:val="0"/>
      <w:divBdr>
        <w:top w:val="none" w:sz="0" w:space="0" w:color="auto"/>
        <w:left w:val="none" w:sz="0" w:space="0" w:color="auto"/>
        <w:bottom w:val="none" w:sz="0" w:space="0" w:color="auto"/>
        <w:right w:val="none" w:sz="0" w:space="0" w:color="auto"/>
      </w:divBdr>
    </w:div>
    <w:div w:id="1195580689">
      <w:bodyDiv w:val="1"/>
      <w:marLeft w:val="0"/>
      <w:marRight w:val="0"/>
      <w:marTop w:val="0"/>
      <w:marBottom w:val="0"/>
      <w:divBdr>
        <w:top w:val="none" w:sz="0" w:space="0" w:color="auto"/>
        <w:left w:val="none" w:sz="0" w:space="0" w:color="auto"/>
        <w:bottom w:val="none" w:sz="0" w:space="0" w:color="auto"/>
        <w:right w:val="none" w:sz="0" w:space="0" w:color="auto"/>
      </w:divBdr>
    </w:div>
    <w:div w:id="1239435155">
      <w:bodyDiv w:val="1"/>
      <w:marLeft w:val="0"/>
      <w:marRight w:val="0"/>
      <w:marTop w:val="0"/>
      <w:marBottom w:val="0"/>
      <w:divBdr>
        <w:top w:val="none" w:sz="0" w:space="0" w:color="auto"/>
        <w:left w:val="none" w:sz="0" w:space="0" w:color="auto"/>
        <w:bottom w:val="none" w:sz="0" w:space="0" w:color="auto"/>
        <w:right w:val="none" w:sz="0" w:space="0" w:color="auto"/>
      </w:divBdr>
    </w:div>
    <w:div w:id="1240823683">
      <w:bodyDiv w:val="1"/>
      <w:marLeft w:val="0"/>
      <w:marRight w:val="0"/>
      <w:marTop w:val="0"/>
      <w:marBottom w:val="0"/>
      <w:divBdr>
        <w:top w:val="none" w:sz="0" w:space="0" w:color="auto"/>
        <w:left w:val="none" w:sz="0" w:space="0" w:color="auto"/>
        <w:bottom w:val="none" w:sz="0" w:space="0" w:color="auto"/>
        <w:right w:val="none" w:sz="0" w:space="0" w:color="auto"/>
      </w:divBdr>
    </w:div>
    <w:div w:id="1263029415">
      <w:bodyDiv w:val="1"/>
      <w:marLeft w:val="0"/>
      <w:marRight w:val="0"/>
      <w:marTop w:val="0"/>
      <w:marBottom w:val="0"/>
      <w:divBdr>
        <w:top w:val="none" w:sz="0" w:space="0" w:color="auto"/>
        <w:left w:val="none" w:sz="0" w:space="0" w:color="auto"/>
        <w:bottom w:val="none" w:sz="0" w:space="0" w:color="auto"/>
        <w:right w:val="none" w:sz="0" w:space="0" w:color="auto"/>
      </w:divBdr>
    </w:div>
    <w:div w:id="1263149872">
      <w:bodyDiv w:val="1"/>
      <w:marLeft w:val="0"/>
      <w:marRight w:val="0"/>
      <w:marTop w:val="0"/>
      <w:marBottom w:val="0"/>
      <w:divBdr>
        <w:top w:val="none" w:sz="0" w:space="0" w:color="auto"/>
        <w:left w:val="none" w:sz="0" w:space="0" w:color="auto"/>
        <w:bottom w:val="none" w:sz="0" w:space="0" w:color="auto"/>
        <w:right w:val="none" w:sz="0" w:space="0" w:color="auto"/>
      </w:divBdr>
    </w:div>
    <w:div w:id="1318655661">
      <w:bodyDiv w:val="1"/>
      <w:marLeft w:val="0"/>
      <w:marRight w:val="0"/>
      <w:marTop w:val="0"/>
      <w:marBottom w:val="0"/>
      <w:divBdr>
        <w:top w:val="none" w:sz="0" w:space="0" w:color="auto"/>
        <w:left w:val="none" w:sz="0" w:space="0" w:color="auto"/>
        <w:bottom w:val="none" w:sz="0" w:space="0" w:color="auto"/>
        <w:right w:val="none" w:sz="0" w:space="0" w:color="auto"/>
      </w:divBdr>
    </w:div>
    <w:div w:id="1366951646">
      <w:bodyDiv w:val="1"/>
      <w:marLeft w:val="0"/>
      <w:marRight w:val="0"/>
      <w:marTop w:val="0"/>
      <w:marBottom w:val="0"/>
      <w:divBdr>
        <w:top w:val="none" w:sz="0" w:space="0" w:color="auto"/>
        <w:left w:val="none" w:sz="0" w:space="0" w:color="auto"/>
        <w:bottom w:val="none" w:sz="0" w:space="0" w:color="auto"/>
        <w:right w:val="none" w:sz="0" w:space="0" w:color="auto"/>
      </w:divBdr>
    </w:div>
    <w:div w:id="1370257575">
      <w:bodyDiv w:val="1"/>
      <w:marLeft w:val="0"/>
      <w:marRight w:val="0"/>
      <w:marTop w:val="0"/>
      <w:marBottom w:val="0"/>
      <w:divBdr>
        <w:top w:val="none" w:sz="0" w:space="0" w:color="auto"/>
        <w:left w:val="none" w:sz="0" w:space="0" w:color="auto"/>
        <w:bottom w:val="none" w:sz="0" w:space="0" w:color="auto"/>
        <w:right w:val="none" w:sz="0" w:space="0" w:color="auto"/>
      </w:divBdr>
    </w:div>
    <w:div w:id="1557351318">
      <w:bodyDiv w:val="1"/>
      <w:marLeft w:val="0"/>
      <w:marRight w:val="0"/>
      <w:marTop w:val="0"/>
      <w:marBottom w:val="0"/>
      <w:divBdr>
        <w:top w:val="none" w:sz="0" w:space="0" w:color="auto"/>
        <w:left w:val="none" w:sz="0" w:space="0" w:color="auto"/>
        <w:bottom w:val="none" w:sz="0" w:space="0" w:color="auto"/>
        <w:right w:val="none" w:sz="0" w:space="0" w:color="auto"/>
      </w:divBdr>
    </w:div>
    <w:div w:id="1651790894">
      <w:bodyDiv w:val="1"/>
      <w:marLeft w:val="0"/>
      <w:marRight w:val="0"/>
      <w:marTop w:val="0"/>
      <w:marBottom w:val="0"/>
      <w:divBdr>
        <w:top w:val="none" w:sz="0" w:space="0" w:color="auto"/>
        <w:left w:val="none" w:sz="0" w:space="0" w:color="auto"/>
        <w:bottom w:val="none" w:sz="0" w:space="0" w:color="auto"/>
        <w:right w:val="none" w:sz="0" w:space="0" w:color="auto"/>
      </w:divBdr>
    </w:div>
    <w:div w:id="1711489444">
      <w:bodyDiv w:val="1"/>
      <w:marLeft w:val="0"/>
      <w:marRight w:val="0"/>
      <w:marTop w:val="0"/>
      <w:marBottom w:val="0"/>
      <w:divBdr>
        <w:top w:val="none" w:sz="0" w:space="0" w:color="auto"/>
        <w:left w:val="none" w:sz="0" w:space="0" w:color="auto"/>
        <w:bottom w:val="none" w:sz="0" w:space="0" w:color="auto"/>
        <w:right w:val="none" w:sz="0" w:space="0" w:color="auto"/>
      </w:divBdr>
    </w:div>
    <w:div w:id="1769278143">
      <w:bodyDiv w:val="1"/>
      <w:marLeft w:val="0"/>
      <w:marRight w:val="0"/>
      <w:marTop w:val="0"/>
      <w:marBottom w:val="0"/>
      <w:divBdr>
        <w:top w:val="none" w:sz="0" w:space="0" w:color="auto"/>
        <w:left w:val="none" w:sz="0" w:space="0" w:color="auto"/>
        <w:bottom w:val="none" w:sz="0" w:space="0" w:color="auto"/>
        <w:right w:val="none" w:sz="0" w:space="0" w:color="auto"/>
      </w:divBdr>
    </w:div>
    <w:div w:id="1826626392">
      <w:bodyDiv w:val="1"/>
      <w:marLeft w:val="0"/>
      <w:marRight w:val="0"/>
      <w:marTop w:val="0"/>
      <w:marBottom w:val="0"/>
      <w:divBdr>
        <w:top w:val="none" w:sz="0" w:space="0" w:color="auto"/>
        <w:left w:val="none" w:sz="0" w:space="0" w:color="auto"/>
        <w:bottom w:val="none" w:sz="0" w:space="0" w:color="auto"/>
        <w:right w:val="none" w:sz="0" w:space="0" w:color="auto"/>
      </w:divBdr>
    </w:div>
    <w:div w:id="1878928622">
      <w:bodyDiv w:val="1"/>
      <w:marLeft w:val="0"/>
      <w:marRight w:val="0"/>
      <w:marTop w:val="0"/>
      <w:marBottom w:val="0"/>
      <w:divBdr>
        <w:top w:val="none" w:sz="0" w:space="0" w:color="auto"/>
        <w:left w:val="none" w:sz="0" w:space="0" w:color="auto"/>
        <w:bottom w:val="none" w:sz="0" w:space="0" w:color="auto"/>
        <w:right w:val="none" w:sz="0" w:space="0" w:color="auto"/>
      </w:divBdr>
    </w:div>
    <w:div w:id="1901135930">
      <w:bodyDiv w:val="1"/>
      <w:marLeft w:val="0"/>
      <w:marRight w:val="0"/>
      <w:marTop w:val="0"/>
      <w:marBottom w:val="0"/>
      <w:divBdr>
        <w:top w:val="none" w:sz="0" w:space="0" w:color="auto"/>
        <w:left w:val="none" w:sz="0" w:space="0" w:color="auto"/>
        <w:bottom w:val="none" w:sz="0" w:space="0" w:color="auto"/>
        <w:right w:val="none" w:sz="0" w:space="0" w:color="auto"/>
      </w:divBdr>
    </w:div>
    <w:div w:id="1950964781">
      <w:bodyDiv w:val="1"/>
      <w:marLeft w:val="0"/>
      <w:marRight w:val="0"/>
      <w:marTop w:val="0"/>
      <w:marBottom w:val="0"/>
      <w:divBdr>
        <w:top w:val="none" w:sz="0" w:space="0" w:color="auto"/>
        <w:left w:val="none" w:sz="0" w:space="0" w:color="auto"/>
        <w:bottom w:val="none" w:sz="0" w:space="0" w:color="auto"/>
        <w:right w:val="none" w:sz="0" w:space="0" w:color="auto"/>
      </w:divBdr>
    </w:div>
    <w:div w:id="1987775980">
      <w:bodyDiv w:val="1"/>
      <w:marLeft w:val="0"/>
      <w:marRight w:val="0"/>
      <w:marTop w:val="0"/>
      <w:marBottom w:val="0"/>
      <w:divBdr>
        <w:top w:val="none" w:sz="0" w:space="0" w:color="auto"/>
        <w:left w:val="none" w:sz="0" w:space="0" w:color="auto"/>
        <w:bottom w:val="none" w:sz="0" w:space="0" w:color="auto"/>
        <w:right w:val="none" w:sz="0" w:space="0" w:color="auto"/>
      </w:divBdr>
    </w:div>
    <w:div w:id="2020695183">
      <w:bodyDiv w:val="1"/>
      <w:marLeft w:val="0"/>
      <w:marRight w:val="0"/>
      <w:marTop w:val="0"/>
      <w:marBottom w:val="0"/>
      <w:divBdr>
        <w:top w:val="none" w:sz="0" w:space="0" w:color="auto"/>
        <w:left w:val="none" w:sz="0" w:space="0" w:color="auto"/>
        <w:bottom w:val="none" w:sz="0" w:space="0" w:color="auto"/>
        <w:right w:val="none" w:sz="0" w:space="0" w:color="auto"/>
      </w:divBdr>
    </w:div>
    <w:div w:id="2025940665">
      <w:bodyDiv w:val="1"/>
      <w:marLeft w:val="0"/>
      <w:marRight w:val="0"/>
      <w:marTop w:val="0"/>
      <w:marBottom w:val="0"/>
      <w:divBdr>
        <w:top w:val="none" w:sz="0" w:space="0" w:color="auto"/>
        <w:left w:val="none" w:sz="0" w:space="0" w:color="auto"/>
        <w:bottom w:val="none" w:sz="0" w:space="0" w:color="auto"/>
        <w:right w:val="none" w:sz="0" w:space="0" w:color="auto"/>
      </w:divBdr>
    </w:div>
    <w:div w:id="2076582990">
      <w:bodyDiv w:val="1"/>
      <w:marLeft w:val="0"/>
      <w:marRight w:val="0"/>
      <w:marTop w:val="0"/>
      <w:marBottom w:val="0"/>
      <w:divBdr>
        <w:top w:val="none" w:sz="0" w:space="0" w:color="auto"/>
        <w:left w:val="none" w:sz="0" w:space="0" w:color="auto"/>
        <w:bottom w:val="none" w:sz="0" w:space="0" w:color="auto"/>
        <w:right w:val="none" w:sz="0" w:space="0" w:color="auto"/>
      </w:divBdr>
    </w:div>
    <w:div w:id="2124378113">
      <w:bodyDiv w:val="1"/>
      <w:marLeft w:val="0"/>
      <w:marRight w:val="0"/>
      <w:marTop w:val="0"/>
      <w:marBottom w:val="0"/>
      <w:divBdr>
        <w:top w:val="none" w:sz="0" w:space="0" w:color="auto"/>
        <w:left w:val="none" w:sz="0" w:space="0" w:color="auto"/>
        <w:bottom w:val="none" w:sz="0" w:space="0" w:color="auto"/>
        <w:right w:val="none" w:sz="0" w:space="0" w:color="auto"/>
      </w:divBdr>
    </w:div>
    <w:div w:id="2125726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5.xml"/><Relationship Id="rId21" Type="http://schemas.openxmlformats.org/officeDocument/2006/relationships/header" Target="header2.xml"/><Relationship Id="rId42" Type="http://schemas.openxmlformats.org/officeDocument/2006/relationships/header" Target="header7.xml"/><Relationship Id="rId47" Type="http://schemas.openxmlformats.org/officeDocument/2006/relationships/header" Target="header9.xml"/><Relationship Id="rId63" Type="http://schemas.openxmlformats.org/officeDocument/2006/relationships/header" Target="header13.xml"/><Relationship Id="rId68" Type="http://schemas.openxmlformats.org/officeDocument/2006/relationships/image" Target="media/image24.jpeg"/><Relationship Id="rId84" Type="http://schemas.openxmlformats.org/officeDocument/2006/relationships/image" Target="media/image37.jpeg"/><Relationship Id="rId89" Type="http://schemas.openxmlformats.org/officeDocument/2006/relationships/image" Target="media/image38.png"/><Relationship Id="rId16" Type="http://schemas.openxmlformats.org/officeDocument/2006/relationships/footnotes" Target="footnotes.xml"/><Relationship Id="rId107" Type="http://schemas.microsoft.com/office/2019/05/relationships/documenttasks" Target="documenttasks/documenttasks1.xml"/><Relationship Id="rId11" Type="http://schemas.openxmlformats.org/officeDocument/2006/relationships/customXml" Target="../customXml/item11.xml"/><Relationship Id="rId32" Type="http://schemas.openxmlformats.org/officeDocument/2006/relationships/image" Target="media/image7.png"/><Relationship Id="rId37" Type="http://schemas.openxmlformats.org/officeDocument/2006/relationships/image" Target="media/image12.svg"/><Relationship Id="rId53" Type="http://schemas.openxmlformats.org/officeDocument/2006/relationships/footer" Target="footer12.xml"/><Relationship Id="rId58" Type="http://schemas.openxmlformats.org/officeDocument/2006/relationships/image" Target="media/image21.png"/><Relationship Id="rId74" Type="http://schemas.microsoft.com/office/2007/relationships/hdphoto" Target="media/hdphoto1.wdp"/><Relationship Id="rId79" Type="http://schemas.openxmlformats.org/officeDocument/2006/relationships/image" Target="media/image32.png"/><Relationship Id="rId102" Type="http://schemas.openxmlformats.org/officeDocument/2006/relationships/image" Target="media/image51.png"/><Relationship Id="rId5" Type="http://schemas.openxmlformats.org/officeDocument/2006/relationships/customXml" Target="../customXml/item5.xml"/><Relationship Id="rId90" Type="http://schemas.openxmlformats.org/officeDocument/2006/relationships/image" Target="media/image39.png"/><Relationship Id="rId95" Type="http://schemas.openxmlformats.org/officeDocument/2006/relationships/image" Target="media/image44.png"/><Relationship Id="rId22" Type="http://schemas.openxmlformats.org/officeDocument/2006/relationships/footer" Target="footer1.xml"/><Relationship Id="rId27" Type="http://schemas.openxmlformats.org/officeDocument/2006/relationships/footer" Target="footer3.xml"/><Relationship Id="rId43" Type="http://schemas.openxmlformats.org/officeDocument/2006/relationships/header" Target="header8.xml"/><Relationship Id="rId48" Type="http://schemas.openxmlformats.org/officeDocument/2006/relationships/footer" Target="footer9.xml"/><Relationship Id="rId64" Type="http://schemas.openxmlformats.org/officeDocument/2006/relationships/footer" Target="footer16.xml"/><Relationship Id="rId69" Type="http://schemas.openxmlformats.org/officeDocument/2006/relationships/hyperlink" Target="https://www.thegreataustralianplatypussearch.org/results-2021" TargetMode="External"/><Relationship Id="rId80" Type="http://schemas.openxmlformats.org/officeDocument/2006/relationships/image" Target="media/image33.jpeg"/><Relationship Id="rId85" Type="http://schemas.openxmlformats.org/officeDocument/2006/relationships/header" Target="header14.xml"/><Relationship Id="rId12" Type="http://schemas.openxmlformats.org/officeDocument/2006/relationships/numbering" Target="numbering.xml"/><Relationship Id="rId17" Type="http://schemas.openxmlformats.org/officeDocument/2006/relationships/endnotes" Target="endnotes.xml"/><Relationship Id="rId33" Type="http://schemas.openxmlformats.org/officeDocument/2006/relationships/image" Target="media/image8.svg"/><Relationship Id="rId38" Type="http://schemas.openxmlformats.org/officeDocument/2006/relationships/image" Target="media/image13.png"/><Relationship Id="rId59" Type="http://schemas.openxmlformats.org/officeDocument/2006/relationships/image" Target="media/image22.png"/><Relationship Id="rId103" Type="http://schemas.openxmlformats.org/officeDocument/2006/relationships/footer" Target="footer22.xml"/><Relationship Id="rId108" Type="http://schemas.microsoft.com/office/2020/10/relationships/intelligence" Target="intelligence2.xml"/><Relationship Id="rId54" Type="http://schemas.openxmlformats.org/officeDocument/2006/relationships/footer" Target="footer13.xml"/><Relationship Id="rId70" Type="http://schemas.openxmlformats.org/officeDocument/2006/relationships/image" Target="media/image25.png"/><Relationship Id="rId75" Type="http://schemas.openxmlformats.org/officeDocument/2006/relationships/image" Target="media/image28.jpeg"/><Relationship Id="rId91" Type="http://schemas.openxmlformats.org/officeDocument/2006/relationships/image" Target="media/image40.png"/><Relationship Id="rId96" Type="http://schemas.openxmlformats.org/officeDocument/2006/relationships/image" Target="media/image45.png"/><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webSettings" Target="webSettings.xml"/><Relationship Id="rId23" Type="http://schemas.openxmlformats.org/officeDocument/2006/relationships/header" Target="header3.xml"/><Relationship Id="rId28" Type="http://schemas.openxmlformats.org/officeDocument/2006/relationships/footer" Target="footer4.xml"/><Relationship Id="rId36" Type="http://schemas.openxmlformats.org/officeDocument/2006/relationships/image" Target="media/image11.png"/><Relationship Id="rId49" Type="http://schemas.openxmlformats.org/officeDocument/2006/relationships/footer" Target="footer10.xml"/><Relationship Id="rId57" Type="http://schemas.openxmlformats.org/officeDocument/2006/relationships/image" Target="media/image20.jpeg"/><Relationship Id="rId106" Type="http://schemas.openxmlformats.org/officeDocument/2006/relationships/theme" Target="theme/theme1.xml"/><Relationship Id="rId10" Type="http://schemas.openxmlformats.org/officeDocument/2006/relationships/customXml" Target="../customXml/item10.xml"/><Relationship Id="rId31" Type="http://schemas.openxmlformats.org/officeDocument/2006/relationships/image" Target="media/image6.png"/><Relationship Id="rId44" Type="http://schemas.openxmlformats.org/officeDocument/2006/relationships/footer" Target="footer6.xml"/><Relationship Id="rId52" Type="http://schemas.openxmlformats.org/officeDocument/2006/relationships/header" Target="header10.xml"/><Relationship Id="rId60" Type="http://schemas.openxmlformats.org/officeDocument/2006/relationships/header" Target="header11.xml"/><Relationship Id="rId65" Type="http://schemas.openxmlformats.org/officeDocument/2006/relationships/footer" Target="footer17.xml"/><Relationship Id="rId73" Type="http://schemas.openxmlformats.org/officeDocument/2006/relationships/image" Target="media/image27.png"/><Relationship Id="rId78" Type="http://schemas.openxmlformats.org/officeDocument/2006/relationships/image" Target="media/image31.png"/><Relationship Id="rId81" Type="http://schemas.openxmlformats.org/officeDocument/2006/relationships/image" Target="media/image34.jpeg"/><Relationship Id="rId86" Type="http://schemas.openxmlformats.org/officeDocument/2006/relationships/footer" Target="footer19.xml"/><Relationship Id="rId94" Type="http://schemas.openxmlformats.org/officeDocument/2006/relationships/image" Target="media/image43.png"/><Relationship Id="rId99" Type="http://schemas.openxmlformats.org/officeDocument/2006/relationships/image" Target="media/image48.png"/><Relationship Id="rId101" Type="http://schemas.openxmlformats.org/officeDocument/2006/relationships/image" Target="media/image50.png"/><Relationship Id="rId4" Type="http://schemas.openxmlformats.org/officeDocument/2006/relationships/customXml" Target="../customXml/item4.xml"/><Relationship Id="rId9" Type="http://schemas.openxmlformats.org/officeDocument/2006/relationships/customXml" Target="../customXml/item9.xml"/><Relationship Id="rId13" Type="http://schemas.openxmlformats.org/officeDocument/2006/relationships/styles" Target="styles.xml"/><Relationship Id="rId18" Type="http://schemas.openxmlformats.org/officeDocument/2006/relationships/image" Target="media/image1.jpeg"/><Relationship Id="rId39" Type="http://schemas.openxmlformats.org/officeDocument/2006/relationships/image" Target="media/image14.svg"/><Relationship Id="rId109" Type="http://schemas.openxmlformats.org/officeDocument/2006/relationships/customXml" Target="../customXml/item12.xml"/><Relationship Id="rId34" Type="http://schemas.openxmlformats.org/officeDocument/2006/relationships/image" Target="media/image9.png"/><Relationship Id="rId50" Type="http://schemas.openxmlformats.org/officeDocument/2006/relationships/footer" Target="footer11.xml"/><Relationship Id="rId55" Type="http://schemas.openxmlformats.org/officeDocument/2006/relationships/footer" Target="footer14.xml"/><Relationship Id="rId76" Type="http://schemas.openxmlformats.org/officeDocument/2006/relationships/image" Target="media/image29.jpeg"/><Relationship Id="rId97" Type="http://schemas.openxmlformats.org/officeDocument/2006/relationships/image" Target="media/image46.png"/><Relationship Id="rId104" Type="http://schemas.openxmlformats.org/officeDocument/2006/relationships/fontTable" Target="fontTable.xml"/><Relationship Id="rId7" Type="http://schemas.openxmlformats.org/officeDocument/2006/relationships/customXml" Target="../customXml/item7.xml"/><Relationship Id="rId71" Type="http://schemas.openxmlformats.org/officeDocument/2006/relationships/image" Target="media/image26.jpeg"/><Relationship Id="rId92" Type="http://schemas.openxmlformats.org/officeDocument/2006/relationships/image" Target="media/image41.png"/><Relationship Id="rId2" Type="http://schemas.openxmlformats.org/officeDocument/2006/relationships/customXml" Target="../customXml/item2.xml"/><Relationship Id="rId29" Type="http://schemas.openxmlformats.org/officeDocument/2006/relationships/header" Target="header6.xml"/><Relationship Id="rId24" Type="http://schemas.openxmlformats.org/officeDocument/2006/relationships/footer" Target="footer2.xml"/><Relationship Id="rId40" Type="http://schemas.openxmlformats.org/officeDocument/2006/relationships/image" Target="media/image15.png"/><Relationship Id="rId45" Type="http://schemas.openxmlformats.org/officeDocument/2006/relationships/footer" Target="footer7.xml"/><Relationship Id="rId66" Type="http://schemas.openxmlformats.org/officeDocument/2006/relationships/footer" Target="footer18.xml"/><Relationship Id="rId87" Type="http://schemas.openxmlformats.org/officeDocument/2006/relationships/footer" Target="footer20.xml"/><Relationship Id="rId110" Type="http://schemas.openxmlformats.org/officeDocument/2006/relationships/customXml" Target="../customXml/item13.xml"/><Relationship Id="rId61" Type="http://schemas.openxmlformats.org/officeDocument/2006/relationships/footer" Target="footer15.xml"/><Relationship Id="rId82" Type="http://schemas.openxmlformats.org/officeDocument/2006/relationships/image" Target="media/image35.jpeg"/><Relationship Id="rId19" Type="http://schemas.openxmlformats.org/officeDocument/2006/relationships/image" Target="media/image2.jpeg"/><Relationship Id="rId14" Type="http://schemas.openxmlformats.org/officeDocument/2006/relationships/settings" Target="settings.xml"/><Relationship Id="rId30" Type="http://schemas.openxmlformats.org/officeDocument/2006/relationships/footer" Target="footer5.xml"/><Relationship Id="rId35" Type="http://schemas.openxmlformats.org/officeDocument/2006/relationships/image" Target="media/image10.svg"/><Relationship Id="rId56" Type="http://schemas.openxmlformats.org/officeDocument/2006/relationships/image" Target="media/image19.jpeg"/><Relationship Id="rId77" Type="http://schemas.openxmlformats.org/officeDocument/2006/relationships/image" Target="media/image30.jpeg"/><Relationship Id="rId100" Type="http://schemas.openxmlformats.org/officeDocument/2006/relationships/image" Target="media/image49.png"/><Relationship Id="rId105" Type="http://schemas.openxmlformats.org/officeDocument/2006/relationships/glossaryDocument" Target="glossary/document.xml"/><Relationship Id="rId8" Type="http://schemas.openxmlformats.org/officeDocument/2006/relationships/customXml" Target="../customXml/item8.xml"/><Relationship Id="rId51" Type="http://schemas.openxmlformats.org/officeDocument/2006/relationships/image" Target="media/image18.jpeg"/><Relationship Id="rId72" Type="http://schemas.openxmlformats.org/officeDocument/2006/relationships/hyperlink" Target="https://www.vic.waterwatch.org.au/cb_pages/waterwatch_case_studies.php" TargetMode="External"/><Relationship Id="rId93" Type="http://schemas.openxmlformats.org/officeDocument/2006/relationships/image" Target="media/image42.png"/><Relationship Id="rId98" Type="http://schemas.openxmlformats.org/officeDocument/2006/relationships/image" Target="media/image47.png"/><Relationship Id="rId3" Type="http://schemas.openxmlformats.org/officeDocument/2006/relationships/customXml" Target="../customXml/item3.xml"/><Relationship Id="rId25" Type="http://schemas.openxmlformats.org/officeDocument/2006/relationships/header" Target="header4.xml"/><Relationship Id="rId46" Type="http://schemas.openxmlformats.org/officeDocument/2006/relationships/footer" Target="footer8.xml"/><Relationship Id="rId67" Type="http://schemas.openxmlformats.org/officeDocument/2006/relationships/image" Target="media/image23.jpeg"/><Relationship Id="rId20" Type="http://schemas.openxmlformats.org/officeDocument/2006/relationships/header" Target="header1.xml"/><Relationship Id="rId41" Type="http://schemas.openxmlformats.org/officeDocument/2006/relationships/image" Target="media/image16.svg"/><Relationship Id="rId62" Type="http://schemas.openxmlformats.org/officeDocument/2006/relationships/header" Target="header12.xml"/><Relationship Id="rId83" Type="http://schemas.openxmlformats.org/officeDocument/2006/relationships/image" Target="media/image36.jpeg"/><Relationship Id="rId88" Type="http://schemas.openxmlformats.org/officeDocument/2006/relationships/footer" Target="footer21.xml"/><Relationship Id="rId111" Type="http://schemas.openxmlformats.org/officeDocument/2006/relationships/customXml" Target="../customXml/item1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header10.xml.rels><?xml version="1.0" encoding="UTF-8" standalone="yes"?>
<Relationships xmlns="http://schemas.openxmlformats.org/package/2006/relationships"><Relationship Id="rId1" Type="http://schemas.openxmlformats.org/officeDocument/2006/relationships/image" Target="media/image17.jpg"/></Relationships>
</file>

<file path=word/_rels/header11.xml.rels><?xml version="1.0" encoding="UTF-8" standalone="yes"?>
<Relationships xmlns="http://schemas.openxmlformats.org/package/2006/relationships"><Relationship Id="rId1" Type="http://schemas.openxmlformats.org/officeDocument/2006/relationships/image" Target="media/image17.jpg"/></Relationships>
</file>

<file path=word/_rels/header13.xml.rels><?xml version="1.0" encoding="UTF-8" standalone="yes"?>
<Relationships xmlns="http://schemas.openxmlformats.org/package/2006/relationships"><Relationship Id="rId1" Type="http://schemas.openxmlformats.org/officeDocument/2006/relationships/image" Target="media/image17.jpg"/></Relationships>
</file>

<file path=word/_rels/header14.xml.rels><?xml version="1.0" encoding="UTF-8" standalone="yes"?>
<Relationships xmlns="http://schemas.openxmlformats.org/package/2006/relationships"><Relationship Id="rId1" Type="http://schemas.openxmlformats.org/officeDocument/2006/relationships/image" Target="media/image17.jpg"/></Relationships>
</file>

<file path=word/_rels/header3.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8.xml.rels><?xml version="1.0" encoding="UTF-8" standalone="yes"?>
<Relationships xmlns="http://schemas.openxmlformats.org/package/2006/relationships"><Relationship Id="rId1" Type="http://schemas.openxmlformats.org/officeDocument/2006/relationships/image" Target="media/image17.jpg"/></Relationships>
</file>

<file path=word/_rels/header9.xml.rels><?xml version="1.0" encoding="UTF-8" standalone="yes"?>
<Relationships xmlns="http://schemas.openxmlformats.org/package/2006/relationships"><Relationship Id="rId1" Type="http://schemas.openxmlformats.org/officeDocument/2006/relationships/image" Target="media/image17.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ITHE6\AppData\Roaming\MacroView.Office\Files\Templates\Reports\Branding%20group%203\en\Report.dotx" TargetMode="External"/></Relationships>
</file>

<file path=word/documenttasks/documenttasks1.xml><?xml version="1.0" encoding="utf-8"?>
<t:Tasks xmlns:t="http://schemas.microsoft.com/office/tasks/2019/documenttasks" xmlns:oel="http://schemas.microsoft.com/office/2019/extlst">
  <t:Task id="{96458D1F-B7FC-42CE-B54E-7905242BFEDE}">
    <t:Anchor>
      <t:Comment id="121749889"/>
    </t:Anchor>
    <t:History>
      <t:Event id="{5714CEC9-BEFC-4B3B-B99D-C3E4672CDF0E}" time="2023-10-12T23:37:43.266Z">
        <t:Attribution userId="S::catheryn.lewis@delwp.vic.gov.au::62eb660f-2033-41a9-b1d5-abc8163b996f" userProvider="AD" userName="Cathy Lewis (DEECA)"/>
        <t:Anchor>
          <t:Comment id="121749889"/>
        </t:Anchor>
        <t:Create/>
      </t:Event>
      <t:Event id="{26533629-6A11-456B-80A5-2F18A3F09FF7}" time="2023-10-12T23:37:43.266Z">
        <t:Attribution userId="S::catheryn.lewis@delwp.vic.gov.au::62eb660f-2033-41a9-b1d5-abc8163b996f" userProvider="AD" userName="Cathy Lewis (DEECA)"/>
        <t:Anchor>
          <t:Comment id="121749889"/>
        </t:Anchor>
        <t:Assign userId="S::juliet.delardes@delwp.vic.gov.au::1b0ed982-5fb6-48d9-9402-ec93e01217e0" userProvider="AD" userName="Juliet Delardes (DEECA)"/>
      </t:Event>
      <t:Event id="{3D596D9D-C218-4E68-B540-D7BA753F1F7A}" time="2023-10-12T23:37:43.266Z">
        <t:Attribution userId="S::catheryn.lewis@delwp.vic.gov.au::62eb660f-2033-41a9-b1d5-abc8163b996f" userProvider="AD" userName="Cathy Lewis (DEECA)"/>
        <t:Anchor>
          <t:Comment id="121749889"/>
        </t:Anchor>
        <t:SetTitle title="@Juliet Delardes (DEECA) can you please check these figures - do we need phase 2 included?"/>
      </t:Event>
    </t:History>
  </t:Task>
  <t:Task id="{0C833BE5-565B-427A-90B5-E938091A5928}">
    <t:Anchor>
      <t:Comment id="698430762"/>
    </t:Anchor>
    <t:History>
      <t:Event id="{4BCA86E8-E4DC-41BF-A285-884E2800A1DC}" time="2023-10-12T23:24:11.753Z">
        <t:Attribution userId="S::alex.gunn@delwp.vic.gov.au::5963cf00-d69f-46b2-86b2-1ebabfeacd42" userProvider="AD" userName="Alex Gunn (DEECA)"/>
        <t:Anchor>
          <t:Comment id="698430762"/>
        </t:Anchor>
        <t:Create/>
      </t:Event>
      <t:Event id="{FDDEAC9F-0521-4314-A5D1-8A0AC23BBFC7}" time="2023-10-12T23:24:11.753Z">
        <t:Attribution userId="S::alex.gunn@delwp.vic.gov.au::5963cf00-d69f-46b2-86b2-1ebabfeacd42" userProvider="AD" userName="Alex Gunn (DEECA)"/>
        <t:Anchor>
          <t:Comment id="698430762"/>
        </t:Anchor>
        <t:Assign userId="S::ryan.s.wilson@delwp.vic.gov.au::c3fe9b60-ab7a-4b3c-8746-47f1a840c507" userProvider="AD" userName="Ryan S Wilson (DEECA)"/>
      </t:Event>
      <t:Event id="{D88BB094-C611-4082-9830-9FCF6706B267}" time="2023-10-12T23:24:11.753Z">
        <t:Attribution userId="S::alex.gunn@delwp.vic.gov.au::5963cf00-d69f-46b2-86b2-1ebabfeacd42" userProvider="AD" userName="Alex Gunn (DEECA)"/>
        <t:Anchor>
          <t:Comment id="698430762"/>
        </t:Anchor>
        <t:SetTitle title="@Ryan S Wilson (DEECA) Can you confirm this wording?"/>
      </t:Event>
      <t:Event id="{C5F31871-9636-486F-B6C1-C792BB796EEF}" time="2023-10-19T02:52:38.708Z">
        <t:Attribution userId="S::patrick.mccormick@delwp.vic.gov.au::889b572b-4b62-42af-a440-7916aeb7c479" userProvider="AD" userName="Patrick L McCormick (DEECA)"/>
        <t:Progress percentComplete="100"/>
      </t:Event>
    </t:History>
  </t:Task>
  <t:Task id="{DCE670DD-6C6E-4C94-8447-3759B227F05E}">
    <t:Anchor>
      <t:Comment id="684789658"/>
    </t:Anchor>
    <t:History>
      <t:Event id="{62D9FCA8-5814-48C9-A9D2-BA179E623245}" time="2023-10-19T03:06:17.773Z">
        <t:Attribution userId="S::patrick.mccormick@delwp.vic.gov.au::889b572b-4b62-42af-a440-7916aeb7c479" userProvider="AD" userName="Patrick L McCormick (DEECA)"/>
        <t:Anchor>
          <t:Comment id="210655637"/>
        </t:Anchor>
        <t:Create/>
      </t:Event>
      <t:Event id="{E49BE3C8-94A4-4912-8D4A-5DAE537930E0}" time="2023-10-19T03:06:17.773Z">
        <t:Attribution userId="S::patrick.mccormick@delwp.vic.gov.au::889b572b-4b62-42af-a440-7916aeb7c479" userProvider="AD" userName="Patrick L McCormick (DEECA)"/>
        <t:Anchor>
          <t:Comment id="210655637"/>
        </t:Anchor>
        <t:Assign userId="S::Naomi.Douglas@delwp.vic.gov.au::612a8bd8-e9f8-46da-b77c-890421f94452" userProvider="AD" userName="Naomi B Douglas (DEECA)"/>
      </t:Event>
      <t:Event id="{2A33B399-01A4-4282-B15E-FFCC334E05EB}" time="2023-10-19T03:06:17.773Z">
        <t:Attribution userId="S::patrick.mccormick@delwp.vic.gov.au::889b572b-4b62-42af-a440-7916aeb7c479" userProvider="AD" userName="Patrick L McCormick (DEECA)"/>
        <t:Anchor>
          <t:Comment id="210655637"/>
        </t:Anchor>
        <t:SetTitle title="Hi @Naomi and @Lisa. To give you a chance for a formal response on the wording of recommendations 3 and 6 of the EC5 Overall Year-Three Eval Report, tagging you to see if you had anything specific to add/change here? I note that Lisa and Andrea had …"/>
      </t:Event>
    </t:History>
  </t:Task>
  <t:Task id="{C8191F29-73B2-425D-9EB5-5D88CFCDFEE4}">
    <t:Anchor>
      <t:Comment id="284146292"/>
    </t:Anchor>
    <t:History>
      <t:Event id="{74706070-22D9-4141-BF8C-970D7C97D31D}" time="2023-10-19T02:51:42.721Z">
        <t:Attribution userId="S::patrick.mccormick@delwp.vic.gov.au::889b572b-4b62-42af-a440-7916aeb7c479" userProvider="AD" userName="Patrick L McCormick (DEECA)"/>
        <t:Anchor>
          <t:Comment id="284146292"/>
        </t:Anchor>
        <t:Create/>
      </t:Event>
      <t:Event id="{A36E9C7A-5AB2-4D2D-BCEA-3305AED69018}" time="2023-10-19T02:51:42.721Z">
        <t:Attribution userId="S::patrick.mccormick@delwp.vic.gov.au::889b572b-4b62-42af-a440-7916aeb7c479" userProvider="AD" userName="Patrick L McCormick (DEECA)"/>
        <t:Anchor>
          <t:Comment id="284146292"/>
        </t:Anchor>
        <t:Assign userId="S::juliet.delardes@delwp.vic.gov.au::1b0ed982-5fb6-48d9-9402-ec93e01217e0" userProvider="AD" userName="Juliet Delardes (DEECA)"/>
      </t:Event>
      <t:Event id="{98E70D47-9218-4927-BD95-8A15B5AB6B1F}" time="2023-10-19T02:51:42.721Z">
        <t:Attribution userId="S::patrick.mccormick@delwp.vic.gov.au::889b572b-4b62-42af-a440-7916aeb7c479" userProvider="AD" userName="Patrick L McCormick (DEECA)"/>
        <t:Anchor>
          <t:Comment id="284146292"/>
        </t:Anchor>
        <t:SetTitle title="Hi @Juliet. Thanks for the additional suggestions above about the SWS. Note that the text in 'water security' is holistic across all work done through EC5, so I have kept the text in the two sentences below, and deleted the other text you added (though …"/>
      </t:Event>
    </t:History>
  </t:Task>
  <t:Task id="{0388342C-15F0-4921-A75C-93ADAB48B32B}">
    <t:Anchor>
      <t:Comment id="409836147"/>
    </t:Anchor>
    <t:History>
      <t:Event id="{3A859AEB-FB0B-440F-A30F-46F601EFEBDA}" time="2023-10-19T02:54:33.005Z">
        <t:Attribution userId="S::patrick.mccormick@delwp.vic.gov.au::889b572b-4b62-42af-a440-7916aeb7c479" userProvider="AD" userName="Patrick L McCormick (DEECA)"/>
        <t:Anchor>
          <t:Comment id="1372563648"/>
        </t:Anchor>
        <t:Create/>
      </t:Event>
      <t:Event id="{0EA57443-EC77-4104-970E-F3EE563D209E}" time="2023-10-19T02:54:33.005Z">
        <t:Attribution userId="S::patrick.mccormick@delwp.vic.gov.au::889b572b-4b62-42af-a440-7916aeb7c479" userProvider="AD" userName="Patrick L McCormick (DEECA)"/>
        <t:Anchor>
          <t:Comment id="1372563648"/>
        </t:Anchor>
        <t:Assign userId="S::catheryn.lewis@delwp.vic.gov.au::62eb660f-2033-41a9-b1d5-abc8163b996f" userProvider="AD" userName="Cathy Lewis (DEECA)"/>
      </t:Event>
      <t:Event id="{05401439-97A2-4B65-9178-88001F5E8337}" time="2023-10-19T02:54:33.005Z">
        <t:Attribution userId="S::patrick.mccormick@delwp.vic.gov.au::889b572b-4b62-42af-a440-7916aeb7c479" userProvider="AD" userName="Patrick L McCormick (DEECA)"/>
        <t:Anchor>
          <t:Comment id="1372563648"/>
        </t:Anchor>
        <t:SetTitle title="Can you clarify what specifically needs to be added here @Cathy? This is aiming to be high level across all of EC5, and can be expanded upon in the sections further down in the report as needed."/>
      </t:Event>
      <t:Event id="{05234503-E72A-447F-BBDB-1D69C5783382}" time="2023-10-20T00:39:50.433Z">
        <t:Attribution userId="S::patrick.mccormick@delwp.vic.gov.au::889b572b-4b62-42af-a440-7916aeb7c479" userProvider="AD" userName="Patrick L McCormick (DEECA)"/>
        <t:Progress percentComplete="100"/>
      </t:Event>
    </t:History>
  </t:Task>
  <t:Task id="{805AF16F-DA19-4BC7-A330-4C60F8689209}">
    <t:Anchor>
      <t:Comment id="684623910"/>
    </t:Anchor>
    <t:History>
      <t:Event id="{A5ABE1BA-60CC-4636-B4D3-76BD328210FE}" time="2023-10-19T02:56:19.087Z">
        <t:Attribution userId="S::patrick.mccormick@delwp.vic.gov.au::889b572b-4b62-42af-a440-7916aeb7c479" userProvider="AD" userName="Patrick L McCormick (DEECA)"/>
        <t:Anchor>
          <t:Comment id="623971479"/>
        </t:Anchor>
        <t:Create/>
      </t:Event>
      <t:Event id="{7D030B12-2166-4F34-BC75-152EDDA05C28}" time="2023-10-19T02:56:19.087Z">
        <t:Attribution userId="S::patrick.mccormick@delwp.vic.gov.au::889b572b-4b62-42af-a440-7916aeb7c479" userProvider="AD" userName="Patrick L McCormick (DEECA)"/>
        <t:Anchor>
          <t:Comment id="623971479"/>
        </t:Anchor>
        <t:Assign userId="S::Andrea.Ballinger@delwp.vic.gov.au::0d14972a-095b-49d0-a584-3c46fca0c122" userProvider="AD" userName="Andrea A Ballinger (DEECA)"/>
      </t:Event>
      <t:Event id="{5676693D-E45B-46A1-B543-E9DA94320089}" time="2023-10-19T02:56:19.087Z">
        <t:Attribution userId="S::patrick.mccormick@delwp.vic.gov.au::889b572b-4b62-42af-a440-7916aeb7c479" userProvider="AD" userName="Patrick L McCormick (DEECA)"/>
        <t:Anchor>
          <t:Comment id="623971479"/>
        </t:Anchor>
        <t:SetTitle title="@Andrea, note that this line relates to our interviews with leaders and others. Can you confirm if we should ask Jacobs to provide more detail on this here, as Paul suggests, or leave as is? I'm happy to leave as is."/>
      </t:Event>
    </t:History>
  </t:Task>
  <t:Task id="{32C8FBB9-7E22-4DED-B423-7DB51E9082A5}">
    <t:Anchor>
      <t:Comment id="728211821"/>
    </t:Anchor>
    <t:History>
      <t:Event id="{011EFEF0-2E62-4D87-AB3B-E33762617019}" time="2023-10-20T04:16:43.37Z">
        <t:Attribution userId="S::patrick.mccormick@delwp.vic.gov.au::889b572b-4b62-42af-a440-7916aeb7c479" userProvider="AD" userName="Patrick L McCormick (DEECA)"/>
        <t:Anchor>
          <t:Comment id="728211821"/>
        </t:Anchor>
        <t:Create/>
      </t:Event>
      <t:Event id="{A8991312-9BFB-4B99-A56D-016656DE2A13}" time="2023-10-20T04:16:43.37Z">
        <t:Attribution userId="S::patrick.mccormick@delwp.vic.gov.au::889b572b-4b62-42af-a440-7916aeb7c479" userProvider="AD" userName="Patrick L McCormick (DEECA)"/>
        <t:Anchor>
          <t:Comment id="728211821"/>
        </t:Anchor>
        <t:Assign userId="S::lauren.chester@delwp.vic.gov.au::3c2f546b-26e4-41ac-9e69-2879488d34ac" userProvider="AD" userName="Lauren C Chester (DEECA)"/>
      </t:Event>
      <t:Event id="{72778F38-6B13-468D-B0D7-D49A1B060110}" time="2023-10-20T04:16:43.37Z">
        <t:Attribution userId="S::patrick.mccormick@delwp.vic.gov.au::889b572b-4b62-42af-a440-7916aeb7c479" userProvider="AD" userName="Patrick L McCormick (DEECA)"/>
        <t:Anchor>
          <t:Comment id="728211821"/>
        </t:Anchor>
        <t:SetTitle title="Hi @Lauren. Lisa added a comment to another version, though it did not make it here. I've coped it across, and will message you. If you don't get to it, hopefully Jacobs can try to add suitable content: @Lauren C Chester (DEECA) can we add in the …"/>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6D44A4E7DED4AEDBB16B49CA2972F6E"/>
        <w:category>
          <w:name w:val="General"/>
          <w:gallery w:val="placeholder"/>
        </w:category>
        <w:types>
          <w:type w:val="bbPlcHdr"/>
        </w:types>
        <w:behaviors>
          <w:behavior w:val="content"/>
        </w:behaviors>
        <w:guid w:val="{046EA382-0123-4B5E-A5D0-940A35C061C3}"/>
      </w:docPartPr>
      <w:docPartBody>
        <w:p w:rsidR="00E478E9" w:rsidRDefault="004F00E1">
          <w:pPr>
            <w:pStyle w:val="36D44A4E7DED4AEDBB16B49CA2972F6E"/>
          </w:pPr>
          <w:r w:rsidRPr="00BF319E">
            <w:rPr>
              <w:rStyle w:val="PlaceholderText"/>
            </w:rPr>
            <w:t xml:space="preserve">[Client </w:t>
          </w:r>
          <w:r>
            <w:rPr>
              <w:rStyle w:val="PlaceholderText"/>
            </w:rPr>
            <w:t>n</w:t>
          </w:r>
          <w:r w:rsidRPr="00BF319E">
            <w:rPr>
              <w:rStyle w:val="PlaceholderText"/>
            </w:rPr>
            <w:t>ame]</w:t>
          </w:r>
        </w:p>
      </w:docPartBody>
    </w:docPart>
    <w:docPart>
      <w:docPartPr>
        <w:name w:val="1BCD75D4B9C048B18E802794AA2B87F0"/>
        <w:category>
          <w:name w:val="General"/>
          <w:gallery w:val="placeholder"/>
        </w:category>
        <w:types>
          <w:type w:val="bbPlcHdr"/>
        </w:types>
        <w:behaviors>
          <w:behavior w:val="content"/>
        </w:behaviors>
        <w:guid w:val="{425DB373-3353-4259-92BD-09CFDC9FA2E4}"/>
      </w:docPartPr>
      <w:docPartBody>
        <w:p w:rsidR="00E478E9" w:rsidRDefault="004F00E1">
          <w:pPr>
            <w:pStyle w:val="1BCD75D4B9C048B18E802794AA2B87F0"/>
          </w:pPr>
          <w:r>
            <w:rPr>
              <w:rStyle w:val="PlaceholderText"/>
            </w:rPr>
            <w:t>[</w:t>
          </w:r>
          <w:r w:rsidRPr="00B725EF">
            <w:rPr>
              <w:rStyle w:val="PlaceholderText"/>
            </w:rPr>
            <w:t>Project</w:t>
          </w:r>
          <w:r>
            <w:rPr>
              <w:rStyle w:val="PlaceholderText"/>
            </w:rPr>
            <w:t xml:space="preserve"> n</w:t>
          </w:r>
          <w:r w:rsidRPr="00B725EF">
            <w:rPr>
              <w:rStyle w:val="PlaceholderText"/>
            </w:rPr>
            <w:t>ame</w:t>
          </w:r>
          <w:r>
            <w:rPr>
              <w:rStyle w:val="PlaceholderText"/>
            </w:rPr>
            <w:t>]</w:t>
          </w:r>
        </w:p>
      </w:docPartBody>
    </w:docPart>
    <w:docPart>
      <w:docPartPr>
        <w:name w:val="F2B5E0636E4D4FE885272BE8EC8BDA6D"/>
        <w:category>
          <w:name w:val="General"/>
          <w:gallery w:val="placeholder"/>
        </w:category>
        <w:types>
          <w:type w:val="bbPlcHdr"/>
        </w:types>
        <w:behaviors>
          <w:behavior w:val="content"/>
        </w:behaviors>
        <w:guid w:val="{88C4C9EE-B310-408D-AC6D-E57C2066FF20}"/>
      </w:docPartPr>
      <w:docPartBody>
        <w:p w:rsidR="00E478E9" w:rsidRDefault="004F00E1">
          <w:pPr>
            <w:pStyle w:val="F2B5E0636E4D4FE885272BE8EC8BDA6D"/>
          </w:pPr>
          <w:r>
            <w:rPr>
              <w:rStyle w:val="PlaceholderText"/>
            </w:rPr>
            <w:t>[</w:t>
          </w:r>
          <w:r w:rsidRPr="00E453EA">
            <w:rPr>
              <w:rStyle w:val="PlaceholderText"/>
            </w:rPr>
            <w:t>Document</w:t>
          </w:r>
          <w:r>
            <w:rPr>
              <w:rStyle w:val="PlaceholderText"/>
            </w:rPr>
            <w:t xml:space="preserve"> t</w:t>
          </w:r>
          <w:r w:rsidRPr="00E453EA">
            <w:rPr>
              <w:rStyle w:val="PlaceholderText"/>
            </w:rPr>
            <w:t>itle</w:t>
          </w:r>
          <w:r>
            <w:rPr>
              <w:rStyle w:val="PlaceholderText"/>
            </w:rPr>
            <w:t>]</w:t>
          </w:r>
        </w:p>
      </w:docPartBody>
    </w:docPart>
    <w:docPart>
      <w:docPartPr>
        <w:name w:val="AB68EF522E384A01A93EE9B279C113B3"/>
        <w:category>
          <w:name w:val="General"/>
          <w:gallery w:val="placeholder"/>
        </w:category>
        <w:types>
          <w:type w:val="bbPlcHdr"/>
        </w:types>
        <w:behaviors>
          <w:behavior w:val="content"/>
        </w:behaviors>
        <w:guid w:val="{77A3375B-2E55-471A-B60F-CDB47F5E3498}"/>
      </w:docPartPr>
      <w:docPartBody>
        <w:p w:rsidR="00E478E9" w:rsidRDefault="004F00E1">
          <w:pPr>
            <w:pStyle w:val="AB68EF522E384A01A93EE9B279C113B3"/>
          </w:pPr>
          <w:r>
            <w:rPr>
              <w:rStyle w:val="PlaceholderText"/>
            </w:rPr>
            <w:t>[Client name]</w:t>
          </w:r>
        </w:p>
      </w:docPartBody>
    </w:docPart>
    <w:docPart>
      <w:docPartPr>
        <w:name w:val="AAEB1CEDE6524C148C22E88510988B5F"/>
        <w:category>
          <w:name w:val="General"/>
          <w:gallery w:val="placeholder"/>
        </w:category>
        <w:types>
          <w:type w:val="bbPlcHdr"/>
        </w:types>
        <w:behaviors>
          <w:behavior w:val="content"/>
        </w:behaviors>
        <w:guid w:val="{7F08411C-9350-45BB-90E5-1BA643628DAA}"/>
      </w:docPartPr>
      <w:docPartBody>
        <w:p w:rsidR="00E478E9" w:rsidRDefault="004F00E1">
          <w:pPr>
            <w:pStyle w:val="AAEB1CEDE6524C148C22E88510988B5F"/>
          </w:pPr>
          <w:r>
            <w:rPr>
              <w:rStyle w:val="PlaceholderText"/>
            </w:rPr>
            <w:t>[</w:t>
          </w:r>
          <w:r w:rsidRPr="00E453EA">
            <w:rPr>
              <w:rStyle w:val="PlaceholderText"/>
            </w:rPr>
            <w:t>Project</w:t>
          </w:r>
          <w:r>
            <w:rPr>
              <w:rStyle w:val="PlaceholderText"/>
            </w:rPr>
            <w:t xml:space="preserve"> n</w:t>
          </w:r>
          <w:r w:rsidRPr="00E453EA">
            <w:rPr>
              <w:rStyle w:val="PlaceholderText"/>
            </w:rPr>
            <w:t>ame</w:t>
          </w:r>
          <w:r>
            <w:rPr>
              <w:rStyle w:val="PlaceholderText"/>
            </w:rPr>
            <w:t>]</w:t>
          </w:r>
        </w:p>
      </w:docPartBody>
    </w:docPart>
    <w:docPart>
      <w:docPartPr>
        <w:name w:val="FC1D9BB07051476E86496D1AA1562C95"/>
        <w:category>
          <w:name w:val="General"/>
          <w:gallery w:val="placeholder"/>
        </w:category>
        <w:types>
          <w:type w:val="bbPlcHdr"/>
        </w:types>
        <w:behaviors>
          <w:behavior w:val="content"/>
        </w:behaviors>
        <w:guid w:val="{6D5C7B94-D1E4-4DEE-934B-02C50F037DF8}"/>
      </w:docPartPr>
      <w:docPartBody>
        <w:p w:rsidR="00E478E9" w:rsidRDefault="004F00E1">
          <w:pPr>
            <w:pStyle w:val="FC1D9BB07051476E86496D1AA1562C95"/>
          </w:pPr>
          <w:r>
            <w:rPr>
              <w:rStyle w:val="PlaceholderText"/>
            </w:rPr>
            <w:t>[Version]</w:t>
          </w:r>
        </w:p>
      </w:docPartBody>
    </w:docPart>
    <w:docPart>
      <w:docPartPr>
        <w:name w:val="7691FCBF74FF4CF79569198AAA7F7F94"/>
        <w:category>
          <w:name w:val="General"/>
          <w:gallery w:val="placeholder"/>
        </w:category>
        <w:types>
          <w:type w:val="bbPlcHdr"/>
        </w:types>
        <w:behaviors>
          <w:behavior w:val="content"/>
        </w:behaviors>
        <w:guid w:val="{57A5DA70-8199-4AC5-8137-3B29CEF7CAFD}"/>
      </w:docPartPr>
      <w:docPartBody>
        <w:p w:rsidR="00E478E9" w:rsidRDefault="004F00E1">
          <w:pPr>
            <w:pStyle w:val="7691FCBF74FF4CF79569198AAA7F7F94"/>
          </w:pPr>
          <w:r w:rsidRPr="0048173A">
            <w:rPr>
              <w:rStyle w:val="PlaceholderText"/>
              <w:b/>
              <w:bCs/>
            </w:rPr>
            <w:t>[Legal entity]</w:t>
          </w:r>
        </w:p>
      </w:docPartBody>
    </w:docPart>
    <w:docPart>
      <w:docPartPr>
        <w:name w:val="71D92B24FE7B494E905F460A92BAC0A6"/>
        <w:category>
          <w:name w:val="General"/>
          <w:gallery w:val="placeholder"/>
        </w:category>
        <w:types>
          <w:type w:val="bbPlcHdr"/>
        </w:types>
        <w:behaviors>
          <w:behavior w:val="content"/>
        </w:behaviors>
        <w:guid w:val="{0D0CE66C-47AA-4928-8064-420C3DBC4163}"/>
      </w:docPartPr>
      <w:docPartBody>
        <w:p w:rsidR="00E478E9" w:rsidRDefault="004F00E1">
          <w:pPr>
            <w:pStyle w:val="71D92B24FE7B494E905F460A92BAC0A6"/>
          </w:pPr>
          <w:r w:rsidRPr="00D6538A">
            <w:rPr>
              <w:b/>
              <w:i/>
            </w:rPr>
            <w:t>[Please select a legal entity from the Change Office/Brand option on the Jacobs ribbon]</w:t>
          </w:r>
        </w:p>
      </w:docPartBody>
    </w:docPart>
    <w:docPart>
      <w:docPartPr>
        <w:name w:val="195C927C45684147BCAAC3D5F76068D4"/>
        <w:category>
          <w:name w:val="General"/>
          <w:gallery w:val="placeholder"/>
        </w:category>
        <w:types>
          <w:type w:val="bbPlcHdr"/>
        </w:types>
        <w:behaviors>
          <w:behavior w:val="content"/>
        </w:behaviors>
        <w:guid w:val="{B1F93496-0CF8-4E74-8B95-CE4C9FCB5142}"/>
      </w:docPartPr>
      <w:docPartBody>
        <w:p w:rsidR="00E478E9" w:rsidRDefault="004F00E1">
          <w:pPr>
            <w:pStyle w:val="195C927C45684147BCAAC3D5F76068D4"/>
          </w:pPr>
          <w:r w:rsidRPr="00DC7723">
            <w:rPr>
              <w:rStyle w:val="PlaceholderText"/>
            </w:rPr>
            <w:t>Choose a building block.</w:t>
          </w:r>
        </w:p>
      </w:docPartBody>
    </w:docPart>
    <w:docPart>
      <w:docPartPr>
        <w:name w:val="A6A68A69967048EDA615D5D99260FEE0"/>
        <w:category>
          <w:name w:val="General"/>
          <w:gallery w:val="placeholder"/>
        </w:category>
        <w:types>
          <w:type w:val="bbPlcHdr"/>
        </w:types>
        <w:behaviors>
          <w:behavior w:val="content"/>
        </w:behaviors>
        <w:guid w:val="{BD55A443-E3A0-4034-A413-7AF1D2600327}"/>
      </w:docPartPr>
      <w:docPartBody>
        <w:p w:rsidR="00E478E9" w:rsidRDefault="004F00E1">
          <w:pPr>
            <w:pStyle w:val="A6A68A69967048EDA615D5D99260FEE0"/>
          </w:pPr>
          <w:r w:rsidRPr="00945A88">
            <w:rPr>
              <w:i/>
            </w:rPr>
            <w:t>[Document title]</w:t>
          </w:r>
        </w:p>
      </w:docPartBody>
    </w:docPart>
    <w:docPart>
      <w:docPartPr>
        <w:name w:val="FE9C86D9E9B941908EC1140CC995E1E8"/>
        <w:category>
          <w:name w:val="General"/>
          <w:gallery w:val="placeholder"/>
        </w:category>
        <w:types>
          <w:type w:val="bbPlcHdr"/>
        </w:types>
        <w:behaviors>
          <w:behavior w:val="content"/>
        </w:behaviors>
        <w:guid w:val="{7EA2C271-7D7F-465F-A75C-3D264ACF3C7D}"/>
      </w:docPartPr>
      <w:docPartBody>
        <w:p w:rsidR="00E478E9" w:rsidRDefault="004F00E1">
          <w:pPr>
            <w:pStyle w:val="FE9C86D9E9B941908EC1140CC995E1E8"/>
          </w:pPr>
          <w:r w:rsidRPr="000A48CC">
            <w:rPr>
              <w:rStyle w:val="PlaceholderText"/>
            </w:rPr>
            <w:t>[Document n</w:t>
          </w:r>
          <w:r>
            <w:rPr>
              <w:rStyle w:val="PlaceholderText"/>
            </w:rPr>
            <w:t>umber</w:t>
          </w:r>
          <w:r w:rsidRPr="000A48CC">
            <w:rPr>
              <w:rStyle w:val="PlaceholderText"/>
            </w:rPr>
            <w:t>]</w:t>
          </w:r>
        </w:p>
      </w:docPartBody>
    </w:docPart>
    <w:docPart>
      <w:docPartPr>
        <w:name w:val="B0512B5BC5AF4D08A318C6351C4C211D"/>
        <w:category>
          <w:name w:val="General"/>
          <w:gallery w:val="placeholder"/>
        </w:category>
        <w:types>
          <w:type w:val="bbPlcHdr"/>
        </w:types>
        <w:behaviors>
          <w:behavior w:val="content"/>
        </w:behaviors>
        <w:guid w:val="{4B5923BF-ABA2-497F-B011-0C927B758265}"/>
      </w:docPartPr>
      <w:docPartBody>
        <w:p w:rsidR="004B4C9D" w:rsidRDefault="004F00E1">
          <w:pPr>
            <w:pStyle w:val="B0512B5BC5AF4D08A318C6351C4C211D"/>
          </w:pPr>
          <w:r>
            <w:rPr>
              <w:rStyle w:val="PlaceholderText"/>
            </w:rPr>
            <w:t>[Prepared by]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Jacobs Chronos">
    <w:altName w:val="Cambria"/>
    <w:panose1 w:val="020B0603030503030204"/>
    <w:charset w:val="00"/>
    <w:family w:val="swiss"/>
    <w:pitch w:val="variable"/>
    <w:sig w:usb0="A00000EF" w:usb1="0000E0EB" w:usb2="00000008" w:usb3="00000000" w:csb0="0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Jacobs Chronos Light">
    <w:panose1 w:val="020B0403030503030204"/>
    <w:charset w:val="00"/>
    <w:family w:val="swiss"/>
    <w:pitch w:val="variable"/>
    <w:sig w:usb0="A00000EF" w:usb1="0000E0EB" w:usb2="00000008"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Jacobs Chronos Cd">
    <w:altName w:val="Calibri"/>
    <w:panose1 w:val="020B0506030503030204"/>
    <w:charset w:val="00"/>
    <w:family w:val="swiss"/>
    <w:pitch w:val="variable"/>
    <w:sig w:usb0="A00000EF" w:usb1="0000E0EB" w:usb2="00000008"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46B"/>
    <w:rsid w:val="00022EB9"/>
    <w:rsid w:val="00052EA8"/>
    <w:rsid w:val="00071BB2"/>
    <w:rsid w:val="00080E9E"/>
    <w:rsid w:val="00087380"/>
    <w:rsid w:val="000B6AB6"/>
    <w:rsid w:val="00115A20"/>
    <w:rsid w:val="00124502"/>
    <w:rsid w:val="001346A9"/>
    <w:rsid w:val="001527F2"/>
    <w:rsid w:val="001606AB"/>
    <w:rsid w:val="00167CFB"/>
    <w:rsid w:val="00181DC4"/>
    <w:rsid w:val="001A31B2"/>
    <w:rsid w:val="001C16EF"/>
    <w:rsid w:val="001C62ED"/>
    <w:rsid w:val="001D214B"/>
    <w:rsid w:val="001F0DB9"/>
    <w:rsid w:val="00200063"/>
    <w:rsid w:val="00214921"/>
    <w:rsid w:val="002360C7"/>
    <w:rsid w:val="002B2434"/>
    <w:rsid w:val="002B5C4A"/>
    <w:rsid w:val="002C2756"/>
    <w:rsid w:val="0031485B"/>
    <w:rsid w:val="00314F2C"/>
    <w:rsid w:val="0032745F"/>
    <w:rsid w:val="00363A14"/>
    <w:rsid w:val="00366EAA"/>
    <w:rsid w:val="003737D3"/>
    <w:rsid w:val="003A46C2"/>
    <w:rsid w:val="003B332C"/>
    <w:rsid w:val="003C5DAC"/>
    <w:rsid w:val="003D70A6"/>
    <w:rsid w:val="003F38E9"/>
    <w:rsid w:val="00406575"/>
    <w:rsid w:val="0045218F"/>
    <w:rsid w:val="004743F4"/>
    <w:rsid w:val="004A565D"/>
    <w:rsid w:val="004B4C9D"/>
    <w:rsid w:val="004D5DF2"/>
    <w:rsid w:val="004F00E1"/>
    <w:rsid w:val="004F37D6"/>
    <w:rsid w:val="005170F8"/>
    <w:rsid w:val="0053048D"/>
    <w:rsid w:val="00543F02"/>
    <w:rsid w:val="0054417E"/>
    <w:rsid w:val="00550F00"/>
    <w:rsid w:val="00552563"/>
    <w:rsid w:val="00587393"/>
    <w:rsid w:val="00590031"/>
    <w:rsid w:val="005D0EDE"/>
    <w:rsid w:val="0060142F"/>
    <w:rsid w:val="00620235"/>
    <w:rsid w:val="00654625"/>
    <w:rsid w:val="00670366"/>
    <w:rsid w:val="00680254"/>
    <w:rsid w:val="00684BD2"/>
    <w:rsid w:val="006877BE"/>
    <w:rsid w:val="00690894"/>
    <w:rsid w:val="006B0C8D"/>
    <w:rsid w:val="006F3F70"/>
    <w:rsid w:val="007027ED"/>
    <w:rsid w:val="00703448"/>
    <w:rsid w:val="007138C8"/>
    <w:rsid w:val="0072410F"/>
    <w:rsid w:val="00725A77"/>
    <w:rsid w:val="0073512A"/>
    <w:rsid w:val="00756588"/>
    <w:rsid w:val="0076311E"/>
    <w:rsid w:val="007A4702"/>
    <w:rsid w:val="007B0D28"/>
    <w:rsid w:val="007E1056"/>
    <w:rsid w:val="007E3DFA"/>
    <w:rsid w:val="007F082B"/>
    <w:rsid w:val="008254AB"/>
    <w:rsid w:val="00830C4D"/>
    <w:rsid w:val="0083430C"/>
    <w:rsid w:val="00845AF2"/>
    <w:rsid w:val="00893100"/>
    <w:rsid w:val="008B4283"/>
    <w:rsid w:val="008F4103"/>
    <w:rsid w:val="00902D35"/>
    <w:rsid w:val="00907E47"/>
    <w:rsid w:val="00914FCD"/>
    <w:rsid w:val="00916E1B"/>
    <w:rsid w:val="009221C7"/>
    <w:rsid w:val="0093135F"/>
    <w:rsid w:val="009351DA"/>
    <w:rsid w:val="0099111B"/>
    <w:rsid w:val="009E42EE"/>
    <w:rsid w:val="009F2F49"/>
    <w:rsid w:val="009F7C23"/>
    <w:rsid w:val="00A25AF2"/>
    <w:rsid w:val="00A31584"/>
    <w:rsid w:val="00A4166C"/>
    <w:rsid w:val="00A42E4D"/>
    <w:rsid w:val="00AD38F9"/>
    <w:rsid w:val="00B00D7E"/>
    <w:rsid w:val="00B0636D"/>
    <w:rsid w:val="00B5385F"/>
    <w:rsid w:val="00C54BFF"/>
    <w:rsid w:val="00C574DA"/>
    <w:rsid w:val="00CC1525"/>
    <w:rsid w:val="00CD06C1"/>
    <w:rsid w:val="00CD6383"/>
    <w:rsid w:val="00CE6E86"/>
    <w:rsid w:val="00D166A9"/>
    <w:rsid w:val="00D27362"/>
    <w:rsid w:val="00D5220B"/>
    <w:rsid w:val="00D5346B"/>
    <w:rsid w:val="00D64599"/>
    <w:rsid w:val="00D67AD0"/>
    <w:rsid w:val="00DB5E7C"/>
    <w:rsid w:val="00DC3FD3"/>
    <w:rsid w:val="00DC44F8"/>
    <w:rsid w:val="00DD0B09"/>
    <w:rsid w:val="00DD1EB2"/>
    <w:rsid w:val="00E16060"/>
    <w:rsid w:val="00E478E9"/>
    <w:rsid w:val="00E76CA4"/>
    <w:rsid w:val="00E8424D"/>
    <w:rsid w:val="00E8555C"/>
    <w:rsid w:val="00E94D30"/>
    <w:rsid w:val="00EB1F32"/>
    <w:rsid w:val="00EF052C"/>
    <w:rsid w:val="00F046D1"/>
    <w:rsid w:val="00F26C9E"/>
    <w:rsid w:val="00F27221"/>
    <w:rsid w:val="00F75390"/>
    <w:rsid w:val="00FD4E5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i/>
      <w:color w:val="auto"/>
      <w:bdr w:val="none" w:sz="0" w:space="0" w:color="auto"/>
      <w:shd w:val="clear" w:color="auto" w:fill="auto"/>
    </w:rPr>
  </w:style>
  <w:style w:type="paragraph" w:customStyle="1" w:styleId="36D44A4E7DED4AEDBB16B49CA2972F6E">
    <w:name w:val="36D44A4E7DED4AEDBB16B49CA2972F6E"/>
  </w:style>
  <w:style w:type="paragraph" w:customStyle="1" w:styleId="1BCD75D4B9C048B18E802794AA2B87F0">
    <w:name w:val="1BCD75D4B9C048B18E802794AA2B87F0"/>
  </w:style>
  <w:style w:type="paragraph" w:customStyle="1" w:styleId="F2B5E0636E4D4FE885272BE8EC8BDA6D">
    <w:name w:val="F2B5E0636E4D4FE885272BE8EC8BDA6D"/>
  </w:style>
  <w:style w:type="paragraph" w:customStyle="1" w:styleId="AB68EF522E384A01A93EE9B279C113B3">
    <w:name w:val="AB68EF522E384A01A93EE9B279C113B3"/>
  </w:style>
  <w:style w:type="paragraph" w:customStyle="1" w:styleId="AAEB1CEDE6524C148C22E88510988B5F">
    <w:name w:val="AAEB1CEDE6524C148C22E88510988B5F"/>
  </w:style>
  <w:style w:type="paragraph" w:customStyle="1" w:styleId="FC1D9BB07051476E86496D1AA1562C95">
    <w:name w:val="FC1D9BB07051476E86496D1AA1562C95"/>
  </w:style>
  <w:style w:type="paragraph" w:customStyle="1" w:styleId="7691FCBF74FF4CF79569198AAA7F7F94">
    <w:name w:val="7691FCBF74FF4CF79569198AAA7F7F94"/>
  </w:style>
  <w:style w:type="paragraph" w:customStyle="1" w:styleId="71D92B24FE7B494E905F460A92BAC0A6">
    <w:name w:val="71D92B24FE7B494E905F460A92BAC0A6"/>
  </w:style>
  <w:style w:type="paragraph" w:customStyle="1" w:styleId="195C927C45684147BCAAC3D5F76068D4">
    <w:name w:val="195C927C45684147BCAAC3D5F76068D4"/>
  </w:style>
  <w:style w:type="paragraph" w:customStyle="1" w:styleId="A6A68A69967048EDA615D5D99260FEE0">
    <w:name w:val="A6A68A69967048EDA615D5D99260FEE0"/>
  </w:style>
  <w:style w:type="paragraph" w:customStyle="1" w:styleId="FE9C86D9E9B941908EC1140CC995E1E8">
    <w:name w:val="FE9C86D9E9B941908EC1140CC995E1E8"/>
  </w:style>
  <w:style w:type="paragraph" w:customStyle="1" w:styleId="B0512B5BC5AF4D08A318C6351C4C211D">
    <w:name w:val="B0512B5BC5AF4D08A318C6351C4C211D"/>
    <w:rPr>
      <w:lang w:val="en-AU" w:eastAsia="en-AU"/>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JacobsBlue">
  <a:themeElements>
    <a:clrScheme name="Jacobs Accents Blue">
      <a:dk1>
        <a:srgbClr val="000000"/>
      </a:dk1>
      <a:lt1>
        <a:srgbClr val="FFFFFF"/>
      </a:lt1>
      <a:dk2>
        <a:srgbClr val="333333"/>
      </a:dk2>
      <a:lt2>
        <a:srgbClr val="E6E6E6"/>
      </a:lt2>
      <a:accent1>
        <a:srgbClr val="231EDC"/>
      </a:accent1>
      <a:accent2>
        <a:srgbClr val="0A7DFF"/>
      </a:accent2>
      <a:accent3>
        <a:srgbClr val="5AE6FF"/>
      </a:accent3>
      <a:accent4>
        <a:srgbClr val="001E55"/>
      </a:accent4>
      <a:accent5>
        <a:srgbClr val="A5A5A5"/>
      </a:accent5>
      <a:accent6>
        <a:srgbClr val="C8C8C8"/>
      </a:accent6>
      <a:hlink>
        <a:srgbClr val="231EDC"/>
      </a:hlink>
      <a:folHlink>
        <a:srgbClr val="E5E5E5"/>
      </a:folHlink>
    </a:clrScheme>
    <a:fontScheme name="JacobsChronos">
      <a:majorFont>
        <a:latin typeface="Jacobs Chronos"/>
        <a:ea typeface=""/>
        <a:cs typeface=""/>
      </a:majorFont>
      <a:minorFont>
        <a:latin typeface="Jacobs Chron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Blue 1">
      <a:srgbClr val="231EDC"/>
    </a:custClr>
    <a:custClr name="Blue 2">
      <a:srgbClr val="0A7DFF"/>
    </a:custClr>
    <a:custClr name="Blue 3">
      <a:srgbClr val="5AE6FF"/>
    </a:custClr>
    <a:custClr name="Blue 4">
      <a:srgbClr val="001E55"/>
    </a:custClr>
    <a:custClr name="Blue 5">
      <a:srgbClr val="6CB1FF"/>
    </a:custClr>
    <a:custClr name="Blue 6">
      <a:srgbClr val="C2DEFF"/>
    </a:custClr>
    <a:custClr name="Spacer">
      <a:srgbClr val="FFFFFF"/>
    </a:custClr>
    <a:custClr name="Spacer">
      <a:srgbClr val="FFFFFF"/>
    </a:custClr>
    <a:custClr name="Spacer">
      <a:srgbClr val="FFFFFF"/>
    </a:custClr>
    <a:custClr name="Spacer">
      <a:srgbClr val="FFFFFF"/>
    </a:custClr>
    <a:custClr name="Purple 1">
      <a:srgbClr val="6F006E"/>
    </a:custClr>
    <a:custClr name="Purple 2">
      <a:srgbClr val="A800A8"/>
    </a:custClr>
    <a:custClr name="Purple 3">
      <a:srgbClr val="D7A5F5"/>
    </a:custClr>
    <a:custClr name="Purple 4">
      <a:srgbClr val="460F32"/>
    </a:custClr>
    <a:custClr name="Purple 5">
      <a:srgbClr val="CB66CB"/>
    </a:custClr>
    <a:custClr name="Purple 6">
      <a:srgbClr val="E9BFE9"/>
    </a:custClr>
    <a:custClr name="Spacer">
      <a:srgbClr val="FFFFFF"/>
    </a:custClr>
    <a:custClr name="Spacer">
      <a:srgbClr val="FFFFFF"/>
    </a:custClr>
    <a:custClr name="Spacer">
      <a:srgbClr val="FFFFFF"/>
    </a:custClr>
    <a:custClr name="Spacer">
      <a:srgbClr val="FFFFFF"/>
    </a:custClr>
    <a:custClr name="Red 1">
      <a:srgbClr val="D72850"/>
    </a:custClr>
    <a:custClr name="Red 2">
      <a:srgbClr val="FF465F"/>
    </a:custClr>
    <a:custClr name="Red 3">
      <a:srgbClr val="FF9191"/>
    </a:custClr>
    <a:custClr name="Red 4">
      <a:srgbClr val="690A28"/>
    </a:custClr>
    <a:custClr name="Red 5">
      <a:srgbClr val="FF909F"/>
    </a:custClr>
    <a:custClr name="Red 6">
      <a:srgbClr val="FFD1D7"/>
    </a:custClr>
    <a:custClr name="Spacer">
      <a:srgbClr val="FFFFFF"/>
    </a:custClr>
    <a:custClr name="Spacer">
      <a:srgbClr val="FFFFFF"/>
    </a:custClr>
    <a:custClr name="Spacer">
      <a:srgbClr val="FFFFFF"/>
    </a:custClr>
    <a:custClr name="Spacer">
      <a:srgbClr val="FFFFFF"/>
    </a:custClr>
    <a:custClr name="Yellow 1">
      <a:srgbClr val="FFA014"/>
    </a:custClr>
    <a:custClr name="Yellow 2">
      <a:srgbClr val="FFB41E"/>
    </a:custClr>
    <a:custClr name="Yellow 3">
      <a:srgbClr val="FFDC78"/>
    </a:custClr>
    <a:custClr name="Yellow 4">
      <a:srgbClr val="C05C27"/>
    </a:custClr>
    <a:custClr name="Yellow 5">
      <a:srgbClr val="FFD278"/>
    </a:custClr>
    <a:custClr name="Yellow 6">
      <a:srgbClr val="FFECC7"/>
    </a:custClr>
    <a:custClr name="Spacer">
      <a:srgbClr val="FFFFFF"/>
    </a:custClr>
    <a:custClr name="Spacer">
      <a:srgbClr val="FFFFFF"/>
    </a:custClr>
    <a:custClr name="Spacer">
      <a:srgbClr val="FFFFFF"/>
    </a:custClr>
    <a:custClr name="Spacer">
      <a:srgbClr val="FFFFFF"/>
    </a:custClr>
    <a:custClr name="Green 1">
      <a:srgbClr val="007D55"/>
    </a:custClr>
    <a:custClr name="Green 2">
      <a:srgbClr val="0AD287"/>
    </a:custClr>
    <a:custClr name="Green 3">
      <a:srgbClr val="78FAC8"/>
    </a:custClr>
    <a:custClr name="Green 4">
      <a:srgbClr val="003C2D"/>
    </a:custClr>
    <a:custClr name="Green 5">
      <a:srgbClr val="6CE4B7"/>
    </a:custClr>
    <a:custClr name="Green 6">
      <a:srgbClr val="C2F4E1"/>
    </a:custClr>
    <a:custClr name="Spacer">
      <a:srgbClr val="FFFFFF"/>
    </a:custClr>
    <a:custClr name="Spacer">
      <a:srgbClr val="FFFFFF"/>
    </a:custClr>
    <a:custClr name="Spacer">
      <a:srgbClr val="FFFFFF"/>
    </a:custClr>
    <a:custClr name="Spacer">
      <a:srgbClr val="FFFFFF"/>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t:contentTypeSchema xmlns:ct="http://schemas.microsoft.com/office/2006/metadata/contentType" xmlns:ma="http://schemas.microsoft.com/office/2006/metadata/properties/metaAttributes" ct:_="" ma:_="" ma:contentTypeName="Memo" ma:contentTypeID="0x0101002517F445A0F35E449C98AAD631F2B0380F00DA6BABBD5E205441ACDFC001CFFBDBFB" ma:contentTypeVersion="101" ma:contentTypeDescription="A note describing something to be remembered or acted upon in the future – AGLS " ma:contentTypeScope="" ma:versionID="7ad5e9250ff2c493f4257e772faea790">
  <xsd:schema xmlns:xsd="http://www.w3.org/2001/XMLSchema" xmlns:xs="http://www.w3.org/2001/XMLSchema" xmlns:p="http://schemas.microsoft.com/office/2006/metadata/properties" xmlns:ns1="http://schemas.microsoft.com/sharepoint/v3" xmlns:ns2="a5f32de4-e402-4188-b034-e71ca7d22e54" xmlns:ns3="9fd47c19-1c4a-4d7d-b342-c10cef269344" xmlns:ns4="3867f357-3a1c-4ca9-a93f-4854236dd214" targetNamespace="http://schemas.microsoft.com/office/2006/metadata/properties" ma:root="true" ma:fieldsID="417c5ab9a1368c47ec71db7da21a2712" ns1:_="" ns2:_="" ns3:_="" ns4:_="">
    <xsd:import namespace="http://schemas.microsoft.com/sharepoint/v3"/>
    <xsd:import namespace="a5f32de4-e402-4188-b034-e71ca7d22e54"/>
    <xsd:import namespace="9fd47c19-1c4a-4d7d-b342-c10cef269344"/>
    <xsd:import namespace="3867f357-3a1c-4ca9-a93f-4854236dd214"/>
    <xsd:element name="properties">
      <xsd:complexType>
        <xsd:sequence>
          <xsd:element name="documentManagement">
            <xsd:complexType>
              <xsd:all>
                <xsd:element ref="ns1:RoutingRuleDescription" minOccurs="0"/>
                <xsd:element ref="ns1:Language"/>
                <xsd:element ref="ns2:_dlc_DocIdUrl" minOccurs="0"/>
                <xsd:element ref="ns2:_dlc_DocId" minOccurs="0"/>
                <xsd:element ref="ns3:k1bd994a94c2413797db3bab8f123f6f" minOccurs="0"/>
                <xsd:element ref="ns3:a25c4e3633654d669cbaa09ae6b70789" minOccurs="0"/>
                <xsd:element ref="ns3:mfe9accc5a0b4653a7b513b67ffd122d" minOccurs="0"/>
                <xsd:element ref="ns2:_dlc_DocIdPersistId" minOccurs="0"/>
                <xsd:element ref="ns3:pd01c257034b4e86b1f58279a3bd54c6" minOccurs="0"/>
                <xsd:element ref="ns3:fb3179c379644f499d7166d0c985669b" minOccurs="0"/>
                <xsd:element ref="ns3:TaxCatchAll" minOccurs="0"/>
                <xsd:element ref="ns3:TaxCatchAllLabel" minOccurs="0"/>
                <xsd:element ref="ns3:ece32f50ba964e1fbf627a9d83fe6c01" minOccurs="0"/>
                <xsd:element ref="ns3:ic50d0a05a8e4d9791dac67f8a1e716c" minOccurs="0"/>
                <xsd:element ref="ns3:n771d69a070c4babbf278c67c8a2b859" minOccurs="0"/>
                <xsd:element ref="ns4:ed010498260346b187858c33c3113343" minOccurs="0"/>
                <xsd:element ref="ns2:Reference_x0020_Number" minOccurs="0"/>
                <xsd:element ref="ns2:Location_x0020_Value" minOccurs="0"/>
                <xsd:element ref="ns4:e04541968e3a4a22a099fbbbfc7e41fe" minOccurs="0"/>
                <xsd:element ref="ns3:o2e611f6ba3e4c8f9a895dfb7980639e" minOccurs="0"/>
                <xsd:element ref="ns3:ld508a88e6264ce89693af80a72862c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 nillable="true" ma:displayName="Description" ma:description="Further keywords or terms that best describe the document content that DO NOT appear in the Title or File Name." ma:internalName="RoutingRuleDescription" ma:readOnly="false">
      <xsd:simpleType>
        <xsd:restriction base="dms:Text">
          <xsd:maxLength value="255"/>
        </xsd:restriction>
      </xsd:simpleType>
    </xsd:element>
    <xsd:element name="Language" ma:index="11" ma:displayName="Language" ma:default="English"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3" nillable="true" ma:displayName="Document ID Value" ma:description="The value of the document ID assigned to this item." ma:internalName="_dlc_DocId" ma:readOnly="true">
      <xsd:simpleType>
        <xsd:restriction base="dms:Text"/>
      </xsd:simpleType>
    </xsd:element>
    <xsd:element name="_dlc_DocIdPersistId" ma:index="19" nillable="true" ma:displayName="Persist ID" ma:description="Keep ID on add." ma:hidden="true" ma:internalName="_dlc_DocIdPersistId" ma:readOnly="true">
      <xsd:simpleType>
        <xsd:restriction base="dms:Boolean"/>
      </xsd:simpleType>
    </xsd:element>
    <xsd:element name="Reference_x0020_Number" ma:index="34" nillable="true" ma:displayName="Reference Number" ma:internalName="Reference_x0020_Number">
      <xsd:simpleType>
        <xsd:restriction base="dms:Text">
          <xsd:maxLength value="255"/>
        </xsd:restriction>
      </xsd:simpleType>
    </xsd:element>
    <xsd:element name="Location_x0020_Value" ma:index="36" nillable="true" ma:displayName="Location Value" ma:internalName="Location_x0020_Val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k1bd994a94c2413797db3bab8f123f6f" ma:index="14" nillable="true" ma:taxonomy="true" ma:internalName="k1bd994a94c2413797db3bab8f123f6f" ma:taxonomyFieldName="Section" ma:displayName="Section" ma:default="" ma:fieldId="{41bd994a-94c2-4137-97db-3bab8f123f6f}" ma:sspId="797aeec6-0273-40f2-ab3e-beee73212332" ma:termSetId="7ed103ff-4fe0-4197-8cbd-8afd7af5c093" ma:anchorId="00000000-0000-0000-0000-000000000000" ma:open="false" ma:isKeyword="false">
      <xsd:complexType>
        <xsd:sequence>
          <xsd:element ref="pc:Terms" minOccurs="0" maxOccurs="1"/>
        </xsd:sequence>
      </xsd:complexType>
    </xsd:element>
    <xsd:element name="a25c4e3633654d669cbaa09ae6b70789" ma:index="16" nillable="true" ma:taxonomy="true" ma:internalName="a25c4e3633654d669cbaa09ae6b70789" ma:taxonomyFieldName="Sub_x002d_Section" ma:displayName="Sub-Section" ma:readOnly="false" ma:default="" ma:fieldId="{a25c4e36-3365-4d66-9cba-a09ae6b70789}" ma:sspId="797aeec6-0273-40f2-ab3e-beee73212332" ma:termSetId="52866136-d969-4b31-8d96-2f1d875187a1" ma:anchorId="00000000-0000-0000-0000-000000000000" ma:open="false" ma:isKeyword="false">
      <xsd:complexType>
        <xsd:sequence>
          <xsd:element ref="pc:Terms" minOccurs="0" maxOccurs="1"/>
        </xsd:sequence>
      </xsd:complexType>
    </xsd:element>
    <xsd:element name="mfe9accc5a0b4653a7b513b67ffd122d" ma:index="18" ma:taxonomy="true" ma:internalName="mfe9accc5a0b4653a7b513b67ffd122d" ma:taxonomyFieldName="Branch" ma:displayName="Branch" ma:default="6;#Executive Services|e5dac3b6-3758-40a7-8921-77a6f8094098" ma:fieldId="{6fe9accc-5a0b-4653-a7b5-13b67ffd122d}" ma:sspId="797aeec6-0273-40f2-ab3e-beee73212332" ma:termSetId="2966b9b6-b7ea-4bfd-a4f9-f27ab5012f44" ma:anchorId="00000000-0000-0000-0000-000000000000" ma:open="false" ma:isKeyword="false">
      <xsd:complexType>
        <xsd:sequence>
          <xsd:element ref="pc:Terms" minOccurs="0" maxOccurs="1"/>
        </xsd:sequence>
      </xsd:complexType>
    </xsd:element>
    <xsd:element name="pd01c257034b4e86b1f58279a3bd54c6" ma:index="20" ma:taxonomy="true" ma:internalName="pd01c257034b4e86b1f58279a3bd54c6" ma:taxonomyFieldName="Security_x0020_Classification" ma:displayName="Security Classification" ma:readOnly="false" ma:default="3;#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fb3179c379644f499d7166d0c985669b" ma:index="21" ma:taxonomy="true" ma:internalName="fb3179c379644f499d7166d0c985669b" ma:taxonomyFieldName="Dissemination_x0020_Limiting_x0020_Marker" ma:displayName="Dissemination Limiting Marker" ma:readOnly="false" ma:default="2;#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TaxCatchAll" ma:index="22" nillable="true" ma:displayName="Taxonomy Catch All Column" ma:description="" ma:hidden="true" ma:list="{fcdc2a19-2d00-44cf-b7bd-7f9c2f622aa0}" ma:internalName="TaxCatchAll" ma:showField="CatchAllData" ma:web="153f2783-1c70-4464-955e-85040a58200f">
      <xsd:complexType>
        <xsd:complexContent>
          <xsd:extension base="dms:MultiChoiceLookup">
            <xsd:sequence>
              <xsd:element name="Value" type="dms:Lookup" maxOccurs="unbounded" minOccurs="0" nillable="true"/>
            </xsd:sequence>
          </xsd:extension>
        </xsd:complexContent>
      </xsd:complexType>
    </xsd:element>
    <xsd:element name="TaxCatchAllLabel" ma:index="23" nillable="true" ma:displayName="Taxonomy Catch All Column1" ma:description="" ma:hidden="true" ma:list="{fcdc2a19-2d00-44cf-b7bd-7f9c2f622aa0}" ma:internalName="TaxCatchAllLabel" ma:readOnly="true" ma:showField="CatchAllDataLabel" ma:web="153f2783-1c70-4464-955e-85040a58200f">
      <xsd:complexType>
        <xsd:complexContent>
          <xsd:extension base="dms:MultiChoiceLookup">
            <xsd:sequence>
              <xsd:element name="Value" type="dms:Lookup" maxOccurs="unbounded" minOccurs="0" nillable="true"/>
            </xsd:sequence>
          </xsd:extension>
        </xsd:complexContent>
      </xsd:complexType>
    </xsd:element>
    <xsd:element name="ece32f50ba964e1fbf627a9d83fe6c01" ma:index="25" ma:taxonomy="true" ma:internalName="ece32f50ba964e1fbf627a9d83fe6c01" ma:taxonomyFieldName="Agency" ma:displayName="Agency" ma:readOnly="false" ma:default="147;#Department of Energy, Environment and Climate Action|6ec2007c-62f7-4367-85b3-4db3e85c504f" ma:fieldId="{ece32f50-ba96-4e1f-bf62-7a9d83fe6c01}" ma:sspId="797aeec6-0273-40f2-ab3e-beee73212332" ma:termSetId="8802f075-2b41-4f09-b612-1b6d41c66981" ma:anchorId="00000000-0000-0000-0000-000000000000" ma:open="false" ma:isKeyword="false">
      <xsd:complexType>
        <xsd:sequence>
          <xsd:element ref="pc:Terms" minOccurs="0" maxOccurs="1"/>
        </xsd:sequence>
      </xsd:complexType>
    </xsd:element>
    <xsd:element name="ic50d0a05a8e4d9791dac67f8a1e716c" ma:index="27" ma:taxonomy="true" ma:internalName="ic50d0a05a8e4d9791dac67f8a1e716c" ma:taxonomyFieldName="Group1" ma:displayName="Group" ma:default="4;#Water and Catchments|04babe5f-fe90-4982-9f33-c4fc8f4bb63f" ma:fieldId="{2c50d0a0-5a8e-4d97-91da-c67f8a1e716c}" ma:sspId="797aeec6-0273-40f2-ab3e-beee73212332" ma:termSetId="4ea60e42-aaf2-4d08-ba07-c252f1e94b4c" ma:anchorId="00000000-0000-0000-0000-000000000000" ma:open="false" ma:isKeyword="false">
      <xsd:complexType>
        <xsd:sequence>
          <xsd:element ref="pc:Terms" minOccurs="0" maxOccurs="1"/>
        </xsd:sequence>
      </xsd:complexType>
    </xsd:element>
    <xsd:element name="n771d69a070c4babbf278c67c8a2b859" ma:index="29" ma:taxonomy="true" ma:internalName="n771d69a070c4babbf278c67c8a2b859" ma:taxonomyFieldName="Division" ma:displayName="Division" ma:default="5;#Office of the Deputy Secretary Water and Catchments|3c1e8dec-6a81-4ef2-b151-e0b49bc0f761" ma:fieldId="{7771d69a-070c-4bab-bf27-8c67c8a2b859}" ma:sspId="797aeec6-0273-40f2-ab3e-beee73212332" ma:termSetId="0b563327-3fd1-4e33-bf14-c9e227ef5a35" ma:anchorId="00000000-0000-0000-0000-000000000000" ma:open="false" ma:isKeyword="false">
      <xsd:complexType>
        <xsd:sequence>
          <xsd:element ref="pc:Terms" minOccurs="0" maxOccurs="1"/>
        </xsd:sequence>
      </xsd:complexType>
    </xsd:element>
    <xsd:element name="o2e611f6ba3e4c8f9a895dfb7980639e" ma:index="39" nillable="true" ma:taxonomy="true" ma:internalName="o2e611f6ba3e4c8f9a895dfb7980639e" ma:taxonomyFieldName="Location_x0020_Type" ma:displayName="Location Type" ma:default="" ma:fieldId="{82e611f6-ba3e-4c8f-9a89-5dfb7980639e}" ma:sspId="797aeec6-0273-40f2-ab3e-beee73212332" ma:termSetId="648a561f-e369-4e31-b869-87da18c5c4f1" ma:anchorId="00000000-0000-0000-0000-000000000000" ma:open="false" ma:isKeyword="false">
      <xsd:complexType>
        <xsd:sequence>
          <xsd:element ref="pc:Terms" minOccurs="0" maxOccurs="1"/>
        </xsd:sequence>
      </xsd:complexType>
    </xsd:element>
    <xsd:element name="ld508a88e6264ce89693af80a72862cb" ma:index="40" nillable="true" ma:taxonomy="true" ma:internalName="ld508a88e6264ce89693af80a72862cb" ma:taxonomyFieldName="Reference_x0020_Type" ma:displayName="Reference Type" ma:default="" ma:fieldId="{5d508a88-e626-4ce8-9693-af80a72862cb}" ma:sspId="797aeec6-0273-40f2-ab3e-beee73212332" ma:termSetId="11043c92-3a71-4a36-852c-b5b476b049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867f357-3a1c-4ca9-a93f-4854236dd214" elementFormDefault="qualified">
    <xsd:import namespace="http://schemas.microsoft.com/office/2006/documentManagement/types"/>
    <xsd:import namespace="http://schemas.microsoft.com/office/infopath/2007/PartnerControls"/>
    <xsd:element name="ed010498260346b187858c33c3113343" ma:index="32" nillable="true" ma:taxonomy="true" ma:internalName="ed010498260346b187858c33c3113343" ma:taxonomyFieldName="Stage" ma:displayName="Stage" ma:default="" ma:fieldId="{ed010498-2603-46b1-8785-8c33c3113343}" ma:sspId="797aeec6-0273-40f2-ab3e-beee73212332" ma:termSetId="c3075b03-0b45-4031-9d8c-7b90de58cdbd" ma:anchorId="00000000-0000-0000-0000-000000000000" ma:open="true" ma:isKeyword="false">
      <xsd:complexType>
        <xsd:sequence>
          <xsd:element ref="pc:Terms" minOccurs="0" maxOccurs="1"/>
        </xsd:sequence>
      </xsd:complexType>
    </xsd:element>
    <xsd:element name="e04541968e3a4a22a099fbbbfc7e41fe" ma:index="38" nillable="true" ma:taxonomy="true" ma:internalName="e04541968e3a4a22a099fbbbfc7e41fe" ma:taxonomyFieldName="Tranche" ma:displayName="Tranche" ma:default="" ma:fieldId="{e0454196-8e3a-4a22-a099-fbbbfc7e41fe}" ma:sspId="797aeec6-0273-40f2-ab3e-beee73212332" ma:termSetId="3cae8447-8a68-47bc-9910-03a6fe485345"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0.xml><?xml version="1.0" encoding="utf-8"?>
<b:Sources xmlns:b="http://schemas.openxmlformats.org/officeDocument/2006/bibliography" xmlns="http://schemas.openxmlformats.org/officeDocument/2006/bibliography" SelectedStyle="\APASixthEditionOfficeOnline.xsl" StyleName="APA" Version="6"/>
</file>

<file path=customXml/item11.xml><?xml version="1.0" encoding="utf-8"?>
<q1:DocumentSettings xmlns:q1="http://schemas.macroview.com.au/documentsettings">
  <q1:NewDocumentMethodName>Report_NewDocument</q1:NewDocumentMethodName>
  <q1:ChangeOfficeMethodName>ChangeOffice_Report</q1:ChangeOfficeMethodName>
  <q1:ConversionSettings>
    <q1:AttachTemplateActionsMethodName>ReportConversionAttachTemplateActions</q1:AttachTemplateActionsMethodName>
    <q1:ParagraphStyleMappingsFileName>Report Proposal Paragraph Style Mappings.xml</q1:ParagraphStyleMappingsFileName>
  </q1:ConversionSettings>
</q1:DocumentSettings>
</file>

<file path=customXml/item12.xml><?xml version="1.0" encoding="utf-8"?>
<?mso-contentType ?>
<customXsn xmlns="http://schemas.microsoft.com/office/2006/metadata/customXsn">
  <xsnLocation/>
  <cached>True</cached>
  <openByDefault>True</openByDefault>
  <xsnScope>/sites/ecm_133/EC Policy</xsnScope>
</customXsn>
</file>

<file path=customXml/item13.xml><?xml version="1.0" encoding="utf-8"?>
<?mso-contentType ?>
<SharedContentType xmlns="Microsoft.SharePoint.Taxonomy.ContentTypeSync" SourceId="3452d580-73c1-4b2b-acb3-3600a17877a9" ContentTypeId="0x0101002517F445A0F35E449C98AAD631F2B0380F" PreviousValue="false"/>
</file>

<file path=customXml/item1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q1:StyleVisibilitySettingsCollection xmlns:q1="http://schemas.macroview.com.au/StyleVisibilitySettingsCollection">
  <q1:SettingsCollection>
    <q1:StyleVisibilitySettings>
      <q1:IsQuickStyle>false</q1:IsQuickStyle>
      <q1:Name>Body Text</q1:Name>
      <q1:Priority>1</q1:Priority>
      <q1:UnhideWhenUsed>false</q1:UnhideWhenUsed>
      <q1:Visibility>true</q1:Visibility>
    </q1:StyleVisibilitySettings>
    <q1:StyleVisibilitySettings>
      <q1:IsQuickStyle>false</q1:IsQuickStyle>
      <q1:Name>Heading 1</q1:Name>
      <q1:Priority>1</q1:Priority>
      <q1:UnhideWhenUsed>false</q1:UnhideWhenUsed>
      <q1:Visibility>true</q1:Visibility>
    </q1:StyleVisibilitySettings>
    <q1:StyleVisibilitySettings>
      <q1:IsQuickStyle>false</q1:IsQuickStyle>
      <q1:Name>Heading 2</q1:Name>
      <q1:Priority>1</q1:Priority>
      <q1:UnhideWhenUsed>false</q1:UnhideWhenUsed>
      <q1:Visibility>true</q1:Visibility>
    </q1:StyleVisibilitySettings>
    <q1:StyleVisibilitySettings>
      <q1:IsQuickStyle>false</q1:IsQuickStyle>
      <q1:Name>Heading 3</q1:Name>
      <q1:Priority>1</q1:Priority>
      <q1:UnhideWhenUsed>false</q1:UnhideWhenUsed>
      <q1:Visibility>true</q1:Visibility>
    </q1:StyleVisibilitySettings>
    <q1:StyleVisibilitySettings>
      <q1:IsQuickStyle>false</q1:IsQuickStyle>
      <q1:Name>Heading 4</q1:Name>
      <q1:Priority>1</q1:Priority>
      <q1:UnhideWhenUsed>false</q1:UnhideWhenUsed>
      <q1:Visibility>true</q1:Visibility>
    </q1:StyleVisibilitySettings>
    <q1:StyleVisibilitySettings>
      <q1:IsQuickStyle>false</q1:IsQuickStyle>
      <q1:Name>Heading 5</q1:Name>
      <q1:Priority>1</q1:Priority>
      <q1:UnhideWhenUsed>false</q1:UnhideWhenUsed>
      <q1:Visibility>true</q1:Visibility>
    </q1:StyleVisibilitySettings>
    <q1:StyleVisibilitySettings>
      <q1:IsQuickStyle>false</q1:IsQuickStyle>
      <q1:Name>Heading 6</q1:Name>
      <q1:Priority>1</q1:Priority>
      <q1:UnhideWhenUsed>false</q1:UnhideWhenUsed>
      <q1:Visibility>true</q1:Visibility>
    </q1:StyleVisibilitySettings>
    <q1:StyleVisibilitySettings>
      <q1:IsQuickStyle>false</q1:IsQuickStyle>
      <q1:Name>Heading (unnumbered) 1</q1:Name>
      <q1:Priority>2</q1:Priority>
      <q1:UnhideWhenUsed>false</q1:UnhideWhenUsed>
      <q1:Visibility>true</q1:Visibility>
    </q1:StyleVisibilitySettings>
    <q1:StyleVisibilitySettings>
      <q1:IsQuickStyle>false</q1:IsQuickStyle>
      <q1:Name>Heading (unnumbered) 2</q1:Name>
      <q1:Priority>2</q1:Priority>
      <q1:UnhideWhenUsed>false</q1:UnhideWhenUsed>
      <q1:Visibility>true</q1:Visibility>
    </q1:StyleVisibilitySettings>
    <q1:StyleVisibilitySettings>
      <q1:IsQuickStyle>false</q1:IsQuickStyle>
      <q1:Name>Heading (unnumbered) 3</q1:Name>
      <q1:Priority>2</q1:Priority>
      <q1:UnhideWhenUsed>false</q1:UnhideWhenUsed>
      <q1:Visibility>true</q1:Visibility>
    </q1:StyleVisibilitySettings>
    <q1:StyleVisibilitySettings>
      <q1:IsQuickStyle>false</q1:IsQuickStyle>
      <q1:Name>Body Text 1 Number</q1:Name>
      <q1:Priority>3</q1:Priority>
      <q1:UnhideWhenUsed>false</q1:UnhideWhenUsed>
      <q1:Visibility>true</q1:Visibility>
    </q1:StyleVisibilitySettings>
    <q1:StyleVisibilitySettings>
      <q1:IsQuickStyle>false</q1:IsQuickStyle>
      <q1:Name>Body Text 2 Letter</q1:Name>
      <q1:Priority>3</q1:Priority>
      <q1:UnhideWhenUsed>false</q1:UnhideWhenUsed>
      <q1:Visibility>true</q1:Visibility>
    </q1:StyleVisibilitySettings>
    <q1:StyleVisibilitySettings>
      <q1:IsQuickStyle>false</q1:IsQuickStyle>
      <q1:Name>Body Text 3 Roman</q1:Name>
      <q1:Priority>3</q1:Priority>
      <q1:UnhideWhenUsed>false</q1:UnhideWhenUsed>
      <q1:Visibility>true</q1:Visibility>
    </q1:StyleVisibilitySettings>
    <q1:StyleVisibilitySettings>
      <q1:IsQuickStyle>false</q1:IsQuickStyle>
      <q1:Name>Body Text 4 Number</q1:Name>
      <q1:Priority>3</q1:Priority>
      <q1:UnhideWhenUsed>false</q1:UnhideWhenUsed>
      <q1:Visibility>true</q1:Visibility>
    </q1:StyleVisibilitySettings>
    <q1:StyleVisibilitySettings>
      <q1:IsQuickStyle>false</q1:IsQuickStyle>
      <q1:Name>Bullet Level 1</q1:Name>
      <q1:Priority>3</q1:Priority>
      <q1:UnhideWhenUsed>false</q1:UnhideWhenUsed>
      <q1:Visibility>true</q1:Visibility>
    </q1:StyleVisibilitySettings>
    <q1:StyleVisibilitySettings>
      <q1:IsQuickStyle>false</q1:IsQuickStyle>
      <q1:Name>Bullet Level 2</q1:Name>
      <q1:Priority>3</q1:Priority>
      <q1:UnhideWhenUsed>false</q1:UnhideWhenUsed>
      <q1:Visibility>true</q1:Visibility>
    </q1:StyleVisibilitySettings>
    <q1:StyleVisibilitySettings>
      <q1:IsQuickStyle>false</q1:IsQuickStyle>
      <q1:Name>Bullet Level 3</q1:Name>
      <q1:Priority>3</q1:Priority>
      <q1:UnhideWhenUsed>false</q1:UnhideWhenUsed>
      <q1:Visibility>true</q1:Visibility>
    </q1:StyleVisibilitySettings>
    <q1:StyleVisibilitySettings>
      <q1:IsQuickStyle>false</q1:IsQuickStyle>
      <q1:Name>Sequential</q1:Name>
      <q1:Priority>3</q1:Priority>
      <q1:UnhideWhenUsed>false</q1:UnhideWhenUsed>
      <q1:Visibility>true</q1:Visibility>
    </q1:StyleVisibilitySettings>
    <q1:StyleVisibilitySettings>
      <q1:IsQuickStyle>false</q1:IsQuickStyle>
      <q1:Name>Sequential 2</q1:Name>
      <q1:Priority>4</q1:Priority>
      <q1:UnhideWhenUsed>false</q1:UnhideWhenUsed>
      <q1:Visibility>true</q1:Visibility>
    </q1:StyleVisibilitySettings>
    <q1:StyleVisibilitySettings>
      <q1:IsQuickStyle>false</q1:IsQuickStyle>
      <q1:Name>Sequential 3</q1:Name>
      <q1:Priority>4</q1:Priority>
      <q1:UnhideWhenUsed>false</q1:UnhideWhenUsed>
      <q1:Visibility>true</q1:Visibility>
    </q1:StyleVisibilitySettings>
    <q1:StyleVisibilitySettings>
      <q1:IsQuickStyle>false</q1:IsQuickStyle>
      <q1:Name>Table Heading</q1:Name>
      <q1:Priority>4</q1:Priority>
      <q1:UnhideWhenUsed>false</q1:UnhideWhenUsed>
      <q1:Visibility>true</q1:Visibility>
    </q1:StyleVisibilitySettings>
    <q1:StyleVisibilitySettings>
      <q1:IsQuickStyle>false</q1:IsQuickStyle>
      <q1:Name>Table Heading White</q1:Name>
      <q1:Priority>4</q1:Priority>
      <q1:UnhideWhenUsed>false</q1:UnhideWhenUsed>
      <q1:Visibility>true</q1:Visibility>
    </q1:StyleVisibilitySettings>
    <q1:StyleVisibilitySettings>
      <q1:IsQuickStyle>false</q1:IsQuickStyle>
      <q1:Name>Table Heading 2</q1:Name>
      <q1:Priority>5</q1:Priority>
      <q1:UnhideWhenUsed>false</q1:UnhideWhenUsed>
      <q1:Visibility>true</q1:Visibility>
    </q1:StyleVisibilitySettings>
    <q1:StyleVisibilitySettings>
      <q1:IsQuickStyle>false</q1:IsQuickStyle>
      <q1:Name>Table Text</q1:Name>
      <q1:Priority>5</q1:Priority>
      <q1:UnhideWhenUsed>false</q1:UnhideWhenUsed>
      <q1:Visibility>true</q1:Visibility>
    </q1:StyleVisibilitySettings>
    <q1:StyleVisibilitySettings>
      <q1:IsQuickStyle>false</q1:IsQuickStyle>
      <q1:Name>Table Number</q1:Name>
      <q1:Priority>6</q1:Priority>
      <q1:UnhideWhenUsed>false</q1:UnhideWhenUsed>
      <q1:Visibility>true</q1:Visibility>
    </q1:StyleVisibilitySettings>
    <q1:StyleVisibilitySettings>
      <q1:IsQuickStyle>false</q1:IsQuickStyle>
      <q1:Name>Table Number 2</q1:Name>
      <q1:Priority>6</q1:Priority>
      <q1:UnhideWhenUsed>false</q1:UnhideWhenUsed>
      <q1:Visibility>true</q1:Visibility>
    </q1:StyleVisibilitySettings>
    <q1:StyleVisibilitySettings>
      <q1:IsQuickStyle>false</q1:IsQuickStyle>
      <q1:Name>Table Number 3</q1:Name>
      <q1:Priority>6</q1:Priority>
      <q1:UnhideWhenUsed>false</q1:UnhideWhenUsed>
      <q1:Visibility>true</q1:Visibility>
    </q1:StyleVisibilitySettings>
    <q1:StyleVisibilitySettings>
      <q1:IsQuickStyle>false</q1:IsQuickStyle>
      <q1:Name>Table Bullet</q1:Name>
      <q1:Priority>7</q1:Priority>
      <q1:UnhideWhenUsed>false</q1:UnhideWhenUsed>
      <q1:Visibility>true</q1:Visibility>
    </q1:StyleVisibilitySettings>
    <q1:StyleVisibilitySettings>
      <q1:IsQuickStyle>false</q1:IsQuickStyle>
      <q1:Name>Table Bullet 2</q1:Name>
      <q1:Priority>7</q1:Priority>
      <q1:UnhideWhenUsed>false</q1:UnhideWhenUsed>
      <q1:Visibility>true</q1:Visibility>
    </q1:StyleVisibilitySettings>
    <q1:StyleVisibilitySettings>
      <q1:IsQuickStyle>false</q1:IsQuickStyle>
      <q1:Name>Table Bullet 3</q1:Name>
      <q1:Priority>7</q1:Priority>
      <q1:UnhideWhenUsed>false</q1:UnhideWhenUsed>
      <q1:Visibility>true</q1:Visibility>
    </q1:StyleVisibilitySettings>
    <q1:StyleVisibilitySettings>
      <q1:IsQuickStyle>false</q1:IsQuickStyle>
      <q1:Name>Table Notes</q1:Name>
      <q1:Priority>7</q1:Priority>
      <q1:UnhideWhenUsed>false</q1:UnhideWhenUsed>
      <q1:Visibility>true</q1:Visibility>
    </q1:StyleVisibilitySettings>
    <q1:StyleVisibilitySettings>
      <q1:IsQuickStyle>false</q1:IsQuickStyle>
      <q1:Name>Table Notes Indented</q1:Name>
      <q1:Priority>7</q1:Priority>
      <q1:UnhideWhenUsed>false</q1:UnhideWhenUsed>
      <q1:Visibility>true</q1:Visibility>
    </q1:StyleVisibilitySettings>
    <q1:StyleVisibilitySettings>
      <q1:IsQuickStyle>false</q1:IsQuickStyle>
      <q1:Name>Photolog Number</q1:Name>
      <q1:Priority>8</q1:Priority>
      <q1:UnhideWhenUsed>false</q1:UnhideWhenUsed>
      <q1:Visibility>true</q1:Visibility>
    </q1:StyleVisibilitySettings>
    <q1:StyleVisibilitySettings>
      <q1:IsQuickStyle>false</q1:IsQuickStyle>
      <q1:Name>Quote Text</q1:Name>
      <q1:Priority>8</q1:Priority>
      <q1:UnhideWhenUsed>false</q1:UnhideWhenUsed>
      <q1:Visibility>true</q1:Visibility>
    </q1:StyleVisibilitySettings>
    <q1:StyleVisibilitySettings>
      <q1:IsQuickStyle>false</q1:IsQuickStyle>
      <q1:Name>Quote Author</q1:Name>
      <q1:Priority>9</q1:Priority>
      <q1:UnhideWhenUsed>false</q1:UnhideWhenUsed>
      <q1:Visibility>true</q1:Visibility>
    </q1:StyleVisibilitySettings>
    <q1:StyleVisibilitySettings>
      <q1:IsQuickStyle>false</q1:IsQuickStyle>
      <q1:Name>Quote Author Title</q1:Name>
      <q1:Priority>9</q1:Priority>
      <q1:UnhideWhenUsed>false</q1:UnhideWhenUsed>
      <q1:Visibility>true</q1:Visibility>
    </q1:StyleVisibilitySettings>
    <q1:StyleVisibilitySettings>
      <q1:IsQuickStyle>false</q1:IsQuickStyle>
      <q1:Name>Source/Citation</q1:Name>
      <q1:Priority>9</q1:Priority>
      <q1:UnhideWhenUsed>false</q1:UnhideWhenUsed>
      <q1:Visibility>true</q1:Visibility>
    </q1:StyleVisibilitySettings>
    <q1:StyleVisibilitySettings>
      <q1:IsQuickStyle>false</q1:IsQuickStyle>
      <q1:Name>Appendix Heading 1</q1:Name>
      <q1:Priority>20</q1:Priority>
      <q1:UnhideWhenUsed>false</q1:UnhideWhenUsed>
      <q1:Visibility>true</q1:Visibility>
    </q1:StyleVisibilitySettings>
    <q1:StyleVisibilitySettings>
      <q1:IsQuickStyle>false</q1:IsQuickStyle>
      <q1:Name>Appendix Heading 2</q1:Name>
      <q1:Priority>21</q1:Priority>
      <q1:UnhideWhenUsed>false</q1:UnhideWhenUsed>
      <q1:Visibility>true</q1:Visibility>
    </q1:StyleVisibilitySettings>
    <q1:StyleVisibilitySettings>
      <q1:IsQuickStyle>false</q1:IsQuickStyle>
      <q1:Name>Appendix Heading 3</q1:Name>
      <q1:Priority>21</q1:Priority>
      <q1:UnhideWhenUsed>false</q1:UnhideWhenUsed>
      <q1:Visibility>true</q1:Visibility>
    </q1:StyleVisibilitySettings>
    <q1:StyleVisibilitySettings>
      <q1:IsQuickStyle>false</q1:IsQuickStyle>
      <q1:Name>Appendix Heading 4</q1:Name>
      <q1:Priority>21</q1:Priority>
      <q1:UnhideWhenUsed>false</q1:UnhideWhenUsed>
      <q1:Visibility>true</q1:Visibility>
    </q1:StyleVisibilitySettings>
    <q1:StyleVisibilitySettings>
      <q1:IsQuickStyle>false</q1:IsQuickStyle>
      <q1:Name>Appendix Heading 5</q1:Name>
      <q1:Priority>21</q1:Priority>
      <q1:UnhideWhenUsed>false</q1:UnhideWhenUsed>
      <q1:Visibility>true</q1:Visibility>
    </q1:StyleVisibilitySettings>
    <q1:StyleVisibilitySettings>
      <q1:IsQuickStyle>false</q1:IsQuickStyle>
      <q1:Name>Appendix Heading 6</q1:Name>
      <q1:Priority>21</q1:Priority>
      <q1:UnhideWhenUsed>false</q1:UnhideWhenUsed>
      <q1:Visibility>true</q1:Visibility>
    </q1:StyleVisibilitySettings>
    <q1:StyleVisibilitySettings>
      <q1:IsQuickStyle>false</q1:IsQuickStyle>
      <q1:Name>Normal</q1:Name>
      <q1:Priority>100</q1:Priority>
      <q1:UnhideWhenUsed>false</q1:UnhideWhenUsed>
      <q1:Visibility>true</q1:Visibility>
    </q1:StyleVisibilitySettings>
  </q1:SettingsCollection>
</q1:StyleVisibilitySettingsCollection>
</file>

<file path=customXml/item3.xml><?xml version="1.0" encoding="utf-8"?>
<q1:Entity xmlns:q1="http://schemas.macroview.com.au/entity">
  <q1:Countries>
    <q1:string/>
    <q1:string/>
  </q1:Countries>
  <q1:Name>Jacobs Group Australia </q1:Name>
  <q1:Description/>
  <q1:Web/>
</q1:Entity>
</file>

<file path=customXml/item4.xml>��< ? x m l   v e r s i o n = " 1 . 0 "   e n c o d i n g = " u t f - 1 6 " ? > < q 1 : O f f i c e   x m l n s : q 1 = " h t t p : / / s c h e m a s . m a c r o v i e w . c o m . a u / o f f i c e " >  
     < q 1 : C C D e l i v e r y I t e m s / >  
     < q 1 : C o u n t r y > N e w   Z e a l a n d < / q 1 : C o u n t r y >  
     < q 1 : C r e a t e d T i m e > 0 0 0 1 - 0 1 - 0 1 T 0 0 : 0 0 : 0 0 < / q 1 : C r e a t e d T i m e >  
     < q 1 : C u l t u r e C o d e > e n - N Z < / q 1 : C u l t u r e C o d e >  
     < q 1 : C u l t u r e S t r i n g s >  
         < q 1 : A t t e n t i o n > A t t e n t i o n < / q 1 : A t t e n t i o n >  
         < q 1 : B e g i n T y p i n g H e r e > B e g i n   t y p i n g   h e r e < / q 1 : B e g i n T y p i n g H e r e >  
         < q 1 : C C > C C < / q 1 : C C >  
         < q 1 : D e a r > D e a r < / q 1 : D e a r >  
         < q 1 : E n c l o s u r e > E n c l < / q 1 : E n c l o s u r e >  
         < q 1 : O t h e r C o n t a c t > O t h e r   c o n t a c t < / q 1 : O t h e r C o n t a c t >  
         < q 1 : O u r R e f > O u r   r e f < / q 1 : O u r R e f >  
         < q 1 : Y o u r R e f > Y o u r   r e f < / q 1 : Y o u r R e f >  
         < q 1 : E x e c u t i v e S u m m a r y > E x e c u t i v e   S u m m a r y < / q 1 : E x e c u t i v e S u m m a r y >  
         < q 1 : P r e p a r e d F o r > P r e p a r e d   f o r < / q 1 : P r e p a r e d F o r >  
         < q 1 : T a b l e O f C o n t e n t s > T a b l e   o f   c o n t e n t s < / q 1 : T a b l e O f C o n t e n t s >  
         < q 1 : T y p e > T y p e < / q 1 : T y p e >  
         < q 1 : T i t l e > T i t l e < / q 1 : T i t l e >  
         < q 1 : D a t e > D a t e < / q 1 : D a t e >  
         < q 1 : P a r t i e s > P a r t i e s < / q 1 : P a r t i e s >  
         < q 1 : R e c i t a l s > R e c i t a l s < / q 1 : R e c i t a l s >  
         < q 1 : O p e r a t i v e P r o v i s i o n s > O p e r a t i v e   p r o v i s i o n s < / q 1 : O p e r a t i v e P r o v i s i o n s >  
         < q 1 : E x e c u t i o n > E x e c u t i o n < / q 1 : E x e c u t i o n >  
         < q 1 : E x e c u t e d > E x e c u t e d < / q 1 : E x e c u t e d >  
         < q 1 : I n s e r t A p p r o p r i a t e E x e c u t i o n C l a u s e F o r E a c h P a r t y H e r e > I n s e r t   a p p r o p r i a t e   e x e c u t i o n   c l a u s e   f o r   e a c h   p a r t y   h e r e < / q 1 : I n s e r t A p p r o p r i a t e E x e c u t i o n C l a u s e F o r E a c h P a r t y H e r e >  
         < q 1 : S i g n o f f N a m e > N a m e < / q 1 : S i g n o f f N a m e >  
         < q 1 : S i g n o f f T i t l e > T i t l e < / q 1 : S i g n o f f T i t l e >  
         < q 1 : S i g n o f f B y > B y < / q 1 : S i g n o f f B y >  
     < / q 1 : C u l t u r e S t r i n g s >  
     < q 1 : D i s p l a y B r a n d _ C H 2 M > f a l s e < / q 1 : D i s p l a y B r a n d _ C H 2 M >  
     < q 1 : D i s p l a y E n t i t y N a m e I n S t a t i o n e r y T e m p l a t e > f a l s e < / q 1 : D i s p l a y E n t i t y N a m e I n S t a t i o n e r y T e m p l a t e >  
     < q 1 : D i s p l a y I n E x c e l > t r u e < / q 1 : D i s p l a y I n E x c e l >  
     < q 1 : D i s p l a y I n O u t l o o k > t r u e < / q 1 : D i s p l a y I n O u t l o o k >  
     < q 1 : D i s p l a y I n P o w e r P o i n t > t r u e < / q 1 : D i s p l a y I n P o w e r P o i n t >  
     < q 1 : D i s p l a y I n W o r d > t r u e < / q 1 : D i s p l a y I n W o r d >  
     < q 1 : E m a i l S i g n a t u r e s / >  
     < q 1 : E x c l u d e d T e m p l a t e s / >  
     < q 1 : F a c s i m i l e N u m b e r / >  
     < q 1 : I d > 5 c a a 0 a 9 e - 7 4 5 8 - 4 8 a 8 - 8 4 6 1 - 3 2 9 4 9 5 d 8 b e d 2 < / q 1 : I d >  
     < q 1 : I s C u s t o m G a l l e r y 2 V i s i b l e > f a l s e < / q 1 : I s C u s t o m G a l l e r y 2 V i s i b l e >  
     < q 1 : L e g a l N o t i c e I t e m s / >  
     < q 1 : L e t t e r h e a d >  
         < q 1 : F o o t e r P a r a g r a p h S p a c e B e f o r e > 0 < / q 1 : F o o t e r P a r a g r a p h S p a c e B e f o r e >  
         < q 1 : H e a d e r P a r a g r a p h S p a c e A f t e r > 0 < / q 1 : H e a d e r P a r a g r a p h S p a c e A f t e r >  
     < / q 1 : L e t t e r h e a d >  
     < q 1 : L o g o >  
         < q 1 : H e i g h t   d 3 p 1 : n i l = " t r u e "   x m l n s : d 3 p 1 = " h t t p : / / w w w . w 3 . o r g / 2 0 0 1 / X M L S c h e m a - i n s t a n c e " / >  
     < / q 1 : L o g o >  
     < q 1 : L o n g D a t e F o r m a t > d   M M M M   y y y y < / q 1 : L o n g D a t e F o r m a t >  
     < q 1 : M o d i f i e d T i m e > 0 0 0 1 - 0 1 - 0 1 T 0 0 : 0 0 : 0 0 < / q 1 : M o d i f i e d T i m e >  
     < q 1 : M u l t i l i n e A d d r e s s > L e v e l   2 ,   W y n n   W i l l i a m s   B u i l d i n g  
 4 7   H e r e f o r d   S t r e e t  
 C h r i s t c h u r c h   C e n t r a l   8 0 1 3  
 P O   B o x   1 1 4 7  
 C h r i s t c h u r c h   8 1 4 0  
 N e w   Z e a l a n d < / q 1 : M u l t i l i n e A d d r e s s >  
     < q 1 : N a m e > C h r i s t c h u r c h < / q 1 : N a m e >  
     < q 1 : P a p e r S i z e   d 2 p 1 : n i l = " t r u e "   x m l n s : d 2 p 1 = " h t t p : / / w w w . w 3 . o r g / 2 0 0 1 / X M L S c h e m a - i n s t a n c e " / >  
     < q 1 : P h o n e N u m b e r > + 6 4   3   9 4 0   4 9 0 0 < / q 1 : P h o n e N u m b e r >  
     < q 1 : P o s t a l A d d r e s s >  
         < q 1 : T y p e > M a i l i n g A d d r e s s < / q 1 : T y p e >  
     < / q 1 : P o s t a l A d d r e s s >  
     < q 1 : P r i v a c y I t e m s / >  
     < q 1 : R e c i p i e n t D e l i v e r y I t e m s / >  
     < q 1 : S a l u t a t i o n I t e m s / >  
     < q 1 : S i g n o f f I t e m s / >  
     < q 1 : S t r e e t A d d r e s s >  
         < q 1 : T y p e > M a i l i n g A d d r e s s < / q 1 : T y p e >  
     < / q 1 : S t r e e t A d d r e s s >  
     < q 1 : T e m p l a t e G r o u p i n g s >  
         < q 1 : s t r i n g > C h r i s t c h u r c h < / q 1 : s t r i n g >  
         < q 1 : s t r i n g > A U S   N Z < / q 1 : s t r i n g >  
         < q 1 : s t r i n g > C h r i s t c h u r c h < / q 1 : s t r i n g >  
         < q 1 : s t r i n g > e n < / q 1 : s t r i n g >  
     < / q 1 : T e m p l a t e G r o u p i n g s >  
     < q 1 : W e b s i t e > w w w . j a c o b s . c o m < / q 1 : W e b s i t e >  
 < / q 1 : O f f i c e > 
</file>

<file path=customXml/item5.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49</Value>
      <Value>64</Value>
      <Value>147</Value>
      <Value>6</Value>
      <Value>5</Value>
      <Value>4</Value>
      <Value>3</Value>
      <Value>2</Value>
    </TaxCatchAll>
    <Language xmlns="http://schemas.microsoft.com/sharepoint/v3">English</Language>
    <ece32f50ba964e1fbf627a9d83fe6c01 xmlns="9fd47c19-1c4a-4d7d-b342-c10cef269344">
      <Terms xmlns="http://schemas.microsoft.com/office/infopath/2007/PartnerControls">
        <TermInfo xmlns="http://schemas.microsoft.com/office/infopath/2007/PartnerControls">
          <TermName xmlns="http://schemas.microsoft.com/office/infopath/2007/PartnerControls">Department of Energy, Environment and Climate Action</TermName>
          <TermId xmlns="http://schemas.microsoft.com/office/infopath/2007/PartnerControls">6ec2007c-62f7-4367-85b3-4db3e85c504f</TermId>
        </TermInfo>
      </Terms>
    </ece32f50ba964e1fbf627a9d83fe6c01>
    <k1bd994a94c2413797db3bab8f123f6f xmlns="9fd47c19-1c4a-4d7d-b342-c10cef269344">
      <Terms xmlns="http://schemas.microsoft.com/office/infopath/2007/PartnerControls"/>
    </k1bd994a94c2413797db3bab8f123f6f>
    <o2e611f6ba3e4c8f9a895dfb7980639e xmlns="9fd47c19-1c4a-4d7d-b342-c10cef269344">
      <Terms xmlns="http://schemas.microsoft.com/office/infopath/2007/PartnerControls"/>
    </o2e611f6ba3e4c8f9a895dfb7980639e>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n771d69a070c4babbf278c67c8a2b859 xmlns="9fd47c19-1c4a-4d7d-b342-c10cef269344">
      <Terms xmlns="http://schemas.microsoft.com/office/infopath/2007/PartnerControls">
        <TermInfo xmlns="http://schemas.microsoft.com/office/infopath/2007/PartnerControls">
          <TermName xmlns="http://schemas.microsoft.com/office/infopath/2007/PartnerControls">Office of the Deputy Secretary - Water and Catchments</TermName>
          <TermId xmlns="http://schemas.microsoft.com/office/infopath/2007/PartnerControls">3c1e8dec-6a81-4ef2-b151-e0b49bc0f761</TermId>
        </TermInfo>
      </Terms>
    </n771d69a070c4babbf278c67c8a2b859>
    <Reference_x0020_Number xmlns="a5f32de4-e402-4188-b034-e71ca7d22e54" xsi:nil="true"/>
    <Location_x0020_Value xmlns="a5f32de4-e402-4188-b034-e71ca7d22e54" xsi:nil="true"/>
    <mfe9accc5a0b4653a7b513b67ffd122d xmlns="9fd47c19-1c4a-4d7d-b342-c10cef269344">
      <Terms xmlns="http://schemas.microsoft.com/office/infopath/2007/PartnerControls">
        <TermInfo xmlns="http://schemas.microsoft.com/office/infopath/2007/PartnerControls">
          <TermName xmlns="http://schemas.microsoft.com/office/infopath/2007/PartnerControls">Executive Services</TermName>
          <TermId xmlns="http://schemas.microsoft.com/office/infopath/2007/PartnerControls">e5dac3b6-3758-40a7-8921-77a6f8094098</TermId>
        </TermInfo>
      </Terms>
    </mfe9accc5a0b4653a7b513b67ffd122d>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e04541968e3a4a22a099fbbbfc7e41fe xmlns="3867f357-3a1c-4ca9-a93f-4854236dd214">
      <Terms xmlns="http://schemas.microsoft.com/office/infopath/2007/PartnerControls">
        <TermInfo xmlns="http://schemas.microsoft.com/office/infopath/2007/PartnerControls">
          <TermName xmlns="http://schemas.microsoft.com/office/infopath/2007/PartnerControls">Tranche 5</TermName>
          <TermId xmlns="http://schemas.microsoft.com/office/infopath/2007/PartnerControls">2090fe92-5791-4cda-abeb-4e09ed9a536d</TermId>
        </TermInfo>
      </Terms>
    </e04541968e3a4a22a099fbbbfc7e41fe>
    <RoutingRuleDescription xmlns="http://schemas.microsoft.com/sharepoint/v3" xsi:nil="true"/>
    <a25c4e3633654d669cbaa09ae6b70789 xmlns="9fd47c19-1c4a-4d7d-b342-c10cef269344">
      <Terms xmlns="http://schemas.microsoft.com/office/infopath/2007/PartnerControls"/>
    </a25c4e3633654d669cbaa09ae6b70789>
    <ic50d0a05a8e4d9791dac67f8a1e716c xmlns="9fd47c19-1c4a-4d7d-b342-c10cef269344">
      <Terms xmlns="http://schemas.microsoft.com/office/infopath/2007/PartnerControls">
        <TermInfo xmlns="http://schemas.microsoft.com/office/infopath/2007/PartnerControls">
          <TermName xmlns="http://schemas.microsoft.com/office/infopath/2007/PartnerControls">Water and Catchments</TermName>
          <TermId xmlns="http://schemas.microsoft.com/office/infopath/2007/PartnerControls">04babe5f-fe90-4982-9f33-c4fc8f4bb63f</TermId>
        </TermInfo>
      </Terms>
    </ic50d0a05a8e4d9791dac67f8a1e716c>
    <ld508a88e6264ce89693af80a72862cb xmlns="9fd47c19-1c4a-4d7d-b342-c10cef269344">
      <Terms xmlns="http://schemas.microsoft.com/office/infopath/2007/PartnerControls"/>
    </ld508a88e6264ce89693af80a72862cb>
    <ed010498260346b187858c33c3113343 xmlns="3867f357-3a1c-4ca9-a93f-4854236dd214">
      <Terms xmlns="http://schemas.microsoft.com/office/infopath/2007/PartnerControls">
        <TermInfo xmlns="http://schemas.microsoft.com/office/infopath/2007/PartnerControls">
          <TermName xmlns="http://schemas.microsoft.com/office/infopath/2007/PartnerControls">Evaluation</TermName>
          <TermId xmlns="http://schemas.microsoft.com/office/infopath/2007/PartnerControls">6a013860-974b-40ab-9b48-64780cc3662c</TermId>
        </TermInfo>
      </Terms>
    </ed010498260346b187858c33c3113343>
    <_dlc_DocIdUrl xmlns="a5f32de4-e402-4188-b034-e71ca7d22e54">
      <Url>https://delwpvicgovau.sharepoint.com/sites/ecm_133/_layouts/15/DocIdRedir.aspx?ID=DOCID133-1652722956-2602</Url>
      <Description>DOCID133-1652722956-2602</Description>
    </_dlc_DocIdUrl>
    <_dlc_DocId xmlns="a5f32de4-e402-4188-b034-e71ca7d22e54">DOCID133-1652722956-2602</_dlc_DocId>
  </documentManagement>
</p:properties>
</file>

<file path=customXml/item6.xml><?xml version="1.0" encoding="utf-8"?>
<q1:RibbonSettings xmlns:q1="http://schemas.macroview.com.au/ribbonsettings">
  <q1:IsChangeOfficeVisible>true</q1:IsChangeOfficeVisible>
  <q1:IsCoverPagesVisible>true</q1:IsCoverPagesVisible>
  <q1:IsRefreshTocVisible>true</q1:IsRefreshTocVisible>
  <q1:IsTogglePaperSizeVisible>true</q1:IsTogglePaperSizeVisible>
  <q1:IsToggleMirrorMarginsVisible>true</q1:IsToggleMirrorMarginsVisible>
</q1:RibbonSettings>
</file>

<file path=customXml/item7.xml><?xml version="1.0" encoding="utf-8"?>
<root xmlns="http://schemas.macroview.com.au/answerfile">
  <Apologies xmlns="http://schemas.macroview.com.au/answerfile"/>
  <ApprovedBy xmlns="http://schemas.macroview.com.au/answerfile">
    <Address/>
    <Addresses/>
    <Assistant/>
    <CompanyName/>
    <Country/>
    <Delivery/>
    <Department/>
    <EmailAddress/>
    <ExtensionAttribute3/>
    <ExtensionAttribute4/>
    <ExternalId/>
    <FaxNumber/>
    <FirstName/>
    <FullName/>
    <HasSecondOffice>false</HasSecondOffice>
    <Initials/>
    <LastName/>
    <PhoneNumber/>
    <Position/>
    <PostalAddress1/>
    <PostalAddress2/>
    <PostalCity/>
    <PostalCountry/>
    <PostalPostalCode/>
    <PostalState/>
    <Qualifications/>
    <Salutation/>
    <StreetAddress1/>
    <StreetAddress2/>
    <StreetCity/>
    <StreetCountry/>
    <StreetPostalCode/>
    <StreetState/>
    <Title/>
  </ApprovedBy>
  <ClientName xmlns="http://schemas.macroview.com.au/answerfile">Department of Energy, Environment and Climate Action</ClientName>
  <ClientReference xmlns="http://schemas.macroview.com.au/answerfile"/>
  <CopiesTo xmlns="http://schemas.macroview.com.au/answerfile"/>
  <CvFirstNameSurname xmlns="http://schemas.macroview.com.au/answerfile"/>
  <Date xmlns="http://schemas.macroview.com.au/answerfile">2024-11-01T00:00:00</Date>
  <DocumentNumber xmlns="http://schemas.macroview.com.au/answerfile">Final</DocumentNumber>
  <DocumentTitle xmlns="http://schemas.macroview.com.au/answerfile">Evaluation of the Fifth Tranche of the Environmental Contribution – 2024 End-Of-Tranche Evaluation</DocumentTitle>
  <Location xmlns="http://schemas.macroview.com.au/answerfile"/>
  <NumberOfPages xmlns="http://schemas.macroview.com.au/answerfile"/>
  <Participants xmlns="http://schemas.macroview.com.au/answerfile"/>
  <ProjectManager xmlns="http://schemas.macroview.com.au/answerfile">
    <Address/>
    <Addresses/>
    <Assistant/>
    <CompanyName/>
    <Country/>
    <Delivery/>
    <Department/>
    <EmailAddress/>
    <ExtensionAttribute3/>
    <ExtensionAttribute4/>
    <ExternalId/>
    <FaxNumber/>
    <FirstName/>
    <FullName>Brittany Coff</FullName>
    <HasSecondOffice>false</HasSecondOffice>
    <Initials/>
    <LastName/>
    <PhoneNumber/>
    <Position/>
    <PostalAddress1/>
    <PostalAddress2/>
    <PostalCity/>
    <PostalCountry/>
    <PostalPostalCode/>
    <PostalState/>
    <Qualifications/>
    <Salutation/>
    <StreetAddress1/>
    <StreetAddress2/>
    <StreetCity/>
    <StreetCountry/>
    <StreetPostalCode/>
    <StreetState/>
    <Title/>
  </ProjectManager>
  <ProjectName xmlns="http://schemas.macroview.com.au/answerfile">Evaluation of the Fifth Tranche of the Environmental Contribution</ProjectName>
  <ProjectNumber xmlns="http://schemas.macroview.com.au/answerfile"/>
  <Recipient xmlns="http://schemas.macroview.com.au/answerfile">
    <Address/>
    <Addresses/>
    <Assistant/>
    <CompanyName/>
    <Country/>
    <Delivery/>
    <Department/>
    <EmailAddress/>
    <ExtensionAttribute3/>
    <ExtensionAttribute4/>
    <ExternalId/>
    <FaxNumber/>
    <FirstName/>
    <FullName/>
    <HasSecondOffice>false</HasSecondOffice>
    <Initials/>
    <LastName/>
    <PhoneNumber/>
    <Position/>
    <PostalAddress1/>
    <PostalAddress2/>
    <PostalCity/>
    <PostalCountry/>
    <PostalPostalCode/>
    <PostalState/>
    <Qualifications/>
    <Salutation/>
    <StreetAddress1/>
    <StreetAddress2/>
    <StreetCity/>
    <StreetCountry/>
    <StreetPostalCode/>
    <StreetState/>
    <Title/>
  </Recipient>
  <ReviewedBy xmlns="http://schemas.macroview.com.au/answerfile">
    <Address/>
    <Addresses/>
    <Assistant/>
    <CompanyName/>
    <Country/>
    <Delivery/>
    <Department/>
    <EmailAddress/>
    <ExtensionAttribute3/>
    <ExtensionAttribute4/>
    <ExternalId/>
    <FaxNumber/>
    <FirstName/>
    <FullName/>
    <HasSecondOffice>false</HasSecondOffice>
    <Initials/>
    <LastName/>
    <PhoneNumber/>
    <Position/>
    <PostalAddress1/>
    <PostalAddress2/>
    <PostalCity/>
    <PostalCountry/>
    <PostalPostalCode/>
    <PostalState/>
    <Qualifications/>
    <Salutation/>
    <StreetAddress1/>
    <StreetAddress2/>
    <StreetCity/>
    <StreetCountry/>
    <StreetPostalCode/>
    <StreetState/>
    <Title/>
  </ReviewedBy>
  <RevisionNumber xmlns="http://schemas.macroview.com.au/answerfile">Final</RevisionNumber>
  <Sender xmlns="http://schemas.macroview.com.au/answerfile">
    <Address/>
    <Addresses/>
    <Assistant/>
    <CompanyName/>
    <Country/>
    <Delivery/>
    <Department/>
    <EmailAddress/>
    <ExtensionAttribute3/>
    <ExtensionAttribute4/>
    <ExternalId/>
    <FaxNumber/>
    <FirstName/>
    <FullName>B Coff </FullName>
    <HasSecondOffice>false</HasSecondOffice>
    <Initials/>
    <LastName/>
    <PhoneNumber/>
    <Position/>
    <PostalAddress1/>
    <PostalAddress2/>
    <PostalCity/>
    <PostalCountry/>
    <PostalPostalCode/>
    <PostalState/>
    <Qualifications/>
    <Salutation/>
    <StreetAddress1/>
    <StreetAddress2/>
    <StreetCity/>
    <StreetCountry/>
    <StreetPostalCode/>
    <StreetState/>
    <Title/>
  </Sender>
  <Sender2 xmlns="http://schemas.macroview.com.au/answerfile">
    <Address/>
    <Addresses/>
    <Assistant/>
    <CompanyName/>
    <Country/>
    <Delivery/>
    <Department/>
    <EmailAddress/>
    <ExtensionAttribute3/>
    <ExtensionAttribute4/>
    <ExternalId/>
    <FaxNumber/>
    <FirstName/>
    <FullName/>
    <HasSecondOffice>false</HasSecondOffice>
    <Initials/>
    <LastName/>
    <PhoneNumber/>
    <Position/>
    <PostalAddress1/>
    <PostalAddress2/>
    <PostalCity/>
    <PostalCountry/>
    <PostalPostalCode/>
    <PostalState/>
    <Qualifications/>
    <Salutation/>
    <StreetAddress1/>
    <StreetAddress2/>
    <StreetCity/>
    <StreetCountry/>
    <StreetPostalCode/>
    <StreetState/>
    <Title/>
  </Sender2>
  <SubHeading xmlns="http://schemas.macroview.com.au/answerfile"/>
  <Subject xmlns="http://schemas.macroview.com.au/answerfile"/>
</root>
</file>

<file path=customXml/item8.xml>��< ? x m l   v e r s i o n = " 1 . 0 "   e n c o d i n g = " u t f - 1 6 " ? > < q 1 : B r a n d   x m l n s : q 1 = " h t t p : / / s c h e m a s . m a c r o v i e w . c o m . a u / b r a n d " >  
     < q 1 : G r o u p i n g / >  
     < q 1 : L o g o P a t h > C : \ U s e r s \ C o f f B \ A p p D a t a \ R o a m i n g \ M a c r o V i e w . O f f i c e \ F i l e s \ A p p S e t t i n g s \ B r a n d s \ J a c o b s   E x c e l . j p g < / q 1 : L o g o P a t h >  
     < q 1 : N a m e > J a c o b s   E x c e l < / q 1 : N a m e >  
 < / q 1 : B r a n d > 
</file>

<file path=customXml/item9.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55995B-924C-4E0C-86F0-E532529D9CF6}"/>
</file>

<file path=customXml/itemProps10.xml><?xml version="1.0" encoding="utf-8"?>
<ds:datastoreItem xmlns:ds="http://schemas.openxmlformats.org/officeDocument/2006/customXml" ds:itemID="{004CAA3D-8756-452F-BCEC-36A9A4AA1CA9}">
  <ds:schemaRefs>
    <ds:schemaRef ds:uri="http://schemas.openxmlformats.org/officeDocument/2006/bibliography"/>
  </ds:schemaRefs>
</ds:datastoreItem>
</file>

<file path=customXml/itemProps11.xml><?xml version="1.0" encoding="utf-8"?>
<ds:datastoreItem xmlns:ds="http://schemas.openxmlformats.org/officeDocument/2006/customXml" ds:itemID="{F745B0E8-9C7D-47CD-9756-F12F6E6FD4A6}">
  <ds:schemaRefs>
    <ds:schemaRef ds:uri="http://schemas.macroview.com.au/documentsettings"/>
  </ds:schemaRefs>
</ds:datastoreItem>
</file>

<file path=customXml/itemProps12.xml><?xml version="1.0" encoding="utf-8"?>
<ds:datastoreItem xmlns:ds="http://schemas.openxmlformats.org/officeDocument/2006/customXml" ds:itemID="{E5461BE8-307F-4098-8977-C49C73C870B7}"/>
</file>

<file path=customXml/itemProps13.xml><?xml version="1.0" encoding="utf-8"?>
<ds:datastoreItem xmlns:ds="http://schemas.openxmlformats.org/officeDocument/2006/customXml" ds:itemID="{E4D09FAA-40E9-45F5-84DD-91069159A66C}"/>
</file>

<file path=customXml/itemProps14.xml><?xml version="1.0" encoding="utf-8"?>
<ds:datastoreItem xmlns:ds="http://schemas.openxmlformats.org/officeDocument/2006/customXml" ds:itemID="{71BCF689-5634-420B-BB19-9501CB0EF975}"/>
</file>

<file path=customXml/itemProps2.xml><?xml version="1.0" encoding="utf-8"?>
<ds:datastoreItem xmlns:ds="http://schemas.openxmlformats.org/officeDocument/2006/customXml" ds:itemID="{668B5094-8410-43BB-A99A-24AB798B87B2}">
  <ds:schemaRefs>
    <ds:schemaRef ds:uri="http://schemas.macroview.com.au/StyleVisibilitySettingsCollection"/>
  </ds:schemaRefs>
</ds:datastoreItem>
</file>

<file path=customXml/itemProps3.xml><?xml version="1.0" encoding="utf-8"?>
<ds:datastoreItem xmlns:ds="http://schemas.openxmlformats.org/officeDocument/2006/customXml" ds:itemID="{EE3ABECF-B324-4CC2-ABE2-C2EE62CAA5EE}">
  <ds:schemaRefs>
    <ds:schemaRef ds:uri="http://schemas.macroview.com.au/entity"/>
  </ds:schemaRefs>
</ds:datastoreItem>
</file>

<file path=customXml/itemProps4.xml><?xml version="1.0" encoding="utf-8"?>
<ds:datastoreItem xmlns:ds="http://schemas.openxmlformats.org/officeDocument/2006/customXml" ds:itemID="{603DB81B-7C93-4722-9D53-EF3C23301FC2}">
  <ds:schemaRefs>
    <ds:schemaRef ds:uri="http://schemas.macroview.com.au/office"/>
  </ds:schemaRefs>
</ds:datastoreItem>
</file>

<file path=customXml/itemProps5.xml><?xml version="1.0" encoding="utf-8"?>
<ds:datastoreItem xmlns:ds="http://schemas.openxmlformats.org/officeDocument/2006/customXml" ds:itemID="{087FB988-308A-4918-8D65-13EFE8F21FE1}">
  <ds:schemaRefs>
    <ds:schemaRef ds:uri="http://schemas.microsoft.com/office/2006/metadata/properties"/>
    <ds:schemaRef ds:uri="http://schemas.microsoft.com/office/infopath/2007/PartnerControls"/>
    <ds:schemaRef ds:uri="6e8ea091-1799-40da-aecb-4f094dc2ee8e"/>
    <ds:schemaRef ds:uri="4d568cad-55f7-42b2-9a4e-c44e98154819"/>
  </ds:schemaRefs>
</ds:datastoreItem>
</file>

<file path=customXml/itemProps6.xml><?xml version="1.0" encoding="utf-8"?>
<ds:datastoreItem xmlns:ds="http://schemas.openxmlformats.org/officeDocument/2006/customXml" ds:itemID="{EBA198BC-CC5A-4C5B-B12C-7FF201E06B09}">
  <ds:schemaRefs>
    <ds:schemaRef ds:uri="http://schemas.macroview.com.au/ribbonsettings"/>
  </ds:schemaRefs>
</ds:datastoreItem>
</file>

<file path=customXml/itemProps7.xml><?xml version="1.0" encoding="utf-8"?>
<ds:datastoreItem xmlns:ds="http://schemas.openxmlformats.org/officeDocument/2006/customXml" ds:itemID="{8F33FB8F-8118-4915-86A8-F93B7C2B254E}">
  <ds:schemaRefs>
    <ds:schemaRef ds:uri="http://schemas.macroview.com.au/answerfile"/>
  </ds:schemaRefs>
</ds:datastoreItem>
</file>

<file path=customXml/itemProps8.xml><?xml version="1.0" encoding="utf-8"?>
<ds:datastoreItem xmlns:ds="http://schemas.openxmlformats.org/officeDocument/2006/customXml" ds:itemID="{7603B528-D426-406E-B79D-20E82A6321E0}">
  <ds:schemaRefs>
    <ds:schemaRef ds:uri="http://schemas.macroview.com.au/brand"/>
  </ds:schemaRefs>
</ds:datastoreItem>
</file>

<file path=customXml/itemProps9.xml><?xml version="1.0" encoding="utf-8"?>
<ds:datastoreItem xmlns:ds="http://schemas.openxmlformats.org/officeDocument/2006/customXml" ds:itemID="{177C84D0-13EE-469D-A04E-73E6507798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Report</Template>
  <TotalTime>100</TotalTime>
  <Pages>98</Pages>
  <Words>32480</Words>
  <Characters>185142</Characters>
  <Application>Microsoft Office Word</Application>
  <DocSecurity>2</DocSecurity>
  <Lines>1542</Lines>
  <Paragraphs>434</Paragraphs>
  <ScaleCrop>false</ScaleCrop>
  <HeadingPairs>
    <vt:vector size="2" baseType="variant">
      <vt:variant>
        <vt:lpstr>Title</vt:lpstr>
      </vt:variant>
      <vt:variant>
        <vt:i4>1</vt:i4>
      </vt:variant>
    </vt:vector>
  </HeadingPairs>
  <TitlesOfParts>
    <vt:vector size="1" baseType="lpstr">
      <vt:lpstr>01_2024 Evaluation of EC5_Draft V2 - End-of-Tranche Evaluation Report</vt:lpstr>
    </vt:vector>
  </TitlesOfParts>
  <Company/>
  <LinksUpToDate>false</LinksUpToDate>
  <CharactersWithSpaces>217188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01_2024 Evaluation of EC5_Draft V2 - End-of-Tranche Evaluation Report</dc:title>
  <dc:subject/>
  <dc:creator>Coff, Brittany</dc:creator>
  <cp:keywords/>
  <dc:description/>
  <cp:lastModifiedBy>Coff, Brittany</cp:lastModifiedBy>
  <cp:revision>19</cp:revision>
  <cp:lastPrinted>2024-12-12T01:10:00Z</cp:lastPrinted>
  <dcterms:created xsi:type="dcterms:W3CDTF">2024-11-28T23:57:00Z</dcterms:created>
  <dcterms:modified xsi:type="dcterms:W3CDTF">2024-12-12T01:10:00Z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Set">
    <vt:lpwstr>Jacobs en.dotx</vt:lpwstr>
  </property>
  <property fmtid="{D5CDD505-2E9C-101B-9397-08002B2CF9AE}" pid="3" name="MediaServiceImageTags">
    <vt:lpwstr/>
  </property>
  <property fmtid="{D5CDD505-2E9C-101B-9397-08002B2CF9AE}" pid="4" name="Folder_Number">
    <vt:lpwstr/>
  </property>
  <property fmtid="{D5CDD505-2E9C-101B-9397-08002B2CF9AE}" pid="5" name="Folder_Code">
    <vt:lpwstr/>
  </property>
  <property fmtid="{D5CDD505-2E9C-101B-9397-08002B2CF9AE}" pid="6" name="Folder_Name">
    <vt:lpwstr/>
  </property>
  <property fmtid="{D5CDD505-2E9C-101B-9397-08002B2CF9AE}" pid="7" name="Folder_Description">
    <vt:lpwstr/>
  </property>
  <property fmtid="{D5CDD505-2E9C-101B-9397-08002B2CF9AE}" pid="8" name="/Folder_Name/">
    <vt:lpwstr/>
  </property>
  <property fmtid="{D5CDD505-2E9C-101B-9397-08002B2CF9AE}" pid="9" name="/Folder_Description/">
    <vt:lpwstr/>
  </property>
  <property fmtid="{D5CDD505-2E9C-101B-9397-08002B2CF9AE}" pid="10" name="Folder_Version">
    <vt:lpwstr/>
  </property>
  <property fmtid="{D5CDD505-2E9C-101B-9397-08002B2CF9AE}" pid="11" name="Folder_VersionSeq">
    <vt:lpwstr/>
  </property>
  <property fmtid="{D5CDD505-2E9C-101B-9397-08002B2CF9AE}" pid="12" name="Folder_Manager">
    <vt:lpwstr/>
  </property>
  <property fmtid="{D5CDD505-2E9C-101B-9397-08002B2CF9AE}" pid="13" name="Folder_ManagerDesc">
    <vt:lpwstr/>
  </property>
  <property fmtid="{D5CDD505-2E9C-101B-9397-08002B2CF9AE}" pid="14" name="Folder_Storage">
    <vt:lpwstr/>
  </property>
  <property fmtid="{D5CDD505-2E9C-101B-9397-08002B2CF9AE}" pid="15" name="Folder_StorageDesc">
    <vt:lpwstr/>
  </property>
  <property fmtid="{D5CDD505-2E9C-101B-9397-08002B2CF9AE}" pid="16" name="Folder_Creator">
    <vt:lpwstr/>
  </property>
  <property fmtid="{D5CDD505-2E9C-101B-9397-08002B2CF9AE}" pid="17" name="Folder_CreatorDesc">
    <vt:lpwstr/>
  </property>
  <property fmtid="{D5CDD505-2E9C-101B-9397-08002B2CF9AE}" pid="18" name="Folder_CreateDate">
    <vt:lpwstr/>
  </property>
  <property fmtid="{D5CDD505-2E9C-101B-9397-08002B2CF9AE}" pid="19" name="Folder_Updater">
    <vt:lpwstr/>
  </property>
  <property fmtid="{D5CDD505-2E9C-101B-9397-08002B2CF9AE}" pid="20" name="Folder_UpdaterDesc">
    <vt:lpwstr/>
  </property>
  <property fmtid="{D5CDD505-2E9C-101B-9397-08002B2CF9AE}" pid="21" name="Folder_UpdateDate">
    <vt:lpwstr/>
  </property>
  <property fmtid="{D5CDD505-2E9C-101B-9397-08002B2CF9AE}" pid="22" name="Document_Number">
    <vt:lpwstr/>
  </property>
  <property fmtid="{D5CDD505-2E9C-101B-9397-08002B2CF9AE}" pid="23" name="Document_Name">
    <vt:lpwstr/>
  </property>
  <property fmtid="{D5CDD505-2E9C-101B-9397-08002B2CF9AE}" pid="24" name="Document_FileName">
    <vt:lpwstr/>
  </property>
  <property fmtid="{D5CDD505-2E9C-101B-9397-08002B2CF9AE}" pid="25" name="Document_Version">
    <vt:lpwstr/>
  </property>
  <property fmtid="{D5CDD505-2E9C-101B-9397-08002B2CF9AE}" pid="26" name="Document_VersionSeq">
    <vt:lpwstr/>
  </property>
  <property fmtid="{D5CDD505-2E9C-101B-9397-08002B2CF9AE}" pid="27" name="Document_Creator">
    <vt:lpwstr/>
  </property>
  <property fmtid="{D5CDD505-2E9C-101B-9397-08002B2CF9AE}" pid="28" name="Document_CreatorDesc">
    <vt:lpwstr/>
  </property>
  <property fmtid="{D5CDD505-2E9C-101B-9397-08002B2CF9AE}" pid="29" name="Document_CreateDate">
    <vt:lpwstr/>
  </property>
  <property fmtid="{D5CDD505-2E9C-101B-9397-08002B2CF9AE}" pid="30" name="Document_Updater">
    <vt:lpwstr/>
  </property>
  <property fmtid="{D5CDD505-2E9C-101B-9397-08002B2CF9AE}" pid="31" name="Document_UpdaterDesc">
    <vt:lpwstr/>
  </property>
  <property fmtid="{D5CDD505-2E9C-101B-9397-08002B2CF9AE}" pid="32" name="Document_UpdateDate">
    <vt:lpwstr/>
  </property>
  <property fmtid="{D5CDD505-2E9C-101B-9397-08002B2CF9AE}" pid="33" name="Document_Size">
    <vt:lpwstr/>
  </property>
  <property fmtid="{D5CDD505-2E9C-101B-9397-08002B2CF9AE}" pid="34" name="Document_Storage">
    <vt:lpwstr/>
  </property>
  <property fmtid="{D5CDD505-2E9C-101B-9397-08002B2CF9AE}" pid="35" name="Document_StorageDesc">
    <vt:lpwstr/>
  </property>
  <property fmtid="{D5CDD505-2E9C-101B-9397-08002B2CF9AE}" pid="36" name="Document_Department">
    <vt:lpwstr/>
  </property>
  <property fmtid="{D5CDD505-2E9C-101B-9397-08002B2CF9AE}" pid="37" name="Document_DepartmentDesc">
    <vt:lpwstr/>
  </property>
  <property fmtid="{D5CDD505-2E9C-101B-9397-08002B2CF9AE}" pid="38" name="Order">
    <vt:r8>28000</vt:r8>
  </property>
  <property fmtid="{D5CDD505-2E9C-101B-9397-08002B2CF9AE}" pid="39" name="xd_ProgID">
    <vt:lpwstr/>
  </property>
  <property fmtid="{D5CDD505-2E9C-101B-9397-08002B2CF9AE}" pid="40" name="ComplianceAssetId">
    <vt:lpwstr/>
  </property>
  <property fmtid="{D5CDD505-2E9C-101B-9397-08002B2CF9AE}" pid="41" name="TemplateUrl">
    <vt:lpwstr/>
  </property>
  <property fmtid="{D5CDD505-2E9C-101B-9397-08002B2CF9AE}" pid="42" name="_ExtendedDescription">
    <vt:lpwstr/>
  </property>
  <property fmtid="{D5CDD505-2E9C-101B-9397-08002B2CF9AE}" pid="43" name="TriggerFlowInfo">
    <vt:lpwstr/>
  </property>
  <property fmtid="{D5CDD505-2E9C-101B-9397-08002B2CF9AE}" pid="44" name="xd_Signature">
    <vt:bool>false</vt:bool>
  </property>
  <property fmtid="{D5CDD505-2E9C-101B-9397-08002B2CF9AE}" pid="45" name="Section">
    <vt:lpwstr/>
  </property>
  <property fmtid="{D5CDD505-2E9C-101B-9397-08002B2CF9AE}" pid="46" name="Sub-Section">
    <vt:lpwstr/>
  </property>
  <property fmtid="{D5CDD505-2E9C-101B-9397-08002B2CF9AE}" pid="47" name="Agency">
    <vt:lpwstr>147;#Department of Energy, Environment and Climate Action|6ec2007c-62f7-4367-85b3-4db3e85c504f</vt:lpwstr>
  </property>
  <property fmtid="{D5CDD505-2E9C-101B-9397-08002B2CF9AE}" pid="48" name="Branch">
    <vt:lpwstr>6;#Executive Services|e5dac3b6-3758-40a7-8921-77a6f8094098</vt:lpwstr>
  </property>
  <property fmtid="{D5CDD505-2E9C-101B-9397-08002B2CF9AE}" pid="49" name="Division">
    <vt:lpwstr>5;#Office of the Deputy Secretary - Water and Catchments|3c1e8dec-6a81-4ef2-b151-e0b49bc0f761</vt:lpwstr>
  </property>
  <property fmtid="{D5CDD505-2E9C-101B-9397-08002B2CF9AE}" pid="50" name="Dissemination Limiting Marker">
    <vt:lpwstr>2;#FOUO|955eb6fc-b35a-4808-8aa5-31e514fa3f26</vt:lpwstr>
  </property>
  <property fmtid="{D5CDD505-2E9C-101B-9397-08002B2CF9AE}" pid="51" name="Group1">
    <vt:lpwstr>4;#Water and Catchments|04babe5f-fe90-4982-9f33-c4fc8f4bb63f</vt:lpwstr>
  </property>
  <property fmtid="{D5CDD505-2E9C-101B-9397-08002B2CF9AE}" pid="52" name="Security Classification">
    <vt:lpwstr>3;#Unclassified|7fa379f4-4aba-4692-ab80-7d39d3a23cf4</vt:lpwstr>
  </property>
  <property fmtid="{D5CDD505-2E9C-101B-9397-08002B2CF9AE}" pid="53" name="Reference Type">
    <vt:lpwstr/>
  </property>
  <property fmtid="{D5CDD505-2E9C-101B-9397-08002B2CF9AE}" pid="54" name="Location Type">
    <vt:lpwstr/>
  </property>
  <property fmtid="{D5CDD505-2E9C-101B-9397-08002B2CF9AE}" pid="55" name="_dlc_DocIdItemGuid">
    <vt:lpwstr>4c342401-42d8-490c-b2a1-9bedd74af3bb</vt:lpwstr>
  </property>
  <property fmtid="{D5CDD505-2E9C-101B-9397-08002B2CF9AE}" pid="56" name="ldae123d493c4587b9039adfc6aa0718">
    <vt:lpwstr/>
  </property>
  <property fmtid="{D5CDD505-2E9C-101B-9397-08002B2CF9AE}" pid="57" name="Copyright_x0020_Licence_x0020_Name">
    <vt:lpwstr/>
  </property>
  <property fmtid="{D5CDD505-2E9C-101B-9397-08002B2CF9AE}" pid="58" name="df723ab3fe1c4eb7a0b151674e7ac40d">
    <vt:lpwstr/>
  </property>
  <property fmtid="{D5CDD505-2E9C-101B-9397-08002B2CF9AE}" pid="59" name="Process_x0020_Stage">
    <vt:lpwstr/>
  </property>
  <property fmtid="{D5CDD505-2E9C-101B-9397-08002B2CF9AE}" pid="60" name="Copyright_x0020_License_x0020_Type">
    <vt:lpwstr/>
  </property>
  <property fmtid="{D5CDD505-2E9C-101B-9397-08002B2CF9AE}" pid="61" name="o85941e134754762b9719660a258a6e6">
    <vt:lpwstr/>
  </property>
  <property fmtid="{D5CDD505-2E9C-101B-9397-08002B2CF9AE}" pid="62" name="Copyright Licence Name">
    <vt:lpwstr/>
  </property>
  <property fmtid="{D5CDD505-2E9C-101B-9397-08002B2CF9AE}" pid="63" name="Copyright License Type">
    <vt:lpwstr/>
  </property>
  <property fmtid="{D5CDD505-2E9C-101B-9397-08002B2CF9AE}" pid="64" name="Process Stage">
    <vt:lpwstr/>
  </property>
  <property fmtid="{D5CDD505-2E9C-101B-9397-08002B2CF9AE}" pid="65" name="Stage">
    <vt:lpwstr>49</vt:lpwstr>
  </property>
  <property fmtid="{D5CDD505-2E9C-101B-9397-08002B2CF9AE}" pid="66" name="Tranche">
    <vt:lpwstr>64</vt:lpwstr>
  </property>
  <property fmtid="{D5CDD505-2E9C-101B-9397-08002B2CF9AE}" pid="67" name="SharedWithUsers">
    <vt:lpwstr>2725;#Glenn C Dunks (DEECA);#912;#Rachel E Brown (DEECA);#3921;#Luke Osburn (DEECA)</vt:lpwstr>
  </property>
  <property fmtid="{D5CDD505-2E9C-101B-9397-08002B2CF9AE}" pid="68" name="MSIP_Label_5a19367b-7a73-403d-b732-ebe2e73fbf56_Enabled">
    <vt:lpwstr>true</vt:lpwstr>
  </property>
  <property fmtid="{D5CDD505-2E9C-101B-9397-08002B2CF9AE}" pid="69" name="MSIP_Label_5a19367b-7a73-403d-b732-ebe2e73fbf56_SetDate">
    <vt:lpwstr>2023-10-22T22:18:15Z</vt:lpwstr>
  </property>
  <property fmtid="{D5CDD505-2E9C-101B-9397-08002B2CF9AE}" pid="70" name="MSIP_Label_5a19367b-7a73-403d-b732-ebe2e73fbf56_Method">
    <vt:lpwstr>Privileged</vt:lpwstr>
  </property>
  <property fmtid="{D5CDD505-2E9C-101B-9397-08002B2CF9AE}" pid="71" name="MSIP_Label_5a19367b-7a73-403d-b732-ebe2e73fbf56_Name">
    <vt:lpwstr>OFFICIAL-Sensitive</vt:lpwstr>
  </property>
  <property fmtid="{D5CDD505-2E9C-101B-9397-08002B2CF9AE}" pid="72" name="MSIP_Label_5a19367b-7a73-403d-b732-ebe2e73fbf56_SiteId">
    <vt:lpwstr>e8bdd6f7-fc18-4e48-a554-7f547927223b</vt:lpwstr>
  </property>
  <property fmtid="{D5CDD505-2E9C-101B-9397-08002B2CF9AE}" pid="73" name="MSIP_Label_5a19367b-7a73-403d-b732-ebe2e73fbf56_ActionId">
    <vt:lpwstr>7e0c8994-7cd9-4d7d-93d5-02a45c0eaf17</vt:lpwstr>
  </property>
  <property fmtid="{D5CDD505-2E9C-101B-9397-08002B2CF9AE}" pid="74" name="MSIP_Label_5a19367b-7a73-403d-b732-ebe2e73fbf56_ContentBits">
    <vt:lpwstr>2</vt:lpwstr>
  </property>
  <property fmtid="{D5CDD505-2E9C-101B-9397-08002B2CF9AE}" pid="75" name="e04541968e3a4a22a099fbbbfc7e41fe">
    <vt:lpwstr>Tranche 5|2090fe92-5791-4cda-abeb-4e09ed9a536d</vt:lpwstr>
  </property>
  <property fmtid="{D5CDD505-2E9C-101B-9397-08002B2CF9AE}" pid="76" name="ece32f50ba964e1fbf627a9d83fe6c01">
    <vt:lpwstr>Department of Energy, Environment and Climate Action|6ec2007c-62f7-4367-85b3-4db3e85c504f</vt:lpwstr>
  </property>
  <property fmtid="{D5CDD505-2E9C-101B-9397-08002B2CF9AE}" pid="77" name="Language">
    <vt:lpwstr>English</vt:lpwstr>
  </property>
  <property fmtid="{D5CDD505-2E9C-101B-9397-08002B2CF9AE}" pid="78" name="ClassificationContentMarkingFooterShapeIds">
    <vt:lpwstr>20,21,22,23,24,25,26,27,28,29,2a,2b,2c,2d,2e,2f,30,31,32,33,34,35,36,37</vt:lpwstr>
  </property>
  <property fmtid="{D5CDD505-2E9C-101B-9397-08002B2CF9AE}" pid="79" name="ClassificationContentMarkingFooterFontProps">
    <vt:lpwstr>#000000,12,Calibri</vt:lpwstr>
  </property>
  <property fmtid="{D5CDD505-2E9C-101B-9397-08002B2CF9AE}" pid="80" name="ic50d0a05a8e4d9791dac67f8a1e716c">
    <vt:lpwstr>Water and Catchments|04babe5f-fe90-4982-9f33-c4fc8f4bb63f</vt:lpwstr>
  </property>
  <property fmtid="{D5CDD505-2E9C-101B-9397-08002B2CF9AE}" pid="81" name="ed010498260346b187858c33c3113343">
    <vt:lpwstr>Evaluation|6a013860-974b-40ab-9b48-64780cc3662c</vt:lpwstr>
  </property>
  <property fmtid="{D5CDD505-2E9C-101B-9397-08002B2CF9AE}" pid="82" name="mfe9accc5a0b4653a7b513b67ffd122d">
    <vt:lpwstr>Executive Services|e5dac3b6-3758-40a7-8921-77a6f8094098</vt:lpwstr>
  </property>
  <property fmtid="{D5CDD505-2E9C-101B-9397-08002B2CF9AE}" pid="83" name="n771d69a070c4babbf278c67c8a2b859">
    <vt:lpwstr>Office of the Deputy Secretary - Water and Catchments|3c1e8dec-6a81-4ef2-b151-e0b49bc0f761</vt:lpwstr>
  </property>
  <property fmtid="{D5CDD505-2E9C-101B-9397-08002B2CF9AE}" pid="84" name="fb3179c379644f499d7166d0c985669b">
    <vt:lpwstr>FOUO|955eb6fc-b35a-4808-8aa5-31e514fa3f26</vt:lpwstr>
  </property>
  <property fmtid="{D5CDD505-2E9C-101B-9397-08002B2CF9AE}" pid="85" name="ClassificationContentMarkingFooterText">
    <vt:lpwstr>OFFICIAL-Sensitive</vt:lpwstr>
  </property>
  <property fmtid="{D5CDD505-2E9C-101B-9397-08002B2CF9AE}" pid="86" name="pd01c257034b4e86b1f58279a3bd54c6">
    <vt:lpwstr>Unclassified|7fa379f4-4aba-4692-ab80-7d39d3a23cf4</vt:lpwstr>
  </property>
  <property fmtid="{D5CDD505-2E9C-101B-9397-08002B2CF9AE}" pid="87" name="MSIP_Label_fbc029f1-7b6e-4e10-8282-fc5331153e31_Enabled">
    <vt:lpwstr>true</vt:lpwstr>
  </property>
  <property fmtid="{D5CDD505-2E9C-101B-9397-08002B2CF9AE}" pid="88" name="MSIP_Label_fbc029f1-7b6e-4e10-8282-fc5331153e31_SetDate">
    <vt:lpwstr>2024-09-22T22:13:26Z</vt:lpwstr>
  </property>
  <property fmtid="{D5CDD505-2E9C-101B-9397-08002B2CF9AE}" pid="89" name="MSIP_Label_fbc029f1-7b6e-4e10-8282-fc5331153e31_Method">
    <vt:lpwstr>Privileged</vt:lpwstr>
  </property>
  <property fmtid="{D5CDD505-2E9C-101B-9397-08002B2CF9AE}" pid="90" name="MSIP_Label_fbc029f1-7b6e-4e10-8282-fc5331153e31_Name">
    <vt:lpwstr>fbc029f1-7b6e-4e10-8282-fc5331153e31</vt:lpwstr>
  </property>
  <property fmtid="{D5CDD505-2E9C-101B-9397-08002B2CF9AE}" pid="91" name="MSIP_Label_fbc029f1-7b6e-4e10-8282-fc5331153e31_SiteId">
    <vt:lpwstr>37247798-f42c-42fd-8a37-d49c7128d36b</vt:lpwstr>
  </property>
  <property fmtid="{D5CDD505-2E9C-101B-9397-08002B2CF9AE}" pid="92" name="MSIP_Label_fbc029f1-7b6e-4e10-8282-fc5331153e31_ActionId">
    <vt:lpwstr>989cf605-d788-4f0d-b1a9-16369b10bb3d</vt:lpwstr>
  </property>
  <property fmtid="{D5CDD505-2E9C-101B-9397-08002B2CF9AE}" pid="93" name="MSIP_Label_fbc029f1-7b6e-4e10-8282-fc5331153e31_ContentBits">
    <vt:lpwstr>0</vt:lpwstr>
  </property>
  <property fmtid="{D5CDD505-2E9C-101B-9397-08002B2CF9AE}" pid="94" name="ContentTypeId">
    <vt:lpwstr>0x0101002517F445A0F35E449C98AAD631F2B0380F00DA6BABBD5E205441ACDFC001CFFBDBFB</vt:lpwstr>
  </property>
  <property fmtid="{D5CDD505-2E9C-101B-9397-08002B2CF9AE}" pid="95" name="g91c59fb10974fa1a03160ad8386f0f4">
    <vt:lpwstr/>
  </property>
  <property fmtid="{D5CDD505-2E9C-101B-9397-08002B2CF9AE}" pid="96" name="Department_x0020_Document_x0020_Type">
    <vt:lpwstr/>
  </property>
  <property fmtid="{D5CDD505-2E9C-101B-9397-08002B2CF9AE}" pid="97" name="Record_x0020_Purpose">
    <vt:lpwstr/>
  </property>
  <property fmtid="{D5CDD505-2E9C-101B-9397-08002B2CF9AE}" pid="98" name="Records Class Int Committee Work Grp">
    <vt:lpwstr>50</vt:lpwstr>
  </property>
  <property fmtid="{D5CDD505-2E9C-101B-9397-08002B2CF9AE}" pid="99" name="Record Purpose">
    <vt:lpwstr/>
  </property>
  <property fmtid="{D5CDD505-2E9C-101B-9397-08002B2CF9AE}" pid="100" name="Department Document Type">
    <vt:lpwstr/>
  </property>
  <property fmtid="{D5CDD505-2E9C-101B-9397-08002B2CF9AE}" pid="101" name="_docset_NoMedatataSyncRequired">
    <vt:lpwstr>True</vt:lpwstr>
  </property>
  <property fmtid="{D5CDD505-2E9C-101B-9397-08002B2CF9AE}" pid="102" name="DLCPolicyLabelClientValue">
    <vt:lpwstr>Version {_UIVersionString}</vt:lpwstr>
  </property>
  <property fmtid="{D5CDD505-2E9C-101B-9397-08002B2CF9AE}" pid="103" name="j03bbfc8a05341eb824aeedd3064713b">
    <vt:lpwstr>Internal Committee - Strategic|8cc4f503-7d1e-4b9b-b5af-ba2ac4e77ed9</vt:lpwstr>
  </property>
  <property fmtid="{D5CDD505-2E9C-101B-9397-08002B2CF9AE}" pid="104" name="DLCPolicyLabelValue">
    <vt:lpwstr>Version 1.0</vt:lpwstr>
  </property>
  <property fmtid="{D5CDD505-2E9C-101B-9397-08002B2CF9AE}" pid="105" name="_SourceUrl">
    <vt:lpwstr/>
  </property>
  <property fmtid="{D5CDD505-2E9C-101B-9397-08002B2CF9AE}" pid="106" name="Security_x0020_Classification">
    <vt:lpwstr>3;#Unclassified|7fa379f4-4aba-4692-ab80-7d39d3a23cf4</vt:lpwstr>
  </property>
  <property fmtid="{D5CDD505-2E9C-101B-9397-08002B2CF9AE}" pid="107" name="lcf76f155ced4ddcb4097134ff3c332f">
    <vt:lpwstr/>
  </property>
  <property fmtid="{D5CDD505-2E9C-101B-9397-08002B2CF9AE}" pid="108" name="Dissemination_x0020_Limiting_x0020_Marker">
    <vt:lpwstr>2;#FOUO|955eb6fc-b35a-4808-8aa5-31e514fa3f26</vt:lpwstr>
  </property>
  <property fmtid="{D5CDD505-2E9C-101B-9397-08002B2CF9AE}" pid="109" name="_SharedFileIndex">
    <vt:lpwstr/>
  </property>
  <property fmtid="{D5CDD505-2E9C-101B-9397-08002B2CF9AE}" pid="110" name="Location_x0020_Type">
    <vt:lpwstr/>
  </property>
  <property fmtid="{D5CDD505-2E9C-101B-9397-08002B2CF9AE}" pid="111" name="Sub_x002d_Section">
    <vt:lpwstr/>
  </property>
  <property fmtid="{D5CDD505-2E9C-101B-9397-08002B2CF9AE}" pid="112" name="Reference_x0020_Type">
    <vt:lpwstr/>
  </property>
</Properties>
</file>